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2B" w:rsidRDefault="00AA252B" w:rsidP="00AA252B">
      <w:pPr>
        <w:pStyle w:val="Default"/>
        <w:rPr>
          <w:sz w:val="16"/>
          <w:szCs w:val="16"/>
          <w:highlight w:val="yellow"/>
        </w:rPr>
      </w:pPr>
      <w:r w:rsidRPr="004E3B3E">
        <w:rPr>
          <w:noProof/>
          <w:lang w:eastAsia="pl-PL"/>
        </w:rPr>
        <w:drawing>
          <wp:anchor distT="0" distB="0" distL="0" distR="0" simplePos="0" relativeHeight="251632640" behindDoc="0" locked="0" layoutInCell="1" allowOverlap="1" wp14:anchorId="4B8AE7A3" wp14:editId="2AE52C23">
            <wp:simplePos x="0" y="0"/>
            <wp:positionH relativeFrom="column">
              <wp:posOffset>-899160</wp:posOffset>
            </wp:positionH>
            <wp:positionV relativeFrom="paragraph">
              <wp:posOffset>-761365</wp:posOffset>
            </wp:positionV>
            <wp:extent cx="7559040" cy="109283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9040" cy="1092835"/>
                    </a:xfrm>
                    <a:prstGeom prst="rect">
                      <a:avLst/>
                    </a:prstGeom>
                    <a:solidFill>
                      <a:srgbClr val="FFFFFF"/>
                    </a:solidFill>
                    <a:ln>
                      <a:noFill/>
                    </a:ln>
                  </pic:spPr>
                </pic:pic>
              </a:graphicData>
            </a:graphic>
          </wp:anchor>
        </w:drawing>
      </w: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51416E" w:rsidRPr="00B73628" w:rsidRDefault="0051416E" w:rsidP="00516004">
      <w:pPr>
        <w:pStyle w:val="Default"/>
        <w:jc w:val="center"/>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ANALIZA SYTUACJI</w:t>
      </w:r>
      <w:r w:rsidR="002004DC"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F63A42">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na </w:t>
      </w: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RYNKU</w:t>
      </w:r>
      <w:r w:rsidR="00F56649"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PRACY</w:t>
      </w:r>
    </w:p>
    <w:p w:rsidR="0051416E" w:rsidRPr="00B73628" w:rsidRDefault="0051416E" w:rsidP="00516004">
      <w:pPr>
        <w:pStyle w:val="Default"/>
        <w:jc w:val="center"/>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WOJEWÓDZTWIE</w:t>
      </w:r>
      <w:r w:rsidR="002004DC"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PODKARPACKIM</w:t>
      </w:r>
    </w:p>
    <w:p w:rsidR="0051416E" w:rsidRDefault="007D75C7" w:rsidP="00516004">
      <w:pPr>
        <w:pStyle w:val="Default"/>
        <w:jc w:val="center"/>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w:t>
      </w:r>
      <w:r w:rsidR="00F56649"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 półrocz</w:t>
      </w:r>
      <w:r>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w:t>
      </w:r>
      <w:r w:rsidR="002004DC"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1416E"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00E3422D">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9719D5">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51416E"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35A6B" w:rsidRPr="00B73628">
        <w:rPr>
          <w:rFonts w:ascii="Arial Black" w:hAnsi="Arial Black"/>
          <w:caps/>
          <w:color w:val="FFFEFD" w:themeColor="accent6" w:themeTint="02"/>
          <w:sz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ROKU</w:t>
      </w: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AA252B" w:rsidRDefault="00AA252B" w:rsidP="00AA252B">
      <w:pPr>
        <w:pStyle w:val="Default"/>
        <w:rPr>
          <w:sz w:val="16"/>
          <w:szCs w:val="16"/>
          <w:highlight w:val="yellow"/>
        </w:rPr>
      </w:pPr>
    </w:p>
    <w:p w:rsidR="009822D5" w:rsidRPr="009822D5" w:rsidRDefault="0051416E" w:rsidP="000B032D">
      <w:pPr>
        <w:pBdr>
          <w:top w:val="double" w:sz="6" w:space="1" w:color="auto"/>
        </w:pBdr>
        <w:spacing w:after="0" w:line="240" w:lineRule="auto"/>
        <w:jc w:val="center"/>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822D5">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RZESZÓW</w:t>
      </w:r>
      <w:r w:rsidR="00F63A42">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9822D5">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00E3422D">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9719D5">
        <w:rPr>
          <w:rFonts w:ascii="Arial Black" w:hAnsi="Arial Black" w:cs="Times New Roman"/>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p>
    <w:p w:rsidR="00AA252B" w:rsidRPr="00D954B6" w:rsidRDefault="009822D5" w:rsidP="00AA252B">
      <w:pPr>
        <w:pStyle w:val="Default"/>
        <w:rPr>
          <w:sz w:val="16"/>
          <w:szCs w:val="16"/>
          <w:highlight w:val="yellow"/>
        </w:rPr>
      </w:pPr>
      <w:r>
        <w:rPr>
          <w:rFonts w:ascii="Arial Black" w:hAnsi="Arial Black"/>
          <w:caps/>
          <w:color w:val="000000" w:themeColor="text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ype="page"/>
      </w:r>
    </w:p>
    <w:p w:rsidR="00AA252B" w:rsidRDefault="00AA252B" w:rsidP="00AA252B">
      <w:pPr>
        <w:pStyle w:val="Default"/>
        <w:rPr>
          <w:sz w:val="16"/>
          <w:szCs w:val="16"/>
          <w:highlight w:val="yellow"/>
        </w:rPr>
      </w:pPr>
    </w:p>
    <w:p w:rsidR="00AA252B" w:rsidRPr="00D954B6" w:rsidRDefault="00AA252B" w:rsidP="00AA252B">
      <w:pPr>
        <w:pStyle w:val="Default"/>
        <w:rPr>
          <w:sz w:val="16"/>
          <w:szCs w:val="16"/>
          <w:highlight w:val="yellow"/>
        </w:rPr>
      </w:pPr>
    </w:p>
    <w:bookmarkStart w:id="0" w:name="_Toc446334626" w:displacedByCustomXml="next"/>
    <w:sdt>
      <w:sdtPr>
        <w:rPr>
          <w:rFonts w:ascii="Times New Roman" w:eastAsiaTheme="minorHAnsi" w:hAnsi="Times New Roman" w:cs="Times New Roman"/>
          <w:b w:val="0"/>
          <w:bCs w:val="0"/>
          <w:caps/>
          <w:noProof/>
          <w:color w:val="000000" w:themeColor="text1"/>
          <w:spacing w:val="10"/>
          <w:sz w:val="16"/>
          <w:szCs w:val="16"/>
          <w:lang w:eastAsia="en-US"/>
          <w14:reflection w14:blurRad="12700" w14:stA="28000" w14:stPos="0" w14:endA="0" w14:endPos="45000" w14:dist="1003" w14:dir="5400000" w14:fadeDir="5400000" w14:sx="100000" w14:sy="-100000" w14:kx="0" w14:ky="0" w14:algn="bl"/>
          <w14:textOutline w14:w="6350" w14:cap="flat" w14:cmpd="sng" w14:algn="ctr">
            <w14:no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id w:val="-1691137078"/>
        <w:docPartObj>
          <w:docPartGallery w:val="Table of Contents"/>
          <w:docPartUnique/>
        </w:docPartObj>
      </w:sdtPr>
      <w:sdtEndPr>
        <w:rPr>
          <w:bCs/>
          <w14:reflection w14:blurRad="0" w14:stA="0" w14:stPos="0" w14:endA="0" w14:endPos="0" w14:dist="0" w14:dir="0" w14:fadeDir="0" w14:sx="0" w14:sy="0" w14:kx="0" w14:ky="0" w14:algn="none"/>
          <w14:textFill>
            <w14:solidFill>
              <w14:schemeClr w14:val="tx1"/>
            </w14:solidFill>
          </w14:textFill>
        </w:rPr>
      </w:sdtEndPr>
      <w:sdtContent>
        <w:p w:rsidR="001F59FA" w:rsidRPr="008D16BA" w:rsidRDefault="001F59FA" w:rsidP="008D16BA">
          <w:pPr>
            <w:pStyle w:val="Nagwekspisutreci"/>
            <w:spacing w:before="0" w:line="240" w:lineRule="auto"/>
            <w:jc w:val="center"/>
            <w:rPr>
              <w:rFonts w:ascii="Times New Roman" w:hAnsi="Times New Roman" w:cs="Times New Roman"/>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D16BA">
            <w:rPr>
              <w:rFonts w:ascii="Times New Roman" w:hAnsi="Times New Roman" w:cs="Times New Roman"/>
              <w:caps/>
              <w:color w:val="000000" w:themeColor="text1"/>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Spis treści</w:t>
          </w:r>
        </w:p>
        <w:p w:rsidR="008D16BA" w:rsidRPr="008D16BA" w:rsidRDefault="00015579"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r w:rsidRPr="008D16BA">
            <w:rPr>
              <w:b w:val="0"/>
              <w:caps w:val="0"/>
              <w:color w:val="000000" w:themeColor="text1"/>
              <w:sz w:val="16"/>
              <w:szCs w:val="16"/>
              <w14:reflection w14:blurRad="0" w14:stA="0" w14:stPos="0" w14:endA="0" w14:endPos="0" w14:dist="0" w14:dir="0" w14:fadeDir="0" w14:sx="0" w14:sy="0" w14:kx="0" w14:ky="0" w14:algn="none"/>
              <w14:textOutline w14:w="6350" w14:cap="flat" w14:cmpd="sng" w14:algn="ctr">
                <w14:noFill/>
                <w14:prstDash w14:val="solid"/>
                <w14:round/>
              </w14:textOutline>
              <w14:textFill>
                <w14:solidFill>
                  <w14:schemeClr w14:val="tx1"/>
                </w14:solidFill>
              </w14:textFill>
            </w:rPr>
            <w:fldChar w:fldCharType="begin"/>
          </w:r>
          <w:r w:rsidR="001F59FA" w:rsidRPr="008D16BA">
            <w:rPr>
              <w:b w:val="0"/>
              <w:caps w:val="0"/>
              <w:color w:val="000000" w:themeColor="text1"/>
              <w:sz w:val="16"/>
              <w:szCs w:val="16"/>
              <w14:reflection w14:blurRad="0" w14:stA="0" w14:stPos="0" w14:endA="0" w14:endPos="0" w14:dist="0" w14:dir="0" w14:fadeDir="0" w14:sx="0" w14:sy="0" w14:kx="0" w14:ky="0" w14:algn="none"/>
              <w14:textOutline w14:w="6350" w14:cap="flat" w14:cmpd="sng" w14:algn="ctr">
                <w14:noFill/>
                <w14:prstDash w14:val="solid"/>
                <w14:round/>
              </w14:textOutline>
              <w14:textFill>
                <w14:solidFill>
                  <w14:schemeClr w14:val="tx1"/>
                </w14:solidFill>
              </w14:textFill>
            </w:rPr>
            <w:instrText xml:space="preserve"> TOC \o "1-3" \h \z \u </w:instrText>
          </w:r>
          <w:r w:rsidRPr="008D16BA">
            <w:rPr>
              <w:b w:val="0"/>
              <w:caps w:val="0"/>
              <w:color w:val="000000" w:themeColor="text1"/>
              <w:sz w:val="16"/>
              <w:szCs w:val="16"/>
              <w14:reflection w14:blurRad="0" w14:stA="0" w14:stPos="0" w14:endA="0" w14:endPos="0" w14:dist="0" w14:dir="0" w14:fadeDir="0" w14:sx="0" w14:sy="0" w14:kx="0" w14:ky="0" w14:algn="none"/>
              <w14:textOutline w14:w="6350" w14:cap="flat" w14:cmpd="sng" w14:algn="ctr">
                <w14:noFill/>
                <w14:prstDash w14:val="solid"/>
                <w14:round/>
              </w14:textOutline>
              <w14:textFill>
                <w14:solidFill>
                  <w14:schemeClr w14:val="tx1"/>
                </w14:solidFill>
              </w14:textFill>
            </w:rPr>
            <w:fldChar w:fldCharType="separate"/>
          </w:r>
          <w:hyperlink w:anchor="_Toc81396057" w:history="1">
            <w:r w:rsidR="008D16BA" w:rsidRPr="008D16BA">
              <w:rPr>
                <w:rStyle w:val="Hipercze"/>
                <w:sz w:val="16"/>
                <w:szCs w:val="16"/>
              </w:rPr>
              <w:t>Wstęp</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_Toc81396057 \h </w:instrText>
            </w:r>
            <w:r w:rsidR="008D16BA" w:rsidRPr="008D16BA">
              <w:rPr>
                <w:webHidden/>
                <w:sz w:val="16"/>
                <w:szCs w:val="16"/>
              </w:rPr>
            </w:r>
            <w:r w:rsidR="008D16BA" w:rsidRPr="008D16BA">
              <w:rPr>
                <w:webHidden/>
                <w:sz w:val="16"/>
                <w:szCs w:val="16"/>
              </w:rPr>
              <w:fldChar w:fldCharType="separate"/>
            </w:r>
            <w:r w:rsidR="0032742A">
              <w:rPr>
                <w:webHidden/>
                <w:sz w:val="16"/>
                <w:szCs w:val="16"/>
              </w:rPr>
              <w:t>2</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58" w:history="1">
            <w:r w:rsidR="008D16BA" w:rsidRPr="008D16BA">
              <w:rPr>
                <w:rStyle w:val="Hipercze"/>
                <w:sz w:val="16"/>
                <w:szCs w:val="16"/>
              </w:rPr>
              <w:t>charakterystyka regionu</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_Toc81396058 \h </w:instrText>
            </w:r>
            <w:r w:rsidR="008D16BA" w:rsidRPr="008D16BA">
              <w:rPr>
                <w:webHidden/>
                <w:sz w:val="16"/>
                <w:szCs w:val="16"/>
              </w:rPr>
            </w:r>
            <w:r w:rsidR="008D16BA" w:rsidRPr="008D16BA">
              <w:rPr>
                <w:webHidden/>
                <w:sz w:val="16"/>
                <w:szCs w:val="16"/>
              </w:rPr>
              <w:fldChar w:fldCharType="separate"/>
            </w:r>
            <w:r w:rsidR="0032742A">
              <w:rPr>
                <w:webHidden/>
                <w:sz w:val="16"/>
                <w:szCs w:val="16"/>
              </w:rPr>
              <w:t>6</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59" w:history="1">
            <w:r w:rsidR="008D16BA" w:rsidRPr="008D16BA">
              <w:rPr>
                <w:rStyle w:val="Hipercze"/>
                <w:sz w:val="16"/>
                <w:szCs w:val="16"/>
              </w:rPr>
              <w:t>Wiek  produkcyjny  ludności</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_Toc81396059 \h </w:instrText>
            </w:r>
            <w:r w:rsidR="008D16BA" w:rsidRPr="008D16BA">
              <w:rPr>
                <w:webHidden/>
                <w:sz w:val="16"/>
                <w:szCs w:val="16"/>
              </w:rPr>
            </w:r>
            <w:r w:rsidR="008D16BA" w:rsidRPr="008D16BA">
              <w:rPr>
                <w:webHidden/>
                <w:sz w:val="16"/>
                <w:szCs w:val="16"/>
              </w:rPr>
              <w:fldChar w:fldCharType="separate"/>
            </w:r>
            <w:r w:rsidR="0032742A">
              <w:rPr>
                <w:webHidden/>
                <w:sz w:val="16"/>
                <w:szCs w:val="16"/>
              </w:rPr>
              <w:t>9</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0" w:history="1">
            <w:r w:rsidR="008D16BA" w:rsidRPr="008D16BA">
              <w:rPr>
                <w:rStyle w:val="Hipercze"/>
                <w:sz w:val="16"/>
                <w:szCs w:val="16"/>
              </w:rPr>
              <w:t>Pracodawcy. Stan rozwoju firm </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_Toc81396060 \h </w:instrText>
            </w:r>
            <w:r w:rsidR="008D16BA" w:rsidRPr="008D16BA">
              <w:rPr>
                <w:webHidden/>
                <w:sz w:val="16"/>
                <w:szCs w:val="16"/>
              </w:rPr>
            </w:r>
            <w:r w:rsidR="008D16BA" w:rsidRPr="008D16BA">
              <w:rPr>
                <w:webHidden/>
                <w:sz w:val="16"/>
                <w:szCs w:val="16"/>
              </w:rPr>
              <w:fldChar w:fldCharType="separate"/>
            </w:r>
            <w:r w:rsidR="0032742A">
              <w:rPr>
                <w:webHidden/>
                <w:sz w:val="16"/>
                <w:szCs w:val="16"/>
              </w:rPr>
              <w:t>12</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1" w:history="1">
            <w:r w:rsidR="008D16BA" w:rsidRPr="008D16BA">
              <w:rPr>
                <w:rStyle w:val="Hipercze"/>
                <w:sz w:val="16"/>
                <w:szCs w:val="16"/>
              </w:rPr>
              <w:t>PRACUJĄCY i LUDNOŚĆ w WIEKU PRODUKCYJNYM</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_Toc81396061 \h </w:instrText>
            </w:r>
            <w:r w:rsidR="008D16BA" w:rsidRPr="008D16BA">
              <w:rPr>
                <w:webHidden/>
                <w:sz w:val="16"/>
                <w:szCs w:val="16"/>
              </w:rPr>
            </w:r>
            <w:r w:rsidR="008D16BA" w:rsidRPr="008D16BA">
              <w:rPr>
                <w:webHidden/>
                <w:sz w:val="16"/>
                <w:szCs w:val="16"/>
              </w:rPr>
              <w:fldChar w:fldCharType="separate"/>
            </w:r>
            <w:r w:rsidR="0032742A">
              <w:rPr>
                <w:webHidden/>
                <w:sz w:val="16"/>
                <w:szCs w:val="16"/>
              </w:rPr>
              <w:t>17</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2" w:history="1">
            <w:r w:rsidR="008D16BA" w:rsidRPr="008D16BA">
              <w:rPr>
                <w:rStyle w:val="Hipercze"/>
                <w:sz w:val="16"/>
                <w:szCs w:val="16"/>
              </w:rPr>
              <w:t>Podkarpacki rynek pracy.  I półrocze 2021</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_Toc81396062 \h </w:instrText>
            </w:r>
            <w:r w:rsidR="008D16BA" w:rsidRPr="008D16BA">
              <w:rPr>
                <w:webHidden/>
                <w:sz w:val="16"/>
                <w:szCs w:val="16"/>
              </w:rPr>
            </w:r>
            <w:r w:rsidR="008D16BA" w:rsidRPr="008D16BA">
              <w:rPr>
                <w:webHidden/>
                <w:sz w:val="16"/>
                <w:szCs w:val="16"/>
              </w:rPr>
              <w:fldChar w:fldCharType="separate"/>
            </w:r>
            <w:r w:rsidR="0032742A">
              <w:rPr>
                <w:webHidden/>
                <w:sz w:val="16"/>
                <w:szCs w:val="16"/>
              </w:rPr>
              <w:t>22</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3" w:history="1">
            <w:r w:rsidR="008D16BA" w:rsidRPr="008D16BA">
              <w:rPr>
                <w:rStyle w:val="Hipercze"/>
                <w:sz w:val="16"/>
                <w:szCs w:val="16"/>
              </w:rPr>
              <w:t>Płynność bezrobocia</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_Toc81396063 \h </w:instrText>
            </w:r>
            <w:r w:rsidR="008D16BA" w:rsidRPr="008D16BA">
              <w:rPr>
                <w:webHidden/>
                <w:sz w:val="16"/>
                <w:szCs w:val="16"/>
              </w:rPr>
            </w:r>
            <w:r w:rsidR="008D16BA" w:rsidRPr="008D16BA">
              <w:rPr>
                <w:webHidden/>
                <w:sz w:val="16"/>
                <w:szCs w:val="16"/>
              </w:rPr>
              <w:fldChar w:fldCharType="separate"/>
            </w:r>
            <w:r w:rsidR="0032742A">
              <w:rPr>
                <w:webHidden/>
                <w:sz w:val="16"/>
                <w:szCs w:val="16"/>
              </w:rPr>
              <w:t>23</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4" w:history="1">
            <w:r w:rsidR="008D16BA" w:rsidRPr="008D16BA">
              <w:rPr>
                <w:rStyle w:val="Hipercze"/>
                <w:sz w:val="16"/>
                <w:szCs w:val="16"/>
              </w:rPr>
              <w:t>Przyczyny  odpływu  bezrobotnych</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_Toc81396064 \h </w:instrText>
            </w:r>
            <w:r w:rsidR="008D16BA" w:rsidRPr="008D16BA">
              <w:rPr>
                <w:webHidden/>
                <w:sz w:val="16"/>
                <w:szCs w:val="16"/>
              </w:rPr>
            </w:r>
            <w:r w:rsidR="008D16BA" w:rsidRPr="008D16BA">
              <w:rPr>
                <w:webHidden/>
                <w:sz w:val="16"/>
                <w:szCs w:val="16"/>
              </w:rPr>
              <w:fldChar w:fldCharType="separate"/>
            </w:r>
            <w:r w:rsidR="0032742A">
              <w:rPr>
                <w:webHidden/>
                <w:sz w:val="16"/>
                <w:szCs w:val="16"/>
              </w:rPr>
              <w:t>25</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5" w:history="1">
            <w:r w:rsidR="008D16BA" w:rsidRPr="008D16BA">
              <w:rPr>
                <w:rStyle w:val="Hipercze"/>
                <w:sz w:val="16"/>
                <w:szCs w:val="16"/>
              </w:rPr>
              <w:t>Bezrobotni z prawem do zasiłku</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_Toc81396065 \h </w:instrText>
            </w:r>
            <w:r w:rsidR="008D16BA" w:rsidRPr="008D16BA">
              <w:rPr>
                <w:webHidden/>
                <w:sz w:val="16"/>
                <w:szCs w:val="16"/>
              </w:rPr>
            </w:r>
            <w:r w:rsidR="008D16BA" w:rsidRPr="008D16BA">
              <w:rPr>
                <w:webHidden/>
                <w:sz w:val="16"/>
                <w:szCs w:val="16"/>
              </w:rPr>
              <w:fldChar w:fldCharType="separate"/>
            </w:r>
            <w:r w:rsidR="0032742A">
              <w:rPr>
                <w:webHidden/>
                <w:sz w:val="16"/>
                <w:szCs w:val="16"/>
              </w:rPr>
              <w:t>29</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6" w:history="1">
            <w:r w:rsidR="008D16BA" w:rsidRPr="008D16BA">
              <w:rPr>
                <w:rStyle w:val="Hipercze"/>
                <w:sz w:val="16"/>
                <w:szCs w:val="16"/>
              </w:rPr>
              <w:t>Bezrobotni wg wieku</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_Toc81396066 \h </w:instrText>
            </w:r>
            <w:r w:rsidR="008D16BA" w:rsidRPr="008D16BA">
              <w:rPr>
                <w:webHidden/>
                <w:sz w:val="16"/>
                <w:szCs w:val="16"/>
              </w:rPr>
            </w:r>
            <w:r w:rsidR="008D16BA" w:rsidRPr="008D16BA">
              <w:rPr>
                <w:webHidden/>
                <w:sz w:val="16"/>
                <w:szCs w:val="16"/>
              </w:rPr>
              <w:fldChar w:fldCharType="separate"/>
            </w:r>
            <w:r w:rsidR="0032742A">
              <w:rPr>
                <w:webHidden/>
                <w:sz w:val="16"/>
                <w:szCs w:val="16"/>
              </w:rPr>
              <w:t>30</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7" w:history="1">
            <w:r w:rsidR="008D16BA" w:rsidRPr="008D16BA">
              <w:rPr>
                <w:rStyle w:val="Hipercze"/>
                <w:sz w:val="16"/>
                <w:szCs w:val="16"/>
              </w:rPr>
              <w:t>Bezrobotni wg poziomu wykształcenia</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_Toc81396067 \h </w:instrText>
            </w:r>
            <w:r w:rsidR="008D16BA" w:rsidRPr="008D16BA">
              <w:rPr>
                <w:webHidden/>
                <w:sz w:val="16"/>
                <w:szCs w:val="16"/>
              </w:rPr>
            </w:r>
            <w:r w:rsidR="008D16BA" w:rsidRPr="008D16BA">
              <w:rPr>
                <w:webHidden/>
                <w:sz w:val="16"/>
                <w:szCs w:val="16"/>
              </w:rPr>
              <w:fldChar w:fldCharType="separate"/>
            </w:r>
            <w:r w:rsidR="0032742A">
              <w:rPr>
                <w:webHidden/>
                <w:sz w:val="16"/>
                <w:szCs w:val="16"/>
              </w:rPr>
              <w:t>30</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8" w:history="1">
            <w:r w:rsidR="008D16BA" w:rsidRPr="008D16BA">
              <w:rPr>
                <w:rStyle w:val="Hipercze"/>
                <w:sz w:val="16"/>
                <w:szCs w:val="16"/>
              </w:rPr>
              <w:t>Bezrobotni wg stażu pracy</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_Toc81396068 \h </w:instrText>
            </w:r>
            <w:r w:rsidR="008D16BA" w:rsidRPr="008D16BA">
              <w:rPr>
                <w:webHidden/>
                <w:sz w:val="16"/>
                <w:szCs w:val="16"/>
              </w:rPr>
            </w:r>
            <w:r w:rsidR="008D16BA" w:rsidRPr="008D16BA">
              <w:rPr>
                <w:webHidden/>
                <w:sz w:val="16"/>
                <w:szCs w:val="16"/>
              </w:rPr>
              <w:fldChar w:fldCharType="separate"/>
            </w:r>
            <w:r w:rsidR="0032742A">
              <w:rPr>
                <w:webHidden/>
                <w:sz w:val="16"/>
                <w:szCs w:val="16"/>
              </w:rPr>
              <w:t>31</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69" w:history="1">
            <w:r w:rsidR="008D16BA" w:rsidRPr="008D16BA">
              <w:rPr>
                <w:rStyle w:val="Hipercze"/>
                <w:sz w:val="16"/>
                <w:szCs w:val="16"/>
              </w:rPr>
              <w:t>Bezrobotni  wg  miejsca zamieszkania</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_Toc81396069 \h </w:instrText>
            </w:r>
            <w:r w:rsidR="008D16BA" w:rsidRPr="008D16BA">
              <w:rPr>
                <w:webHidden/>
                <w:sz w:val="16"/>
                <w:szCs w:val="16"/>
              </w:rPr>
            </w:r>
            <w:r w:rsidR="008D16BA" w:rsidRPr="008D16BA">
              <w:rPr>
                <w:webHidden/>
                <w:sz w:val="16"/>
                <w:szCs w:val="16"/>
              </w:rPr>
              <w:fldChar w:fldCharType="separate"/>
            </w:r>
            <w:r w:rsidR="0032742A">
              <w:rPr>
                <w:webHidden/>
                <w:sz w:val="16"/>
                <w:szCs w:val="16"/>
              </w:rPr>
              <w:t>32</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70" w:history="1">
            <w:r w:rsidR="008D16BA" w:rsidRPr="008D16BA">
              <w:rPr>
                <w:rStyle w:val="Hipercze"/>
                <w:sz w:val="16"/>
                <w:szCs w:val="16"/>
              </w:rPr>
              <w:t>Bezrobotni w szczególnej sytuacji</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_Toc81396070 \h </w:instrText>
            </w:r>
            <w:r w:rsidR="008D16BA" w:rsidRPr="008D16BA">
              <w:rPr>
                <w:webHidden/>
                <w:sz w:val="16"/>
                <w:szCs w:val="16"/>
              </w:rPr>
            </w:r>
            <w:r w:rsidR="008D16BA" w:rsidRPr="008D16BA">
              <w:rPr>
                <w:webHidden/>
                <w:sz w:val="16"/>
                <w:szCs w:val="16"/>
              </w:rPr>
              <w:fldChar w:fldCharType="separate"/>
            </w:r>
            <w:r w:rsidR="0032742A">
              <w:rPr>
                <w:webHidden/>
                <w:sz w:val="16"/>
                <w:szCs w:val="16"/>
              </w:rPr>
              <w:t>33</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71" w:history="1">
            <w:r w:rsidR="008D16BA" w:rsidRPr="008D16BA">
              <w:rPr>
                <w:rStyle w:val="Hipercze"/>
                <w:sz w:val="16"/>
                <w:szCs w:val="16"/>
              </w:rPr>
              <w:t>Bezrobotni wg Polskiej Klasyfikacji Działalności</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_Toc81396071 \h </w:instrText>
            </w:r>
            <w:r w:rsidR="008D16BA" w:rsidRPr="008D16BA">
              <w:rPr>
                <w:webHidden/>
                <w:sz w:val="16"/>
                <w:szCs w:val="16"/>
              </w:rPr>
            </w:r>
            <w:r w:rsidR="008D16BA" w:rsidRPr="008D16BA">
              <w:rPr>
                <w:webHidden/>
                <w:sz w:val="16"/>
                <w:szCs w:val="16"/>
              </w:rPr>
              <w:fldChar w:fldCharType="separate"/>
            </w:r>
            <w:r w:rsidR="0032742A">
              <w:rPr>
                <w:webHidden/>
                <w:sz w:val="16"/>
                <w:szCs w:val="16"/>
              </w:rPr>
              <w:t>36</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72" w:history="1">
            <w:r w:rsidR="008D16BA" w:rsidRPr="008D16BA">
              <w:rPr>
                <w:rStyle w:val="Hipercze"/>
                <w:sz w:val="16"/>
                <w:szCs w:val="16"/>
              </w:rPr>
              <w:t>Bezrobotni wg zawodów</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_Toc81396072 \h </w:instrText>
            </w:r>
            <w:r w:rsidR="008D16BA" w:rsidRPr="008D16BA">
              <w:rPr>
                <w:webHidden/>
                <w:sz w:val="16"/>
                <w:szCs w:val="16"/>
              </w:rPr>
            </w:r>
            <w:r w:rsidR="008D16BA" w:rsidRPr="008D16BA">
              <w:rPr>
                <w:webHidden/>
                <w:sz w:val="16"/>
                <w:szCs w:val="16"/>
              </w:rPr>
              <w:fldChar w:fldCharType="separate"/>
            </w:r>
            <w:r w:rsidR="0032742A">
              <w:rPr>
                <w:webHidden/>
                <w:sz w:val="16"/>
                <w:szCs w:val="16"/>
              </w:rPr>
              <w:t>37</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73" w:history="1">
            <w:r w:rsidR="008D16BA" w:rsidRPr="008D16BA">
              <w:rPr>
                <w:rStyle w:val="Hipercze"/>
                <w:sz w:val="16"/>
                <w:szCs w:val="16"/>
              </w:rPr>
              <w:t>Wolne miejsca pracy i miejsca aktywizacji zawodowej</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_Toc81396073 \h </w:instrText>
            </w:r>
            <w:r w:rsidR="008D16BA" w:rsidRPr="008D16BA">
              <w:rPr>
                <w:webHidden/>
                <w:sz w:val="16"/>
                <w:szCs w:val="16"/>
              </w:rPr>
            </w:r>
            <w:r w:rsidR="008D16BA" w:rsidRPr="008D16BA">
              <w:rPr>
                <w:webHidden/>
                <w:sz w:val="16"/>
                <w:szCs w:val="16"/>
              </w:rPr>
              <w:fldChar w:fldCharType="separate"/>
            </w:r>
            <w:r w:rsidR="0032742A">
              <w:rPr>
                <w:webHidden/>
                <w:sz w:val="16"/>
                <w:szCs w:val="16"/>
              </w:rPr>
              <w:t>39</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74" w:history="1">
            <w:r w:rsidR="008D16BA" w:rsidRPr="008D16BA">
              <w:rPr>
                <w:rStyle w:val="Hipercze"/>
                <w:sz w:val="16"/>
                <w:szCs w:val="16"/>
              </w:rPr>
              <w:t>Wydatki z Funduszu Pracy na aktywne i pasywne formy promocji zatrudnienia</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_Toc81396074 \h </w:instrText>
            </w:r>
            <w:r w:rsidR="008D16BA" w:rsidRPr="008D16BA">
              <w:rPr>
                <w:webHidden/>
                <w:sz w:val="16"/>
                <w:szCs w:val="16"/>
              </w:rPr>
            </w:r>
            <w:r w:rsidR="008D16BA" w:rsidRPr="008D16BA">
              <w:rPr>
                <w:webHidden/>
                <w:sz w:val="16"/>
                <w:szCs w:val="16"/>
              </w:rPr>
              <w:fldChar w:fldCharType="separate"/>
            </w:r>
            <w:r w:rsidR="0032742A">
              <w:rPr>
                <w:webHidden/>
                <w:sz w:val="16"/>
                <w:szCs w:val="16"/>
              </w:rPr>
              <w:t>43</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75" w:history="1">
            <w:r w:rsidR="008D16BA" w:rsidRPr="008D16BA">
              <w:rPr>
                <w:rStyle w:val="Hipercze"/>
                <w:sz w:val="16"/>
                <w:szCs w:val="16"/>
              </w:rPr>
              <w:t>Zwolnienia z przyczyn niedotyczących pracowników</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_Toc81396075 \h </w:instrText>
            </w:r>
            <w:r w:rsidR="008D16BA" w:rsidRPr="008D16BA">
              <w:rPr>
                <w:webHidden/>
                <w:sz w:val="16"/>
                <w:szCs w:val="16"/>
              </w:rPr>
            </w:r>
            <w:r w:rsidR="008D16BA" w:rsidRPr="008D16BA">
              <w:rPr>
                <w:webHidden/>
                <w:sz w:val="16"/>
                <w:szCs w:val="16"/>
              </w:rPr>
              <w:fldChar w:fldCharType="separate"/>
            </w:r>
            <w:r w:rsidR="0032742A">
              <w:rPr>
                <w:webHidden/>
                <w:sz w:val="16"/>
                <w:szCs w:val="16"/>
              </w:rPr>
              <w:t>46</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76" w:history="1">
            <w:r w:rsidR="008D16BA" w:rsidRPr="008D16BA">
              <w:rPr>
                <w:rStyle w:val="Hipercze"/>
                <w:sz w:val="16"/>
                <w:szCs w:val="16"/>
              </w:rPr>
              <w:t>Fundusz Gwarantowanych świadczeń pracowniczych</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_Toc81396076 \h </w:instrText>
            </w:r>
            <w:r w:rsidR="008D16BA" w:rsidRPr="008D16BA">
              <w:rPr>
                <w:webHidden/>
                <w:sz w:val="16"/>
                <w:szCs w:val="16"/>
              </w:rPr>
            </w:r>
            <w:r w:rsidR="008D16BA" w:rsidRPr="008D16BA">
              <w:rPr>
                <w:webHidden/>
                <w:sz w:val="16"/>
                <w:szCs w:val="16"/>
              </w:rPr>
              <w:fldChar w:fldCharType="separate"/>
            </w:r>
            <w:r w:rsidR="0032742A">
              <w:rPr>
                <w:webHidden/>
                <w:sz w:val="16"/>
                <w:szCs w:val="16"/>
              </w:rPr>
              <w:t>47</w:t>
            </w:r>
            <w:r w:rsidR="008D16BA" w:rsidRPr="008D16BA">
              <w:rPr>
                <w:webHidden/>
                <w:sz w:val="16"/>
                <w:szCs w:val="16"/>
              </w:rPr>
              <w:fldChar w:fldCharType="end"/>
            </w:r>
          </w:hyperlink>
        </w:p>
        <w:p w:rsidR="008D16BA" w:rsidRPr="008D16BA" w:rsidRDefault="00077ACD" w:rsidP="008D16BA">
          <w:pPr>
            <w:pStyle w:val="Spistreci1"/>
            <w:spacing w:after="0" w:line="240" w:lineRule="auto"/>
            <w:rPr>
              <w:rFonts w:eastAsiaTheme="minorEastAsia"/>
              <w:b w:val="0"/>
              <w:bCs w:val="0"/>
              <w:caps w:val="0"/>
              <w:color w:val="000000"/>
              <w:sz w:val="16"/>
              <w:szCs w:val="16"/>
              <w:lang w:eastAsia="pl-PL"/>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rPr>
          </w:pPr>
          <w:hyperlink w:anchor="_Toc81396077" w:history="1">
            <w:r w:rsidR="008D16BA" w:rsidRPr="008D16BA">
              <w:rPr>
                <w:rStyle w:val="Hipercze"/>
                <w:sz w:val="16"/>
                <w:szCs w:val="16"/>
              </w:rPr>
              <w:t>Podsumowanie</w:t>
            </w:r>
            <w:r w:rsidR="008D16BA" w:rsidRPr="008D16BA">
              <w:rPr>
                <w:webHidden/>
                <w:sz w:val="16"/>
                <w:szCs w:val="16"/>
              </w:rPr>
              <w:tab/>
            </w:r>
            <w:r w:rsidR="008D16BA" w:rsidRPr="008D16BA">
              <w:rPr>
                <w:webHidden/>
                <w:sz w:val="16"/>
                <w:szCs w:val="16"/>
              </w:rPr>
              <w:fldChar w:fldCharType="begin"/>
            </w:r>
            <w:r w:rsidR="008D16BA" w:rsidRPr="008D16BA">
              <w:rPr>
                <w:webHidden/>
                <w:sz w:val="16"/>
                <w:szCs w:val="16"/>
              </w:rPr>
              <w:instrText xml:space="preserve"> PAGEREF _Toc81396077 \h </w:instrText>
            </w:r>
            <w:r w:rsidR="008D16BA" w:rsidRPr="008D16BA">
              <w:rPr>
                <w:webHidden/>
                <w:sz w:val="16"/>
                <w:szCs w:val="16"/>
              </w:rPr>
            </w:r>
            <w:r w:rsidR="008D16BA" w:rsidRPr="008D16BA">
              <w:rPr>
                <w:webHidden/>
                <w:sz w:val="16"/>
                <w:szCs w:val="16"/>
              </w:rPr>
              <w:fldChar w:fldCharType="separate"/>
            </w:r>
            <w:r w:rsidR="0032742A">
              <w:rPr>
                <w:webHidden/>
                <w:sz w:val="16"/>
                <w:szCs w:val="16"/>
              </w:rPr>
              <w:t>48</w:t>
            </w:r>
            <w:r w:rsidR="008D16BA" w:rsidRPr="008D16BA">
              <w:rPr>
                <w:webHidden/>
                <w:sz w:val="16"/>
                <w:szCs w:val="16"/>
              </w:rPr>
              <w:fldChar w:fldCharType="end"/>
            </w:r>
          </w:hyperlink>
        </w:p>
        <w:p w:rsidR="00732B13" w:rsidRDefault="00015579" w:rsidP="008D16BA">
          <w:pPr>
            <w:pStyle w:val="Spistreci1"/>
            <w:spacing w:after="0" w:line="240" w:lineRule="auto"/>
            <w:rPr>
              <w:sz w:val="16"/>
              <w:szCs w:val="16"/>
            </w:rPr>
          </w:pPr>
          <w:r w:rsidRPr="008D16BA">
            <w:rPr>
              <w:b w:val="0"/>
              <w:caps w:val="0"/>
              <w:color w:val="000000" w:themeColor="text1"/>
              <w:sz w:val="16"/>
              <w:szCs w:val="16"/>
              <w14:reflection w14:blurRad="0" w14:stA="0" w14:stPos="0" w14:endA="0" w14:endPos="0" w14:dist="0" w14:dir="0" w14:fadeDir="0" w14:sx="0" w14:sy="0" w14:kx="0" w14:ky="0" w14:algn="none"/>
              <w14:textOutline w14:w="6350" w14:cap="flat" w14:cmpd="sng" w14:algn="ctr">
                <w14:noFill/>
                <w14:prstDash w14:val="solid"/>
                <w14:round/>
              </w14:textOutline>
              <w14:textFill>
                <w14:solidFill>
                  <w14:schemeClr w14:val="tx1"/>
                </w14:solidFill>
              </w14:textFill>
            </w:rPr>
            <w:fldChar w:fldCharType="end"/>
          </w:r>
        </w:p>
      </w:sdtContent>
    </w:sdt>
    <w:p w:rsidR="0034073B" w:rsidRDefault="0034073B" w:rsidP="00D62B23">
      <w:pPr>
        <w:spacing w:after="0" w:line="240" w:lineRule="auto"/>
        <w:jc w:val="both"/>
        <w:rPr>
          <w:rFonts w:ascii="Times New Roman" w:hAnsi="Times New Roman" w:cs="Times New Roman"/>
          <w:sz w:val="16"/>
          <w:szCs w:val="16"/>
        </w:rPr>
      </w:pPr>
    </w:p>
    <w:p w:rsidR="00977C90" w:rsidRDefault="00977C90" w:rsidP="00D62B23">
      <w:pPr>
        <w:spacing w:after="0" w:line="240" w:lineRule="auto"/>
        <w:jc w:val="both"/>
        <w:rPr>
          <w:rFonts w:ascii="Times New Roman" w:hAnsi="Times New Roman" w:cs="Times New Roman"/>
          <w:sz w:val="16"/>
          <w:szCs w:val="16"/>
        </w:rPr>
      </w:pPr>
    </w:p>
    <w:p w:rsidR="003A2CF6" w:rsidRPr="00411857" w:rsidRDefault="003A2CF6" w:rsidP="00014227">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 w:name="_Toc81396057"/>
      <w:r w:rsidRPr="00411857">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Wstęp</w:t>
      </w:r>
      <w:bookmarkEnd w:id="0"/>
      <w:bookmarkEnd w:id="1"/>
    </w:p>
    <w:p w:rsidR="0034073B" w:rsidRDefault="0034073B" w:rsidP="00D62B23">
      <w:pPr>
        <w:spacing w:after="0" w:line="240" w:lineRule="auto"/>
        <w:jc w:val="both"/>
        <w:rPr>
          <w:rFonts w:ascii="Times New Roman" w:hAnsi="Times New Roman" w:cs="Times New Roman"/>
          <w:sz w:val="16"/>
          <w:szCs w:val="16"/>
        </w:rPr>
      </w:pPr>
    </w:p>
    <w:p w:rsidR="0034073B" w:rsidRDefault="0034073B" w:rsidP="00D62B23">
      <w:pPr>
        <w:spacing w:after="0" w:line="240" w:lineRule="auto"/>
        <w:jc w:val="both"/>
        <w:rPr>
          <w:rFonts w:ascii="Times New Roman" w:hAnsi="Times New Roman" w:cs="Times New Roman"/>
          <w:sz w:val="16"/>
          <w:szCs w:val="16"/>
        </w:rPr>
      </w:pPr>
    </w:p>
    <w:p w:rsidR="00664578" w:rsidRDefault="003A2CF6" w:rsidP="003A2CF6">
      <w:pPr>
        <w:spacing w:after="0" w:line="360" w:lineRule="auto"/>
        <w:ind w:firstLine="709"/>
        <w:jc w:val="both"/>
        <w:rPr>
          <w:rFonts w:ascii="Times New Roman" w:hAnsi="Times New Roman" w:cs="Times New Roman"/>
          <w:sz w:val="24"/>
          <w:szCs w:val="24"/>
        </w:rPr>
      </w:pPr>
      <w:r w:rsidRPr="00D42079">
        <w:rPr>
          <w:rFonts w:ascii="Times New Roman" w:hAnsi="Times New Roman" w:cs="Times New Roman"/>
          <w:sz w:val="24"/>
          <w:szCs w:val="24"/>
        </w:rPr>
        <w:t>Analiz</w:t>
      </w:r>
      <w:r w:rsidR="009719D5">
        <w:rPr>
          <w:rFonts w:ascii="Times New Roman" w:hAnsi="Times New Roman" w:cs="Times New Roman"/>
          <w:sz w:val="24"/>
          <w:szCs w:val="24"/>
        </w:rPr>
        <w:t>a</w:t>
      </w:r>
      <w:r w:rsidRPr="00D42079">
        <w:rPr>
          <w:rFonts w:ascii="Times New Roman" w:hAnsi="Times New Roman" w:cs="Times New Roman"/>
          <w:sz w:val="24"/>
          <w:szCs w:val="24"/>
        </w:rPr>
        <w:t xml:space="preserve"> </w:t>
      </w:r>
      <w:r w:rsidR="00056C3D">
        <w:rPr>
          <w:rFonts w:ascii="Times New Roman" w:hAnsi="Times New Roman" w:cs="Times New Roman"/>
          <w:sz w:val="24"/>
          <w:szCs w:val="24"/>
        </w:rPr>
        <w:t xml:space="preserve">sytuacji na </w:t>
      </w:r>
      <w:r w:rsidRPr="00D42079">
        <w:rPr>
          <w:rFonts w:ascii="Times New Roman" w:hAnsi="Times New Roman" w:cs="Times New Roman"/>
          <w:sz w:val="24"/>
          <w:szCs w:val="24"/>
        </w:rPr>
        <w:t>rynku pracy</w:t>
      </w:r>
      <w:r w:rsidR="00AE5712" w:rsidRPr="00D42079">
        <w:rPr>
          <w:rFonts w:ascii="Times New Roman" w:hAnsi="Times New Roman" w:cs="Times New Roman"/>
          <w:sz w:val="24"/>
          <w:szCs w:val="24"/>
        </w:rPr>
        <w:t xml:space="preserve"> w </w:t>
      </w:r>
      <w:r w:rsidRPr="00D42079">
        <w:rPr>
          <w:rFonts w:ascii="Times New Roman" w:hAnsi="Times New Roman" w:cs="Times New Roman"/>
          <w:sz w:val="24"/>
          <w:szCs w:val="24"/>
        </w:rPr>
        <w:t>województwie podkarpackim</w:t>
      </w:r>
      <w:r w:rsidR="00507831" w:rsidRPr="00D42079">
        <w:rPr>
          <w:rFonts w:ascii="Times New Roman" w:hAnsi="Times New Roman" w:cs="Times New Roman"/>
          <w:sz w:val="24"/>
          <w:szCs w:val="24"/>
        </w:rPr>
        <w:t xml:space="preserve"> </w:t>
      </w:r>
      <w:r w:rsidR="00FC6B92">
        <w:rPr>
          <w:rFonts w:ascii="Times New Roman" w:hAnsi="Times New Roman" w:cs="Times New Roman"/>
          <w:sz w:val="24"/>
          <w:szCs w:val="24"/>
        </w:rPr>
        <w:t xml:space="preserve">jest </w:t>
      </w:r>
      <w:r w:rsidR="009719D5">
        <w:rPr>
          <w:rFonts w:ascii="Times New Roman" w:hAnsi="Times New Roman" w:cs="Times New Roman"/>
          <w:sz w:val="24"/>
          <w:szCs w:val="24"/>
        </w:rPr>
        <w:t>periodyk</w:t>
      </w:r>
      <w:r w:rsidR="00FC6B92">
        <w:rPr>
          <w:rFonts w:ascii="Times New Roman" w:hAnsi="Times New Roman" w:cs="Times New Roman"/>
          <w:sz w:val="24"/>
          <w:szCs w:val="24"/>
        </w:rPr>
        <w:t>iem</w:t>
      </w:r>
      <w:r w:rsidR="00C97C2A">
        <w:rPr>
          <w:rFonts w:ascii="Times New Roman" w:hAnsi="Times New Roman" w:cs="Times New Roman"/>
          <w:sz w:val="24"/>
          <w:szCs w:val="24"/>
        </w:rPr>
        <w:t xml:space="preserve"> </w:t>
      </w:r>
      <w:r w:rsidR="00FC6B92">
        <w:rPr>
          <w:rFonts w:ascii="Times New Roman" w:hAnsi="Times New Roman" w:cs="Times New Roman"/>
          <w:sz w:val="24"/>
          <w:szCs w:val="24"/>
        </w:rPr>
        <w:t>wydawanym</w:t>
      </w:r>
      <w:r w:rsidR="00F8452C">
        <w:rPr>
          <w:rFonts w:ascii="Times New Roman" w:hAnsi="Times New Roman" w:cs="Times New Roman"/>
          <w:sz w:val="24"/>
          <w:szCs w:val="24"/>
        </w:rPr>
        <w:t xml:space="preserve"> od 1990 roku. I</w:t>
      </w:r>
      <w:r w:rsidR="00C97C2A">
        <w:rPr>
          <w:rFonts w:ascii="Times New Roman" w:hAnsi="Times New Roman" w:cs="Times New Roman"/>
          <w:sz w:val="24"/>
          <w:szCs w:val="24"/>
        </w:rPr>
        <w:t>nform</w:t>
      </w:r>
      <w:r w:rsidR="00F8452C">
        <w:rPr>
          <w:rFonts w:ascii="Times New Roman" w:hAnsi="Times New Roman" w:cs="Times New Roman"/>
          <w:sz w:val="24"/>
          <w:szCs w:val="24"/>
        </w:rPr>
        <w:t xml:space="preserve">uje </w:t>
      </w:r>
      <w:r w:rsidR="009719D5">
        <w:rPr>
          <w:rFonts w:ascii="Times New Roman" w:hAnsi="Times New Roman" w:cs="Times New Roman"/>
          <w:sz w:val="24"/>
          <w:szCs w:val="24"/>
        </w:rPr>
        <w:t xml:space="preserve">o </w:t>
      </w:r>
      <w:r w:rsidR="00C97C2A">
        <w:rPr>
          <w:rFonts w:ascii="Times New Roman" w:hAnsi="Times New Roman" w:cs="Times New Roman"/>
          <w:sz w:val="24"/>
          <w:szCs w:val="24"/>
        </w:rPr>
        <w:t>aktualn</w:t>
      </w:r>
      <w:r w:rsidR="00F8452C">
        <w:rPr>
          <w:rFonts w:ascii="Times New Roman" w:hAnsi="Times New Roman" w:cs="Times New Roman"/>
          <w:sz w:val="24"/>
          <w:szCs w:val="24"/>
        </w:rPr>
        <w:t>ych trendach i zmianach w</w:t>
      </w:r>
      <w:r w:rsidR="00FC6B92">
        <w:rPr>
          <w:rFonts w:ascii="Times New Roman" w:hAnsi="Times New Roman" w:cs="Times New Roman"/>
          <w:sz w:val="24"/>
          <w:szCs w:val="24"/>
        </w:rPr>
        <w:t> </w:t>
      </w:r>
      <w:r w:rsidR="00F8452C">
        <w:rPr>
          <w:rFonts w:ascii="Times New Roman" w:hAnsi="Times New Roman" w:cs="Times New Roman"/>
          <w:sz w:val="24"/>
          <w:szCs w:val="24"/>
        </w:rPr>
        <w:t xml:space="preserve">obszarze rozwoju zasobów ludzkich. </w:t>
      </w:r>
      <w:r w:rsidRPr="00227DAA">
        <w:rPr>
          <w:rFonts w:ascii="Times New Roman" w:hAnsi="Times New Roman" w:cs="Times New Roman"/>
          <w:sz w:val="24"/>
          <w:szCs w:val="24"/>
        </w:rPr>
        <w:t>Wojewódzki</w:t>
      </w:r>
      <w:r w:rsidR="00C97C2A">
        <w:rPr>
          <w:rFonts w:ascii="Times New Roman" w:hAnsi="Times New Roman" w:cs="Times New Roman"/>
          <w:sz w:val="24"/>
          <w:szCs w:val="24"/>
        </w:rPr>
        <w:t xml:space="preserve"> </w:t>
      </w:r>
      <w:r w:rsidRPr="00227DAA">
        <w:rPr>
          <w:rFonts w:ascii="Times New Roman" w:hAnsi="Times New Roman" w:cs="Times New Roman"/>
          <w:sz w:val="24"/>
          <w:szCs w:val="24"/>
        </w:rPr>
        <w:t>Urząd</w:t>
      </w:r>
      <w:r w:rsidR="00C97C2A">
        <w:rPr>
          <w:rFonts w:ascii="Times New Roman" w:hAnsi="Times New Roman" w:cs="Times New Roman"/>
          <w:sz w:val="24"/>
          <w:szCs w:val="24"/>
        </w:rPr>
        <w:t xml:space="preserve"> </w:t>
      </w:r>
      <w:r w:rsidRPr="00227DAA">
        <w:rPr>
          <w:rFonts w:ascii="Times New Roman" w:hAnsi="Times New Roman" w:cs="Times New Roman"/>
          <w:sz w:val="24"/>
          <w:szCs w:val="24"/>
        </w:rPr>
        <w:t>Pracy</w:t>
      </w:r>
      <w:r w:rsidR="00C97C2A">
        <w:rPr>
          <w:rFonts w:ascii="Times New Roman" w:hAnsi="Times New Roman" w:cs="Times New Roman"/>
          <w:sz w:val="24"/>
          <w:szCs w:val="24"/>
        </w:rPr>
        <w:t xml:space="preserve"> w R</w:t>
      </w:r>
      <w:r w:rsidRPr="00227DAA">
        <w:rPr>
          <w:rFonts w:ascii="Times New Roman" w:hAnsi="Times New Roman" w:cs="Times New Roman"/>
          <w:sz w:val="24"/>
          <w:szCs w:val="24"/>
        </w:rPr>
        <w:t>zeszowie</w:t>
      </w:r>
      <w:r w:rsidR="00C97C2A">
        <w:rPr>
          <w:rFonts w:ascii="Times New Roman" w:hAnsi="Times New Roman" w:cs="Times New Roman"/>
          <w:sz w:val="24"/>
          <w:szCs w:val="24"/>
        </w:rPr>
        <w:t xml:space="preserve">, </w:t>
      </w:r>
      <w:r w:rsidR="00CD1263" w:rsidRPr="00227DAA">
        <w:rPr>
          <w:rFonts w:ascii="Times New Roman" w:hAnsi="Times New Roman" w:cs="Times New Roman"/>
          <w:sz w:val="24"/>
          <w:szCs w:val="24"/>
        </w:rPr>
        <w:t>będąc</w:t>
      </w:r>
      <w:r w:rsidRPr="00227DAA">
        <w:rPr>
          <w:rFonts w:ascii="Times New Roman" w:hAnsi="Times New Roman" w:cs="Times New Roman"/>
          <w:sz w:val="24"/>
          <w:szCs w:val="24"/>
        </w:rPr>
        <w:t xml:space="preserve"> </w:t>
      </w:r>
      <w:r w:rsidR="0076391F">
        <w:rPr>
          <w:rFonts w:ascii="Times New Roman" w:hAnsi="Times New Roman" w:cs="Times New Roman"/>
          <w:sz w:val="24"/>
          <w:szCs w:val="24"/>
        </w:rPr>
        <w:t>współ</w:t>
      </w:r>
      <w:r w:rsidR="006D6D4B" w:rsidRPr="00227DAA">
        <w:rPr>
          <w:rFonts w:ascii="Times New Roman" w:hAnsi="Times New Roman" w:cs="Times New Roman"/>
          <w:sz w:val="24"/>
          <w:szCs w:val="24"/>
        </w:rPr>
        <w:t>realizatorem różnorodnych</w:t>
      </w:r>
      <w:r w:rsidR="00EE2EF2" w:rsidRPr="00227DAA">
        <w:rPr>
          <w:rFonts w:ascii="Times New Roman" w:hAnsi="Times New Roman" w:cs="Times New Roman"/>
          <w:sz w:val="24"/>
          <w:szCs w:val="24"/>
        </w:rPr>
        <w:t xml:space="preserve"> projektów </w:t>
      </w:r>
      <w:r w:rsidR="005277F5" w:rsidRPr="00227DAA">
        <w:rPr>
          <w:rFonts w:ascii="Times New Roman" w:hAnsi="Times New Roman" w:cs="Times New Roman"/>
          <w:sz w:val="24"/>
          <w:szCs w:val="24"/>
        </w:rPr>
        <w:t xml:space="preserve">aktywnej polityki </w:t>
      </w:r>
      <w:r w:rsidR="00FC6B92">
        <w:rPr>
          <w:rFonts w:ascii="Times New Roman" w:hAnsi="Times New Roman" w:cs="Times New Roman"/>
          <w:sz w:val="24"/>
          <w:szCs w:val="24"/>
        </w:rPr>
        <w:t>rynku pracy i</w:t>
      </w:r>
      <w:r w:rsidR="0076391F">
        <w:rPr>
          <w:rFonts w:ascii="Times New Roman" w:hAnsi="Times New Roman" w:cs="Times New Roman"/>
          <w:sz w:val="24"/>
          <w:szCs w:val="24"/>
        </w:rPr>
        <w:t xml:space="preserve"> rozwoju </w:t>
      </w:r>
      <w:r w:rsidR="001517AD">
        <w:rPr>
          <w:rFonts w:ascii="Times New Roman" w:hAnsi="Times New Roman" w:cs="Times New Roman"/>
          <w:sz w:val="24"/>
          <w:szCs w:val="24"/>
        </w:rPr>
        <w:t xml:space="preserve">kadr pracowniczych </w:t>
      </w:r>
      <w:r w:rsidR="00CD1263" w:rsidRPr="00227DAA">
        <w:rPr>
          <w:rFonts w:ascii="Times New Roman" w:hAnsi="Times New Roman" w:cs="Times New Roman"/>
          <w:sz w:val="24"/>
          <w:szCs w:val="24"/>
        </w:rPr>
        <w:t>d</w:t>
      </w:r>
      <w:r w:rsidRPr="00227DAA">
        <w:rPr>
          <w:rFonts w:ascii="Times New Roman" w:hAnsi="Times New Roman" w:cs="Times New Roman"/>
          <w:sz w:val="24"/>
          <w:szCs w:val="24"/>
        </w:rPr>
        <w:t xml:space="preserve">okłada </w:t>
      </w:r>
      <w:r w:rsidR="00507831" w:rsidRPr="00227DAA">
        <w:rPr>
          <w:rFonts w:ascii="Times New Roman" w:hAnsi="Times New Roman" w:cs="Times New Roman"/>
          <w:sz w:val="24"/>
          <w:szCs w:val="24"/>
        </w:rPr>
        <w:t xml:space="preserve">wszelkich </w:t>
      </w:r>
      <w:r w:rsidRPr="00227DAA">
        <w:rPr>
          <w:rFonts w:ascii="Times New Roman" w:hAnsi="Times New Roman" w:cs="Times New Roman"/>
          <w:sz w:val="24"/>
          <w:szCs w:val="24"/>
        </w:rPr>
        <w:t xml:space="preserve">starań, </w:t>
      </w:r>
      <w:r w:rsidR="00507831" w:rsidRPr="00227DAA">
        <w:rPr>
          <w:rFonts w:ascii="Times New Roman" w:hAnsi="Times New Roman" w:cs="Times New Roman"/>
          <w:sz w:val="24"/>
          <w:szCs w:val="24"/>
        </w:rPr>
        <w:t>a</w:t>
      </w:r>
      <w:r w:rsidRPr="00227DAA">
        <w:rPr>
          <w:rFonts w:ascii="Times New Roman" w:hAnsi="Times New Roman" w:cs="Times New Roman"/>
          <w:sz w:val="24"/>
          <w:szCs w:val="24"/>
        </w:rPr>
        <w:t xml:space="preserve">by </w:t>
      </w:r>
      <w:r w:rsidR="0076391F">
        <w:rPr>
          <w:rFonts w:ascii="Times New Roman" w:hAnsi="Times New Roman" w:cs="Times New Roman"/>
          <w:sz w:val="24"/>
          <w:szCs w:val="24"/>
        </w:rPr>
        <w:t xml:space="preserve">dokonać </w:t>
      </w:r>
      <w:r w:rsidRPr="00227DAA">
        <w:rPr>
          <w:rFonts w:ascii="Times New Roman" w:hAnsi="Times New Roman" w:cs="Times New Roman"/>
          <w:sz w:val="24"/>
          <w:szCs w:val="24"/>
        </w:rPr>
        <w:t xml:space="preserve">rzetelnej </w:t>
      </w:r>
      <w:r w:rsidR="0076391F">
        <w:rPr>
          <w:rFonts w:ascii="Times New Roman" w:hAnsi="Times New Roman" w:cs="Times New Roman"/>
          <w:sz w:val="24"/>
          <w:szCs w:val="24"/>
        </w:rPr>
        <w:t xml:space="preserve">oceny </w:t>
      </w:r>
      <w:r w:rsidR="00B37385">
        <w:rPr>
          <w:rFonts w:ascii="Times New Roman" w:hAnsi="Times New Roman" w:cs="Times New Roman"/>
          <w:sz w:val="24"/>
          <w:szCs w:val="24"/>
        </w:rPr>
        <w:t>zjawisk i</w:t>
      </w:r>
      <w:r w:rsidR="00FC6B92">
        <w:rPr>
          <w:rFonts w:ascii="Times New Roman" w:hAnsi="Times New Roman" w:cs="Times New Roman"/>
          <w:sz w:val="24"/>
          <w:szCs w:val="24"/>
        </w:rPr>
        <w:t> </w:t>
      </w:r>
      <w:r w:rsidR="00B37385">
        <w:rPr>
          <w:rFonts w:ascii="Times New Roman" w:hAnsi="Times New Roman" w:cs="Times New Roman"/>
          <w:sz w:val="24"/>
          <w:szCs w:val="24"/>
        </w:rPr>
        <w:t>procesów</w:t>
      </w:r>
      <w:r w:rsidRPr="00227DAA">
        <w:rPr>
          <w:rFonts w:ascii="Times New Roman" w:hAnsi="Times New Roman" w:cs="Times New Roman"/>
          <w:sz w:val="24"/>
          <w:szCs w:val="24"/>
        </w:rPr>
        <w:t>.</w:t>
      </w:r>
    </w:p>
    <w:p w:rsidR="003A2CF6" w:rsidRDefault="00FC6B92" w:rsidP="003A2C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Opracowanie przyczynia się </w:t>
      </w:r>
      <w:r w:rsidR="0076391F">
        <w:rPr>
          <w:rFonts w:ascii="Times New Roman" w:hAnsi="Times New Roman" w:cs="Times New Roman"/>
          <w:sz w:val="24"/>
          <w:szCs w:val="24"/>
        </w:rPr>
        <w:t xml:space="preserve">do wzmacniania </w:t>
      </w:r>
      <w:r w:rsidR="00493A5F">
        <w:rPr>
          <w:rFonts w:ascii="Times New Roman" w:hAnsi="Times New Roman" w:cs="Times New Roman"/>
          <w:sz w:val="24"/>
          <w:szCs w:val="24"/>
        </w:rPr>
        <w:t xml:space="preserve">wielu </w:t>
      </w:r>
      <w:r w:rsidR="0076391F">
        <w:rPr>
          <w:rFonts w:ascii="Times New Roman" w:hAnsi="Times New Roman" w:cs="Times New Roman"/>
          <w:sz w:val="24"/>
          <w:szCs w:val="24"/>
        </w:rPr>
        <w:t xml:space="preserve">pozytywnych </w:t>
      </w:r>
      <w:r w:rsidR="00B37385">
        <w:rPr>
          <w:rFonts w:ascii="Times New Roman" w:hAnsi="Times New Roman" w:cs="Times New Roman"/>
          <w:sz w:val="24"/>
          <w:szCs w:val="24"/>
        </w:rPr>
        <w:t>tendencji</w:t>
      </w:r>
      <w:r w:rsidR="007B7781">
        <w:rPr>
          <w:rFonts w:ascii="Times New Roman" w:hAnsi="Times New Roman" w:cs="Times New Roman"/>
          <w:sz w:val="24"/>
          <w:szCs w:val="24"/>
        </w:rPr>
        <w:t xml:space="preserve"> </w:t>
      </w:r>
      <w:r w:rsidR="00493A5F">
        <w:rPr>
          <w:rFonts w:ascii="Times New Roman" w:hAnsi="Times New Roman" w:cs="Times New Roman"/>
          <w:sz w:val="24"/>
          <w:szCs w:val="24"/>
        </w:rPr>
        <w:t>w</w:t>
      </w:r>
      <w:r>
        <w:rPr>
          <w:rFonts w:ascii="Times New Roman" w:hAnsi="Times New Roman" w:cs="Times New Roman"/>
          <w:sz w:val="24"/>
          <w:szCs w:val="24"/>
        </w:rPr>
        <w:t xml:space="preserve"> obszarze </w:t>
      </w:r>
      <w:r w:rsidR="00C97C2A">
        <w:rPr>
          <w:rFonts w:ascii="Times New Roman" w:hAnsi="Times New Roman" w:cs="Times New Roman"/>
          <w:sz w:val="24"/>
          <w:szCs w:val="24"/>
        </w:rPr>
        <w:t xml:space="preserve">aktywizacji </w:t>
      </w:r>
      <w:r>
        <w:rPr>
          <w:rFonts w:ascii="Times New Roman" w:hAnsi="Times New Roman" w:cs="Times New Roman"/>
          <w:sz w:val="24"/>
          <w:szCs w:val="24"/>
        </w:rPr>
        <w:t xml:space="preserve">osób bezrobotnych </w:t>
      </w:r>
      <w:r w:rsidR="00C97C2A">
        <w:rPr>
          <w:rFonts w:ascii="Times New Roman" w:hAnsi="Times New Roman" w:cs="Times New Roman"/>
          <w:sz w:val="24"/>
          <w:szCs w:val="24"/>
        </w:rPr>
        <w:t>i przeciwdziałani</w:t>
      </w:r>
      <w:r w:rsidR="00370749">
        <w:rPr>
          <w:rFonts w:ascii="Times New Roman" w:hAnsi="Times New Roman" w:cs="Times New Roman"/>
          <w:sz w:val="24"/>
          <w:szCs w:val="24"/>
        </w:rPr>
        <w:t>u</w:t>
      </w:r>
      <w:r w:rsidR="00C97C2A">
        <w:rPr>
          <w:rFonts w:ascii="Times New Roman" w:hAnsi="Times New Roman" w:cs="Times New Roman"/>
          <w:sz w:val="24"/>
          <w:szCs w:val="24"/>
        </w:rPr>
        <w:t xml:space="preserve"> negatywnym zjawiskom</w:t>
      </w:r>
      <w:r w:rsidR="00664578">
        <w:rPr>
          <w:rFonts w:ascii="Times New Roman" w:hAnsi="Times New Roman" w:cs="Times New Roman"/>
          <w:sz w:val="24"/>
          <w:szCs w:val="24"/>
        </w:rPr>
        <w:t xml:space="preserve"> </w:t>
      </w:r>
      <w:r>
        <w:rPr>
          <w:rFonts w:ascii="Times New Roman" w:hAnsi="Times New Roman" w:cs="Times New Roman"/>
          <w:sz w:val="24"/>
          <w:szCs w:val="24"/>
        </w:rPr>
        <w:t>na lokalnym rynku pracy</w:t>
      </w:r>
      <w:r w:rsidR="00493A5F">
        <w:rPr>
          <w:rFonts w:ascii="Times New Roman" w:hAnsi="Times New Roman" w:cs="Times New Roman"/>
          <w:sz w:val="24"/>
          <w:szCs w:val="24"/>
        </w:rPr>
        <w:t>.</w:t>
      </w:r>
      <w:r w:rsidR="00370749">
        <w:rPr>
          <w:rFonts w:ascii="Times New Roman" w:hAnsi="Times New Roman" w:cs="Times New Roman"/>
          <w:sz w:val="24"/>
          <w:szCs w:val="24"/>
        </w:rPr>
        <w:t xml:space="preserve"> </w:t>
      </w:r>
      <w:r w:rsidR="00493A5F">
        <w:rPr>
          <w:rFonts w:ascii="Times New Roman" w:hAnsi="Times New Roman" w:cs="Times New Roman"/>
          <w:sz w:val="24"/>
          <w:szCs w:val="24"/>
        </w:rPr>
        <w:t>Odbiorcami</w:t>
      </w:r>
      <w:r w:rsidR="00B17DA9">
        <w:rPr>
          <w:rFonts w:ascii="Times New Roman" w:hAnsi="Times New Roman" w:cs="Times New Roman"/>
          <w:sz w:val="24"/>
          <w:szCs w:val="24"/>
        </w:rPr>
        <w:t xml:space="preserve">  </w:t>
      </w:r>
      <w:r w:rsidR="00493A5F">
        <w:rPr>
          <w:rFonts w:ascii="Times New Roman" w:hAnsi="Times New Roman" w:cs="Times New Roman"/>
          <w:sz w:val="24"/>
          <w:szCs w:val="24"/>
        </w:rPr>
        <w:t xml:space="preserve">informacji </w:t>
      </w:r>
      <w:r w:rsidR="00B17DA9">
        <w:rPr>
          <w:rFonts w:ascii="Times New Roman" w:hAnsi="Times New Roman" w:cs="Times New Roman"/>
          <w:sz w:val="24"/>
          <w:szCs w:val="24"/>
        </w:rPr>
        <w:t xml:space="preserve">(również w formie elektronicznej) </w:t>
      </w:r>
      <w:r w:rsidR="00493A5F">
        <w:rPr>
          <w:rFonts w:ascii="Times New Roman" w:hAnsi="Times New Roman" w:cs="Times New Roman"/>
          <w:sz w:val="24"/>
          <w:szCs w:val="24"/>
        </w:rPr>
        <w:t xml:space="preserve">są </w:t>
      </w:r>
      <w:r w:rsidR="00F8452C">
        <w:rPr>
          <w:rFonts w:ascii="Times New Roman" w:hAnsi="Times New Roman" w:cs="Times New Roman"/>
          <w:sz w:val="24"/>
          <w:szCs w:val="24"/>
        </w:rPr>
        <w:t xml:space="preserve">zarówno </w:t>
      </w:r>
      <w:r w:rsidR="00227DAA" w:rsidRPr="00227DAA">
        <w:rPr>
          <w:rFonts w:ascii="Times New Roman" w:hAnsi="Times New Roman" w:cs="Times New Roman"/>
          <w:sz w:val="24"/>
          <w:szCs w:val="24"/>
        </w:rPr>
        <w:t>osoby</w:t>
      </w:r>
      <w:r w:rsidR="00B37385">
        <w:rPr>
          <w:rFonts w:ascii="Times New Roman" w:hAnsi="Times New Roman" w:cs="Times New Roman"/>
          <w:sz w:val="24"/>
          <w:szCs w:val="24"/>
        </w:rPr>
        <w:t xml:space="preserve"> </w:t>
      </w:r>
      <w:r w:rsidR="00227DAA" w:rsidRPr="00227DAA">
        <w:rPr>
          <w:rFonts w:ascii="Times New Roman" w:hAnsi="Times New Roman" w:cs="Times New Roman"/>
          <w:sz w:val="24"/>
          <w:szCs w:val="24"/>
        </w:rPr>
        <w:t>fizyczn</w:t>
      </w:r>
      <w:r w:rsidR="000850C6">
        <w:rPr>
          <w:rFonts w:ascii="Times New Roman" w:hAnsi="Times New Roman" w:cs="Times New Roman"/>
          <w:sz w:val="24"/>
          <w:szCs w:val="24"/>
        </w:rPr>
        <w:t>e</w:t>
      </w:r>
      <w:r w:rsidR="00F8452C">
        <w:rPr>
          <w:rFonts w:ascii="Times New Roman" w:hAnsi="Times New Roman" w:cs="Times New Roman"/>
          <w:sz w:val="24"/>
          <w:szCs w:val="24"/>
        </w:rPr>
        <w:t xml:space="preserve"> jak</w:t>
      </w:r>
      <w:r w:rsidR="00912F37">
        <w:rPr>
          <w:rFonts w:ascii="Times New Roman" w:hAnsi="Times New Roman" w:cs="Times New Roman"/>
          <w:sz w:val="24"/>
          <w:szCs w:val="24"/>
        </w:rPr>
        <w:t xml:space="preserve"> </w:t>
      </w:r>
      <w:r w:rsidR="00F8452C">
        <w:rPr>
          <w:rFonts w:ascii="Times New Roman" w:hAnsi="Times New Roman" w:cs="Times New Roman"/>
          <w:sz w:val="24"/>
          <w:szCs w:val="24"/>
        </w:rPr>
        <w:t>i</w:t>
      </w:r>
      <w:r w:rsidR="00912F37">
        <w:rPr>
          <w:rFonts w:ascii="Times New Roman" w:hAnsi="Times New Roman" w:cs="Times New Roman"/>
          <w:sz w:val="24"/>
          <w:szCs w:val="24"/>
        </w:rPr>
        <w:t xml:space="preserve"> </w:t>
      </w:r>
      <w:r w:rsidR="003A2CF6" w:rsidRPr="00227DAA">
        <w:rPr>
          <w:rFonts w:ascii="Times New Roman" w:hAnsi="Times New Roman" w:cs="Times New Roman"/>
          <w:sz w:val="24"/>
          <w:szCs w:val="24"/>
        </w:rPr>
        <w:t>środowiska zaangażowane</w:t>
      </w:r>
      <w:r w:rsidR="000850C6">
        <w:rPr>
          <w:rFonts w:ascii="Times New Roman" w:hAnsi="Times New Roman" w:cs="Times New Roman"/>
          <w:sz w:val="24"/>
          <w:szCs w:val="24"/>
        </w:rPr>
        <w:t xml:space="preserve"> </w:t>
      </w:r>
      <w:r w:rsidR="00AE5712" w:rsidRPr="00227DAA">
        <w:rPr>
          <w:rFonts w:ascii="Times New Roman" w:hAnsi="Times New Roman" w:cs="Times New Roman"/>
          <w:sz w:val="24"/>
          <w:szCs w:val="24"/>
        </w:rPr>
        <w:t>w</w:t>
      </w:r>
      <w:r w:rsidR="000850C6">
        <w:rPr>
          <w:rFonts w:ascii="Times New Roman" w:hAnsi="Times New Roman" w:cs="Times New Roman"/>
          <w:sz w:val="24"/>
          <w:szCs w:val="24"/>
        </w:rPr>
        <w:t xml:space="preserve"> </w:t>
      </w:r>
      <w:r w:rsidR="003A2CF6" w:rsidRPr="00227DAA">
        <w:rPr>
          <w:rFonts w:ascii="Times New Roman" w:hAnsi="Times New Roman" w:cs="Times New Roman"/>
          <w:sz w:val="24"/>
          <w:szCs w:val="24"/>
        </w:rPr>
        <w:t xml:space="preserve">bieżące problemy </w:t>
      </w:r>
      <w:r w:rsidR="00664578">
        <w:rPr>
          <w:rFonts w:ascii="Times New Roman" w:hAnsi="Times New Roman" w:cs="Times New Roman"/>
          <w:sz w:val="24"/>
          <w:szCs w:val="24"/>
        </w:rPr>
        <w:t>regionu</w:t>
      </w:r>
      <w:r w:rsidR="000850C6">
        <w:rPr>
          <w:rFonts w:ascii="Times New Roman" w:hAnsi="Times New Roman" w:cs="Times New Roman"/>
          <w:sz w:val="24"/>
          <w:szCs w:val="24"/>
        </w:rPr>
        <w:t>,</w:t>
      </w:r>
      <w:r w:rsidR="003A2CF6" w:rsidRPr="00227DAA">
        <w:rPr>
          <w:rFonts w:ascii="Times New Roman" w:hAnsi="Times New Roman" w:cs="Times New Roman"/>
          <w:sz w:val="24"/>
          <w:szCs w:val="24"/>
        </w:rPr>
        <w:t xml:space="preserve"> </w:t>
      </w:r>
      <w:r w:rsidR="004F7BD7" w:rsidRPr="00227DAA">
        <w:rPr>
          <w:rFonts w:ascii="Times New Roman" w:hAnsi="Times New Roman" w:cs="Times New Roman"/>
          <w:sz w:val="24"/>
          <w:szCs w:val="24"/>
        </w:rPr>
        <w:t xml:space="preserve">instytucje </w:t>
      </w:r>
      <w:r w:rsidR="003A2CF6" w:rsidRPr="00227DAA">
        <w:rPr>
          <w:rFonts w:ascii="Times New Roman" w:hAnsi="Times New Roman" w:cs="Times New Roman"/>
          <w:sz w:val="24"/>
          <w:szCs w:val="24"/>
        </w:rPr>
        <w:t>oświat</w:t>
      </w:r>
      <w:r w:rsidR="004F7BD7" w:rsidRPr="00227DAA">
        <w:rPr>
          <w:rFonts w:ascii="Times New Roman" w:hAnsi="Times New Roman" w:cs="Times New Roman"/>
          <w:sz w:val="24"/>
          <w:szCs w:val="24"/>
        </w:rPr>
        <w:t>owe</w:t>
      </w:r>
      <w:r w:rsidR="00664578">
        <w:rPr>
          <w:rFonts w:ascii="Times New Roman" w:hAnsi="Times New Roman" w:cs="Times New Roman"/>
          <w:sz w:val="24"/>
          <w:szCs w:val="24"/>
        </w:rPr>
        <w:t xml:space="preserve">, </w:t>
      </w:r>
      <w:r w:rsidR="003A2CF6" w:rsidRPr="00227DAA">
        <w:rPr>
          <w:rFonts w:ascii="Times New Roman" w:hAnsi="Times New Roman" w:cs="Times New Roman"/>
          <w:sz w:val="24"/>
          <w:szCs w:val="24"/>
        </w:rPr>
        <w:t>szkoleniow</w:t>
      </w:r>
      <w:r w:rsidR="004F7BD7" w:rsidRPr="00227DAA">
        <w:rPr>
          <w:rFonts w:ascii="Times New Roman" w:hAnsi="Times New Roman" w:cs="Times New Roman"/>
          <w:sz w:val="24"/>
          <w:szCs w:val="24"/>
        </w:rPr>
        <w:t>e</w:t>
      </w:r>
      <w:r w:rsidR="008C1CC9">
        <w:rPr>
          <w:rFonts w:ascii="Times New Roman" w:hAnsi="Times New Roman" w:cs="Times New Roman"/>
          <w:sz w:val="24"/>
          <w:szCs w:val="24"/>
        </w:rPr>
        <w:t xml:space="preserve"> </w:t>
      </w:r>
      <w:r w:rsidR="00B37385">
        <w:rPr>
          <w:rFonts w:ascii="Times New Roman" w:hAnsi="Times New Roman" w:cs="Times New Roman"/>
          <w:sz w:val="24"/>
          <w:szCs w:val="24"/>
        </w:rPr>
        <w:t>(</w:t>
      </w:r>
      <w:r w:rsidR="008C1CC9">
        <w:rPr>
          <w:rFonts w:ascii="Times New Roman" w:hAnsi="Times New Roman" w:cs="Times New Roman"/>
          <w:sz w:val="24"/>
          <w:szCs w:val="24"/>
        </w:rPr>
        <w:t>kształcenia</w:t>
      </w:r>
      <w:r w:rsidR="00710AB4">
        <w:rPr>
          <w:rFonts w:ascii="Times New Roman" w:hAnsi="Times New Roman" w:cs="Times New Roman"/>
          <w:sz w:val="24"/>
          <w:szCs w:val="24"/>
        </w:rPr>
        <w:t>,</w:t>
      </w:r>
      <w:r w:rsidR="008C1CC9">
        <w:rPr>
          <w:rFonts w:ascii="Times New Roman" w:hAnsi="Times New Roman" w:cs="Times New Roman"/>
          <w:sz w:val="24"/>
          <w:szCs w:val="24"/>
        </w:rPr>
        <w:t xml:space="preserve"> </w:t>
      </w:r>
      <w:r w:rsidR="0076391F">
        <w:rPr>
          <w:rFonts w:ascii="Times New Roman" w:hAnsi="Times New Roman" w:cs="Times New Roman"/>
          <w:sz w:val="24"/>
          <w:szCs w:val="24"/>
        </w:rPr>
        <w:t>podnoszenia kwalifikacji</w:t>
      </w:r>
      <w:r w:rsidR="00B37385">
        <w:rPr>
          <w:rFonts w:ascii="Times New Roman" w:hAnsi="Times New Roman" w:cs="Times New Roman"/>
          <w:sz w:val="24"/>
          <w:szCs w:val="24"/>
        </w:rPr>
        <w:t>)</w:t>
      </w:r>
      <w:r>
        <w:rPr>
          <w:rFonts w:ascii="Times New Roman" w:hAnsi="Times New Roman" w:cs="Times New Roman"/>
          <w:sz w:val="24"/>
          <w:szCs w:val="24"/>
        </w:rPr>
        <w:t>,</w:t>
      </w:r>
      <w:r w:rsidR="00493A5F">
        <w:rPr>
          <w:rFonts w:ascii="Times New Roman" w:hAnsi="Times New Roman" w:cs="Times New Roman"/>
          <w:sz w:val="24"/>
          <w:szCs w:val="24"/>
        </w:rPr>
        <w:t xml:space="preserve"> </w:t>
      </w:r>
      <w:r w:rsidR="0076391F">
        <w:rPr>
          <w:rFonts w:ascii="Times New Roman" w:hAnsi="Times New Roman" w:cs="Times New Roman"/>
          <w:sz w:val="24"/>
          <w:szCs w:val="24"/>
        </w:rPr>
        <w:t>organizacj</w:t>
      </w:r>
      <w:r w:rsidR="008C1CC9">
        <w:rPr>
          <w:rFonts w:ascii="Times New Roman" w:hAnsi="Times New Roman" w:cs="Times New Roman"/>
          <w:sz w:val="24"/>
          <w:szCs w:val="24"/>
        </w:rPr>
        <w:t>e</w:t>
      </w:r>
      <w:r w:rsidR="0076391F">
        <w:rPr>
          <w:rFonts w:ascii="Times New Roman" w:hAnsi="Times New Roman" w:cs="Times New Roman"/>
          <w:sz w:val="24"/>
          <w:szCs w:val="24"/>
        </w:rPr>
        <w:t xml:space="preserve"> </w:t>
      </w:r>
      <w:r w:rsidR="003A2CF6" w:rsidRPr="00227DAA">
        <w:rPr>
          <w:rFonts w:ascii="Times New Roman" w:hAnsi="Times New Roman" w:cs="Times New Roman"/>
          <w:sz w:val="24"/>
          <w:szCs w:val="24"/>
        </w:rPr>
        <w:t>pozarządow</w:t>
      </w:r>
      <w:r w:rsidR="008C1CC9">
        <w:rPr>
          <w:rFonts w:ascii="Times New Roman" w:hAnsi="Times New Roman" w:cs="Times New Roman"/>
          <w:sz w:val="24"/>
          <w:szCs w:val="24"/>
        </w:rPr>
        <w:t>e</w:t>
      </w:r>
      <w:r w:rsidR="00664578">
        <w:rPr>
          <w:rFonts w:ascii="Times New Roman" w:hAnsi="Times New Roman" w:cs="Times New Roman"/>
          <w:sz w:val="24"/>
          <w:szCs w:val="24"/>
        </w:rPr>
        <w:t xml:space="preserve"> </w:t>
      </w:r>
      <w:r>
        <w:rPr>
          <w:rFonts w:ascii="Times New Roman" w:hAnsi="Times New Roman" w:cs="Times New Roman"/>
          <w:sz w:val="24"/>
          <w:szCs w:val="24"/>
        </w:rPr>
        <w:t>i</w:t>
      </w:r>
      <w:r w:rsidR="00251629">
        <w:rPr>
          <w:rFonts w:ascii="Times New Roman" w:hAnsi="Times New Roman" w:cs="Times New Roman"/>
          <w:sz w:val="24"/>
          <w:szCs w:val="24"/>
        </w:rPr>
        <w:t> </w:t>
      </w:r>
      <w:r w:rsidR="000C5D3C">
        <w:rPr>
          <w:rFonts w:ascii="Times New Roman" w:hAnsi="Times New Roman" w:cs="Times New Roman"/>
          <w:sz w:val="24"/>
          <w:szCs w:val="24"/>
        </w:rPr>
        <w:t>p</w:t>
      </w:r>
      <w:r w:rsidR="00507831" w:rsidRPr="00227DAA">
        <w:rPr>
          <w:rFonts w:ascii="Times New Roman" w:hAnsi="Times New Roman" w:cs="Times New Roman"/>
          <w:sz w:val="24"/>
          <w:szCs w:val="24"/>
        </w:rPr>
        <w:t>racodawc</w:t>
      </w:r>
      <w:r w:rsidR="00B37385">
        <w:rPr>
          <w:rFonts w:ascii="Times New Roman" w:hAnsi="Times New Roman" w:cs="Times New Roman"/>
          <w:sz w:val="24"/>
          <w:szCs w:val="24"/>
        </w:rPr>
        <w:t>y</w:t>
      </w:r>
      <w:r w:rsidR="003A2CF6" w:rsidRPr="00227DAA">
        <w:rPr>
          <w:rFonts w:ascii="Times New Roman" w:hAnsi="Times New Roman" w:cs="Times New Roman"/>
          <w:sz w:val="24"/>
          <w:szCs w:val="24"/>
        </w:rPr>
        <w:t>.</w:t>
      </w:r>
      <w:r w:rsidR="000C5D3C">
        <w:rPr>
          <w:rFonts w:ascii="Times New Roman" w:hAnsi="Times New Roman" w:cs="Times New Roman"/>
          <w:sz w:val="24"/>
          <w:szCs w:val="24"/>
        </w:rPr>
        <w:t xml:space="preserve"> </w:t>
      </w:r>
      <w:r w:rsidR="00664578">
        <w:rPr>
          <w:rFonts w:ascii="Times New Roman" w:hAnsi="Times New Roman" w:cs="Times New Roman"/>
          <w:sz w:val="24"/>
          <w:szCs w:val="24"/>
        </w:rPr>
        <w:t>Zawarte</w:t>
      </w:r>
      <w:r w:rsidR="003A2CF6" w:rsidRPr="005F3298">
        <w:rPr>
          <w:rFonts w:ascii="Times New Roman" w:hAnsi="Times New Roman" w:cs="Times New Roman"/>
          <w:sz w:val="24"/>
          <w:szCs w:val="24"/>
        </w:rPr>
        <w:t xml:space="preserve"> informacje</w:t>
      </w:r>
      <w:r w:rsidR="00222B6A">
        <w:rPr>
          <w:rFonts w:ascii="Times New Roman" w:hAnsi="Times New Roman" w:cs="Times New Roman"/>
          <w:sz w:val="24"/>
          <w:szCs w:val="24"/>
        </w:rPr>
        <w:t xml:space="preserve"> </w:t>
      </w:r>
      <w:r w:rsidR="00664578">
        <w:rPr>
          <w:rFonts w:ascii="Times New Roman" w:hAnsi="Times New Roman" w:cs="Times New Roman"/>
          <w:sz w:val="24"/>
          <w:szCs w:val="24"/>
        </w:rPr>
        <w:t xml:space="preserve">opracowano na podstawie </w:t>
      </w:r>
      <w:r w:rsidR="000850C6">
        <w:rPr>
          <w:rFonts w:ascii="Times New Roman" w:hAnsi="Times New Roman" w:cs="Times New Roman"/>
          <w:sz w:val="24"/>
          <w:szCs w:val="24"/>
        </w:rPr>
        <w:t>sprawoz</w:t>
      </w:r>
      <w:r>
        <w:rPr>
          <w:rFonts w:ascii="Times New Roman" w:hAnsi="Times New Roman" w:cs="Times New Roman"/>
          <w:sz w:val="24"/>
          <w:szCs w:val="24"/>
        </w:rPr>
        <w:t>dawczości publicznej</w:t>
      </w:r>
      <w:r w:rsidR="003A2CF6" w:rsidRPr="005F3298">
        <w:rPr>
          <w:rFonts w:ascii="Times New Roman" w:hAnsi="Times New Roman" w:cs="Times New Roman"/>
          <w:sz w:val="24"/>
          <w:szCs w:val="24"/>
        </w:rPr>
        <w:t>.</w:t>
      </w:r>
      <w:r w:rsidR="00AE5712" w:rsidRPr="005F3298">
        <w:rPr>
          <w:rFonts w:ascii="Times New Roman" w:hAnsi="Times New Roman" w:cs="Times New Roman"/>
          <w:sz w:val="24"/>
          <w:szCs w:val="24"/>
        </w:rPr>
        <w:t xml:space="preserve"> </w:t>
      </w:r>
      <w:r w:rsidR="00235A6B" w:rsidRPr="005F3298">
        <w:rPr>
          <w:rFonts w:ascii="Times New Roman" w:hAnsi="Times New Roman" w:cs="Times New Roman"/>
          <w:sz w:val="24"/>
          <w:szCs w:val="24"/>
        </w:rPr>
        <w:t>W</w:t>
      </w:r>
      <w:r w:rsidR="00AE5712" w:rsidRPr="005F3298">
        <w:rPr>
          <w:rFonts w:ascii="Times New Roman" w:hAnsi="Times New Roman" w:cs="Times New Roman"/>
          <w:sz w:val="24"/>
          <w:szCs w:val="24"/>
        </w:rPr>
        <w:t> </w:t>
      </w:r>
      <w:r w:rsidR="003A2CF6" w:rsidRPr="005F3298">
        <w:rPr>
          <w:rFonts w:ascii="Times New Roman" w:hAnsi="Times New Roman" w:cs="Times New Roman"/>
          <w:sz w:val="24"/>
          <w:szCs w:val="24"/>
        </w:rPr>
        <w:t xml:space="preserve">ramach </w:t>
      </w:r>
      <w:r w:rsidR="0048131D">
        <w:rPr>
          <w:rFonts w:ascii="Times New Roman" w:hAnsi="Times New Roman" w:cs="Times New Roman"/>
          <w:sz w:val="24"/>
          <w:szCs w:val="24"/>
        </w:rPr>
        <w:t>analizy</w:t>
      </w:r>
      <w:r w:rsidR="003A2CF6" w:rsidRPr="005F3298">
        <w:rPr>
          <w:rFonts w:ascii="Times New Roman" w:hAnsi="Times New Roman" w:cs="Times New Roman"/>
          <w:sz w:val="24"/>
          <w:szCs w:val="24"/>
        </w:rPr>
        <w:t xml:space="preserve"> wykorzystano</w:t>
      </w:r>
      <w:r w:rsidR="0048131D">
        <w:rPr>
          <w:rFonts w:ascii="Times New Roman" w:hAnsi="Times New Roman" w:cs="Times New Roman"/>
          <w:sz w:val="24"/>
          <w:szCs w:val="24"/>
        </w:rPr>
        <w:t xml:space="preserve"> następujące źródła</w:t>
      </w:r>
      <w:r w:rsidR="003A2CF6" w:rsidRPr="005F3298">
        <w:rPr>
          <w:rFonts w:ascii="Times New Roman" w:hAnsi="Times New Roman" w:cs="Times New Roman"/>
          <w:sz w:val="24"/>
          <w:szCs w:val="24"/>
        </w:rPr>
        <w:t>:</w:t>
      </w:r>
    </w:p>
    <w:p w:rsidR="00481546" w:rsidRPr="00481546" w:rsidRDefault="00481546" w:rsidP="00481546">
      <w:pPr>
        <w:spacing w:after="0" w:line="240" w:lineRule="auto"/>
        <w:jc w:val="both"/>
        <w:rPr>
          <w:rFonts w:ascii="Times New Roman" w:hAnsi="Times New Roman" w:cs="Times New Roman"/>
          <w:sz w:val="16"/>
          <w:szCs w:val="16"/>
        </w:rPr>
      </w:pPr>
    </w:p>
    <w:p w:rsidR="004B0EE4" w:rsidRPr="005F3298" w:rsidRDefault="003A2CF6" w:rsidP="003A2CF6">
      <w:pPr>
        <w:pStyle w:val="Default"/>
        <w:numPr>
          <w:ilvl w:val="0"/>
          <w:numId w:val="25"/>
        </w:numPr>
        <w:spacing w:line="360" w:lineRule="auto"/>
        <w:ind w:left="426" w:hanging="426"/>
        <w:jc w:val="both"/>
      </w:pPr>
      <w:r w:rsidRPr="005F3298">
        <w:t>M</w:t>
      </w:r>
      <w:r w:rsidR="005277F5" w:rsidRPr="005F3298">
        <w:t>R</w:t>
      </w:r>
      <w:r w:rsidRPr="005F3298">
        <w:t>PiPS</w:t>
      </w:r>
      <w:r w:rsidR="002158E3">
        <w:t>–</w:t>
      </w:r>
      <w:r w:rsidRPr="005F3298">
        <w:t>01</w:t>
      </w:r>
      <w:r w:rsidR="005F3298" w:rsidRPr="005F3298">
        <w:t xml:space="preserve"> tj. sprawozdanie </w:t>
      </w:r>
      <w:r w:rsidR="00AE5712" w:rsidRPr="005F3298">
        <w:t>o</w:t>
      </w:r>
      <w:r w:rsidR="00992E19" w:rsidRPr="005F3298">
        <w:t xml:space="preserve"> </w:t>
      </w:r>
      <w:r w:rsidRPr="005F3298">
        <w:t>rynku pracy</w:t>
      </w:r>
      <w:r w:rsidR="00AE5712" w:rsidRPr="005F3298">
        <w:t xml:space="preserve"> w</w:t>
      </w:r>
      <w:r w:rsidR="00992E19" w:rsidRPr="005F3298">
        <w:t xml:space="preserve"> w</w:t>
      </w:r>
      <w:r w:rsidRPr="005F3298">
        <w:t>ojewództwie podkarpackim</w:t>
      </w:r>
      <w:r w:rsidR="00FC6B92">
        <w:t>,</w:t>
      </w:r>
      <w:r w:rsidR="00AE5712" w:rsidRPr="005F3298">
        <w:t xml:space="preserve"> w </w:t>
      </w:r>
      <w:r w:rsidRPr="005F3298">
        <w:t>tym</w:t>
      </w:r>
      <w:r w:rsidR="004B0EE4" w:rsidRPr="005F3298">
        <w:t>:</w:t>
      </w:r>
    </w:p>
    <w:p w:rsidR="002158E3" w:rsidRPr="002158E3" w:rsidRDefault="003A2CF6" w:rsidP="002158E3">
      <w:pPr>
        <w:pStyle w:val="Default"/>
        <w:numPr>
          <w:ilvl w:val="1"/>
          <w:numId w:val="25"/>
        </w:numPr>
        <w:spacing w:line="360" w:lineRule="auto"/>
        <w:ind w:left="1066" w:hanging="357"/>
        <w:jc w:val="both"/>
        <w:rPr>
          <w:color w:val="000000" w:themeColor="text1"/>
        </w:rPr>
      </w:pPr>
      <w:r w:rsidRPr="002158E3">
        <w:rPr>
          <w:b/>
          <w:color w:val="000000" w:themeColor="text1"/>
        </w:rPr>
        <w:t>załącznik 1</w:t>
      </w:r>
      <w:r w:rsidR="002158E3">
        <w:rPr>
          <w:b/>
          <w:color w:val="000000" w:themeColor="text1"/>
        </w:rPr>
        <w:t xml:space="preserve"> </w:t>
      </w:r>
      <w:r w:rsidRPr="002158E3">
        <w:rPr>
          <w:color w:val="000000" w:themeColor="text1"/>
        </w:rPr>
        <w:t>do sprawozdania</w:t>
      </w:r>
      <w:r w:rsidR="00AE5712" w:rsidRPr="002158E3">
        <w:rPr>
          <w:color w:val="000000" w:themeColor="text1"/>
        </w:rPr>
        <w:t xml:space="preserve"> o</w:t>
      </w:r>
      <w:r w:rsidR="00992E19" w:rsidRPr="002158E3">
        <w:rPr>
          <w:color w:val="000000" w:themeColor="text1"/>
        </w:rPr>
        <w:t xml:space="preserve"> </w:t>
      </w:r>
      <w:r w:rsidRPr="002158E3">
        <w:rPr>
          <w:color w:val="000000" w:themeColor="text1"/>
        </w:rPr>
        <w:t>rynku pracy</w:t>
      </w:r>
      <w:r w:rsidR="00FC6B92">
        <w:rPr>
          <w:color w:val="000000" w:themeColor="text1"/>
        </w:rPr>
        <w:t xml:space="preserve"> </w:t>
      </w:r>
      <w:r w:rsidRPr="002158E3">
        <w:rPr>
          <w:color w:val="000000" w:themeColor="text1"/>
        </w:rPr>
        <w:t xml:space="preserve">– bezrobotni oraz </w:t>
      </w:r>
      <w:r w:rsidR="002158E3" w:rsidRPr="002158E3">
        <w:rPr>
          <w:color w:val="000000" w:themeColor="text1"/>
        </w:rPr>
        <w:t xml:space="preserve">oferty pracy </w:t>
      </w:r>
      <w:r w:rsidRPr="002158E3">
        <w:rPr>
          <w:color w:val="000000" w:themeColor="text1"/>
        </w:rPr>
        <w:t xml:space="preserve">według </w:t>
      </w:r>
      <w:r w:rsidR="002158E3" w:rsidRPr="002158E3">
        <w:rPr>
          <w:color w:val="000000" w:themeColor="text1"/>
        </w:rPr>
        <w:t>zawodów</w:t>
      </w:r>
      <w:r w:rsidR="004B0EE4" w:rsidRPr="002158E3">
        <w:rPr>
          <w:color w:val="000000" w:themeColor="text1"/>
        </w:rPr>
        <w:t>,</w:t>
      </w:r>
    </w:p>
    <w:p w:rsidR="002158E3" w:rsidRPr="002158E3" w:rsidRDefault="003A2CF6" w:rsidP="002158E3">
      <w:pPr>
        <w:pStyle w:val="Default"/>
        <w:numPr>
          <w:ilvl w:val="1"/>
          <w:numId w:val="25"/>
        </w:numPr>
        <w:spacing w:line="360" w:lineRule="auto"/>
        <w:ind w:left="1066" w:hanging="357"/>
        <w:jc w:val="both"/>
        <w:rPr>
          <w:rFonts w:eastAsia="Times New Roman"/>
          <w:color w:val="000000" w:themeColor="text1"/>
          <w:lang w:eastAsia="pl-PL"/>
        </w:rPr>
      </w:pPr>
      <w:r w:rsidRPr="002158E3">
        <w:rPr>
          <w:b/>
          <w:color w:val="000000" w:themeColor="text1"/>
        </w:rPr>
        <w:t>załącznik 2</w:t>
      </w:r>
      <w:r w:rsidRPr="002158E3">
        <w:rPr>
          <w:color w:val="000000" w:themeColor="text1"/>
        </w:rPr>
        <w:t xml:space="preserve"> do sprawozdania </w:t>
      </w:r>
      <w:r w:rsidR="00FC6B92">
        <w:rPr>
          <w:color w:val="000000" w:themeColor="text1"/>
        </w:rPr>
        <w:t xml:space="preserve">o rynku pracy </w:t>
      </w:r>
      <w:r w:rsidRPr="002158E3">
        <w:rPr>
          <w:color w:val="000000" w:themeColor="text1"/>
        </w:rPr>
        <w:t xml:space="preserve">– </w:t>
      </w:r>
      <w:r w:rsidR="002158E3" w:rsidRPr="002158E3">
        <w:rPr>
          <w:rFonts w:eastAsiaTheme="minorEastAsia"/>
          <w:color w:val="000000" w:themeColor="text1"/>
          <w:kern w:val="24"/>
        </w:rPr>
        <w:t>poradnictwo zawodowe, szkolenie bezrobotnych i poszukujących pracy, staż i przygotowanie zawodowe dorosłych, kształcenie ustawiczne,</w:t>
      </w:r>
    </w:p>
    <w:p w:rsidR="002158E3" w:rsidRPr="00FC6B92" w:rsidRDefault="002158E3" w:rsidP="002158E3">
      <w:pPr>
        <w:pStyle w:val="Default"/>
        <w:numPr>
          <w:ilvl w:val="1"/>
          <w:numId w:val="25"/>
        </w:numPr>
        <w:spacing w:line="360" w:lineRule="auto"/>
        <w:ind w:left="1066" w:hanging="357"/>
        <w:jc w:val="both"/>
        <w:rPr>
          <w:rFonts w:eastAsia="Times New Roman"/>
          <w:color w:val="000000" w:themeColor="text1"/>
          <w:lang w:eastAsia="pl-PL"/>
        </w:rPr>
      </w:pPr>
      <w:r w:rsidRPr="00FC6B92">
        <w:rPr>
          <w:rFonts w:eastAsiaTheme="minorEastAsia"/>
          <w:b/>
          <w:color w:val="000000" w:themeColor="text1"/>
          <w:kern w:val="24"/>
          <w:lang w:eastAsia="pl-PL"/>
        </w:rPr>
        <w:lastRenderedPageBreak/>
        <w:t>załącznik 3</w:t>
      </w:r>
      <w:r w:rsidRPr="00FC6B92">
        <w:rPr>
          <w:rFonts w:eastAsiaTheme="minorEastAsia"/>
          <w:color w:val="000000" w:themeColor="text1"/>
          <w:kern w:val="24"/>
          <w:lang w:eastAsia="pl-PL"/>
        </w:rPr>
        <w:t xml:space="preserve"> do sprawozdania </w:t>
      </w:r>
      <w:r w:rsidR="00FC6B92" w:rsidRPr="00FC6B92">
        <w:rPr>
          <w:rFonts w:eastAsiaTheme="minorEastAsia"/>
          <w:color w:val="000000" w:themeColor="text1"/>
          <w:kern w:val="24"/>
          <w:lang w:eastAsia="pl-PL"/>
        </w:rPr>
        <w:t>o rynku pracy –</w:t>
      </w:r>
      <w:r w:rsidRPr="00FC6B92">
        <w:rPr>
          <w:rFonts w:eastAsiaTheme="minorEastAsia"/>
          <w:color w:val="000000" w:themeColor="text1"/>
          <w:kern w:val="24"/>
          <w:lang w:eastAsia="pl-PL"/>
        </w:rPr>
        <w:t xml:space="preserve"> bezrobotni według gmin</w:t>
      </w:r>
      <w:r w:rsidR="00B766DA" w:rsidRPr="00FC6B92">
        <w:rPr>
          <w:rFonts w:eastAsiaTheme="minorEastAsia"/>
          <w:color w:val="000000" w:themeColor="text1"/>
          <w:kern w:val="24"/>
          <w:lang w:eastAsia="pl-PL"/>
        </w:rPr>
        <w:t>,</w:t>
      </w:r>
    </w:p>
    <w:p w:rsidR="002158E3" w:rsidRPr="00FC6B92" w:rsidRDefault="002158E3" w:rsidP="002158E3">
      <w:pPr>
        <w:pStyle w:val="Default"/>
        <w:numPr>
          <w:ilvl w:val="1"/>
          <w:numId w:val="25"/>
        </w:numPr>
        <w:spacing w:line="360" w:lineRule="auto"/>
        <w:ind w:left="1066" w:hanging="357"/>
        <w:jc w:val="both"/>
        <w:rPr>
          <w:rFonts w:eastAsia="Times New Roman"/>
          <w:color w:val="000000" w:themeColor="text1"/>
          <w:lang w:eastAsia="pl-PL"/>
        </w:rPr>
      </w:pPr>
      <w:r w:rsidRPr="00FC6B92">
        <w:rPr>
          <w:rFonts w:eastAsiaTheme="minorEastAsia"/>
          <w:b/>
          <w:color w:val="000000" w:themeColor="text1"/>
          <w:kern w:val="24"/>
          <w:lang w:eastAsia="pl-PL"/>
        </w:rPr>
        <w:t>załącznik</w:t>
      </w:r>
      <w:r w:rsidR="00FC6B92">
        <w:rPr>
          <w:rFonts w:eastAsiaTheme="minorEastAsia"/>
          <w:b/>
          <w:color w:val="000000" w:themeColor="text1"/>
          <w:kern w:val="24"/>
          <w:lang w:eastAsia="pl-PL"/>
        </w:rPr>
        <w:t xml:space="preserve"> </w:t>
      </w:r>
      <w:r w:rsidRPr="00FC6B92">
        <w:rPr>
          <w:rFonts w:eastAsiaTheme="minorEastAsia"/>
          <w:b/>
          <w:color w:val="000000" w:themeColor="text1"/>
          <w:kern w:val="24"/>
          <w:lang w:eastAsia="pl-PL"/>
        </w:rPr>
        <w:t>4</w:t>
      </w:r>
      <w:r w:rsidRPr="00FC6B92">
        <w:rPr>
          <w:rFonts w:eastAsiaTheme="minorEastAsia"/>
          <w:color w:val="000000" w:themeColor="text1"/>
          <w:kern w:val="24"/>
          <w:lang w:eastAsia="pl-PL"/>
        </w:rPr>
        <w:t xml:space="preserve"> do sprawozdania </w:t>
      </w:r>
      <w:r w:rsidR="00FC6B92" w:rsidRPr="00FC6B92">
        <w:rPr>
          <w:rFonts w:eastAsiaTheme="minorEastAsia"/>
          <w:color w:val="000000" w:themeColor="text1"/>
          <w:kern w:val="24"/>
          <w:lang w:eastAsia="pl-PL"/>
        </w:rPr>
        <w:t>o rynku pracy –</w:t>
      </w:r>
      <w:r w:rsidRPr="00FC6B92">
        <w:rPr>
          <w:rFonts w:eastAsiaTheme="minorEastAsia"/>
          <w:color w:val="000000" w:themeColor="text1"/>
          <w:kern w:val="24"/>
          <w:lang w:eastAsia="pl-PL"/>
        </w:rPr>
        <w:t xml:space="preserve"> umowy z agencjami zatrudnienia</w:t>
      </w:r>
      <w:r w:rsidR="00B766DA" w:rsidRPr="00FC6B92">
        <w:rPr>
          <w:rFonts w:eastAsiaTheme="minorEastAsia"/>
          <w:color w:val="000000" w:themeColor="text1"/>
          <w:kern w:val="24"/>
          <w:lang w:eastAsia="pl-PL"/>
        </w:rPr>
        <w:t>,</w:t>
      </w:r>
      <w:r w:rsidRPr="00FC6B92">
        <w:rPr>
          <w:rFonts w:eastAsiaTheme="minorEastAsia"/>
          <w:color w:val="000000" w:themeColor="text1"/>
          <w:kern w:val="24"/>
          <w:lang w:eastAsia="pl-PL"/>
        </w:rPr>
        <w:t xml:space="preserve"> programy specjalne, programy regionalne, Program Aktywizacja i Integracja, zlecanie działań aktywizacyjnych</w:t>
      </w:r>
    </w:p>
    <w:p w:rsidR="00235A6B" w:rsidRPr="002158E3" w:rsidRDefault="00235A6B" w:rsidP="00235A6B">
      <w:pPr>
        <w:pStyle w:val="Default"/>
        <w:numPr>
          <w:ilvl w:val="0"/>
          <w:numId w:val="25"/>
        </w:numPr>
        <w:spacing w:line="360" w:lineRule="auto"/>
        <w:ind w:left="426" w:hanging="426"/>
        <w:jc w:val="both"/>
      </w:pPr>
      <w:r w:rsidRPr="002158E3">
        <w:t>M</w:t>
      </w:r>
      <w:r w:rsidR="005277F5" w:rsidRPr="002158E3">
        <w:t>R</w:t>
      </w:r>
      <w:r w:rsidRPr="002158E3">
        <w:t>PiPS</w:t>
      </w:r>
      <w:r w:rsidR="002158E3">
        <w:t>–</w:t>
      </w:r>
      <w:r w:rsidRPr="002158E3">
        <w:t>02 – sprawozdanie</w:t>
      </w:r>
      <w:r w:rsidR="00FC6B92">
        <w:t xml:space="preserve"> </w:t>
      </w:r>
      <w:r w:rsidRPr="002158E3">
        <w:t>o</w:t>
      </w:r>
      <w:r w:rsidR="00FC6B92">
        <w:t xml:space="preserve"> </w:t>
      </w:r>
      <w:r w:rsidRPr="002158E3">
        <w:t>przychodach</w:t>
      </w:r>
      <w:r w:rsidR="00FC6B92">
        <w:t xml:space="preserve"> </w:t>
      </w:r>
      <w:r w:rsidRPr="002158E3">
        <w:t>i</w:t>
      </w:r>
      <w:r w:rsidR="00FC6B92">
        <w:t xml:space="preserve"> </w:t>
      </w:r>
      <w:r w:rsidRPr="002158E3">
        <w:t>wydatkach Funduszu Pracy</w:t>
      </w:r>
      <w:r w:rsidR="002158E3">
        <w:t xml:space="preserve"> (wraz z załącznikiem nr 1)</w:t>
      </w:r>
      <w:r w:rsidR="004B0EE4" w:rsidRPr="002158E3">
        <w:t>,</w:t>
      </w:r>
    </w:p>
    <w:p w:rsidR="003A2CF6" w:rsidRPr="002158E3" w:rsidRDefault="005F3298" w:rsidP="003A2CF6">
      <w:pPr>
        <w:pStyle w:val="Default"/>
        <w:numPr>
          <w:ilvl w:val="0"/>
          <w:numId w:val="25"/>
        </w:numPr>
        <w:spacing w:line="360" w:lineRule="auto"/>
        <w:ind w:left="426" w:hanging="426"/>
        <w:jc w:val="both"/>
      </w:pPr>
      <w:r w:rsidRPr="002158E3">
        <w:t xml:space="preserve">Informacje dotyczące funkcjonowania </w:t>
      </w:r>
      <w:r w:rsidR="003A2CF6" w:rsidRPr="002158E3">
        <w:t>wsparcia</w:t>
      </w:r>
      <w:r w:rsidR="00AE5712" w:rsidRPr="002158E3">
        <w:t xml:space="preserve"> </w:t>
      </w:r>
      <w:r w:rsidRPr="002158E3">
        <w:t xml:space="preserve">realizowanego </w:t>
      </w:r>
      <w:r w:rsidR="00AE5712" w:rsidRPr="002158E3">
        <w:t>w </w:t>
      </w:r>
      <w:r w:rsidR="003A2CF6" w:rsidRPr="002158E3">
        <w:t>ramach Funduszu Gwarantowanych Świadczeń Pracowniczych</w:t>
      </w:r>
      <w:r w:rsidR="00AE5712" w:rsidRPr="002158E3">
        <w:t xml:space="preserve"> w </w:t>
      </w:r>
      <w:r w:rsidR="003A2CF6" w:rsidRPr="002158E3">
        <w:t>województwie podkarpackim.</w:t>
      </w:r>
    </w:p>
    <w:p w:rsidR="002158E3" w:rsidRDefault="002158E3" w:rsidP="001477F2">
      <w:pPr>
        <w:spacing w:after="0" w:line="240" w:lineRule="auto"/>
        <w:jc w:val="both"/>
        <w:rPr>
          <w:rFonts w:ascii="Times New Roman" w:hAnsi="Times New Roman" w:cs="Times New Roman"/>
          <w:sz w:val="16"/>
          <w:szCs w:val="16"/>
          <w:highlight w:val="yellow"/>
        </w:rPr>
      </w:pPr>
    </w:p>
    <w:p w:rsidR="002158E3" w:rsidRPr="00E3422D" w:rsidRDefault="002158E3" w:rsidP="001477F2">
      <w:pPr>
        <w:spacing w:after="0" w:line="240" w:lineRule="auto"/>
        <w:jc w:val="both"/>
        <w:rPr>
          <w:rFonts w:ascii="Times New Roman" w:hAnsi="Times New Roman" w:cs="Times New Roman"/>
          <w:sz w:val="16"/>
          <w:szCs w:val="16"/>
          <w:highlight w:val="yellow"/>
        </w:rPr>
      </w:pPr>
    </w:p>
    <w:p w:rsidR="00A27738" w:rsidRDefault="005F3298" w:rsidP="00B063CD">
      <w:pPr>
        <w:spacing w:after="0" w:line="360" w:lineRule="auto"/>
        <w:ind w:firstLine="709"/>
        <w:jc w:val="both"/>
        <w:rPr>
          <w:rFonts w:ascii="Times New Roman" w:hAnsi="Times New Roman" w:cs="Times New Roman"/>
          <w:sz w:val="24"/>
          <w:szCs w:val="24"/>
        </w:rPr>
      </w:pPr>
      <w:r w:rsidRPr="00DA7A7C">
        <w:rPr>
          <w:rFonts w:ascii="Times New Roman" w:hAnsi="Times New Roman" w:cs="Times New Roman"/>
          <w:sz w:val="24"/>
          <w:szCs w:val="24"/>
        </w:rPr>
        <w:t xml:space="preserve">Analiza </w:t>
      </w:r>
      <w:r w:rsidR="001477F2" w:rsidRPr="00DA7A7C">
        <w:rPr>
          <w:rFonts w:ascii="Times New Roman" w:hAnsi="Times New Roman" w:cs="Times New Roman"/>
          <w:sz w:val="24"/>
          <w:szCs w:val="24"/>
        </w:rPr>
        <w:t xml:space="preserve">obejmuje </w:t>
      </w:r>
      <w:r w:rsidR="009822D5" w:rsidRPr="00DA7A7C">
        <w:rPr>
          <w:rFonts w:ascii="Times New Roman" w:hAnsi="Times New Roman" w:cs="Times New Roman"/>
          <w:sz w:val="24"/>
          <w:szCs w:val="24"/>
        </w:rPr>
        <w:t xml:space="preserve">założony </w:t>
      </w:r>
      <w:r w:rsidR="005277F5" w:rsidRPr="00DA7A7C">
        <w:rPr>
          <w:rFonts w:ascii="Times New Roman" w:hAnsi="Times New Roman" w:cs="Times New Roman"/>
          <w:sz w:val="24"/>
          <w:szCs w:val="24"/>
        </w:rPr>
        <w:t>okres</w:t>
      </w:r>
      <w:r w:rsidR="00D1788C" w:rsidRPr="00DA7A7C">
        <w:rPr>
          <w:rFonts w:ascii="Times New Roman" w:hAnsi="Times New Roman" w:cs="Times New Roman"/>
          <w:sz w:val="24"/>
          <w:szCs w:val="24"/>
        </w:rPr>
        <w:t xml:space="preserve"> i</w:t>
      </w:r>
      <w:r w:rsidR="001477F2" w:rsidRPr="00DA7A7C">
        <w:rPr>
          <w:rFonts w:ascii="Times New Roman" w:hAnsi="Times New Roman" w:cs="Times New Roman"/>
          <w:sz w:val="24"/>
          <w:szCs w:val="24"/>
        </w:rPr>
        <w:t xml:space="preserve"> </w:t>
      </w:r>
      <w:r w:rsidR="00D1788C" w:rsidRPr="00DA7A7C">
        <w:rPr>
          <w:rFonts w:ascii="Times New Roman" w:hAnsi="Times New Roman" w:cs="Times New Roman"/>
          <w:sz w:val="24"/>
          <w:szCs w:val="24"/>
        </w:rPr>
        <w:t>j</w:t>
      </w:r>
      <w:r w:rsidR="001477F2" w:rsidRPr="00DA7A7C">
        <w:rPr>
          <w:rFonts w:ascii="Times New Roman" w:hAnsi="Times New Roman" w:cs="Times New Roman"/>
          <w:sz w:val="24"/>
          <w:szCs w:val="24"/>
        </w:rPr>
        <w:t>est porównywalna</w:t>
      </w:r>
      <w:r w:rsidR="000C557E" w:rsidRPr="00DA7A7C">
        <w:rPr>
          <w:rFonts w:ascii="Times New Roman" w:hAnsi="Times New Roman" w:cs="Times New Roman"/>
          <w:sz w:val="24"/>
          <w:szCs w:val="24"/>
        </w:rPr>
        <w:t xml:space="preserve"> </w:t>
      </w:r>
      <w:r w:rsidR="001477F2" w:rsidRPr="00DA7A7C">
        <w:rPr>
          <w:rFonts w:ascii="Times New Roman" w:hAnsi="Times New Roman" w:cs="Times New Roman"/>
          <w:sz w:val="24"/>
          <w:szCs w:val="24"/>
        </w:rPr>
        <w:t>z</w:t>
      </w:r>
      <w:r w:rsidR="000C557E" w:rsidRPr="00DA7A7C">
        <w:rPr>
          <w:rFonts w:ascii="Times New Roman" w:hAnsi="Times New Roman" w:cs="Times New Roman"/>
          <w:sz w:val="24"/>
          <w:szCs w:val="24"/>
        </w:rPr>
        <w:t xml:space="preserve"> </w:t>
      </w:r>
      <w:r w:rsidR="001477F2" w:rsidRPr="00DA7A7C">
        <w:rPr>
          <w:rFonts w:ascii="Times New Roman" w:hAnsi="Times New Roman" w:cs="Times New Roman"/>
          <w:sz w:val="24"/>
          <w:szCs w:val="24"/>
        </w:rPr>
        <w:t xml:space="preserve">analogicznym okresem </w:t>
      </w:r>
      <w:r w:rsidRPr="00DA7A7C">
        <w:rPr>
          <w:rFonts w:ascii="Times New Roman" w:hAnsi="Times New Roman" w:cs="Times New Roman"/>
          <w:sz w:val="24"/>
          <w:szCs w:val="24"/>
        </w:rPr>
        <w:t>roku ubiegłego</w:t>
      </w:r>
      <w:r w:rsidR="005277F5" w:rsidRPr="00DA7A7C">
        <w:rPr>
          <w:rFonts w:ascii="Times New Roman" w:hAnsi="Times New Roman" w:cs="Times New Roman"/>
          <w:sz w:val="24"/>
          <w:szCs w:val="24"/>
        </w:rPr>
        <w:t>.</w:t>
      </w:r>
      <w:r w:rsidR="001477F2" w:rsidRPr="00DA7A7C">
        <w:rPr>
          <w:rFonts w:ascii="Times New Roman" w:hAnsi="Times New Roman" w:cs="Times New Roman"/>
          <w:sz w:val="24"/>
          <w:szCs w:val="24"/>
        </w:rPr>
        <w:t xml:space="preserve"> Jednocześnie</w:t>
      </w:r>
      <w:r w:rsidR="005277F5" w:rsidRPr="00DA7A7C">
        <w:rPr>
          <w:rFonts w:ascii="Times New Roman" w:hAnsi="Times New Roman" w:cs="Times New Roman"/>
          <w:sz w:val="24"/>
          <w:szCs w:val="24"/>
        </w:rPr>
        <w:t xml:space="preserve"> </w:t>
      </w:r>
      <w:r w:rsidR="001477F2" w:rsidRPr="00DA7A7C">
        <w:rPr>
          <w:rFonts w:ascii="Times New Roman" w:hAnsi="Times New Roman" w:cs="Times New Roman"/>
          <w:sz w:val="24"/>
          <w:szCs w:val="24"/>
        </w:rPr>
        <w:t>w</w:t>
      </w:r>
      <w:r w:rsidR="005277F5" w:rsidRPr="00DA7A7C">
        <w:rPr>
          <w:rFonts w:ascii="Times New Roman" w:hAnsi="Times New Roman" w:cs="Times New Roman"/>
          <w:sz w:val="24"/>
          <w:szCs w:val="24"/>
        </w:rPr>
        <w:t xml:space="preserve"> </w:t>
      </w:r>
      <w:r w:rsidR="001477F2" w:rsidRPr="00DA7A7C">
        <w:rPr>
          <w:rFonts w:ascii="Times New Roman" w:hAnsi="Times New Roman" w:cs="Times New Roman"/>
          <w:sz w:val="24"/>
          <w:szCs w:val="24"/>
        </w:rPr>
        <w:t xml:space="preserve">uzasadnionych przypadkach dla </w:t>
      </w:r>
      <w:r w:rsidR="005277F5" w:rsidRPr="00DA7A7C">
        <w:rPr>
          <w:rFonts w:ascii="Times New Roman" w:hAnsi="Times New Roman" w:cs="Times New Roman"/>
          <w:sz w:val="24"/>
          <w:szCs w:val="24"/>
        </w:rPr>
        <w:t>adekwatnego opisu</w:t>
      </w:r>
      <w:r w:rsidR="001477F2" w:rsidRPr="00DA7A7C">
        <w:rPr>
          <w:rFonts w:ascii="Times New Roman" w:hAnsi="Times New Roman" w:cs="Times New Roman"/>
          <w:sz w:val="24"/>
          <w:szCs w:val="24"/>
        </w:rPr>
        <w:t xml:space="preserve"> </w:t>
      </w:r>
      <w:r w:rsidR="005277F5" w:rsidRPr="00DA7A7C">
        <w:rPr>
          <w:rFonts w:ascii="Times New Roman" w:hAnsi="Times New Roman" w:cs="Times New Roman"/>
          <w:sz w:val="24"/>
          <w:szCs w:val="24"/>
        </w:rPr>
        <w:t xml:space="preserve">zmian </w:t>
      </w:r>
      <w:r w:rsidR="001477F2" w:rsidRPr="00DA7A7C">
        <w:rPr>
          <w:rFonts w:ascii="Times New Roman" w:hAnsi="Times New Roman" w:cs="Times New Roman"/>
          <w:sz w:val="24"/>
          <w:szCs w:val="24"/>
        </w:rPr>
        <w:t>zacho</w:t>
      </w:r>
      <w:r w:rsidR="005277F5" w:rsidRPr="00DA7A7C">
        <w:rPr>
          <w:rFonts w:ascii="Times New Roman" w:hAnsi="Times New Roman" w:cs="Times New Roman"/>
          <w:sz w:val="24"/>
          <w:szCs w:val="24"/>
        </w:rPr>
        <w:t>dzących na rynku pracy</w:t>
      </w:r>
      <w:r w:rsidR="00D1788C" w:rsidRPr="00DA7A7C">
        <w:rPr>
          <w:rFonts w:ascii="Times New Roman" w:hAnsi="Times New Roman" w:cs="Times New Roman"/>
          <w:sz w:val="24"/>
          <w:szCs w:val="24"/>
        </w:rPr>
        <w:t>,</w:t>
      </w:r>
      <w:r w:rsidR="00997D32" w:rsidRPr="00DA7A7C">
        <w:rPr>
          <w:rFonts w:ascii="Times New Roman" w:hAnsi="Times New Roman" w:cs="Times New Roman"/>
          <w:sz w:val="24"/>
          <w:szCs w:val="24"/>
        </w:rPr>
        <w:t xml:space="preserve"> zaprezentowano </w:t>
      </w:r>
      <w:r w:rsidR="001477F2" w:rsidRPr="00DA7A7C">
        <w:rPr>
          <w:rFonts w:ascii="Times New Roman" w:hAnsi="Times New Roman" w:cs="Times New Roman"/>
          <w:sz w:val="24"/>
          <w:szCs w:val="24"/>
        </w:rPr>
        <w:t>szersz</w:t>
      </w:r>
      <w:r w:rsidR="00997D32" w:rsidRPr="00DA7A7C">
        <w:rPr>
          <w:rFonts w:ascii="Times New Roman" w:hAnsi="Times New Roman" w:cs="Times New Roman"/>
          <w:sz w:val="24"/>
          <w:szCs w:val="24"/>
        </w:rPr>
        <w:t>ą</w:t>
      </w:r>
      <w:r w:rsidR="001477F2" w:rsidRPr="00DA7A7C">
        <w:rPr>
          <w:rFonts w:ascii="Times New Roman" w:hAnsi="Times New Roman" w:cs="Times New Roman"/>
          <w:sz w:val="24"/>
          <w:szCs w:val="24"/>
        </w:rPr>
        <w:t xml:space="preserve"> perspektyw</w:t>
      </w:r>
      <w:r w:rsidR="00997D32" w:rsidRPr="00DA7A7C">
        <w:rPr>
          <w:rFonts w:ascii="Times New Roman" w:hAnsi="Times New Roman" w:cs="Times New Roman"/>
          <w:sz w:val="24"/>
          <w:szCs w:val="24"/>
        </w:rPr>
        <w:t>ę</w:t>
      </w:r>
      <w:r w:rsidR="001477F2" w:rsidRPr="00DA7A7C">
        <w:rPr>
          <w:rFonts w:ascii="Times New Roman" w:hAnsi="Times New Roman" w:cs="Times New Roman"/>
          <w:sz w:val="24"/>
          <w:szCs w:val="24"/>
        </w:rPr>
        <w:t xml:space="preserve"> </w:t>
      </w:r>
      <w:r w:rsidR="005277F5" w:rsidRPr="00DA7A7C">
        <w:rPr>
          <w:rFonts w:ascii="Times New Roman" w:hAnsi="Times New Roman" w:cs="Times New Roman"/>
          <w:sz w:val="24"/>
          <w:szCs w:val="24"/>
        </w:rPr>
        <w:t>czasow</w:t>
      </w:r>
      <w:r w:rsidR="00997D32" w:rsidRPr="00DA7A7C">
        <w:rPr>
          <w:rFonts w:ascii="Times New Roman" w:hAnsi="Times New Roman" w:cs="Times New Roman"/>
          <w:sz w:val="24"/>
          <w:szCs w:val="24"/>
        </w:rPr>
        <w:t>ą</w:t>
      </w:r>
      <w:r w:rsidR="000C557E" w:rsidRPr="00DA7A7C">
        <w:rPr>
          <w:rFonts w:ascii="Times New Roman" w:hAnsi="Times New Roman" w:cs="Times New Roman"/>
          <w:sz w:val="24"/>
          <w:szCs w:val="24"/>
        </w:rPr>
        <w:t xml:space="preserve"> lub przestrzenną</w:t>
      </w:r>
      <w:r w:rsidR="001477F2" w:rsidRPr="00DA7A7C">
        <w:rPr>
          <w:rFonts w:ascii="Times New Roman" w:hAnsi="Times New Roman" w:cs="Times New Roman"/>
          <w:sz w:val="24"/>
          <w:szCs w:val="24"/>
        </w:rPr>
        <w:t>.</w:t>
      </w:r>
      <w:r w:rsidR="009F7589">
        <w:rPr>
          <w:rFonts w:ascii="Times New Roman" w:hAnsi="Times New Roman" w:cs="Times New Roman"/>
          <w:sz w:val="24"/>
          <w:szCs w:val="24"/>
        </w:rPr>
        <w:t xml:space="preserve"> </w:t>
      </w:r>
      <w:r w:rsidR="00DA7A7C">
        <w:rPr>
          <w:rFonts w:ascii="Times New Roman" w:hAnsi="Times New Roman" w:cs="Times New Roman"/>
          <w:sz w:val="24"/>
          <w:szCs w:val="24"/>
        </w:rPr>
        <w:t xml:space="preserve">Należy </w:t>
      </w:r>
      <w:r w:rsidR="00CA28E5">
        <w:rPr>
          <w:rFonts w:ascii="Times New Roman" w:hAnsi="Times New Roman" w:cs="Times New Roman"/>
          <w:sz w:val="24"/>
          <w:szCs w:val="24"/>
        </w:rPr>
        <w:t xml:space="preserve">nadmienić o </w:t>
      </w:r>
      <w:r w:rsidR="00FE4D21" w:rsidRPr="00DA7A7C">
        <w:rPr>
          <w:rFonts w:ascii="Times New Roman" w:hAnsi="Times New Roman" w:cs="Times New Roman"/>
          <w:sz w:val="24"/>
          <w:szCs w:val="24"/>
        </w:rPr>
        <w:t>oczywist</w:t>
      </w:r>
      <w:r w:rsidR="00CA28E5">
        <w:rPr>
          <w:rFonts w:ascii="Times New Roman" w:hAnsi="Times New Roman" w:cs="Times New Roman"/>
          <w:sz w:val="24"/>
          <w:szCs w:val="24"/>
        </w:rPr>
        <w:t>ych</w:t>
      </w:r>
      <w:r w:rsidR="00FE4D21" w:rsidRPr="00DA7A7C">
        <w:rPr>
          <w:rFonts w:ascii="Times New Roman" w:hAnsi="Times New Roman" w:cs="Times New Roman"/>
          <w:sz w:val="24"/>
          <w:szCs w:val="24"/>
        </w:rPr>
        <w:t xml:space="preserve"> </w:t>
      </w:r>
      <w:r w:rsidR="003A2CF6" w:rsidRPr="00DA7A7C">
        <w:rPr>
          <w:rFonts w:ascii="Times New Roman" w:hAnsi="Times New Roman" w:cs="Times New Roman"/>
          <w:sz w:val="24"/>
          <w:szCs w:val="24"/>
        </w:rPr>
        <w:t>niedoskonałoś</w:t>
      </w:r>
      <w:r w:rsidR="00CA28E5">
        <w:rPr>
          <w:rFonts w:ascii="Times New Roman" w:hAnsi="Times New Roman" w:cs="Times New Roman"/>
          <w:sz w:val="24"/>
          <w:szCs w:val="24"/>
        </w:rPr>
        <w:t>ciach</w:t>
      </w:r>
      <w:r w:rsidR="003A2CF6" w:rsidRPr="00DA7A7C">
        <w:rPr>
          <w:rFonts w:ascii="Times New Roman" w:hAnsi="Times New Roman" w:cs="Times New Roman"/>
          <w:sz w:val="24"/>
          <w:szCs w:val="24"/>
        </w:rPr>
        <w:t xml:space="preserve"> danych </w:t>
      </w:r>
      <w:r w:rsidR="00DA7A7C">
        <w:rPr>
          <w:rFonts w:ascii="Times New Roman" w:hAnsi="Times New Roman" w:cs="Times New Roman"/>
          <w:sz w:val="24"/>
          <w:szCs w:val="24"/>
        </w:rPr>
        <w:t>zastanych</w:t>
      </w:r>
      <w:r w:rsidR="00D03AF2">
        <w:rPr>
          <w:rFonts w:ascii="Times New Roman" w:hAnsi="Times New Roman" w:cs="Times New Roman"/>
          <w:sz w:val="24"/>
          <w:szCs w:val="24"/>
        </w:rPr>
        <w:t>,</w:t>
      </w:r>
      <w:r w:rsidR="00DA7A7C">
        <w:rPr>
          <w:rFonts w:ascii="Times New Roman" w:hAnsi="Times New Roman" w:cs="Times New Roman"/>
          <w:sz w:val="24"/>
          <w:szCs w:val="24"/>
        </w:rPr>
        <w:t xml:space="preserve"> </w:t>
      </w:r>
      <w:r w:rsidR="00D03AF2">
        <w:rPr>
          <w:rFonts w:ascii="Times New Roman" w:hAnsi="Times New Roman" w:cs="Times New Roman"/>
          <w:sz w:val="24"/>
          <w:szCs w:val="24"/>
        </w:rPr>
        <w:t xml:space="preserve">które dotyczą wszystkich analiz typu </w:t>
      </w:r>
      <w:r w:rsidR="00D03AF2" w:rsidRPr="00D03AF2">
        <w:rPr>
          <w:rFonts w:ascii="Times New Roman" w:hAnsi="Times New Roman" w:cs="Times New Roman"/>
          <w:i/>
          <w:sz w:val="24"/>
          <w:szCs w:val="24"/>
        </w:rPr>
        <w:t>desk research</w:t>
      </w:r>
      <w:r w:rsidR="00D03AF2">
        <w:rPr>
          <w:rFonts w:ascii="Times New Roman" w:hAnsi="Times New Roman" w:cs="Times New Roman"/>
          <w:sz w:val="24"/>
          <w:szCs w:val="24"/>
        </w:rPr>
        <w:t xml:space="preserve">. </w:t>
      </w:r>
      <w:r w:rsidR="00F63A42">
        <w:rPr>
          <w:rFonts w:ascii="Times New Roman" w:hAnsi="Times New Roman" w:cs="Times New Roman"/>
          <w:sz w:val="24"/>
          <w:szCs w:val="24"/>
        </w:rPr>
        <w:t xml:space="preserve">Należą do nich </w:t>
      </w:r>
      <w:r w:rsidR="003A2CF6" w:rsidRPr="00DA7A7C">
        <w:rPr>
          <w:rFonts w:ascii="Times New Roman" w:hAnsi="Times New Roman" w:cs="Times New Roman"/>
          <w:sz w:val="24"/>
          <w:szCs w:val="24"/>
        </w:rPr>
        <w:t xml:space="preserve">ograniczenie </w:t>
      </w:r>
      <w:r w:rsidR="0061225E">
        <w:rPr>
          <w:rFonts w:ascii="Times New Roman" w:hAnsi="Times New Roman" w:cs="Times New Roman"/>
          <w:sz w:val="24"/>
          <w:szCs w:val="24"/>
        </w:rPr>
        <w:t xml:space="preserve">perspektywy analitycznej tylko </w:t>
      </w:r>
      <w:r w:rsidR="003A2CF6" w:rsidRPr="00DA7A7C">
        <w:rPr>
          <w:rFonts w:ascii="Times New Roman" w:hAnsi="Times New Roman" w:cs="Times New Roman"/>
          <w:sz w:val="24"/>
          <w:szCs w:val="24"/>
        </w:rPr>
        <w:t>do zjawisk rejestrowanych</w:t>
      </w:r>
      <w:r w:rsidR="001477F2" w:rsidRPr="00DA7A7C">
        <w:rPr>
          <w:rFonts w:ascii="Times New Roman" w:hAnsi="Times New Roman" w:cs="Times New Roman"/>
          <w:sz w:val="24"/>
          <w:szCs w:val="24"/>
        </w:rPr>
        <w:t xml:space="preserve"> </w:t>
      </w:r>
      <w:r w:rsidR="00AE5712" w:rsidRPr="00DA7A7C">
        <w:rPr>
          <w:rFonts w:ascii="Times New Roman" w:hAnsi="Times New Roman" w:cs="Times New Roman"/>
          <w:sz w:val="24"/>
          <w:szCs w:val="24"/>
        </w:rPr>
        <w:t>w</w:t>
      </w:r>
      <w:r w:rsidR="001477F2" w:rsidRPr="00DA7A7C">
        <w:rPr>
          <w:rFonts w:ascii="Times New Roman" w:hAnsi="Times New Roman" w:cs="Times New Roman"/>
          <w:sz w:val="24"/>
          <w:szCs w:val="24"/>
        </w:rPr>
        <w:t xml:space="preserve"> </w:t>
      </w:r>
      <w:r w:rsidR="003A2CF6" w:rsidRPr="00DA7A7C">
        <w:rPr>
          <w:rFonts w:ascii="Times New Roman" w:hAnsi="Times New Roman" w:cs="Times New Roman"/>
          <w:sz w:val="24"/>
          <w:szCs w:val="24"/>
        </w:rPr>
        <w:t>statystykach</w:t>
      </w:r>
      <w:r w:rsidR="0061225E">
        <w:rPr>
          <w:rFonts w:ascii="Times New Roman" w:hAnsi="Times New Roman" w:cs="Times New Roman"/>
          <w:sz w:val="24"/>
          <w:szCs w:val="24"/>
        </w:rPr>
        <w:t xml:space="preserve"> </w:t>
      </w:r>
      <w:r w:rsidR="00AE5712" w:rsidRPr="00DA7A7C">
        <w:rPr>
          <w:rFonts w:ascii="Times New Roman" w:hAnsi="Times New Roman" w:cs="Times New Roman"/>
          <w:sz w:val="24"/>
          <w:szCs w:val="24"/>
        </w:rPr>
        <w:t>i</w:t>
      </w:r>
      <w:r w:rsidR="0061225E">
        <w:rPr>
          <w:rFonts w:ascii="Times New Roman" w:hAnsi="Times New Roman" w:cs="Times New Roman"/>
          <w:sz w:val="24"/>
          <w:szCs w:val="24"/>
        </w:rPr>
        <w:t xml:space="preserve"> </w:t>
      </w:r>
      <w:r w:rsidR="003A2CF6" w:rsidRPr="00DA7A7C">
        <w:rPr>
          <w:rFonts w:ascii="Times New Roman" w:hAnsi="Times New Roman" w:cs="Times New Roman"/>
          <w:sz w:val="24"/>
          <w:szCs w:val="24"/>
        </w:rPr>
        <w:t>pomijanie szarej strefy</w:t>
      </w:r>
      <w:r w:rsidR="00326271">
        <w:rPr>
          <w:rFonts w:ascii="Times New Roman" w:hAnsi="Times New Roman" w:cs="Times New Roman"/>
          <w:sz w:val="24"/>
          <w:szCs w:val="24"/>
        </w:rPr>
        <w:t xml:space="preserve"> (</w:t>
      </w:r>
      <w:r w:rsidR="005B03C5">
        <w:rPr>
          <w:rFonts w:ascii="Times New Roman" w:hAnsi="Times New Roman" w:cs="Times New Roman"/>
          <w:sz w:val="24"/>
          <w:szCs w:val="24"/>
        </w:rPr>
        <w:t xml:space="preserve">ang. </w:t>
      </w:r>
      <w:r w:rsidR="00326271" w:rsidRPr="00326271">
        <w:rPr>
          <w:rFonts w:ascii="Times New Roman" w:hAnsi="Times New Roman" w:cs="Times New Roman"/>
          <w:i/>
          <w:sz w:val="24"/>
          <w:szCs w:val="24"/>
        </w:rPr>
        <w:t>shadow economy</w:t>
      </w:r>
      <w:r w:rsidR="00326271">
        <w:rPr>
          <w:rFonts w:ascii="Times New Roman" w:hAnsi="Times New Roman" w:cs="Times New Roman"/>
          <w:sz w:val="24"/>
          <w:szCs w:val="24"/>
        </w:rPr>
        <w:t>)</w:t>
      </w:r>
      <w:r w:rsidR="00DA7A7C">
        <w:rPr>
          <w:rFonts w:ascii="Times New Roman" w:hAnsi="Times New Roman" w:cs="Times New Roman"/>
          <w:sz w:val="24"/>
          <w:szCs w:val="24"/>
        </w:rPr>
        <w:t>.</w:t>
      </w:r>
      <w:r w:rsidR="0061225E">
        <w:rPr>
          <w:rFonts w:ascii="Times New Roman" w:hAnsi="Times New Roman" w:cs="Times New Roman"/>
          <w:sz w:val="24"/>
          <w:szCs w:val="24"/>
        </w:rPr>
        <w:t xml:space="preserve"> </w:t>
      </w:r>
      <w:r w:rsidR="00FF5480">
        <w:rPr>
          <w:rFonts w:ascii="Times New Roman" w:hAnsi="Times New Roman" w:cs="Times New Roman"/>
          <w:sz w:val="24"/>
          <w:szCs w:val="24"/>
        </w:rPr>
        <w:t xml:space="preserve">Odpowiedni dobór źródeł, poszerzających perspektywę </w:t>
      </w:r>
      <w:r w:rsidR="009F7589">
        <w:rPr>
          <w:rFonts w:ascii="Times New Roman" w:hAnsi="Times New Roman" w:cs="Times New Roman"/>
          <w:sz w:val="24"/>
          <w:szCs w:val="24"/>
        </w:rPr>
        <w:t>badawczą</w:t>
      </w:r>
      <w:r w:rsidR="00F63A42">
        <w:rPr>
          <w:rFonts w:ascii="Times New Roman" w:hAnsi="Times New Roman" w:cs="Times New Roman"/>
          <w:sz w:val="24"/>
          <w:szCs w:val="24"/>
        </w:rPr>
        <w:t>,</w:t>
      </w:r>
      <w:r w:rsidR="009F7589">
        <w:rPr>
          <w:rFonts w:ascii="Times New Roman" w:hAnsi="Times New Roman" w:cs="Times New Roman"/>
          <w:sz w:val="24"/>
          <w:szCs w:val="24"/>
        </w:rPr>
        <w:t xml:space="preserve"> </w:t>
      </w:r>
      <w:r w:rsidR="00B23461">
        <w:rPr>
          <w:rFonts w:ascii="Times New Roman" w:hAnsi="Times New Roman" w:cs="Times New Roman"/>
          <w:sz w:val="24"/>
          <w:szCs w:val="24"/>
        </w:rPr>
        <w:t xml:space="preserve">niweluje </w:t>
      </w:r>
      <w:r w:rsidR="00277947">
        <w:rPr>
          <w:rFonts w:ascii="Times New Roman" w:hAnsi="Times New Roman" w:cs="Times New Roman"/>
          <w:sz w:val="24"/>
          <w:szCs w:val="24"/>
        </w:rPr>
        <w:t>niektóre zawężenia</w:t>
      </w:r>
      <w:r w:rsidR="00F63A42">
        <w:rPr>
          <w:rFonts w:ascii="Times New Roman" w:hAnsi="Times New Roman" w:cs="Times New Roman"/>
          <w:sz w:val="24"/>
          <w:szCs w:val="24"/>
        </w:rPr>
        <w:t xml:space="preserve">, co prowadzi do </w:t>
      </w:r>
      <w:r w:rsidR="001E00B5">
        <w:rPr>
          <w:rFonts w:ascii="Times New Roman" w:hAnsi="Times New Roman" w:cs="Times New Roman"/>
          <w:sz w:val="24"/>
          <w:szCs w:val="24"/>
        </w:rPr>
        <w:t>trafn</w:t>
      </w:r>
      <w:r w:rsidR="00F63A42">
        <w:rPr>
          <w:rFonts w:ascii="Times New Roman" w:hAnsi="Times New Roman" w:cs="Times New Roman"/>
          <w:sz w:val="24"/>
          <w:szCs w:val="24"/>
        </w:rPr>
        <w:t>ej</w:t>
      </w:r>
      <w:r w:rsidR="001E00B5">
        <w:rPr>
          <w:rFonts w:ascii="Times New Roman" w:hAnsi="Times New Roman" w:cs="Times New Roman"/>
          <w:sz w:val="24"/>
          <w:szCs w:val="24"/>
        </w:rPr>
        <w:t xml:space="preserve"> diagnoz</w:t>
      </w:r>
      <w:r w:rsidR="00F63A42">
        <w:rPr>
          <w:rFonts w:ascii="Times New Roman" w:hAnsi="Times New Roman" w:cs="Times New Roman"/>
          <w:sz w:val="24"/>
          <w:szCs w:val="24"/>
        </w:rPr>
        <w:t>y</w:t>
      </w:r>
      <w:r w:rsidR="001E00B5">
        <w:rPr>
          <w:rFonts w:ascii="Times New Roman" w:hAnsi="Times New Roman" w:cs="Times New Roman"/>
          <w:sz w:val="24"/>
          <w:szCs w:val="24"/>
        </w:rPr>
        <w:t xml:space="preserve"> </w:t>
      </w:r>
      <w:r w:rsidR="00B23461">
        <w:rPr>
          <w:rFonts w:ascii="Times New Roman" w:hAnsi="Times New Roman" w:cs="Times New Roman"/>
          <w:sz w:val="24"/>
          <w:szCs w:val="24"/>
        </w:rPr>
        <w:t>istotn</w:t>
      </w:r>
      <w:r w:rsidR="001E00B5">
        <w:rPr>
          <w:rFonts w:ascii="Times New Roman" w:hAnsi="Times New Roman" w:cs="Times New Roman"/>
          <w:sz w:val="24"/>
          <w:szCs w:val="24"/>
        </w:rPr>
        <w:t>ych</w:t>
      </w:r>
      <w:r w:rsidR="00B23461">
        <w:rPr>
          <w:rFonts w:ascii="Times New Roman" w:hAnsi="Times New Roman" w:cs="Times New Roman"/>
          <w:sz w:val="24"/>
          <w:szCs w:val="24"/>
        </w:rPr>
        <w:t xml:space="preserve"> proces</w:t>
      </w:r>
      <w:r w:rsidR="001E00B5">
        <w:rPr>
          <w:rFonts w:ascii="Times New Roman" w:hAnsi="Times New Roman" w:cs="Times New Roman"/>
          <w:sz w:val="24"/>
          <w:szCs w:val="24"/>
        </w:rPr>
        <w:t>ów</w:t>
      </w:r>
      <w:r w:rsidR="005E5925">
        <w:rPr>
          <w:rFonts w:ascii="Times New Roman" w:hAnsi="Times New Roman" w:cs="Times New Roman"/>
          <w:sz w:val="24"/>
          <w:szCs w:val="24"/>
        </w:rPr>
        <w:t xml:space="preserve"> </w:t>
      </w:r>
      <w:r w:rsidR="00277947">
        <w:rPr>
          <w:rFonts w:ascii="Times New Roman" w:hAnsi="Times New Roman" w:cs="Times New Roman"/>
          <w:sz w:val="24"/>
          <w:szCs w:val="24"/>
        </w:rPr>
        <w:t>i</w:t>
      </w:r>
      <w:r w:rsidR="005E5925">
        <w:rPr>
          <w:rFonts w:ascii="Times New Roman" w:hAnsi="Times New Roman" w:cs="Times New Roman"/>
          <w:sz w:val="24"/>
          <w:szCs w:val="24"/>
        </w:rPr>
        <w:t xml:space="preserve"> </w:t>
      </w:r>
      <w:r w:rsidR="0061225E">
        <w:rPr>
          <w:rFonts w:ascii="Times New Roman" w:hAnsi="Times New Roman" w:cs="Times New Roman"/>
          <w:sz w:val="24"/>
          <w:szCs w:val="24"/>
        </w:rPr>
        <w:t>zjawisk</w:t>
      </w:r>
      <w:r w:rsidR="001E00B5">
        <w:rPr>
          <w:rFonts w:ascii="Times New Roman" w:hAnsi="Times New Roman" w:cs="Times New Roman"/>
          <w:sz w:val="24"/>
          <w:szCs w:val="24"/>
        </w:rPr>
        <w:t xml:space="preserve"> społecznych</w:t>
      </w:r>
      <w:r w:rsidR="0061225E">
        <w:rPr>
          <w:rFonts w:ascii="Times New Roman" w:hAnsi="Times New Roman" w:cs="Times New Roman"/>
          <w:sz w:val="24"/>
          <w:szCs w:val="24"/>
        </w:rPr>
        <w:t>.</w:t>
      </w:r>
      <w:r w:rsidR="00F63A42">
        <w:rPr>
          <w:rFonts w:ascii="Times New Roman" w:hAnsi="Times New Roman" w:cs="Times New Roman"/>
          <w:sz w:val="24"/>
          <w:szCs w:val="24"/>
        </w:rPr>
        <w:t xml:space="preserve"> </w:t>
      </w:r>
      <w:r w:rsidR="009F7589">
        <w:rPr>
          <w:rFonts w:ascii="Times New Roman" w:hAnsi="Times New Roman" w:cs="Times New Roman"/>
          <w:sz w:val="24"/>
          <w:szCs w:val="24"/>
        </w:rPr>
        <w:t>Sondaże terenowe</w:t>
      </w:r>
      <w:r w:rsidR="008C215E">
        <w:rPr>
          <w:rFonts w:ascii="Times New Roman" w:hAnsi="Times New Roman" w:cs="Times New Roman"/>
          <w:sz w:val="24"/>
          <w:szCs w:val="24"/>
        </w:rPr>
        <w:t xml:space="preserve"> również </w:t>
      </w:r>
      <w:r w:rsidR="00B23461">
        <w:rPr>
          <w:rFonts w:ascii="Times New Roman" w:hAnsi="Times New Roman" w:cs="Times New Roman"/>
          <w:sz w:val="24"/>
          <w:szCs w:val="24"/>
        </w:rPr>
        <w:t xml:space="preserve">posiadają </w:t>
      </w:r>
      <w:r w:rsidR="00F63A42">
        <w:rPr>
          <w:rFonts w:ascii="Times New Roman" w:hAnsi="Times New Roman" w:cs="Times New Roman"/>
          <w:sz w:val="24"/>
          <w:szCs w:val="24"/>
        </w:rPr>
        <w:t xml:space="preserve">szereg </w:t>
      </w:r>
      <w:r w:rsidR="009F7589">
        <w:rPr>
          <w:rFonts w:ascii="Times New Roman" w:hAnsi="Times New Roman" w:cs="Times New Roman"/>
          <w:sz w:val="24"/>
          <w:szCs w:val="24"/>
        </w:rPr>
        <w:t>niedoskonałości</w:t>
      </w:r>
      <w:r w:rsidR="00492B25">
        <w:rPr>
          <w:rFonts w:ascii="Times New Roman" w:hAnsi="Times New Roman" w:cs="Times New Roman"/>
          <w:sz w:val="24"/>
          <w:szCs w:val="24"/>
        </w:rPr>
        <w:t>.</w:t>
      </w:r>
      <w:r w:rsidR="00B23461">
        <w:rPr>
          <w:rFonts w:ascii="Times New Roman" w:hAnsi="Times New Roman" w:cs="Times New Roman"/>
          <w:sz w:val="24"/>
          <w:szCs w:val="24"/>
        </w:rPr>
        <w:t xml:space="preserve"> </w:t>
      </w:r>
      <w:r w:rsidR="00CF5F99">
        <w:rPr>
          <w:rFonts w:ascii="Times New Roman" w:hAnsi="Times New Roman" w:cs="Times New Roman"/>
          <w:sz w:val="24"/>
          <w:szCs w:val="24"/>
        </w:rPr>
        <w:t xml:space="preserve">Obarczone są </w:t>
      </w:r>
      <w:r w:rsidR="00B23461">
        <w:rPr>
          <w:rFonts w:ascii="Times New Roman" w:hAnsi="Times New Roman" w:cs="Times New Roman"/>
          <w:sz w:val="24"/>
          <w:szCs w:val="24"/>
        </w:rPr>
        <w:t>błęd</w:t>
      </w:r>
      <w:r w:rsidR="002B3C3D">
        <w:rPr>
          <w:rFonts w:ascii="Times New Roman" w:hAnsi="Times New Roman" w:cs="Times New Roman"/>
          <w:sz w:val="24"/>
          <w:szCs w:val="24"/>
        </w:rPr>
        <w:t xml:space="preserve">ami </w:t>
      </w:r>
      <w:r w:rsidR="00B23461">
        <w:rPr>
          <w:rFonts w:ascii="Times New Roman" w:hAnsi="Times New Roman" w:cs="Times New Roman"/>
          <w:sz w:val="24"/>
          <w:szCs w:val="24"/>
        </w:rPr>
        <w:t>wnioskowania</w:t>
      </w:r>
      <w:r w:rsidR="00CF5F99">
        <w:rPr>
          <w:rFonts w:ascii="Times New Roman" w:hAnsi="Times New Roman" w:cs="Times New Roman"/>
          <w:sz w:val="24"/>
          <w:szCs w:val="24"/>
        </w:rPr>
        <w:t>,</w:t>
      </w:r>
      <w:r w:rsidR="00B23461">
        <w:rPr>
          <w:rFonts w:ascii="Times New Roman" w:hAnsi="Times New Roman" w:cs="Times New Roman"/>
          <w:sz w:val="24"/>
          <w:szCs w:val="24"/>
        </w:rPr>
        <w:t xml:space="preserve"> </w:t>
      </w:r>
      <w:r w:rsidR="00CF5F99">
        <w:rPr>
          <w:rFonts w:ascii="Times New Roman" w:hAnsi="Times New Roman" w:cs="Times New Roman"/>
          <w:sz w:val="24"/>
          <w:szCs w:val="24"/>
        </w:rPr>
        <w:t xml:space="preserve">nietrafnych </w:t>
      </w:r>
      <w:r w:rsidR="00B23461">
        <w:rPr>
          <w:rFonts w:ascii="Times New Roman" w:hAnsi="Times New Roman" w:cs="Times New Roman"/>
          <w:sz w:val="24"/>
          <w:szCs w:val="24"/>
        </w:rPr>
        <w:t xml:space="preserve">uogólnień </w:t>
      </w:r>
      <w:r w:rsidR="00CF5F99">
        <w:rPr>
          <w:rFonts w:ascii="Times New Roman" w:hAnsi="Times New Roman" w:cs="Times New Roman"/>
          <w:sz w:val="24"/>
          <w:szCs w:val="24"/>
        </w:rPr>
        <w:t>i</w:t>
      </w:r>
      <w:r w:rsidR="009F7589">
        <w:rPr>
          <w:rFonts w:ascii="Times New Roman" w:hAnsi="Times New Roman" w:cs="Times New Roman"/>
          <w:sz w:val="24"/>
          <w:szCs w:val="24"/>
        </w:rPr>
        <w:t> </w:t>
      </w:r>
      <w:r w:rsidR="00B23461">
        <w:rPr>
          <w:rFonts w:ascii="Times New Roman" w:hAnsi="Times New Roman" w:cs="Times New Roman"/>
          <w:sz w:val="24"/>
          <w:szCs w:val="24"/>
        </w:rPr>
        <w:t>dobor</w:t>
      </w:r>
      <w:r w:rsidR="00492B25">
        <w:rPr>
          <w:rFonts w:ascii="Times New Roman" w:hAnsi="Times New Roman" w:cs="Times New Roman"/>
          <w:sz w:val="24"/>
          <w:szCs w:val="24"/>
        </w:rPr>
        <w:t>u</w:t>
      </w:r>
      <w:r w:rsidR="00B23461">
        <w:rPr>
          <w:rFonts w:ascii="Times New Roman" w:hAnsi="Times New Roman" w:cs="Times New Roman"/>
          <w:sz w:val="24"/>
          <w:szCs w:val="24"/>
        </w:rPr>
        <w:t xml:space="preserve"> próby, </w:t>
      </w:r>
      <w:r w:rsidR="009F7589">
        <w:rPr>
          <w:rFonts w:ascii="Times New Roman" w:hAnsi="Times New Roman" w:cs="Times New Roman"/>
          <w:sz w:val="24"/>
          <w:szCs w:val="24"/>
        </w:rPr>
        <w:t xml:space="preserve">przez co </w:t>
      </w:r>
      <w:r w:rsidR="00B23461">
        <w:rPr>
          <w:rFonts w:ascii="Times New Roman" w:hAnsi="Times New Roman" w:cs="Times New Roman"/>
          <w:sz w:val="24"/>
          <w:szCs w:val="24"/>
        </w:rPr>
        <w:t xml:space="preserve">nie zawsze </w:t>
      </w:r>
      <w:r w:rsidR="00251629">
        <w:rPr>
          <w:rFonts w:ascii="Times New Roman" w:hAnsi="Times New Roman" w:cs="Times New Roman"/>
          <w:sz w:val="24"/>
          <w:szCs w:val="24"/>
        </w:rPr>
        <w:t xml:space="preserve">trafnie </w:t>
      </w:r>
      <w:r w:rsidR="00E42E36">
        <w:rPr>
          <w:rFonts w:ascii="Times New Roman" w:hAnsi="Times New Roman" w:cs="Times New Roman"/>
          <w:sz w:val="24"/>
          <w:szCs w:val="24"/>
        </w:rPr>
        <w:t xml:space="preserve">opisują </w:t>
      </w:r>
      <w:r w:rsidR="008C215E">
        <w:rPr>
          <w:rFonts w:ascii="Times New Roman" w:hAnsi="Times New Roman" w:cs="Times New Roman"/>
          <w:sz w:val="24"/>
          <w:szCs w:val="24"/>
        </w:rPr>
        <w:t>zjawiska zachodzące w badanej populacji</w:t>
      </w:r>
      <w:r w:rsidR="0061225E">
        <w:rPr>
          <w:rFonts w:ascii="Times New Roman" w:hAnsi="Times New Roman" w:cs="Times New Roman"/>
          <w:sz w:val="24"/>
          <w:szCs w:val="24"/>
        </w:rPr>
        <w:t xml:space="preserve">. </w:t>
      </w:r>
      <w:r w:rsidR="00F63A42">
        <w:rPr>
          <w:rFonts w:ascii="Times New Roman" w:hAnsi="Times New Roman" w:cs="Times New Roman"/>
          <w:sz w:val="24"/>
          <w:szCs w:val="24"/>
        </w:rPr>
        <w:t>Ponadto k</w:t>
      </w:r>
      <w:r w:rsidR="0061225E">
        <w:rPr>
          <w:rFonts w:ascii="Times New Roman" w:hAnsi="Times New Roman" w:cs="Times New Roman"/>
          <w:sz w:val="24"/>
          <w:szCs w:val="24"/>
        </w:rPr>
        <w:t>ażd</w:t>
      </w:r>
      <w:r w:rsidR="0047128F">
        <w:rPr>
          <w:rFonts w:ascii="Times New Roman" w:hAnsi="Times New Roman" w:cs="Times New Roman"/>
          <w:sz w:val="24"/>
          <w:szCs w:val="24"/>
        </w:rPr>
        <w:t xml:space="preserve">a </w:t>
      </w:r>
      <w:r w:rsidR="00F63A42">
        <w:rPr>
          <w:rFonts w:ascii="Times New Roman" w:hAnsi="Times New Roman" w:cs="Times New Roman"/>
          <w:sz w:val="24"/>
          <w:szCs w:val="24"/>
        </w:rPr>
        <w:t xml:space="preserve">metoda i </w:t>
      </w:r>
      <w:r w:rsidR="0047128F">
        <w:rPr>
          <w:rFonts w:ascii="Times New Roman" w:hAnsi="Times New Roman" w:cs="Times New Roman"/>
          <w:sz w:val="24"/>
          <w:szCs w:val="24"/>
        </w:rPr>
        <w:t xml:space="preserve">technika badań społecznych </w:t>
      </w:r>
      <w:r w:rsidR="00202CF9">
        <w:rPr>
          <w:rFonts w:ascii="Times New Roman" w:hAnsi="Times New Roman" w:cs="Times New Roman"/>
          <w:sz w:val="24"/>
          <w:szCs w:val="24"/>
        </w:rPr>
        <w:t xml:space="preserve">posiada </w:t>
      </w:r>
      <w:r w:rsidR="00F63A42">
        <w:rPr>
          <w:rFonts w:ascii="Times New Roman" w:hAnsi="Times New Roman" w:cs="Times New Roman"/>
          <w:sz w:val="24"/>
          <w:szCs w:val="24"/>
        </w:rPr>
        <w:t xml:space="preserve">immamentne tj. związane z nią </w:t>
      </w:r>
      <w:r w:rsidR="00202CF9">
        <w:rPr>
          <w:rFonts w:ascii="Times New Roman" w:hAnsi="Times New Roman" w:cs="Times New Roman"/>
          <w:sz w:val="24"/>
          <w:szCs w:val="24"/>
        </w:rPr>
        <w:t xml:space="preserve">ograniczenia i nie </w:t>
      </w:r>
      <w:r w:rsidR="00FF5480">
        <w:rPr>
          <w:rFonts w:ascii="Times New Roman" w:hAnsi="Times New Roman" w:cs="Times New Roman"/>
          <w:sz w:val="24"/>
          <w:szCs w:val="24"/>
        </w:rPr>
        <w:t xml:space="preserve">jest </w:t>
      </w:r>
      <w:r w:rsidR="00CF5F99">
        <w:rPr>
          <w:rFonts w:ascii="Times New Roman" w:hAnsi="Times New Roman" w:cs="Times New Roman"/>
          <w:sz w:val="24"/>
          <w:szCs w:val="24"/>
        </w:rPr>
        <w:t xml:space="preserve">(nigdy nie była) </w:t>
      </w:r>
      <w:r w:rsidR="00202CF9">
        <w:rPr>
          <w:rFonts w:ascii="Times New Roman" w:hAnsi="Times New Roman" w:cs="Times New Roman"/>
          <w:sz w:val="24"/>
          <w:szCs w:val="24"/>
        </w:rPr>
        <w:t>idealnym narzędziem badawczym</w:t>
      </w:r>
      <w:r w:rsidR="0047128F">
        <w:rPr>
          <w:rFonts w:ascii="Times New Roman" w:hAnsi="Times New Roman" w:cs="Times New Roman"/>
          <w:sz w:val="24"/>
          <w:szCs w:val="24"/>
        </w:rPr>
        <w:t>.</w:t>
      </w:r>
      <w:r w:rsidR="00E42E36">
        <w:rPr>
          <w:rFonts w:ascii="Times New Roman" w:hAnsi="Times New Roman" w:cs="Times New Roman"/>
          <w:sz w:val="24"/>
          <w:szCs w:val="24"/>
        </w:rPr>
        <w:t xml:space="preserve"> </w:t>
      </w:r>
      <w:r w:rsidR="00A27738">
        <w:rPr>
          <w:rFonts w:ascii="Times New Roman" w:hAnsi="Times New Roman" w:cs="Times New Roman"/>
          <w:sz w:val="24"/>
          <w:szCs w:val="24"/>
        </w:rPr>
        <w:t>Pomimo powyższych uwag, o</w:t>
      </w:r>
      <w:r w:rsidR="00DA7A7C" w:rsidRPr="00481546">
        <w:rPr>
          <w:rFonts w:ascii="Times New Roman" w:hAnsi="Times New Roman" w:cs="Times New Roman"/>
          <w:sz w:val="24"/>
          <w:szCs w:val="24"/>
        </w:rPr>
        <w:t xml:space="preserve">pracowanie stanowi pewien </w:t>
      </w:r>
      <w:r w:rsidR="003A2CF6" w:rsidRPr="00481546">
        <w:rPr>
          <w:rFonts w:ascii="Times New Roman" w:hAnsi="Times New Roman" w:cs="Times New Roman"/>
          <w:sz w:val="24"/>
          <w:szCs w:val="24"/>
        </w:rPr>
        <w:t xml:space="preserve">zasób informacji, który </w:t>
      </w:r>
      <w:r w:rsidR="005277F5" w:rsidRPr="00481546">
        <w:rPr>
          <w:rFonts w:ascii="Times New Roman" w:hAnsi="Times New Roman" w:cs="Times New Roman"/>
          <w:sz w:val="24"/>
          <w:szCs w:val="24"/>
        </w:rPr>
        <w:t xml:space="preserve">ukazuje </w:t>
      </w:r>
      <w:r w:rsidR="003A2CF6" w:rsidRPr="00481546">
        <w:rPr>
          <w:rFonts w:ascii="Times New Roman" w:hAnsi="Times New Roman" w:cs="Times New Roman"/>
          <w:sz w:val="24"/>
          <w:szCs w:val="24"/>
        </w:rPr>
        <w:t xml:space="preserve">aktualny stan zatrudnienia, </w:t>
      </w:r>
      <w:r w:rsidR="00F1671B">
        <w:rPr>
          <w:rFonts w:ascii="Times New Roman" w:hAnsi="Times New Roman" w:cs="Times New Roman"/>
          <w:sz w:val="24"/>
          <w:szCs w:val="24"/>
        </w:rPr>
        <w:t xml:space="preserve">stopień </w:t>
      </w:r>
      <w:r w:rsidR="003A2CF6" w:rsidRPr="00481546">
        <w:rPr>
          <w:rFonts w:ascii="Times New Roman" w:hAnsi="Times New Roman" w:cs="Times New Roman"/>
          <w:sz w:val="24"/>
          <w:szCs w:val="24"/>
        </w:rPr>
        <w:t>przedsiębiorczoś</w:t>
      </w:r>
      <w:r w:rsidR="00F1671B">
        <w:rPr>
          <w:rFonts w:ascii="Times New Roman" w:hAnsi="Times New Roman" w:cs="Times New Roman"/>
          <w:sz w:val="24"/>
          <w:szCs w:val="24"/>
        </w:rPr>
        <w:t>ci</w:t>
      </w:r>
      <w:r w:rsidR="00871609" w:rsidRPr="00481546">
        <w:rPr>
          <w:rFonts w:ascii="Times New Roman" w:hAnsi="Times New Roman" w:cs="Times New Roman"/>
          <w:sz w:val="24"/>
          <w:szCs w:val="24"/>
        </w:rPr>
        <w:t xml:space="preserve"> i</w:t>
      </w:r>
      <w:r w:rsidR="00F1671B">
        <w:rPr>
          <w:rFonts w:ascii="Times New Roman" w:hAnsi="Times New Roman" w:cs="Times New Roman"/>
          <w:sz w:val="24"/>
          <w:szCs w:val="24"/>
        </w:rPr>
        <w:t> </w:t>
      </w:r>
      <w:r w:rsidR="00871609" w:rsidRPr="00481546">
        <w:rPr>
          <w:rFonts w:ascii="Times New Roman" w:hAnsi="Times New Roman" w:cs="Times New Roman"/>
          <w:sz w:val="24"/>
          <w:szCs w:val="24"/>
        </w:rPr>
        <w:t xml:space="preserve">możliwości aktywizowania różnych grup </w:t>
      </w:r>
      <w:r w:rsidR="005277F5" w:rsidRPr="00481546">
        <w:rPr>
          <w:rFonts w:ascii="Times New Roman" w:hAnsi="Times New Roman" w:cs="Times New Roman"/>
          <w:sz w:val="24"/>
          <w:szCs w:val="24"/>
        </w:rPr>
        <w:t>pozostających</w:t>
      </w:r>
      <w:r w:rsidR="00CA28E5">
        <w:rPr>
          <w:rFonts w:ascii="Times New Roman" w:hAnsi="Times New Roman" w:cs="Times New Roman"/>
          <w:sz w:val="24"/>
          <w:szCs w:val="24"/>
        </w:rPr>
        <w:t xml:space="preserve"> </w:t>
      </w:r>
      <w:r w:rsidR="009B7A48" w:rsidRPr="00481546">
        <w:rPr>
          <w:rFonts w:ascii="Times New Roman" w:hAnsi="Times New Roman" w:cs="Times New Roman"/>
          <w:sz w:val="24"/>
          <w:szCs w:val="24"/>
        </w:rPr>
        <w:t>w</w:t>
      </w:r>
      <w:r w:rsidR="00CA28E5">
        <w:rPr>
          <w:rFonts w:ascii="Times New Roman" w:hAnsi="Times New Roman" w:cs="Times New Roman"/>
          <w:sz w:val="24"/>
          <w:szCs w:val="24"/>
        </w:rPr>
        <w:t xml:space="preserve"> </w:t>
      </w:r>
      <w:r w:rsidR="009B7A48" w:rsidRPr="00481546">
        <w:rPr>
          <w:rFonts w:ascii="Times New Roman" w:hAnsi="Times New Roman" w:cs="Times New Roman"/>
          <w:sz w:val="24"/>
          <w:szCs w:val="24"/>
        </w:rPr>
        <w:t xml:space="preserve">sferze </w:t>
      </w:r>
      <w:r w:rsidR="005E5925">
        <w:rPr>
          <w:rFonts w:ascii="Times New Roman" w:hAnsi="Times New Roman" w:cs="Times New Roman"/>
          <w:sz w:val="24"/>
          <w:szCs w:val="24"/>
        </w:rPr>
        <w:t xml:space="preserve">bierności </w:t>
      </w:r>
      <w:r w:rsidR="005277F5" w:rsidRPr="00481546">
        <w:rPr>
          <w:rFonts w:ascii="Times New Roman" w:hAnsi="Times New Roman" w:cs="Times New Roman"/>
          <w:sz w:val="24"/>
          <w:szCs w:val="24"/>
        </w:rPr>
        <w:t>zawodowej,</w:t>
      </w:r>
      <w:r w:rsidR="00871609" w:rsidRPr="00481546">
        <w:rPr>
          <w:rFonts w:ascii="Times New Roman" w:hAnsi="Times New Roman" w:cs="Times New Roman"/>
          <w:sz w:val="24"/>
          <w:szCs w:val="24"/>
        </w:rPr>
        <w:t xml:space="preserve"> </w:t>
      </w:r>
      <w:r w:rsidR="005277F5" w:rsidRPr="00481546">
        <w:rPr>
          <w:rFonts w:ascii="Times New Roman" w:hAnsi="Times New Roman" w:cs="Times New Roman"/>
          <w:sz w:val="24"/>
          <w:szCs w:val="24"/>
        </w:rPr>
        <w:t>a</w:t>
      </w:r>
      <w:r w:rsidR="00F1671B">
        <w:rPr>
          <w:rFonts w:ascii="Times New Roman" w:hAnsi="Times New Roman" w:cs="Times New Roman"/>
          <w:sz w:val="24"/>
          <w:szCs w:val="24"/>
        </w:rPr>
        <w:t> </w:t>
      </w:r>
      <w:r w:rsidR="00871609" w:rsidRPr="00481546">
        <w:rPr>
          <w:rFonts w:ascii="Times New Roman" w:hAnsi="Times New Roman" w:cs="Times New Roman"/>
          <w:sz w:val="24"/>
          <w:szCs w:val="24"/>
        </w:rPr>
        <w:t xml:space="preserve">obecnych </w:t>
      </w:r>
      <w:r w:rsidR="005277F5" w:rsidRPr="00481546">
        <w:rPr>
          <w:rFonts w:ascii="Times New Roman" w:hAnsi="Times New Roman" w:cs="Times New Roman"/>
          <w:sz w:val="24"/>
          <w:szCs w:val="24"/>
        </w:rPr>
        <w:t xml:space="preserve">swoim potencjałem </w:t>
      </w:r>
      <w:r w:rsidR="00871609" w:rsidRPr="00481546">
        <w:rPr>
          <w:rFonts w:ascii="Times New Roman" w:hAnsi="Times New Roman" w:cs="Times New Roman"/>
          <w:sz w:val="24"/>
          <w:szCs w:val="24"/>
        </w:rPr>
        <w:t>na rynku pracy.</w:t>
      </w:r>
    </w:p>
    <w:p w:rsidR="00912F37" w:rsidRDefault="003A2CF6" w:rsidP="00B063CD">
      <w:pPr>
        <w:spacing w:after="0" w:line="360" w:lineRule="auto"/>
        <w:ind w:firstLine="709"/>
        <w:jc w:val="both"/>
        <w:rPr>
          <w:rFonts w:ascii="Times New Roman" w:hAnsi="Times New Roman" w:cs="Times New Roman"/>
          <w:sz w:val="24"/>
          <w:szCs w:val="24"/>
        </w:rPr>
      </w:pPr>
      <w:r w:rsidRPr="00481546">
        <w:rPr>
          <w:rFonts w:ascii="Times New Roman" w:hAnsi="Times New Roman" w:cs="Times New Roman"/>
          <w:sz w:val="24"/>
          <w:szCs w:val="24"/>
        </w:rPr>
        <w:t xml:space="preserve">Analiza jest </w:t>
      </w:r>
      <w:r w:rsidR="00374127" w:rsidRPr="00481546">
        <w:rPr>
          <w:rFonts w:ascii="Times New Roman" w:hAnsi="Times New Roman" w:cs="Times New Roman"/>
          <w:sz w:val="24"/>
          <w:szCs w:val="24"/>
        </w:rPr>
        <w:t>porównywalna</w:t>
      </w:r>
      <w:r w:rsidR="00AE5712" w:rsidRPr="00481546">
        <w:rPr>
          <w:rFonts w:ascii="Times New Roman" w:hAnsi="Times New Roman" w:cs="Times New Roman"/>
          <w:sz w:val="24"/>
          <w:szCs w:val="24"/>
        </w:rPr>
        <w:t xml:space="preserve"> </w:t>
      </w:r>
      <w:r w:rsidR="00035147" w:rsidRPr="00481546">
        <w:rPr>
          <w:rFonts w:ascii="Times New Roman" w:hAnsi="Times New Roman" w:cs="Times New Roman"/>
          <w:sz w:val="24"/>
          <w:szCs w:val="24"/>
        </w:rPr>
        <w:t>w</w:t>
      </w:r>
      <w:r w:rsidR="006D52F1">
        <w:rPr>
          <w:rFonts w:ascii="Times New Roman" w:hAnsi="Times New Roman" w:cs="Times New Roman"/>
          <w:sz w:val="24"/>
          <w:szCs w:val="24"/>
        </w:rPr>
        <w:t> </w:t>
      </w:r>
      <w:r w:rsidR="00035147" w:rsidRPr="00481546">
        <w:rPr>
          <w:rFonts w:ascii="Times New Roman" w:hAnsi="Times New Roman" w:cs="Times New Roman"/>
          <w:sz w:val="24"/>
          <w:szCs w:val="24"/>
        </w:rPr>
        <w:t xml:space="preserve">układzie poszczególnych rozdziałów </w:t>
      </w:r>
      <w:r w:rsidR="000C557E" w:rsidRPr="00481546">
        <w:rPr>
          <w:rFonts w:ascii="Times New Roman" w:hAnsi="Times New Roman" w:cs="Times New Roman"/>
          <w:sz w:val="24"/>
          <w:szCs w:val="24"/>
        </w:rPr>
        <w:t xml:space="preserve">do </w:t>
      </w:r>
      <w:r w:rsidRPr="00481546">
        <w:rPr>
          <w:rFonts w:ascii="Times New Roman" w:hAnsi="Times New Roman" w:cs="Times New Roman"/>
          <w:sz w:val="24"/>
          <w:szCs w:val="24"/>
        </w:rPr>
        <w:t>analogiczny</w:t>
      </w:r>
      <w:r w:rsidR="000C557E" w:rsidRPr="00481546">
        <w:rPr>
          <w:rFonts w:ascii="Times New Roman" w:hAnsi="Times New Roman" w:cs="Times New Roman"/>
          <w:sz w:val="24"/>
          <w:szCs w:val="24"/>
        </w:rPr>
        <w:t>ch</w:t>
      </w:r>
      <w:r w:rsidRPr="00481546">
        <w:rPr>
          <w:rFonts w:ascii="Times New Roman" w:hAnsi="Times New Roman" w:cs="Times New Roman"/>
          <w:sz w:val="24"/>
          <w:szCs w:val="24"/>
        </w:rPr>
        <w:t xml:space="preserve"> </w:t>
      </w:r>
      <w:r w:rsidR="000C557E" w:rsidRPr="00481546">
        <w:rPr>
          <w:rFonts w:ascii="Times New Roman" w:hAnsi="Times New Roman" w:cs="Times New Roman"/>
          <w:sz w:val="24"/>
          <w:szCs w:val="24"/>
        </w:rPr>
        <w:t>periodyków z</w:t>
      </w:r>
      <w:r w:rsidR="002D1667" w:rsidRPr="00481546">
        <w:rPr>
          <w:rFonts w:ascii="Times New Roman" w:hAnsi="Times New Roman" w:cs="Times New Roman"/>
          <w:sz w:val="24"/>
          <w:szCs w:val="24"/>
        </w:rPr>
        <w:t xml:space="preserve"> </w:t>
      </w:r>
      <w:r w:rsidRPr="00481546">
        <w:rPr>
          <w:rFonts w:ascii="Times New Roman" w:hAnsi="Times New Roman" w:cs="Times New Roman"/>
          <w:sz w:val="24"/>
          <w:szCs w:val="24"/>
        </w:rPr>
        <w:t>lat</w:t>
      </w:r>
      <w:r w:rsidR="00AE5712" w:rsidRPr="00481546">
        <w:rPr>
          <w:rFonts w:ascii="Times New Roman" w:hAnsi="Times New Roman" w:cs="Times New Roman"/>
          <w:sz w:val="24"/>
          <w:szCs w:val="24"/>
        </w:rPr>
        <w:t xml:space="preserve"> </w:t>
      </w:r>
      <w:r w:rsidR="002D1667" w:rsidRPr="00481546">
        <w:rPr>
          <w:rFonts w:ascii="Times New Roman" w:hAnsi="Times New Roman" w:cs="Times New Roman"/>
          <w:sz w:val="24"/>
          <w:szCs w:val="24"/>
        </w:rPr>
        <w:t>ubiegłych</w:t>
      </w:r>
      <w:r w:rsidR="005277F5" w:rsidRPr="00481546">
        <w:rPr>
          <w:rFonts w:ascii="Times New Roman" w:hAnsi="Times New Roman" w:cs="Times New Roman"/>
          <w:sz w:val="24"/>
          <w:szCs w:val="24"/>
        </w:rPr>
        <w:t>.</w:t>
      </w:r>
      <w:r w:rsidR="002D1667" w:rsidRPr="00481546">
        <w:rPr>
          <w:rFonts w:ascii="Times New Roman" w:hAnsi="Times New Roman" w:cs="Times New Roman"/>
          <w:sz w:val="24"/>
          <w:szCs w:val="24"/>
        </w:rPr>
        <w:t xml:space="preserve"> </w:t>
      </w:r>
      <w:r w:rsidR="005277F5" w:rsidRPr="00481546">
        <w:rPr>
          <w:rFonts w:ascii="Times New Roman" w:hAnsi="Times New Roman" w:cs="Times New Roman"/>
          <w:sz w:val="24"/>
          <w:szCs w:val="24"/>
        </w:rPr>
        <w:t xml:space="preserve">Niektóre procesy dowodzą korzystniejszej sytuacji na rynku pracy, a inne </w:t>
      </w:r>
      <w:r w:rsidR="009E710E">
        <w:rPr>
          <w:rFonts w:ascii="Times New Roman" w:hAnsi="Times New Roman" w:cs="Times New Roman"/>
          <w:sz w:val="24"/>
          <w:szCs w:val="24"/>
        </w:rPr>
        <w:t xml:space="preserve">prezentują </w:t>
      </w:r>
      <w:r w:rsidR="005277F5" w:rsidRPr="00481546">
        <w:rPr>
          <w:rFonts w:ascii="Times New Roman" w:hAnsi="Times New Roman" w:cs="Times New Roman"/>
          <w:sz w:val="24"/>
          <w:szCs w:val="24"/>
        </w:rPr>
        <w:t>ograniczenia.</w:t>
      </w:r>
      <w:r w:rsidR="00E42E36">
        <w:rPr>
          <w:rFonts w:ascii="Times New Roman" w:hAnsi="Times New Roman" w:cs="Times New Roman"/>
          <w:sz w:val="24"/>
          <w:szCs w:val="24"/>
        </w:rPr>
        <w:t xml:space="preserve"> </w:t>
      </w:r>
      <w:r w:rsidR="00B823EC" w:rsidRPr="00533970">
        <w:rPr>
          <w:rFonts w:ascii="Times New Roman" w:hAnsi="Times New Roman" w:cs="Times New Roman"/>
          <w:sz w:val="24"/>
          <w:szCs w:val="24"/>
        </w:rPr>
        <w:t xml:space="preserve">Odnotowano </w:t>
      </w:r>
      <w:r w:rsidR="00533970" w:rsidRPr="00533970">
        <w:rPr>
          <w:rFonts w:ascii="Times New Roman" w:hAnsi="Times New Roman" w:cs="Times New Roman"/>
          <w:sz w:val="24"/>
          <w:szCs w:val="24"/>
        </w:rPr>
        <w:t>spadek</w:t>
      </w:r>
      <w:r w:rsidR="00181AA2" w:rsidRPr="00533970">
        <w:rPr>
          <w:rFonts w:ascii="Times New Roman" w:hAnsi="Times New Roman" w:cs="Times New Roman"/>
          <w:sz w:val="24"/>
          <w:szCs w:val="24"/>
        </w:rPr>
        <w:t xml:space="preserve"> </w:t>
      </w:r>
      <w:r w:rsidRPr="00533970">
        <w:rPr>
          <w:rFonts w:ascii="Times New Roman" w:hAnsi="Times New Roman" w:cs="Times New Roman"/>
          <w:sz w:val="24"/>
          <w:szCs w:val="24"/>
        </w:rPr>
        <w:t>stopy bezrobocia</w:t>
      </w:r>
      <w:r w:rsidR="00533970" w:rsidRPr="00533970">
        <w:rPr>
          <w:rFonts w:ascii="Times New Roman" w:hAnsi="Times New Roman" w:cs="Times New Roman"/>
          <w:sz w:val="24"/>
          <w:szCs w:val="24"/>
        </w:rPr>
        <w:t>,</w:t>
      </w:r>
      <w:r w:rsidR="00035147" w:rsidRPr="00533970">
        <w:rPr>
          <w:rFonts w:ascii="Times New Roman" w:hAnsi="Times New Roman" w:cs="Times New Roman"/>
          <w:sz w:val="24"/>
          <w:szCs w:val="24"/>
        </w:rPr>
        <w:t xml:space="preserve"> przy </w:t>
      </w:r>
      <w:r w:rsidR="0052197E">
        <w:rPr>
          <w:rFonts w:ascii="Times New Roman" w:hAnsi="Times New Roman" w:cs="Times New Roman"/>
          <w:sz w:val="24"/>
          <w:szCs w:val="24"/>
        </w:rPr>
        <w:t xml:space="preserve">jednoczesnym </w:t>
      </w:r>
      <w:r w:rsidR="009E710E">
        <w:rPr>
          <w:rFonts w:ascii="Times New Roman" w:hAnsi="Times New Roman" w:cs="Times New Roman"/>
          <w:sz w:val="24"/>
          <w:szCs w:val="24"/>
        </w:rPr>
        <w:t xml:space="preserve">wzroście </w:t>
      </w:r>
      <w:r w:rsidR="00035147" w:rsidRPr="00533970">
        <w:rPr>
          <w:rFonts w:ascii="Times New Roman" w:hAnsi="Times New Roman" w:cs="Times New Roman"/>
          <w:sz w:val="24"/>
          <w:szCs w:val="24"/>
        </w:rPr>
        <w:t>ofert pracy</w:t>
      </w:r>
      <w:r w:rsidR="009E710E">
        <w:rPr>
          <w:rFonts w:ascii="Times New Roman" w:hAnsi="Times New Roman" w:cs="Times New Roman"/>
          <w:sz w:val="24"/>
          <w:szCs w:val="24"/>
        </w:rPr>
        <w:t xml:space="preserve">, </w:t>
      </w:r>
      <w:r w:rsidR="00035147" w:rsidRPr="00533970">
        <w:rPr>
          <w:rFonts w:ascii="Times New Roman" w:hAnsi="Times New Roman" w:cs="Times New Roman"/>
          <w:sz w:val="24"/>
          <w:szCs w:val="24"/>
        </w:rPr>
        <w:t xml:space="preserve">zgłoszonych przez pracodawców </w:t>
      </w:r>
      <w:r w:rsidR="00533970" w:rsidRPr="00533970">
        <w:rPr>
          <w:rFonts w:ascii="Times New Roman" w:hAnsi="Times New Roman" w:cs="Times New Roman"/>
          <w:sz w:val="24"/>
          <w:szCs w:val="24"/>
        </w:rPr>
        <w:t xml:space="preserve">w okresie I półrocza </w:t>
      </w:r>
      <w:r w:rsidR="009E710E">
        <w:rPr>
          <w:rFonts w:ascii="Times New Roman" w:hAnsi="Times New Roman" w:cs="Times New Roman"/>
          <w:sz w:val="24"/>
          <w:szCs w:val="24"/>
        </w:rPr>
        <w:t xml:space="preserve">2021 roku </w:t>
      </w:r>
      <w:r w:rsidR="00035147" w:rsidRPr="00533970">
        <w:rPr>
          <w:rFonts w:ascii="Times New Roman" w:hAnsi="Times New Roman" w:cs="Times New Roman"/>
          <w:sz w:val="24"/>
          <w:szCs w:val="24"/>
        </w:rPr>
        <w:t xml:space="preserve">do </w:t>
      </w:r>
      <w:r w:rsidR="00251629">
        <w:rPr>
          <w:rFonts w:ascii="Times New Roman" w:hAnsi="Times New Roman" w:cs="Times New Roman"/>
          <w:sz w:val="24"/>
          <w:szCs w:val="24"/>
        </w:rPr>
        <w:t>powiatowych urzędów pracy (PUP)</w:t>
      </w:r>
      <w:r w:rsidR="00181AA2" w:rsidRPr="00533970">
        <w:rPr>
          <w:rFonts w:ascii="Times New Roman" w:hAnsi="Times New Roman" w:cs="Times New Roman"/>
          <w:sz w:val="24"/>
          <w:szCs w:val="24"/>
        </w:rPr>
        <w:t xml:space="preserve">. </w:t>
      </w:r>
      <w:r w:rsidR="0052197E">
        <w:rPr>
          <w:rFonts w:ascii="Times New Roman" w:hAnsi="Times New Roman" w:cs="Times New Roman"/>
          <w:sz w:val="24"/>
          <w:szCs w:val="24"/>
        </w:rPr>
        <w:t xml:space="preserve">Wobec niedoskonałości </w:t>
      </w:r>
      <w:r w:rsidR="00035147" w:rsidRPr="00533970">
        <w:rPr>
          <w:rFonts w:ascii="Times New Roman" w:hAnsi="Times New Roman" w:cs="Times New Roman"/>
          <w:sz w:val="24"/>
          <w:szCs w:val="24"/>
        </w:rPr>
        <w:t>wskaźnik</w:t>
      </w:r>
      <w:r w:rsidR="00AD4AB8">
        <w:rPr>
          <w:rFonts w:ascii="Times New Roman" w:hAnsi="Times New Roman" w:cs="Times New Roman"/>
          <w:sz w:val="24"/>
          <w:szCs w:val="24"/>
        </w:rPr>
        <w:t>ów</w:t>
      </w:r>
      <w:r w:rsidR="00035147" w:rsidRPr="00533970">
        <w:rPr>
          <w:rFonts w:ascii="Times New Roman" w:hAnsi="Times New Roman" w:cs="Times New Roman"/>
          <w:sz w:val="24"/>
          <w:szCs w:val="24"/>
        </w:rPr>
        <w:t xml:space="preserve"> (nie obejmuj</w:t>
      </w:r>
      <w:r w:rsidR="00AD4AB8">
        <w:rPr>
          <w:rFonts w:ascii="Times New Roman" w:hAnsi="Times New Roman" w:cs="Times New Roman"/>
          <w:sz w:val="24"/>
          <w:szCs w:val="24"/>
        </w:rPr>
        <w:t>ą</w:t>
      </w:r>
      <w:r w:rsidR="00035147" w:rsidRPr="00533970">
        <w:rPr>
          <w:rFonts w:ascii="Times New Roman" w:hAnsi="Times New Roman" w:cs="Times New Roman"/>
          <w:sz w:val="24"/>
          <w:szCs w:val="24"/>
        </w:rPr>
        <w:t xml:space="preserve"> wszystkich </w:t>
      </w:r>
      <w:r w:rsidR="00AD4AB8">
        <w:rPr>
          <w:rFonts w:ascii="Times New Roman" w:hAnsi="Times New Roman" w:cs="Times New Roman"/>
          <w:sz w:val="24"/>
          <w:szCs w:val="24"/>
        </w:rPr>
        <w:t xml:space="preserve">bezrobotnych i </w:t>
      </w:r>
      <w:r w:rsidR="00035147" w:rsidRPr="00533970">
        <w:rPr>
          <w:rFonts w:ascii="Times New Roman" w:hAnsi="Times New Roman" w:cs="Times New Roman"/>
          <w:sz w:val="24"/>
          <w:szCs w:val="24"/>
        </w:rPr>
        <w:t xml:space="preserve">ofert, a tylko </w:t>
      </w:r>
      <w:r w:rsidR="0052197E">
        <w:rPr>
          <w:rFonts w:ascii="Times New Roman" w:hAnsi="Times New Roman" w:cs="Times New Roman"/>
          <w:sz w:val="24"/>
          <w:szCs w:val="24"/>
        </w:rPr>
        <w:t xml:space="preserve"> </w:t>
      </w:r>
      <w:r w:rsidR="00AD4AB8">
        <w:rPr>
          <w:rFonts w:ascii="Times New Roman" w:hAnsi="Times New Roman" w:cs="Times New Roman"/>
          <w:sz w:val="24"/>
          <w:szCs w:val="24"/>
        </w:rPr>
        <w:t>zarejestrowan</w:t>
      </w:r>
      <w:r w:rsidR="00A60EFB">
        <w:rPr>
          <w:rFonts w:ascii="Times New Roman" w:hAnsi="Times New Roman" w:cs="Times New Roman"/>
          <w:sz w:val="24"/>
          <w:szCs w:val="24"/>
        </w:rPr>
        <w:t>e</w:t>
      </w:r>
      <w:r w:rsidR="00AD4AB8">
        <w:rPr>
          <w:rFonts w:ascii="Times New Roman" w:hAnsi="Times New Roman" w:cs="Times New Roman"/>
          <w:sz w:val="24"/>
          <w:szCs w:val="24"/>
        </w:rPr>
        <w:t xml:space="preserve"> </w:t>
      </w:r>
      <w:r w:rsidR="00A60EFB">
        <w:rPr>
          <w:rFonts w:ascii="Times New Roman" w:hAnsi="Times New Roman" w:cs="Times New Roman"/>
          <w:sz w:val="24"/>
          <w:szCs w:val="24"/>
        </w:rPr>
        <w:t>i</w:t>
      </w:r>
      <w:r w:rsidR="00AD4AB8">
        <w:rPr>
          <w:rFonts w:ascii="Times New Roman" w:hAnsi="Times New Roman" w:cs="Times New Roman"/>
          <w:sz w:val="24"/>
          <w:szCs w:val="24"/>
        </w:rPr>
        <w:t xml:space="preserve"> </w:t>
      </w:r>
      <w:r w:rsidR="00035147" w:rsidRPr="00533970">
        <w:rPr>
          <w:rFonts w:ascii="Times New Roman" w:hAnsi="Times New Roman" w:cs="Times New Roman"/>
          <w:sz w:val="24"/>
          <w:szCs w:val="24"/>
        </w:rPr>
        <w:t xml:space="preserve">zgłoszone </w:t>
      </w:r>
      <w:r w:rsidR="00A60EFB">
        <w:rPr>
          <w:rFonts w:ascii="Times New Roman" w:hAnsi="Times New Roman" w:cs="Times New Roman"/>
          <w:sz w:val="24"/>
          <w:szCs w:val="24"/>
        </w:rPr>
        <w:t>do</w:t>
      </w:r>
      <w:r w:rsidR="00035147" w:rsidRPr="00533970">
        <w:rPr>
          <w:rFonts w:ascii="Times New Roman" w:hAnsi="Times New Roman" w:cs="Times New Roman"/>
          <w:sz w:val="24"/>
          <w:szCs w:val="24"/>
        </w:rPr>
        <w:t xml:space="preserve"> PUP)</w:t>
      </w:r>
      <w:r w:rsidR="00251629">
        <w:rPr>
          <w:rFonts w:ascii="Times New Roman" w:hAnsi="Times New Roman" w:cs="Times New Roman"/>
          <w:sz w:val="24"/>
          <w:szCs w:val="24"/>
        </w:rPr>
        <w:t>,</w:t>
      </w:r>
      <w:r w:rsidR="00E42E36">
        <w:rPr>
          <w:rFonts w:ascii="Times New Roman" w:hAnsi="Times New Roman" w:cs="Times New Roman"/>
          <w:sz w:val="24"/>
          <w:szCs w:val="24"/>
        </w:rPr>
        <w:t xml:space="preserve"> dane zawarte w sprawozdawczości </w:t>
      </w:r>
      <w:r w:rsidR="006D52F1">
        <w:rPr>
          <w:rFonts w:ascii="Times New Roman" w:hAnsi="Times New Roman" w:cs="Times New Roman"/>
          <w:sz w:val="24"/>
          <w:szCs w:val="24"/>
        </w:rPr>
        <w:t xml:space="preserve">trafnie </w:t>
      </w:r>
      <w:r w:rsidR="00F473A7" w:rsidRPr="00533970">
        <w:rPr>
          <w:rFonts w:ascii="Times New Roman" w:hAnsi="Times New Roman" w:cs="Times New Roman"/>
          <w:sz w:val="24"/>
          <w:szCs w:val="24"/>
        </w:rPr>
        <w:t>prezent</w:t>
      </w:r>
      <w:r w:rsidR="00502B61">
        <w:rPr>
          <w:rFonts w:ascii="Times New Roman" w:hAnsi="Times New Roman" w:cs="Times New Roman"/>
          <w:sz w:val="24"/>
          <w:szCs w:val="24"/>
        </w:rPr>
        <w:t>uj</w:t>
      </w:r>
      <w:r w:rsidR="00AD4AB8">
        <w:rPr>
          <w:rFonts w:ascii="Times New Roman" w:hAnsi="Times New Roman" w:cs="Times New Roman"/>
          <w:sz w:val="24"/>
          <w:szCs w:val="24"/>
        </w:rPr>
        <w:t>ą</w:t>
      </w:r>
      <w:r w:rsidR="00502B61">
        <w:rPr>
          <w:rFonts w:ascii="Times New Roman" w:hAnsi="Times New Roman" w:cs="Times New Roman"/>
          <w:sz w:val="24"/>
          <w:szCs w:val="24"/>
        </w:rPr>
        <w:t xml:space="preserve"> </w:t>
      </w:r>
      <w:r w:rsidR="00AD4AB8">
        <w:rPr>
          <w:rFonts w:ascii="Times New Roman" w:hAnsi="Times New Roman" w:cs="Times New Roman"/>
          <w:sz w:val="24"/>
          <w:szCs w:val="24"/>
        </w:rPr>
        <w:t xml:space="preserve">procesy </w:t>
      </w:r>
      <w:r w:rsidR="00E42E36">
        <w:rPr>
          <w:rFonts w:ascii="Times New Roman" w:hAnsi="Times New Roman" w:cs="Times New Roman"/>
          <w:sz w:val="24"/>
          <w:szCs w:val="24"/>
        </w:rPr>
        <w:t>odnotowane</w:t>
      </w:r>
      <w:r w:rsidR="00566AC0">
        <w:rPr>
          <w:rFonts w:ascii="Times New Roman" w:hAnsi="Times New Roman" w:cs="Times New Roman"/>
          <w:sz w:val="24"/>
          <w:szCs w:val="24"/>
        </w:rPr>
        <w:t xml:space="preserve"> </w:t>
      </w:r>
      <w:r w:rsidR="00E42E36">
        <w:rPr>
          <w:rFonts w:ascii="Times New Roman" w:hAnsi="Times New Roman" w:cs="Times New Roman"/>
          <w:sz w:val="24"/>
          <w:szCs w:val="24"/>
        </w:rPr>
        <w:t>dl</w:t>
      </w:r>
      <w:r w:rsidR="00566AC0">
        <w:rPr>
          <w:rFonts w:ascii="Times New Roman" w:hAnsi="Times New Roman" w:cs="Times New Roman"/>
          <w:sz w:val="24"/>
          <w:szCs w:val="24"/>
        </w:rPr>
        <w:t xml:space="preserve">a </w:t>
      </w:r>
      <w:r w:rsidR="00533970" w:rsidRPr="00533970">
        <w:rPr>
          <w:rFonts w:ascii="Times New Roman" w:hAnsi="Times New Roman" w:cs="Times New Roman"/>
          <w:sz w:val="24"/>
          <w:szCs w:val="24"/>
        </w:rPr>
        <w:t xml:space="preserve">znacznej części </w:t>
      </w:r>
      <w:r w:rsidR="00035147" w:rsidRPr="00533970">
        <w:rPr>
          <w:rFonts w:ascii="Times New Roman" w:hAnsi="Times New Roman" w:cs="Times New Roman"/>
          <w:sz w:val="24"/>
          <w:szCs w:val="24"/>
        </w:rPr>
        <w:t>rynku</w:t>
      </w:r>
      <w:r w:rsidR="00AD4AB8">
        <w:rPr>
          <w:rFonts w:ascii="Times New Roman" w:hAnsi="Times New Roman" w:cs="Times New Roman"/>
          <w:sz w:val="24"/>
          <w:szCs w:val="24"/>
        </w:rPr>
        <w:t>.</w:t>
      </w:r>
    </w:p>
    <w:p w:rsidR="00912F37" w:rsidRDefault="00912F37" w:rsidP="00B063CD">
      <w:pPr>
        <w:spacing w:after="0" w:line="360" w:lineRule="auto"/>
        <w:ind w:firstLine="709"/>
        <w:jc w:val="both"/>
        <w:rPr>
          <w:rFonts w:ascii="Times New Roman" w:hAnsi="Times New Roman" w:cs="Times New Roman"/>
          <w:sz w:val="24"/>
          <w:szCs w:val="24"/>
        </w:rPr>
      </w:pPr>
    </w:p>
    <w:p w:rsidR="006D52F1" w:rsidRDefault="00AD4AB8" w:rsidP="00B063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Liczbę </w:t>
      </w:r>
      <w:r w:rsidR="007B617D">
        <w:rPr>
          <w:rFonts w:ascii="Times New Roman" w:hAnsi="Times New Roman" w:cs="Times New Roman"/>
          <w:sz w:val="24"/>
          <w:szCs w:val="24"/>
        </w:rPr>
        <w:t xml:space="preserve">bezrobotnych czy </w:t>
      </w:r>
      <w:r>
        <w:rPr>
          <w:rFonts w:ascii="Times New Roman" w:hAnsi="Times New Roman" w:cs="Times New Roman"/>
          <w:sz w:val="24"/>
          <w:szCs w:val="24"/>
        </w:rPr>
        <w:t xml:space="preserve">ofert można potraktować tak jak </w:t>
      </w:r>
      <w:r w:rsidR="00035147" w:rsidRPr="00533970">
        <w:rPr>
          <w:rFonts w:ascii="Times New Roman" w:hAnsi="Times New Roman" w:cs="Times New Roman"/>
          <w:sz w:val="24"/>
          <w:szCs w:val="24"/>
        </w:rPr>
        <w:t>prób</w:t>
      </w:r>
      <w:r>
        <w:rPr>
          <w:rFonts w:ascii="Times New Roman" w:hAnsi="Times New Roman" w:cs="Times New Roman"/>
          <w:sz w:val="24"/>
          <w:szCs w:val="24"/>
        </w:rPr>
        <w:t>ę</w:t>
      </w:r>
      <w:r w:rsidR="00035147" w:rsidRPr="00533970">
        <w:rPr>
          <w:rFonts w:ascii="Times New Roman" w:hAnsi="Times New Roman" w:cs="Times New Roman"/>
          <w:sz w:val="24"/>
          <w:szCs w:val="24"/>
        </w:rPr>
        <w:t xml:space="preserve"> </w:t>
      </w:r>
      <w:r w:rsidR="006D52F1">
        <w:rPr>
          <w:rFonts w:ascii="Times New Roman" w:hAnsi="Times New Roman" w:cs="Times New Roman"/>
          <w:sz w:val="24"/>
          <w:szCs w:val="24"/>
        </w:rPr>
        <w:t xml:space="preserve">z </w:t>
      </w:r>
      <w:r w:rsidR="00F63A42">
        <w:rPr>
          <w:rFonts w:ascii="Times New Roman" w:hAnsi="Times New Roman" w:cs="Times New Roman"/>
          <w:sz w:val="24"/>
          <w:szCs w:val="24"/>
        </w:rPr>
        <w:t xml:space="preserve">badanego segmentu </w:t>
      </w:r>
      <w:r>
        <w:rPr>
          <w:rFonts w:ascii="Times New Roman" w:hAnsi="Times New Roman" w:cs="Times New Roman"/>
          <w:sz w:val="24"/>
          <w:szCs w:val="24"/>
        </w:rPr>
        <w:t xml:space="preserve">rynku, która podobnie jak próbka </w:t>
      </w:r>
      <w:r w:rsidR="00A60EFB">
        <w:rPr>
          <w:rFonts w:ascii="Times New Roman" w:hAnsi="Times New Roman" w:cs="Times New Roman"/>
          <w:sz w:val="24"/>
          <w:szCs w:val="24"/>
        </w:rPr>
        <w:t>z</w:t>
      </w:r>
      <w:r>
        <w:rPr>
          <w:rFonts w:ascii="Times New Roman" w:hAnsi="Times New Roman" w:cs="Times New Roman"/>
          <w:sz w:val="24"/>
          <w:szCs w:val="24"/>
        </w:rPr>
        <w:t xml:space="preserve"> bada</w:t>
      </w:r>
      <w:r w:rsidR="00A60EFB">
        <w:rPr>
          <w:rFonts w:ascii="Times New Roman" w:hAnsi="Times New Roman" w:cs="Times New Roman"/>
          <w:sz w:val="24"/>
          <w:szCs w:val="24"/>
        </w:rPr>
        <w:t>ń</w:t>
      </w:r>
      <w:r>
        <w:rPr>
          <w:rFonts w:ascii="Times New Roman" w:hAnsi="Times New Roman" w:cs="Times New Roman"/>
          <w:sz w:val="24"/>
          <w:szCs w:val="24"/>
        </w:rPr>
        <w:t xml:space="preserve"> socjologicznych</w:t>
      </w:r>
      <w:r w:rsidR="000A3537">
        <w:rPr>
          <w:rFonts w:ascii="Times New Roman" w:hAnsi="Times New Roman" w:cs="Times New Roman"/>
          <w:sz w:val="24"/>
          <w:szCs w:val="24"/>
        </w:rPr>
        <w:t>,</w:t>
      </w:r>
      <w:r w:rsidR="00A60EFB">
        <w:rPr>
          <w:rFonts w:ascii="Times New Roman" w:hAnsi="Times New Roman" w:cs="Times New Roman"/>
          <w:sz w:val="24"/>
          <w:szCs w:val="24"/>
        </w:rPr>
        <w:t xml:space="preserve"> </w:t>
      </w:r>
      <w:r w:rsidR="00035147" w:rsidRPr="00533970">
        <w:rPr>
          <w:rFonts w:ascii="Times New Roman" w:hAnsi="Times New Roman" w:cs="Times New Roman"/>
          <w:sz w:val="24"/>
          <w:szCs w:val="24"/>
        </w:rPr>
        <w:t xml:space="preserve">nie </w:t>
      </w:r>
      <w:r w:rsidR="009B7A48" w:rsidRPr="00533970">
        <w:rPr>
          <w:rFonts w:ascii="Times New Roman" w:hAnsi="Times New Roman" w:cs="Times New Roman"/>
          <w:sz w:val="24"/>
          <w:szCs w:val="24"/>
        </w:rPr>
        <w:t xml:space="preserve">obejmuje </w:t>
      </w:r>
      <w:r w:rsidR="00035147" w:rsidRPr="00533970">
        <w:rPr>
          <w:rFonts w:ascii="Times New Roman" w:hAnsi="Times New Roman" w:cs="Times New Roman"/>
          <w:sz w:val="24"/>
          <w:szCs w:val="24"/>
        </w:rPr>
        <w:t>wszystkich badanych jednostek</w:t>
      </w:r>
      <w:r>
        <w:rPr>
          <w:rFonts w:ascii="Times New Roman" w:hAnsi="Times New Roman" w:cs="Times New Roman"/>
          <w:sz w:val="24"/>
          <w:szCs w:val="24"/>
        </w:rPr>
        <w:t xml:space="preserve">. </w:t>
      </w:r>
      <w:r w:rsidR="00A60EFB">
        <w:rPr>
          <w:rFonts w:ascii="Times New Roman" w:hAnsi="Times New Roman" w:cs="Times New Roman"/>
          <w:sz w:val="24"/>
          <w:szCs w:val="24"/>
        </w:rPr>
        <w:t>Jednak p</w:t>
      </w:r>
      <w:r>
        <w:rPr>
          <w:rFonts w:ascii="Times New Roman" w:hAnsi="Times New Roman" w:cs="Times New Roman"/>
          <w:sz w:val="24"/>
          <w:szCs w:val="24"/>
        </w:rPr>
        <w:t xml:space="preserve">o </w:t>
      </w:r>
      <w:r w:rsidR="00E42E36">
        <w:rPr>
          <w:rFonts w:ascii="Times New Roman" w:hAnsi="Times New Roman" w:cs="Times New Roman"/>
          <w:sz w:val="24"/>
          <w:szCs w:val="24"/>
        </w:rPr>
        <w:t>właściwej interpretacji wybranych w</w:t>
      </w:r>
      <w:r w:rsidR="006D52F1">
        <w:rPr>
          <w:rFonts w:ascii="Times New Roman" w:hAnsi="Times New Roman" w:cs="Times New Roman"/>
          <w:sz w:val="24"/>
          <w:szCs w:val="24"/>
        </w:rPr>
        <w:t xml:space="preserve">artości </w:t>
      </w:r>
      <w:r w:rsidR="00E42E36">
        <w:rPr>
          <w:rFonts w:ascii="Times New Roman" w:hAnsi="Times New Roman" w:cs="Times New Roman"/>
          <w:sz w:val="24"/>
          <w:szCs w:val="24"/>
        </w:rPr>
        <w:t>liczbowych według osi czasu</w:t>
      </w:r>
      <w:r w:rsidR="006D52F1">
        <w:rPr>
          <w:rFonts w:ascii="Times New Roman" w:hAnsi="Times New Roman" w:cs="Times New Roman"/>
          <w:sz w:val="24"/>
          <w:szCs w:val="24"/>
        </w:rPr>
        <w:t>,</w:t>
      </w:r>
      <w:r>
        <w:rPr>
          <w:rFonts w:ascii="Times New Roman" w:hAnsi="Times New Roman" w:cs="Times New Roman"/>
          <w:sz w:val="24"/>
          <w:szCs w:val="24"/>
        </w:rPr>
        <w:t xml:space="preserve"> możemy diagnozować</w:t>
      </w:r>
      <w:r w:rsidR="00566AC0">
        <w:rPr>
          <w:rFonts w:ascii="Times New Roman" w:hAnsi="Times New Roman" w:cs="Times New Roman"/>
          <w:sz w:val="24"/>
          <w:szCs w:val="24"/>
        </w:rPr>
        <w:t xml:space="preserve"> </w:t>
      </w:r>
      <w:r w:rsidR="00A60EFB">
        <w:rPr>
          <w:rFonts w:ascii="Times New Roman" w:hAnsi="Times New Roman" w:cs="Times New Roman"/>
          <w:sz w:val="24"/>
          <w:szCs w:val="24"/>
        </w:rPr>
        <w:t>i</w:t>
      </w:r>
      <w:r w:rsidR="00566AC0">
        <w:rPr>
          <w:rFonts w:ascii="Times New Roman" w:hAnsi="Times New Roman" w:cs="Times New Roman"/>
          <w:sz w:val="24"/>
          <w:szCs w:val="24"/>
        </w:rPr>
        <w:t xml:space="preserve"> </w:t>
      </w:r>
      <w:r>
        <w:rPr>
          <w:rFonts w:ascii="Times New Roman" w:hAnsi="Times New Roman" w:cs="Times New Roman"/>
          <w:sz w:val="24"/>
          <w:szCs w:val="24"/>
        </w:rPr>
        <w:t>prognozować</w:t>
      </w:r>
      <w:r w:rsidR="00E42E36">
        <w:rPr>
          <w:rFonts w:ascii="Times New Roman" w:hAnsi="Times New Roman" w:cs="Times New Roman"/>
          <w:sz w:val="24"/>
          <w:szCs w:val="24"/>
        </w:rPr>
        <w:t xml:space="preserve"> w sposób adekwatny do </w:t>
      </w:r>
      <w:r w:rsidR="00F63A42">
        <w:rPr>
          <w:rFonts w:ascii="Times New Roman" w:hAnsi="Times New Roman" w:cs="Times New Roman"/>
          <w:sz w:val="24"/>
          <w:szCs w:val="24"/>
        </w:rPr>
        <w:t xml:space="preserve">następujących </w:t>
      </w:r>
      <w:r w:rsidR="00251629">
        <w:rPr>
          <w:rFonts w:ascii="Times New Roman" w:hAnsi="Times New Roman" w:cs="Times New Roman"/>
          <w:sz w:val="24"/>
          <w:szCs w:val="24"/>
        </w:rPr>
        <w:t>kolejno zdarzeń</w:t>
      </w:r>
      <w:r w:rsidR="00035147" w:rsidRPr="00533970">
        <w:rPr>
          <w:rFonts w:ascii="Times New Roman" w:hAnsi="Times New Roman" w:cs="Times New Roman"/>
          <w:sz w:val="24"/>
          <w:szCs w:val="24"/>
        </w:rPr>
        <w:t>.</w:t>
      </w:r>
    </w:p>
    <w:p w:rsidR="00C72806" w:rsidRDefault="00035147" w:rsidP="00B063CD">
      <w:pPr>
        <w:spacing w:after="0" w:line="360" w:lineRule="auto"/>
        <w:ind w:firstLine="709"/>
        <w:jc w:val="both"/>
        <w:rPr>
          <w:rFonts w:ascii="Times New Roman" w:hAnsi="Times New Roman" w:cs="Times New Roman"/>
          <w:sz w:val="24"/>
          <w:szCs w:val="24"/>
        </w:rPr>
      </w:pPr>
      <w:r w:rsidRPr="00B04D81">
        <w:rPr>
          <w:rFonts w:ascii="Times New Roman" w:hAnsi="Times New Roman" w:cs="Times New Roman"/>
          <w:sz w:val="24"/>
          <w:szCs w:val="24"/>
        </w:rPr>
        <w:t xml:space="preserve">Sytuacja </w:t>
      </w:r>
      <w:r w:rsidR="00481546" w:rsidRPr="00B04D81">
        <w:rPr>
          <w:rFonts w:ascii="Times New Roman" w:hAnsi="Times New Roman" w:cs="Times New Roman"/>
          <w:sz w:val="24"/>
          <w:szCs w:val="24"/>
        </w:rPr>
        <w:t xml:space="preserve">z poprzedniego roku </w:t>
      </w:r>
      <w:r w:rsidR="00F1671B">
        <w:rPr>
          <w:rFonts w:ascii="Times New Roman" w:hAnsi="Times New Roman" w:cs="Times New Roman"/>
          <w:sz w:val="24"/>
          <w:szCs w:val="24"/>
        </w:rPr>
        <w:t>stabilizowała się</w:t>
      </w:r>
      <w:r w:rsidR="00481546" w:rsidRPr="00B04D81">
        <w:rPr>
          <w:rFonts w:ascii="Times New Roman" w:hAnsi="Times New Roman" w:cs="Times New Roman"/>
          <w:sz w:val="24"/>
          <w:szCs w:val="24"/>
        </w:rPr>
        <w:t xml:space="preserve">. </w:t>
      </w:r>
      <w:r w:rsidR="00CA28E5" w:rsidRPr="00B04D81">
        <w:rPr>
          <w:rFonts w:ascii="Times New Roman" w:hAnsi="Times New Roman" w:cs="Times New Roman"/>
          <w:sz w:val="24"/>
          <w:szCs w:val="24"/>
        </w:rPr>
        <w:t xml:space="preserve">Okresowa stagnacja nastąpiła </w:t>
      </w:r>
      <w:r w:rsidR="00481546" w:rsidRPr="00B04D81">
        <w:rPr>
          <w:rFonts w:ascii="Times New Roman" w:hAnsi="Times New Roman" w:cs="Times New Roman"/>
          <w:sz w:val="24"/>
          <w:szCs w:val="24"/>
        </w:rPr>
        <w:t xml:space="preserve">tylko </w:t>
      </w:r>
      <w:r w:rsidR="00CA28E5" w:rsidRPr="00B04D81">
        <w:rPr>
          <w:rFonts w:ascii="Times New Roman" w:hAnsi="Times New Roman" w:cs="Times New Roman"/>
          <w:sz w:val="24"/>
          <w:szCs w:val="24"/>
        </w:rPr>
        <w:t>w</w:t>
      </w:r>
      <w:r w:rsidR="00F1671B">
        <w:rPr>
          <w:rFonts w:ascii="Times New Roman" w:hAnsi="Times New Roman" w:cs="Times New Roman"/>
          <w:sz w:val="24"/>
          <w:szCs w:val="24"/>
        </w:rPr>
        <w:t> </w:t>
      </w:r>
      <w:r w:rsidR="00CA28E5" w:rsidRPr="00B04D81">
        <w:rPr>
          <w:rFonts w:ascii="Times New Roman" w:hAnsi="Times New Roman" w:cs="Times New Roman"/>
          <w:sz w:val="24"/>
          <w:szCs w:val="24"/>
        </w:rPr>
        <w:t xml:space="preserve">nielicznych </w:t>
      </w:r>
      <w:r w:rsidR="00481546" w:rsidRPr="00B04D81">
        <w:rPr>
          <w:rFonts w:ascii="Times New Roman" w:hAnsi="Times New Roman" w:cs="Times New Roman"/>
          <w:sz w:val="24"/>
          <w:szCs w:val="24"/>
        </w:rPr>
        <w:t>branż</w:t>
      </w:r>
      <w:r w:rsidR="00CA28E5" w:rsidRPr="00B04D81">
        <w:rPr>
          <w:rFonts w:ascii="Times New Roman" w:hAnsi="Times New Roman" w:cs="Times New Roman"/>
          <w:sz w:val="24"/>
          <w:szCs w:val="24"/>
        </w:rPr>
        <w:t xml:space="preserve">ach, a jej zakres udało się ograniczyć. Brak </w:t>
      </w:r>
      <w:r w:rsidR="0015715F">
        <w:rPr>
          <w:rFonts w:ascii="Times New Roman" w:hAnsi="Times New Roman" w:cs="Times New Roman"/>
          <w:sz w:val="24"/>
          <w:szCs w:val="24"/>
        </w:rPr>
        <w:t xml:space="preserve">nowych </w:t>
      </w:r>
      <w:r w:rsidR="00CA28E5" w:rsidRPr="00B04D81">
        <w:rPr>
          <w:rFonts w:ascii="Times New Roman" w:hAnsi="Times New Roman" w:cs="Times New Roman"/>
          <w:sz w:val="24"/>
          <w:szCs w:val="24"/>
        </w:rPr>
        <w:t>inwestycji</w:t>
      </w:r>
      <w:r w:rsidR="0015715F">
        <w:rPr>
          <w:rFonts w:ascii="Times New Roman" w:hAnsi="Times New Roman" w:cs="Times New Roman"/>
          <w:sz w:val="24"/>
          <w:szCs w:val="24"/>
        </w:rPr>
        <w:t xml:space="preserve"> </w:t>
      </w:r>
      <w:r w:rsidR="00E42E36" w:rsidRPr="00B04D81">
        <w:rPr>
          <w:rFonts w:ascii="Times New Roman" w:hAnsi="Times New Roman" w:cs="Times New Roman"/>
          <w:sz w:val="24"/>
          <w:szCs w:val="24"/>
        </w:rPr>
        <w:t>w</w:t>
      </w:r>
      <w:r w:rsidR="0015715F">
        <w:rPr>
          <w:rFonts w:ascii="Times New Roman" w:hAnsi="Times New Roman" w:cs="Times New Roman"/>
          <w:sz w:val="24"/>
          <w:szCs w:val="24"/>
        </w:rPr>
        <w:t xml:space="preserve"> produkcji przemysłowej </w:t>
      </w:r>
      <w:r w:rsidR="00E42E36" w:rsidRPr="00B04D81">
        <w:rPr>
          <w:rFonts w:ascii="Times New Roman" w:hAnsi="Times New Roman" w:cs="Times New Roman"/>
          <w:sz w:val="24"/>
          <w:szCs w:val="24"/>
        </w:rPr>
        <w:t>w II, III i IV kwartale 2020 roku</w:t>
      </w:r>
      <w:r w:rsidR="00C755BB">
        <w:rPr>
          <w:rFonts w:ascii="Times New Roman" w:hAnsi="Times New Roman" w:cs="Times New Roman"/>
          <w:sz w:val="24"/>
          <w:szCs w:val="24"/>
        </w:rPr>
        <w:t xml:space="preserve"> </w:t>
      </w:r>
      <w:r w:rsidR="00CA28E5" w:rsidRPr="00B04D81">
        <w:rPr>
          <w:rFonts w:ascii="Times New Roman" w:hAnsi="Times New Roman" w:cs="Times New Roman"/>
          <w:sz w:val="24"/>
          <w:szCs w:val="24"/>
        </w:rPr>
        <w:t>z</w:t>
      </w:r>
      <w:r w:rsidR="00C755BB">
        <w:rPr>
          <w:rFonts w:ascii="Times New Roman" w:hAnsi="Times New Roman" w:cs="Times New Roman"/>
          <w:sz w:val="24"/>
          <w:szCs w:val="24"/>
        </w:rPr>
        <w:t xml:space="preserve"> powodu </w:t>
      </w:r>
      <w:r w:rsidR="00CA28E5" w:rsidRPr="00B04D81">
        <w:rPr>
          <w:rFonts w:ascii="Times New Roman" w:hAnsi="Times New Roman" w:cs="Times New Roman"/>
          <w:sz w:val="24"/>
          <w:szCs w:val="24"/>
        </w:rPr>
        <w:t>pandemii</w:t>
      </w:r>
      <w:r w:rsidR="006C2296">
        <w:rPr>
          <w:rFonts w:ascii="Times New Roman" w:hAnsi="Times New Roman" w:cs="Times New Roman"/>
          <w:sz w:val="24"/>
          <w:szCs w:val="24"/>
        </w:rPr>
        <w:t>,</w:t>
      </w:r>
      <w:r w:rsidR="00CA28E5" w:rsidRPr="00B04D81">
        <w:rPr>
          <w:rFonts w:ascii="Times New Roman" w:hAnsi="Times New Roman" w:cs="Times New Roman"/>
          <w:sz w:val="24"/>
          <w:szCs w:val="24"/>
        </w:rPr>
        <w:t xml:space="preserve"> </w:t>
      </w:r>
      <w:r w:rsidR="00C755BB">
        <w:rPr>
          <w:rFonts w:ascii="Times New Roman" w:hAnsi="Times New Roman" w:cs="Times New Roman"/>
          <w:sz w:val="24"/>
          <w:szCs w:val="24"/>
        </w:rPr>
        <w:t>warunkował</w:t>
      </w:r>
      <w:r w:rsidR="00E42E36" w:rsidRPr="00B04D81">
        <w:rPr>
          <w:rFonts w:ascii="Times New Roman" w:hAnsi="Times New Roman" w:cs="Times New Roman"/>
          <w:sz w:val="24"/>
          <w:szCs w:val="24"/>
        </w:rPr>
        <w:t> </w:t>
      </w:r>
      <w:r w:rsidR="00CA28E5" w:rsidRPr="00B04D81">
        <w:rPr>
          <w:rFonts w:ascii="Times New Roman" w:hAnsi="Times New Roman" w:cs="Times New Roman"/>
          <w:sz w:val="24"/>
          <w:szCs w:val="24"/>
        </w:rPr>
        <w:t xml:space="preserve">trudną sytuację w niektórych </w:t>
      </w:r>
      <w:r w:rsidR="00B65BC0">
        <w:rPr>
          <w:rFonts w:ascii="Times New Roman" w:hAnsi="Times New Roman" w:cs="Times New Roman"/>
          <w:sz w:val="24"/>
          <w:szCs w:val="24"/>
        </w:rPr>
        <w:t xml:space="preserve">segmentach </w:t>
      </w:r>
      <w:r w:rsidR="00CA28E5" w:rsidRPr="00B04D81">
        <w:rPr>
          <w:rFonts w:ascii="Times New Roman" w:hAnsi="Times New Roman" w:cs="Times New Roman"/>
          <w:sz w:val="24"/>
          <w:szCs w:val="24"/>
        </w:rPr>
        <w:t>rynku</w:t>
      </w:r>
      <w:r w:rsidR="00C755BB">
        <w:rPr>
          <w:rFonts w:ascii="Times New Roman" w:hAnsi="Times New Roman" w:cs="Times New Roman"/>
          <w:sz w:val="24"/>
          <w:szCs w:val="24"/>
        </w:rPr>
        <w:t>.</w:t>
      </w:r>
      <w:r w:rsidR="00CA28E5" w:rsidRPr="00B04D81">
        <w:rPr>
          <w:rFonts w:ascii="Times New Roman" w:hAnsi="Times New Roman" w:cs="Times New Roman"/>
          <w:sz w:val="24"/>
          <w:szCs w:val="24"/>
        </w:rPr>
        <w:t xml:space="preserve"> </w:t>
      </w:r>
      <w:r w:rsidR="00C755BB">
        <w:rPr>
          <w:rFonts w:ascii="Times New Roman" w:hAnsi="Times New Roman" w:cs="Times New Roman"/>
          <w:sz w:val="24"/>
          <w:szCs w:val="24"/>
        </w:rPr>
        <w:t>Z</w:t>
      </w:r>
      <w:r w:rsidR="00481546" w:rsidRPr="00B04D81">
        <w:rPr>
          <w:rFonts w:ascii="Times New Roman" w:hAnsi="Times New Roman" w:cs="Times New Roman"/>
          <w:sz w:val="24"/>
          <w:szCs w:val="24"/>
        </w:rPr>
        <w:t>naczn</w:t>
      </w:r>
      <w:r w:rsidR="00CA28E5" w:rsidRPr="00B04D81">
        <w:rPr>
          <w:rFonts w:ascii="Times New Roman" w:hAnsi="Times New Roman" w:cs="Times New Roman"/>
          <w:sz w:val="24"/>
          <w:szCs w:val="24"/>
        </w:rPr>
        <w:t>y</w:t>
      </w:r>
      <w:r w:rsidR="00481546" w:rsidRPr="00B04D81">
        <w:rPr>
          <w:rFonts w:ascii="Times New Roman" w:hAnsi="Times New Roman" w:cs="Times New Roman"/>
          <w:sz w:val="24"/>
          <w:szCs w:val="24"/>
        </w:rPr>
        <w:t xml:space="preserve"> </w:t>
      </w:r>
      <w:r w:rsidR="00CA28E5" w:rsidRPr="00B04D81">
        <w:rPr>
          <w:rFonts w:ascii="Times New Roman" w:hAnsi="Times New Roman" w:cs="Times New Roman"/>
          <w:sz w:val="24"/>
          <w:szCs w:val="24"/>
        </w:rPr>
        <w:t xml:space="preserve">poziom </w:t>
      </w:r>
      <w:r w:rsidR="00481546" w:rsidRPr="00B04D81">
        <w:rPr>
          <w:rFonts w:ascii="Times New Roman" w:hAnsi="Times New Roman" w:cs="Times New Roman"/>
          <w:sz w:val="24"/>
          <w:szCs w:val="24"/>
        </w:rPr>
        <w:t xml:space="preserve">uzależnienia </w:t>
      </w:r>
      <w:r w:rsidR="006C2296">
        <w:rPr>
          <w:rFonts w:ascii="Times New Roman" w:hAnsi="Times New Roman" w:cs="Times New Roman"/>
          <w:sz w:val="24"/>
          <w:szCs w:val="24"/>
        </w:rPr>
        <w:t xml:space="preserve">się wielkich i dużych </w:t>
      </w:r>
      <w:r w:rsidR="00481546" w:rsidRPr="00B04D81">
        <w:rPr>
          <w:rFonts w:ascii="Times New Roman" w:hAnsi="Times New Roman" w:cs="Times New Roman"/>
          <w:sz w:val="24"/>
          <w:szCs w:val="24"/>
        </w:rPr>
        <w:t xml:space="preserve">firm </w:t>
      </w:r>
      <w:r w:rsidR="006C2296">
        <w:rPr>
          <w:rFonts w:ascii="Times New Roman" w:hAnsi="Times New Roman" w:cs="Times New Roman"/>
          <w:sz w:val="24"/>
          <w:szCs w:val="24"/>
        </w:rPr>
        <w:t xml:space="preserve">w regionie </w:t>
      </w:r>
      <w:r w:rsidR="00481546" w:rsidRPr="00B04D81">
        <w:rPr>
          <w:rFonts w:ascii="Times New Roman" w:hAnsi="Times New Roman" w:cs="Times New Roman"/>
          <w:sz w:val="24"/>
          <w:szCs w:val="24"/>
        </w:rPr>
        <w:t xml:space="preserve">od zbytu </w:t>
      </w:r>
      <w:r w:rsidR="00E42E36" w:rsidRPr="00B04D81">
        <w:rPr>
          <w:rFonts w:ascii="Times New Roman" w:hAnsi="Times New Roman" w:cs="Times New Roman"/>
          <w:sz w:val="24"/>
          <w:szCs w:val="24"/>
        </w:rPr>
        <w:t>realizowanego</w:t>
      </w:r>
      <w:r w:rsidR="00481546" w:rsidRPr="00B04D81">
        <w:rPr>
          <w:rFonts w:ascii="Times New Roman" w:hAnsi="Times New Roman" w:cs="Times New Roman"/>
          <w:sz w:val="24"/>
          <w:szCs w:val="24"/>
        </w:rPr>
        <w:t xml:space="preserve"> przez zagranicznych kooperantów</w:t>
      </w:r>
      <w:r w:rsidR="00C755BB">
        <w:rPr>
          <w:rFonts w:ascii="Times New Roman" w:hAnsi="Times New Roman" w:cs="Times New Roman"/>
          <w:sz w:val="24"/>
          <w:szCs w:val="24"/>
        </w:rPr>
        <w:t xml:space="preserve"> również przyczyniał się do ograniczeń w inwestycjach</w:t>
      </w:r>
      <w:r w:rsidR="00CA28E5" w:rsidRPr="00B04D81">
        <w:rPr>
          <w:rFonts w:ascii="Times New Roman" w:hAnsi="Times New Roman" w:cs="Times New Roman"/>
          <w:sz w:val="24"/>
          <w:szCs w:val="24"/>
        </w:rPr>
        <w:t xml:space="preserve">. Innym powodem był </w:t>
      </w:r>
      <w:r w:rsidR="00481546" w:rsidRPr="00B04D81">
        <w:rPr>
          <w:rFonts w:ascii="Times New Roman" w:hAnsi="Times New Roman" w:cs="Times New Roman"/>
          <w:sz w:val="24"/>
          <w:szCs w:val="24"/>
        </w:rPr>
        <w:t>brak strategii rozwoju niezależnego</w:t>
      </w:r>
      <w:r w:rsidR="006C2296">
        <w:rPr>
          <w:rFonts w:ascii="Times New Roman" w:hAnsi="Times New Roman" w:cs="Times New Roman"/>
          <w:sz w:val="24"/>
          <w:szCs w:val="24"/>
        </w:rPr>
        <w:t xml:space="preserve"> </w:t>
      </w:r>
      <w:r w:rsidR="006C2296" w:rsidRPr="00B04D81">
        <w:rPr>
          <w:rFonts w:ascii="Times New Roman" w:hAnsi="Times New Roman" w:cs="Times New Roman"/>
          <w:sz w:val="24"/>
          <w:szCs w:val="24"/>
        </w:rPr>
        <w:t xml:space="preserve">od </w:t>
      </w:r>
      <w:r w:rsidR="006C2296">
        <w:rPr>
          <w:rFonts w:ascii="Times New Roman" w:hAnsi="Times New Roman" w:cs="Times New Roman"/>
          <w:sz w:val="24"/>
          <w:szCs w:val="24"/>
        </w:rPr>
        <w:t>współpracy kooperacyjnej,</w:t>
      </w:r>
      <w:r w:rsidR="00481546" w:rsidRPr="00B04D81">
        <w:rPr>
          <w:rFonts w:ascii="Times New Roman" w:hAnsi="Times New Roman" w:cs="Times New Roman"/>
          <w:sz w:val="24"/>
          <w:szCs w:val="24"/>
        </w:rPr>
        <w:t xml:space="preserve"> </w:t>
      </w:r>
      <w:r w:rsidR="006C2296">
        <w:rPr>
          <w:rFonts w:ascii="Times New Roman" w:hAnsi="Times New Roman" w:cs="Times New Roman"/>
          <w:sz w:val="24"/>
          <w:szCs w:val="24"/>
        </w:rPr>
        <w:t>w przypadku wystąpienia sytuacji kryzysowych</w:t>
      </w:r>
      <w:r w:rsidR="00C755BB">
        <w:rPr>
          <w:rFonts w:ascii="Times New Roman" w:hAnsi="Times New Roman" w:cs="Times New Roman"/>
          <w:sz w:val="24"/>
          <w:szCs w:val="24"/>
        </w:rPr>
        <w:t>. R</w:t>
      </w:r>
      <w:r w:rsidR="00C755BB" w:rsidRPr="00B04D81">
        <w:rPr>
          <w:rFonts w:ascii="Times New Roman" w:hAnsi="Times New Roman" w:cs="Times New Roman"/>
          <w:sz w:val="24"/>
          <w:szCs w:val="24"/>
        </w:rPr>
        <w:t>edukcja zatrudnienia w 2020 roku</w:t>
      </w:r>
      <w:r w:rsidR="00C755BB">
        <w:rPr>
          <w:rFonts w:ascii="Times New Roman" w:hAnsi="Times New Roman" w:cs="Times New Roman"/>
          <w:sz w:val="24"/>
          <w:szCs w:val="24"/>
        </w:rPr>
        <w:t xml:space="preserve"> wynikała ze wszystkich powyższych czynników, ale d</w:t>
      </w:r>
      <w:r w:rsidR="00481546" w:rsidRPr="00B04D81">
        <w:rPr>
          <w:rFonts w:ascii="Times New Roman" w:hAnsi="Times New Roman" w:cs="Times New Roman"/>
          <w:sz w:val="24"/>
          <w:szCs w:val="24"/>
        </w:rPr>
        <w:t xml:space="preserve">zięki interwencji środków </w:t>
      </w:r>
      <w:r w:rsidR="00502B61" w:rsidRPr="00B04D81">
        <w:rPr>
          <w:rFonts w:ascii="Times New Roman" w:hAnsi="Times New Roman" w:cs="Times New Roman"/>
          <w:sz w:val="24"/>
          <w:szCs w:val="24"/>
        </w:rPr>
        <w:t xml:space="preserve">budżetowych </w:t>
      </w:r>
      <w:r w:rsidR="004D2CDA">
        <w:rPr>
          <w:rFonts w:ascii="Times New Roman" w:hAnsi="Times New Roman" w:cs="Times New Roman"/>
          <w:sz w:val="24"/>
          <w:szCs w:val="24"/>
        </w:rPr>
        <w:t xml:space="preserve">(m. in. </w:t>
      </w:r>
      <w:r w:rsidR="00B65BC0">
        <w:rPr>
          <w:rFonts w:ascii="Times New Roman" w:hAnsi="Times New Roman" w:cs="Times New Roman"/>
          <w:sz w:val="24"/>
          <w:szCs w:val="24"/>
        </w:rPr>
        <w:t xml:space="preserve">wiele różnych </w:t>
      </w:r>
      <w:r w:rsidR="004D2CDA">
        <w:rPr>
          <w:rFonts w:ascii="Times New Roman" w:hAnsi="Times New Roman" w:cs="Times New Roman"/>
          <w:sz w:val="24"/>
          <w:szCs w:val="24"/>
        </w:rPr>
        <w:t>tarcz antykryzysow</w:t>
      </w:r>
      <w:r w:rsidR="00B65BC0">
        <w:rPr>
          <w:rFonts w:ascii="Times New Roman" w:hAnsi="Times New Roman" w:cs="Times New Roman"/>
          <w:sz w:val="24"/>
          <w:szCs w:val="24"/>
        </w:rPr>
        <w:t>ych</w:t>
      </w:r>
      <w:r w:rsidR="004D2CDA">
        <w:rPr>
          <w:rFonts w:ascii="Times New Roman" w:hAnsi="Times New Roman" w:cs="Times New Roman"/>
          <w:sz w:val="24"/>
          <w:szCs w:val="24"/>
        </w:rPr>
        <w:t xml:space="preserve">) </w:t>
      </w:r>
      <w:r w:rsidR="00481546" w:rsidRPr="00B04D81">
        <w:rPr>
          <w:rFonts w:ascii="Times New Roman" w:hAnsi="Times New Roman" w:cs="Times New Roman"/>
          <w:sz w:val="24"/>
          <w:szCs w:val="24"/>
        </w:rPr>
        <w:t xml:space="preserve">udało się zminimalizować </w:t>
      </w:r>
      <w:r w:rsidR="004D2CDA">
        <w:rPr>
          <w:rFonts w:ascii="Times New Roman" w:hAnsi="Times New Roman" w:cs="Times New Roman"/>
          <w:sz w:val="24"/>
          <w:szCs w:val="24"/>
        </w:rPr>
        <w:t>poziom zwolnień</w:t>
      </w:r>
      <w:r w:rsidR="00481546" w:rsidRPr="00B04D81">
        <w:rPr>
          <w:rFonts w:ascii="Times New Roman" w:hAnsi="Times New Roman" w:cs="Times New Roman"/>
          <w:sz w:val="24"/>
          <w:szCs w:val="24"/>
        </w:rPr>
        <w:t>.</w:t>
      </w:r>
    </w:p>
    <w:p w:rsidR="00BE7F62" w:rsidRDefault="004D2CDA" w:rsidP="00B063C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W I półroczu 2021 roku n</w:t>
      </w:r>
      <w:r w:rsidR="002C081B">
        <w:rPr>
          <w:rFonts w:ascii="Times New Roman" w:hAnsi="Times New Roman" w:cs="Times New Roman"/>
          <w:sz w:val="24"/>
          <w:szCs w:val="24"/>
        </w:rPr>
        <w:t xml:space="preserve">astąpił </w:t>
      </w:r>
      <w:r w:rsidR="002C081B" w:rsidRPr="002C081B">
        <w:rPr>
          <w:rFonts w:ascii="Times New Roman" w:hAnsi="Times New Roman" w:cs="Times New Roman"/>
          <w:sz w:val="24"/>
          <w:szCs w:val="24"/>
        </w:rPr>
        <w:t>wzrost</w:t>
      </w:r>
      <w:r w:rsidR="00035147" w:rsidRPr="002C081B">
        <w:rPr>
          <w:rFonts w:ascii="Times New Roman" w:hAnsi="Times New Roman" w:cs="Times New Roman"/>
          <w:sz w:val="24"/>
          <w:szCs w:val="24"/>
        </w:rPr>
        <w:t xml:space="preserve"> liczby ofert dostępnych</w:t>
      </w:r>
      <w:r w:rsidR="00A217E2">
        <w:rPr>
          <w:rFonts w:ascii="Times New Roman" w:hAnsi="Times New Roman" w:cs="Times New Roman"/>
          <w:sz w:val="24"/>
          <w:szCs w:val="24"/>
        </w:rPr>
        <w:t xml:space="preserve"> </w:t>
      </w:r>
      <w:r w:rsidR="00035147" w:rsidRPr="002C081B">
        <w:rPr>
          <w:rFonts w:ascii="Times New Roman" w:hAnsi="Times New Roman" w:cs="Times New Roman"/>
          <w:sz w:val="24"/>
          <w:szCs w:val="24"/>
        </w:rPr>
        <w:t>w</w:t>
      </w:r>
      <w:r w:rsidR="00A217E2">
        <w:rPr>
          <w:rFonts w:ascii="Times New Roman" w:hAnsi="Times New Roman" w:cs="Times New Roman"/>
          <w:sz w:val="24"/>
          <w:szCs w:val="24"/>
        </w:rPr>
        <w:t xml:space="preserve"> </w:t>
      </w:r>
      <w:r w:rsidR="009D1017">
        <w:rPr>
          <w:rFonts w:ascii="Times New Roman" w:hAnsi="Times New Roman" w:cs="Times New Roman"/>
          <w:sz w:val="24"/>
          <w:szCs w:val="24"/>
        </w:rPr>
        <w:t>powiatowych urzędach pracy (</w:t>
      </w:r>
      <w:r w:rsidR="00035147" w:rsidRPr="002C081B">
        <w:rPr>
          <w:rFonts w:ascii="Times New Roman" w:hAnsi="Times New Roman" w:cs="Times New Roman"/>
          <w:sz w:val="24"/>
          <w:szCs w:val="24"/>
        </w:rPr>
        <w:t>PUP</w:t>
      </w:r>
      <w:r w:rsidR="009D1017">
        <w:rPr>
          <w:rFonts w:ascii="Times New Roman" w:hAnsi="Times New Roman" w:cs="Times New Roman"/>
          <w:sz w:val="24"/>
          <w:szCs w:val="24"/>
        </w:rPr>
        <w:t>)</w:t>
      </w:r>
      <w:r w:rsidR="00C84065">
        <w:rPr>
          <w:rFonts w:ascii="Times New Roman" w:hAnsi="Times New Roman" w:cs="Times New Roman"/>
          <w:sz w:val="24"/>
          <w:szCs w:val="24"/>
        </w:rPr>
        <w:t xml:space="preserve">, co oznaczało </w:t>
      </w:r>
      <w:r w:rsidR="00B65BC0">
        <w:rPr>
          <w:rFonts w:ascii="Times New Roman" w:hAnsi="Times New Roman" w:cs="Times New Roman"/>
          <w:sz w:val="24"/>
          <w:szCs w:val="24"/>
        </w:rPr>
        <w:t xml:space="preserve">wzrost </w:t>
      </w:r>
      <w:r w:rsidR="00C84065">
        <w:rPr>
          <w:rFonts w:ascii="Times New Roman" w:hAnsi="Times New Roman" w:cs="Times New Roman"/>
          <w:sz w:val="24"/>
          <w:szCs w:val="24"/>
        </w:rPr>
        <w:t xml:space="preserve">popytu na pracowników i </w:t>
      </w:r>
      <w:r w:rsidR="002C081B">
        <w:rPr>
          <w:rFonts w:ascii="Times New Roman" w:hAnsi="Times New Roman" w:cs="Times New Roman"/>
          <w:sz w:val="24"/>
          <w:szCs w:val="24"/>
        </w:rPr>
        <w:t xml:space="preserve">ożywienie </w:t>
      </w:r>
      <w:r w:rsidR="00C84065">
        <w:rPr>
          <w:rFonts w:ascii="Times New Roman" w:hAnsi="Times New Roman" w:cs="Times New Roman"/>
          <w:sz w:val="24"/>
          <w:szCs w:val="24"/>
        </w:rPr>
        <w:t>aktywności inwestorów</w:t>
      </w:r>
      <w:r w:rsidR="002C081B">
        <w:rPr>
          <w:rFonts w:ascii="Times New Roman" w:hAnsi="Times New Roman" w:cs="Times New Roman"/>
          <w:sz w:val="24"/>
          <w:szCs w:val="24"/>
        </w:rPr>
        <w:t>.</w:t>
      </w:r>
      <w:r w:rsidR="00D73EE7">
        <w:rPr>
          <w:rFonts w:ascii="Times New Roman" w:hAnsi="Times New Roman" w:cs="Times New Roman"/>
          <w:sz w:val="24"/>
          <w:szCs w:val="24"/>
        </w:rPr>
        <w:t xml:space="preserve"> </w:t>
      </w:r>
      <w:r w:rsidR="00B65BC0">
        <w:rPr>
          <w:rFonts w:ascii="Times New Roman" w:hAnsi="Times New Roman" w:cs="Times New Roman"/>
          <w:sz w:val="24"/>
          <w:szCs w:val="24"/>
        </w:rPr>
        <w:t xml:space="preserve">Ten pozytywny trend może zostać osłabiony przez </w:t>
      </w:r>
      <w:r w:rsidR="002C081B" w:rsidRPr="005809C8">
        <w:rPr>
          <w:rFonts w:ascii="Times New Roman" w:hAnsi="Times New Roman" w:cs="Times New Roman"/>
          <w:sz w:val="24"/>
          <w:szCs w:val="24"/>
        </w:rPr>
        <w:t>możliw</w:t>
      </w:r>
      <w:r w:rsidR="00B65BC0">
        <w:rPr>
          <w:rFonts w:ascii="Times New Roman" w:hAnsi="Times New Roman" w:cs="Times New Roman"/>
          <w:sz w:val="24"/>
          <w:szCs w:val="24"/>
        </w:rPr>
        <w:t>y</w:t>
      </w:r>
      <w:r w:rsidR="002C081B" w:rsidRPr="005809C8">
        <w:rPr>
          <w:rFonts w:ascii="Times New Roman" w:hAnsi="Times New Roman" w:cs="Times New Roman"/>
          <w:sz w:val="24"/>
          <w:szCs w:val="24"/>
        </w:rPr>
        <w:t xml:space="preserve"> IV</w:t>
      </w:r>
      <w:r w:rsidR="0058591B">
        <w:rPr>
          <w:rFonts w:ascii="Times New Roman" w:hAnsi="Times New Roman" w:cs="Times New Roman"/>
          <w:sz w:val="24"/>
          <w:szCs w:val="24"/>
        </w:rPr>
        <w:t> </w:t>
      </w:r>
      <w:proofErr w:type="spellStart"/>
      <w:r w:rsidR="002C081B" w:rsidRPr="005809C8">
        <w:rPr>
          <w:rFonts w:ascii="Times New Roman" w:hAnsi="Times New Roman" w:cs="Times New Roman"/>
          <w:i/>
          <w:sz w:val="24"/>
          <w:szCs w:val="24"/>
        </w:rPr>
        <w:t>lockdown</w:t>
      </w:r>
      <w:proofErr w:type="spellEnd"/>
      <w:r w:rsidR="002C081B" w:rsidRPr="005809C8">
        <w:rPr>
          <w:rFonts w:ascii="Times New Roman" w:hAnsi="Times New Roman" w:cs="Times New Roman"/>
          <w:sz w:val="24"/>
          <w:szCs w:val="24"/>
        </w:rPr>
        <w:t xml:space="preserve">. </w:t>
      </w:r>
      <w:r w:rsidR="00C84065">
        <w:rPr>
          <w:rFonts w:ascii="Times New Roman" w:hAnsi="Times New Roman" w:cs="Times New Roman"/>
          <w:sz w:val="24"/>
          <w:szCs w:val="24"/>
        </w:rPr>
        <w:t xml:space="preserve">Konsekwencje </w:t>
      </w:r>
      <w:r w:rsidR="00D73EE7" w:rsidRPr="00D73EE7">
        <w:rPr>
          <w:rFonts w:ascii="Times New Roman" w:hAnsi="Times New Roman" w:cs="Times New Roman"/>
          <w:sz w:val="24"/>
          <w:szCs w:val="24"/>
        </w:rPr>
        <w:t xml:space="preserve">SARS-Cov-2 </w:t>
      </w:r>
      <w:r w:rsidR="00F750A3">
        <w:rPr>
          <w:rFonts w:ascii="Times New Roman" w:hAnsi="Times New Roman" w:cs="Times New Roman"/>
          <w:sz w:val="24"/>
          <w:szCs w:val="24"/>
        </w:rPr>
        <w:t xml:space="preserve">będą wówczas </w:t>
      </w:r>
      <w:r w:rsidR="00D73EE7">
        <w:rPr>
          <w:rFonts w:ascii="Times New Roman" w:hAnsi="Times New Roman" w:cs="Times New Roman"/>
          <w:sz w:val="24"/>
          <w:szCs w:val="24"/>
        </w:rPr>
        <w:t>dotyczyć</w:t>
      </w:r>
      <w:r w:rsidR="006B2347">
        <w:rPr>
          <w:rFonts w:ascii="Times New Roman" w:hAnsi="Times New Roman" w:cs="Times New Roman"/>
          <w:sz w:val="24"/>
          <w:szCs w:val="24"/>
        </w:rPr>
        <w:t>,</w:t>
      </w:r>
      <w:r w:rsidR="00D73EE7">
        <w:rPr>
          <w:rFonts w:ascii="Times New Roman" w:hAnsi="Times New Roman" w:cs="Times New Roman"/>
          <w:sz w:val="24"/>
          <w:szCs w:val="24"/>
        </w:rPr>
        <w:t xml:space="preserve"> podobnie jak </w:t>
      </w:r>
      <w:r w:rsidR="00C84065">
        <w:rPr>
          <w:rFonts w:ascii="Times New Roman" w:hAnsi="Times New Roman" w:cs="Times New Roman"/>
          <w:sz w:val="24"/>
          <w:szCs w:val="24"/>
        </w:rPr>
        <w:t>w okresie poprzedniego nasilenia</w:t>
      </w:r>
      <w:r w:rsidR="000B1758">
        <w:rPr>
          <w:rFonts w:ascii="Times New Roman" w:hAnsi="Times New Roman" w:cs="Times New Roman"/>
          <w:sz w:val="24"/>
          <w:szCs w:val="24"/>
        </w:rPr>
        <w:t>,</w:t>
      </w:r>
      <w:r w:rsidR="00D73EE7">
        <w:rPr>
          <w:rFonts w:ascii="Times New Roman" w:hAnsi="Times New Roman" w:cs="Times New Roman"/>
          <w:sz w:val="24"/>
          <w:szCs w:val="24"/>
        </w:rPr>
        <w:t xml:space="preserve"> </w:t>
      </w:r>
      <w:r w:rsidR="00F750A3">
        <w:rPr>
          <w:rFonts w:ascii="Times New Roman" w:hAnsi="Times New Roman" w:cs="Times New Roman"/>
          <w:sz w:val="24"/>
          <w:szCs w:val="24"/>
        </w:rPr>
        <w:t>gorszej</w:t>
      </w:r>
      <w:r w:rsidR="00D73EE7">
        <w:rPr>
          <w:rFonts w:ascii="Times New Roman" w:hAnsi="Times New Roman" w:cs="Times New Roman"/>
          <w:sz w:val="24"/>
          <w:szCs w:val="24"/>
        </w:rPr>
        <w:t xml:space="preserve"> sytuacji w branżach</w:t>
      </w:r>
      <w:r w:rsidR="00D73EE7" w:rsidRPr="00D73EE7">
        <w:rPr>
          <w:rFonts w:ascii="Times New Roman" w:hAnsi="Times New Roman" w:cs="Times New Roman"/>
          <w:sz w:val="24"/>
          <w:szCs w:val="24"/>
        </w:rPr>
        <w:t>, które charakteryzują się koniecznością uczestnictwa dużej grupy osób</w:t>
      </w:r>
      <w:r w:rsidR="00E00C0E">
        <w:rPr>
          <w:rFonts w:ascii="Times New Roman" w:hAnsi="Times New Roman" w:cs="Times New Roman"/>
          <w:sz w:val="24"/>
          <w:szCs w:val="24"/>
        </w:rPr>
        <w:t xml:space="preserve"> </w:t>
      </w:r>
      <w:r w:rsidR="00D73EE7" w:rsidRPr="00D73EE7">
        <w:rPr>
          <w:rFonts w:ascii="Times New Roman" w:hAnsi="Times New Roman" w:cs="Times New Roman"/>
          <w:sz w:val="24"/>
          <w:szCs w:val="24"/>
        </w:rPr>
        <w:t>w</w:t>
      </w:r>
      <w:r w:rsidR="00E00C0E">
        <w:rPr>
          <w:rFonts w:ascii="Times New Roman" w:hAnsi="Times New Roman" w:cs="Times New Roman"/>
          <w:sz w:val="24"/>
          <w:szCs w:val="24"/>
        </w:rPr>
        <w:t xml:space="preserve"> </w:t>
      </w:r>
      <w:r w:rsidR="00D73EE7" w:rsidRPr="00D73EE7">
        <w:rPr>
          <w:rFonts w:ascii="Times New Roman" w:hAnsi="Times New Roman" w:cs="Times New Roman"/>
          <w:sz w:val="24"/>
          <w:szCs w:val="24"/>
        </w:rPr>
        <w:t>jednym miejscu</w:t>
      </w:r>
      <w:r w:rsidR="006B2347">
        <w:rPr>
          <w:rFonts w:ascii="Times New Roman" w:hAnsi="Times New Roman" w:cs="Times New Roman"/>
          <w:sz w:val="24"/>
          <w:szCs w:val="24"/>
        </w:rPr>
        <w:t xml:space="preserve"> </w:t>
      </w:r>
      <w:r w:rsidR="00D73EE7" w:rsidRPr="00D73EE7">
        <w:rPr>
          <w:rFonts w:ascii="Times New Roman" w:hAnsi="Times New Roman" w:cs="Times New Roman"/>
          <w:sz w:val="24"/>
          <w:szCs w:val="24"/>
        </w:rPr>
        <w:t>i</w:t>
      </w:r>
      <w:r w:rsidR="006B2347">
        <w:rPr>
          <w:rFonts w:ascii="Times New Roman" w:hAnsi="Times New Roman" w:cs="Times New Roman"/>
          <w:sz w:val="24"/>
          <w:szCs w:val="24"/>
        </w:rPr>
        <w:t xml:space="preserve"> </w:t>
      </w:r>
      <w:r w:rsidR="00D73EE7" w:rsidRPr="00D73EE7">
        <w:rPr>
          <w:rFonts w:ascii="Times New Roman" w:hAnsi="Times New Roman" w:cs="Times New Roman"/>
          <w:sz w:val="24"/>
          <w:szCs w:val="24"/>
        </w:rPr>
        <w:t xml:space="preserve">czasie. Są to </w:t>
      </w:r>
      <w:r w:rsidR="00B65BC0">
        <w:rPr>
          <w:rFonts w:ascii="Times New Roman" w:hAnsi="Times New Roman" w:cs="Times New Roman"/>
          <w:sz w:val="24"/>
          <w:szCs w:val="24"/>
        </w:rPr>
        <w:t xml:space="preserve">takie obszary rynku jak </w:t>
      </w:r>
      <w:r w:rsidR="00D73EE7" w:rsidRPr="00D73EE7">
        <w:rPr>
          <w:rFonts w:ascii="Times New Roman" w:hAnsi="Times New Roman" w:cs="Times New Roman"/>
          <w:sz w:val="24"/>
          <w:szCs w:val="24"/>
        </w:rPr>
        <w:t>show-biznes, turystyka (hotele, restauracje)</w:t>
      </w:r>
      <w:r w:rsidR="00AE771B">
        <w:rPr>
          <w:rFonts w:ascii="Times New Roman" w:hAnsi="Times New Roman" w:cs="Times New Roman"/>
          <w:sz w:val="24"/>
          <w:szCs w:val="24"/>
        </w:rPr>
        <w:t xml:space="preserve"> </w:t>
      </w:r>
      <w:r w:rsidR="00D73EE7" w:rsidRPr="00D73EE7">
        <w:rPr>
          <w:rFonts w:ascii="Times New Roman" w:hAnsi="Times New Roman" w:cs="Times New Roman"/>
          <w:sz w:val="24"/>
          <w:szCs w:val="24"/>
        </w:rPr>
        <w:t>i</w:t>
      </w:r>
      <w:r w:rsidR="00AE771B">
        <w:rPr>
          <w:rFonts w:ascii="Times New Roman" w:hAnsi="Times New Roman" w:cs="Times New Roman"/>
          <w:sz w:val="24"/>
          <w:szCs w:val="24"/>
        </w:rPr>
        <w:t xml:space="preserve"> </w:t>
      </w:r>
      <w:r w:rsidR="00D73EE7" w:rsidRPr="00D73EE7">
        <w:rPr>
          <w:rFonts w:ascii="Times New Roman" w:hAnsi="Times New Roman" w:cs="Times New Roman"/>
          <w:sz w:val="24"/>
          <w:szCs w:val="24"/>
        </w:rPr>
        <w:t xml:space="preserve">niektóre </w:t>
      </w:r>
      <w:r w:rsidR="00E00C0E">
        <w:rPr>
          <w:rFonts w:ascii="Times New Roman" w:hAnsi="Times New Roman" w:cs="Times New Roman"/>
          <w:sz w:val="24"/>
          <w:szCs w:val="24"/>
        </w:rPr>
        <w:t xml:space="preserve">inne </w:t>
      </w:r>
      <w:r w:rsidR="00D73EE7" w:rsidRPr="00D73EE7">
        <w:rPr>
          <w:rFonts w:ascii="Times New Roman" w:hAnsi="Times New Roman" w:cs="Times New Roman"/>
          <w:sz w:val="24"/>
          <w:szCs w:val="24"/>
        </w:rPr>
        <w:t>usługi.</w:t>
      </w:r>
      <w:r w:rsidR="000B1758">
        <w:rPr>
          <w:rFonts w:ascii="Times New Roman" w:hAnsi="Times New Roman" w:cs="Times New Roman"/>
          <w:sz w:val="24"/>
          <w:szCs w:val="24"/>
        </w:rPr>
        <w:t xml:space="preserve"> </w:t>
      </w:r>
      <w:r w:rsidR="00D73EE7" w:rsidRPr="00D73EE7">
        <w:rPr>
          <w:rFonts w:ascii="Times New Roman" w:hAnsi="Times New Roman" w:cs="Times New Roman"/>
          <w:sz w:val="24"/>
          <w:szCs w:val="24"/>
        </w:rPr>
        <w:t xml:space="preserve">Koronawirus nie zaszkodzi branży </w:t>
      </w:r>
      <w:r>
        <w:rPr>
          <w:rFonts w:ascii="Times New Roman" w:hAnsi="Times New Roman" w:cs="Times New Roman"/>
          <w:sz w:val="24"/>
          <w:szCs w:val="24"/>
        </w:rPr>
        <w:t>FMCG (</w:t>
      </w:r>
      <w:r w:rsidR="00D73EE7" w:rsidRPr="00D73EE7">
        <w:rPr>
          <w:rFonts w:ascii="Times New Roman" w:hAnsi="Times New Roman" w:cs="Times New Roman"/>
          <w:sz w:val="24"/>
          <w:szCs w:val="24"/>
        </w:rPr>
        <w:t>produktów pierwszej potrzeby</w:t>
      </w:r>
      <w:r>
        <w:rPr>
          <w:rFonts w:ascii="Times New Roman" w:hAnsi="Times New Roman" w:cs="Times New Roman"/>
          <w:sz w:val="24"/>
          <w:szCs w:val="24"/>
        </w:rPr>
        <w:t xml:space="preserve">) z powodu </w:t>
      </w:r>
      <w:r w:rsidR="00D73EE7" w:rsidRPr="00D73EE7">
        <w:rPr>
          <w:rFonts w:ascii="Times New Roman" w:hAnsi="Times New Roman" w:cs="Times New Roman"/>
          <w:sz w:val="24"/>
          <w:szCs w:val="24"/>
        </w:rPr>
        <w:t>dezynfekcj</w:t>
      </w:r>
      <w:r>
        <w:rPr>
          <w:rFonts w:ascii="Times New Roman" w:hAnsi="Times New Roman" w:cs="Times New Roman"/>
          <w:sz w:val="24"/>
          <w:szCs w:val="24"/>
        </w:rPr>
        <w:t>i</w:t>
      </w:r>
      <w:r w:rsidR="001667B8">
        <w:rPr>
          <w:rFonts w:ascii="Times New Roman" w:hAnsi="Times New Roman" w:cs="Times New Roman"/>
          <w:sz w:val="24"/>
          <w:szCs w:val="24"/>
        </w:rPr>
        <w:t xml:space="preserve"> odpowiednimi substancjami chemicznymi </w:t>
      </w:r>
      <w:r w:rsidR="00D73EE7" w:rsidRPr="00D73EE7">
        <w:rPr>
          <w:rFonts w:ascii="Times New Roman" w:hAnsi="Times New Roman" w:cs="Times New Roman"/>
          <w:sz w:val="24"/>
          <w:szCs w:val="24"/>
        </w:rPr>
        <w:t>i</w:t>
      </w:r>
      <w:r>
        <w:rPr>
          <w:rFonts w:ascii="Times New Roman" w:hAnsi="Times New Roman" w:cs="Times New Roman"/>
          <w:sz w:val="24"/>
          <w:szCs w:val="24"/>
        </w:rPr>
        <w:t> </w:t>
      </w:r>
      <w:r w:rsidR="00D73EE7" w:rsidRPr="00D73EE7">
        <w:rPr>
          <w:rFonts w:ascii="Times New Roman" w:hAnsi="Times New Roman" w:cs="Times New Roman"/>
          <w:sz w:val="24"/>
          <w:szCs w:val="24"/>
        </w:rPr>
        <w:t>bezpieczn</w:t>
      </w:r>
      <w:r>
        <w:rPr>
          <w:rFonts w:ascii="Times New Roman" w:hAnsi="Times New Roman" w:cs="Times New Roman"/>
          <w:sz w:val="24"/>
          <w:szCs w:val="24"/>
        </w:rPr>
        <w:t>ej</w:t>
      </w:r>
      <w:r w:rsidR="00D73EE7" w:rsidRPr="00D73EE7">
        <w:rPr>
          <w:rFonts w:ascii="Times New Roman" w:hAnsi="Times New Roman" w:cs="Times New Roman"/>
          <w:sz w:val="24"/>
          <w:szCs w:val="24"/>
        </w:rPr>
        <w:t xml:space="preserve"> dystrybucj</w:t>
      </w:r>
      <w:r>
        <w:rPr>
          <w:rFonts w:ascii="Times New Roman" w:hAnsi="Times New Roman" w:cs="Times New Roman"/>
          <w:sz w:val="24"/>
          <w:szCs w:val="24"/>
        </w:rPr>
        <w:t>i towarów</w:t>
      </w:r>
      <w:r w:rsidR="00D73EE7" w:rsidRPr="00D73EE7">
        <w:rPr>
          <w:rFonts w:ascii="Times New Roman" w:hAnsi="Times New Roman" w:cs="Times New Roman"/>
          <w:sz w:val="24"/>
          <w:szCs w:val="24"/>
        </w:rPr>
        <w:t>.</w:t>
      </w:r>
      <w:r w:rsidR="00D73EE7">
        <w:rPr>
          <w:rFonts w:ascii="Times New Roman" w:hAnsi="Times New Roman" w:cs="Times New Roman"/>
          <w:sz w:val="24"/>
          <w:szCs w:val="24"/>
        </w:rPr>
        <w:t xml:space="preserve"> </w:t>
      </w:r>
      <w:proofErr w:type="spellStart"/>
      <w:r w:rsidR="009A20BB" w:rsidRPr="009A20BB">
        <w:rPr>
          <w:rFonts w:ascii="Times New Roman" w:hAnsi="Times New Roman" w:cs="Times New Roman"/>
          <w:i/>
          <w:sz w:val="24"/>
          <w:szCs w:val="24"/>
        </w:rPr>
        <w:t>Lockdown</w:t>
      </w:r>
      <w:proofErr w:type="spellEnd"/>
      <w:r w:rsidR="009A20BB">
        <w:rPr>
          <w:rFonts w:ascii="Times New Roman" w:hAnsi="Times New Roman" w:cs="Times New Roman"/>
          <w:sz w:val="24"/>
          <w:szCs w:val="24"/>
        </w:rPr>
        <w:t xml:space="preserve"> n</w:t>
      </w:r>
      <w:r w:rsidR="00D73EE7">
        <w:rPr>
          <w:rFonts w:ascii="Times New Roman" w:hAnsi="Times New Roman" w:cs="Times New Roman"/>
          <w:sz w:val="24"/>
          <w:szCs w:val="24"/>
        </w:rPr>
        <w:t xml:space="preserve">ie powinien zaburzyć </w:t>
      </w:r>
      <w:r w:rsidR="00D73EE7" w:rsidRPr="00D73EE7">
        <w:rPr>
          <w:rFonts w:ascii="Times New Roman" w:hAnsi="Times New Roman" w:cs="Times New Roman"/>
          <w:sz w:val="24"/>
          <w:szCs w:val="24"/>
        </w:rPr>
        <w:t>sektorów gospodarki, które są trzonem nowoczesnego przemysłu wysokich technologii, energetyki, produkcji, transportu i</w:t>
      </w:r>
      <w:r w:rsidR="006B2347">
        <w:rPr>
          <w:rFonts w:ascii="Times New Roman" w:hAnsi="Times New Roman" w:cs="Times New Roman"/>
          <w:sz w:val="24"/>
          <w:szCs w:val="24"/>
        </w:rPr>
        <w:t> </w:t>
      </w:r>
      <w:r w:rsidR="00D73EE7" w:rsidRPr="00D73EE7">
        <w:rPr>
          <w:rFonts w:ascii="Times New Roman" w:hAnsi="Times New Roman" w:cs="Times New Roman"/>
          <w:sz w:val="24"/>
          <w:szCs w:val="24"/>
        </w:rPr>
        <w:t>handlu.</w:t>
      </w:r>
    </w:p>
    <w:p w:rsidR="000E7842" w:rsidRDefault="00D73EE7" w:rsidP="00B063CD">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 I półrocz</w:t>
      </w:r>
      <w:r w:rsidR="009A20BB">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 xml:space="preserve"> 2021 roku liczba bezrobotnych uległa zmniejszeniu o 6382 osoby </w:t>
      </w:r>
      <w:r w:rsidR="00EF4D1B" w:rsidRPr="00BE7F62">
        <w:rPr>
          <w:rFonts w:ascii="Times New Roman" w:hAnsi="Times New Roman" w:cs="Times New Roman"/>
          <w:color w:val="000000" w:themeColor="text1"/>
          <w:sz w:val="24"/>
          <w:szCs w:val="24"/>
        </w:rPr>
        <w:t>i</w:t>
      </w:r>
      <w:r w:rsidR="009A20BB">
        <w:rPr>
          <w:rFonts w:ascii="Times New Roman" w:hAnsi="Times New Roman" w:cs="Times New Roman"/>
          <w:color w:val="000000" w:themeColor="text1"/>
          <w:sz w:val="24"/>
          <w:szCs w:val="24"/>
        </w:rPr>
        <w:t> </w:t>
      </w:r>
      <w:r w:rsidR="00EF4D1B" w:rsidRPr="00BE7F62">
        <w:rPr>
          <w:rFonts w:ascii="Times New Roman" w:hAnsi="Times New Roman" w:cs="Times New Roman"/>
          <w:color w:val="000000" w:themeColor="text1"/>
          <w:sz w:val="24"/>
          <w:szCs w:val="24"/>
        </w:rPr>
        <w:t xml:space="preserve">przyjęła stan na dzień 30 czerwca 2021 roku </w:t>
      </w:r>
      <w:r w:rsidR="0058591B">
        <w:rPr>
          <w:rFonts w:ascii="Times New Roman" w:hAnsi="Times New Roman" w:cs="Times New Roman"/>
          <w:color w:val="000000" w:themeColor="text1"/>
          <w:sz w:val="24"/>
          <w:szCs w:val="24"/>
        </w:rPr>
        <w:t xml:space="preserve">w ilości </w:t>
      </w:r>
      <w:r w:rsidR="00EF4D1B" w:rsidRPr="00BE7F62">
        <w:rPr>
          <w:rFonts w:ascii="Times New Roman" w:hAnsi="Times New Roman" w:cs="Times New Roman"/>
          <w:color w:val="000000" w:themeColor="text1"/>
          <w:sz w:val="24"/>
          <w:szCs w:val="24"/>
        </w:rPr>
        <w:t>80944 osób bezrobotnych</w:t>
      </w:r>
      <w:r w:rsidR="000E7842" w:rsidRPr="00BE7F62">
        <w:rPr>
          <w:rFonts w:ascii="Times New Roman" w:hAnsi="Times New Roman" w:cs="Times New Roman"/>
          <w:color w:val="000000" w:themeColor="text1"/>
          <w:sz w:val="24"/>
          <w:szCs w:val="24"/>
        </w:rPr>
        <w:t xml:space="preserve">. </w:t>
      </w:r>
      <w:r w:rsidR="00BE7F62" w:rsidRPr="00BE7F62">
        <w:rPr>
          <w:rFonts w:ascii="Times New Roman" w:hAnsi="Times New Roman" w:cs="Times New Roman"/>
          <w:color w:val="000000" w:themeColor="text1"/>
          <w:sz w:val="24"/>
          <w:szCs w:val="24"/>
        </w:rPr>
        <w:t xml:space="preserve">Liczba ta nie </w:t>
      </w:r>
      <w:r w:rsidR="000E7842" w:rsidRPr="00BE7F62">
        <w:rPr>
          <w:rFonts w:ascii="Times New Roman" w:hAnsi="Times New Roman" w:cs="Times New Roman"/>
          <w:color w:val="000000" w:themeColor="text1"/>
          <w:sz w:val="24"/>
          <w:szCs w:val="24"/>
        </w:rPr>
        <w:t xml:space="preserve">dowodzi </w:t>
      </w:r>
      <w:r w:rsidR="00BE7F62" w:rsidRPr="00BE7F62">
        <w:rPr>
          <w:rFonts w:ascii="Times New Roman" w:hAnsi="Times New Roman" w:cs="Times New Roman"/>
          <w:color w:val="000000" w:themeColor="text1"/>
          <w:sz w:val="24"/>
          <w:szCs w:val="24"/>
        </w:rPr>
        <w:t>wysokiego</w:t>
      </w:r>
      <w:r w:rsidR="000E7842" w:rsidRPr="00BE7F62">
        <w:rPr>
          <w:rFonts w:ascii="Times New Roman" w:hAnsi="Times New Roman" w:cs="Times New Roman"/>
          <w:color w:val="000000" w:themeColor="text1"/>
          <w:sz w:val="24"/>
          <w:szCs w:val="24"/>
        </w:rPr>
        <w:t xml:space="preserve"> </w:t>
      </w:r>
      <w:r w:rsidR="00BE7F62" w:rsidRPr="00BE7F62">
        <w:rPr>
          <w:rFonts w:ascii="Times New Roman" w:hAnsi="Times New Roman" w:cs="Times New Roman"/>
          <w:color w:val="000000" w:themeColor="text1"/>
          <w:sz w:val="24"/>
          <w:szCs w:val="24"/>
        </w:rPr>
        <w:t xml:space="preserve">poziomu </w:t>
      </w:r>
      <w:r w:rsidR="000E7842" w:rsidRPr="00BE7F62">
        <w:rPr>
          <w:rFonts w:ascii="Times New Roman" w:hAnsi="Times New Roman" w:cs="Times New Roman"/>
          <w:color w:val="000000" w:themeColor="text1"/>
          <w:sz w:val="24"/>
          <w:szCs w:val="24"/>
        </w:rPr>
        <w:t>bezrobocia</w:t>
      </w:r>
      <w:r w:rsidR="00BE7F62" w:rsidRPr="00BE7F62">
        <w:rPr>
          <w:rFonts w:ascii="Times New Roman" w:hAnsi="Times New Roman" w:cs="Times New Roman"/>
          <w:color w:val="000000" w:themeColor="text1"/>
          <w:sz w:val="24"/>
          <w:szCs w:val="24"/>
        </w:rPr>
        <w:t xml:space="preserve">, </w:t>
      </w:r>
      <w:r w:rsidR="000E7842" w:rsidRPr="00BE7F62">
        <w:rPr>
          <w:rFonts w:ascii="Times New Roman" w:hAnsi="Times New Roman" w:cs="Times New Roman"/>
          <w:color w:val="000000" w:themeColor="text1"/>
          <w:sz w:val="24"/>
          <w:szCs w:val="24"/>
        </w:rPr>
        <w:t>porównując do najwyższ</w:t>
      </w:r>
      <w:r w:rsidR="004A1D08">
        <w:rPr>
          <w:rFonts w:ascii="Times New Roman" w:hAnsi="Times New Roman" w:cs="Times New Roman"/>
          <w:color w:val="000000" w:themeColor="text1"/>
          <w:sz w:val="24"/>
          <w:szCs w:val="24"/>
        </w:rPr>
        <w:t>ego</w:t>
      </w:r>
      <w:r w:rsidR="00BE7F62" w:rsidRPr="00BE7F62">
        <w:rPr>
          <w:rFonts w:ascii="Times New Roman" w:hAnsi="Times New Roman" w:cs="Times New Roman"/>
          <w:color w:val="000000" w:themeColor="text1"/>
          <w:sz w:val="24"/>
          <w:szCs w:val="24"/>
        </w:rPr>
        <w:t xml:space="preserve"> stan</w:t>
      </w:r>
      <w:r w:rsidR="004A1D08">
        <w:rPr>
          <w:rFonts w:ascii="Times New Roman" w:hAnsi="Times New Roman" w:cs="Times New Roman"/>
          <w:color w:val="000000" w:themeColor="text1"/>
          <w:sz w:val="24"/>
          <w:szCs w:val="24"/>
        </w:rPr>
        <w:t>u</w:t>
      </w:r>
      <w:r w:rsidR="0058591B">
        <w:rPr>
          <w:rFonts w:ascii="Times New Roman" w:hAnsi="Times New Roman" w:cs="Times New Roman"/>
          <w:color w:val="000000" w:themeColor="text1"/>
          <w:sz w:val="24"/>
          <w:szCs w:val="24"/>
        </w:rPr>
        <w:t xml:space="preserve"> </w:t>
      </w:r>
      <w:r w:rsidR="000E7842" w:rsidRPr="00BE7F62">
        <w:rPr>
          <w:rFonts w:ascii="Times New Roman" w:hAnsi="Times New Roman" w:cs="Times New Roman"/>
          <w:color w:val="000000" w:themeColor="text1"/>
          <w:sz w:val="24"/>
          <w:szCs w:val="24"/>
        </w:rPr>
        <w:t>z</w:t>
      </w:r>
      <w:r w:rsidR="004D2CDA">
        <w:rPr>
          <w:rFonts w:ascii="Times New Roman" w:hAnsi="Times New Roman" w:cs="Times New Roman"/>
          <w:color w:val="000000" w:themeColor="text1"/>
          <w:sz w:val="24"/>
          <w:szCs w:val="24"/>
        </w:rPr>
        <w:t> </w:t>
      </w:r>
      <w:r w:rsidR="004A1D08">
        <w:rPr>
          <w:rFonts w:ascii="Times New Roman" w:hAnsi="Times New Roman" w:cs="Times New Roman"/>
          <w:color w:val="000000" w:themeColor="text1"/>
          <w:sz w:val="24"/>
          <w:szCs w:val="24"/>
        </w:rPr>
        <w:t>początków XXI wieku (styczeń 2002 r.</w:t>
      </w:r>
      <w:r w:rsidR="000E7842" w:rsidRPr="00BE7F62">
        <w:rPr>
          <w:rFonts w:ascii="Times New Roman" w:hAnsi="Times New Roman" w:cs="Times New Roman"/>
          <w:color w:val="000000" w:themeColor="text1"/>
          <w:sz w:val="24"/>
          <w:szCs w:val="24"/>
        </w:rPr>
        <w:t>)</w:t>
      </w:r>
      <w:r w:rsidR="004D2CDA">
        <w:rPr>
          <w:rFonts w:ascii="Times New Roman" w:hAnsi="Times New Roman" w:cs="Times New Roman"/>
          <w:color w:val="000000" w:themeColor="text1"/>
          <w:sz w:val="24"/>
          <w:szCs w:val="24"/>
        </w:rPr>
        <w:t xml:space="preserve"> </w:t>
      </w:r>
      <w:r w:rsidR="0015715F">
        <w:rPr>
          <w:rFonts w:ascii="Times New Roman" w:hAnsi="Times New Roman" w:cs="Times New Roman"/>
          <w:color w:val="000000" w:themeColor="text1"/>
          <w:sz w:val="24"/>
          <w:szCs w:val="24"/>
        </w:rPr>
        <w:t>i</w:t>
      </w:r>
      <w:r w:rsidR="004D2CDA">
        <w:rPr>
          <w:rFonts w:ascii="Times New Roman" w:hAnsi="Times New Roman" w:cs="Times New Roman"/>
          <w:color w:val="000000" w:themeColor="text1"/>
          <w:sz w:val="24"/>
          <w:szCs w:val="24"/>
        </w:rPr>
        <w:t xml:space="preserve"> </w:t>
      </w:r>
      <w:r w:rsidR="004D1073">
        <w:rPr>
          <w:rFonts w:ascii="Times New Roman" w:hAnsi="Times New Roman" w:cs="Times New Roman"/>
          <w:color w:val="000000" w:themeColor="text1"/>
          <w:sz w:val="24"/>
          <w:szCs w:val="24"/>
        </w:rPr>
        <w:t xml:space="preserve">stanowi tylko </w:t>
      </w:r>
      <w:r w:rsidR="004A1D08">
        <w:rPr>
          <w:rFonts w:ascii="Times New Roman" w:hAnsi="Times New Roman" w:cs="Times New Roman"/>
          <w:color w:val="000000" w:themeColor="text1"/>
          <w:sz w:val="24"/>
          <w:szCs w:val="24"/>
        </w:rPr>
        <w:t>40,2</w:t>
      </w:r>
      <w:r w:rsidR="00836EA1">
        <w:rPr>
          <w:rFonts w:ascii="Times New Roman" w:hAnsi="Times New Roman" w:cs="Times New Roman"/>
          <w:color w:val="000000" w:themeColor="text1"/>
          <w:sz w:val="24"/>
          <w:szCs w:val="24"/>
        </w:rPr>
        <w:t xml:space="preserve"> proc.</w:t>
      </w:r>
      <w:r w:rsidR="009168BB">
        <w:rPr>
          <w:rFonts w:ascii="Times New Roman" w:hAnsi="Times New Roman" w:cs="Times New Roman"/>
          <w:color w:val="000000" w:themeColor="text1"/>
          <w:sz w:val="24"/>
          <w:szCs w:val="24"/>
        </w:rPr>
        <w:t xml:space="preserve"> tej liczby</w:t>
      </w:r>
      <w:r w:rsidR="000E7842" w:rsidRPr="00BE7F62">
        <w:rPr>
          <w:rFonts w:ascii="Times New Roman" w:hAnsi="Times New Roman" w:cs="Times New Roman"/>
          <w:color w:val="000000" w:themeColor="text1"/>
          <w:sz w:val="24"/>
          <w:szCs w:val="24"/>
        </w:rPr>
        <w:t>.</w:t>
      </w:r>
      <w:r w:rsidR="001667B8">
        <w:rPr>
          <w:rFonts w:ascii="Times New Roman" w:hAnsi="Times New Roman" w:cs="Times New Roman"/>
          <w:color w:val="000000" w:themeColor="text1"/>
          <w:sz w:val="24"/>
          <w:szCs w:val="24"/>
        </w:rPr>
        <w:t xml:space="preserve"> Odnotowano ograniczenie </w:t>
      </w:r>
      <w:r w:rsidR="000E7842" w:rsidRPr="00BE7F62">
        <w:rPr>
          <w:rFonts w:ascii="Times New Roman" w:hAnsi="Times New Roman" w:cs="Times New Roman"/>
          <w:color w:val="000000" w:themeColor="text1"/>
          <w:sz w:val="24"/>
          <w:szCs w:val="24"/>
        </w:rPr>
        <w:t>negatywn</w:t>
      </w:r>
      <w:r w:rsidR="001667B8">
        <w:rPr>
          <w:rFonts w:ascii="Times New Roman" w:hAnsi="Times New Roman" w:cs="Times New Roman"/>
          <w:color w:val="000000" w:themeColor="text1"/>
          <w:sz w:val="24"/>
          <w:szCs w:val="24"/>
        </w:rPr>
        <w:t>ych</w:t>
      </w:r>
      <w:r w:rsidR="000E7842" w:rsidRPr="00BE7F62">
        <w:rPr>
          <w:rFonts w:ascii="Times New Roman" w:hAnsi="Times New Roman" w:cs="Times New Roman"/>
          <w:color w:val="000000" w:themeColor="text1"/>
          <w:sz w:val="24"/>
          <w:szCs w:val="24"/>
        </w:rPr>
        <w:t xml:space="preserve"> </w:t>
      </w:r>
      <w:r w:rsidR="0058591B">
        <w:rPr>
          <w:rFonts w:ascii="Times New Roman" w:hAnsi="Times New Roman" w:cs="Times New Roman"/>
          <w:color w:val="000000" w:themeColor="text1"/>
          <w:sz w:val="24"/>
          <w:szCs w:val="24"/>
        </w:rPr>
        <w:t xml:space="preserve">zjawisk </w:t>
      </w:r>
      <w:r w:rsidR="00241454">
        <w:rPr>
          <w:rFonts w:ascii="Times New Roman" w:hAnsi="Times New Roman" w:cs="Times New Roman"/>
          <w:color w:val="000000" w:themeColor="text1"/>
          <w:sz w:val="24"/>
          <w:szCs w:val="24"/>
        </w:rPr>
        <w:t>gospodarcz</w:t>
      </w:r>
      <w:r w:rsidR="001667B8">
        <w:rPr>
          <w:rFonts w:ascii="Times New Roman" w:hAnsi="Times New Roman" w:cs="Times New Roman"/>
          <w:color w:val="000000" w:themeColor="text1"/>
          <w:sz w:val="24"/>
          <w:szCs w:val="24"/>
        </w:rPr>
        <w:t>ych</w:t>
      </w:r>
      <w:r w:rsidR="00241454">
        <w:rPr>
          <w:rFonts w:ascii="Times New Roman" w:hAnsi="Times New Roman" w:cs="Times New Roman"/>
          <w:color w:val="000000" w:themeColor="text1"/>
          <w:sz w:val="24"/>
          <w:szCs w:val="24"/>
        </w:rPr>
        <w:t xml:space="preserve"> przez i</w:t>
      </w:r>
      <w:r w:rsidR="000E7842" w:rsidRPr="00BE7F62">
        <w:rPr>
          <w:rFonts w:ascii="Times New Roman" w:hAnsi="Times New Roman" w:cs="Times New Roman"/>
          <w:color w:val="000000" w:themeColor="text1"/>
          <w:sz w:val="24"/>
          <w:szCs w:val="24"/>
        </w:rPr>
        <w:t>nterwencj</w:t>
      </w:r>
      <w:r w:rsidR="00241454">
        <w:rPr>
          <w:rFonts w:ascii="Times New Roman" w:hAnsi="Times New Roman" w:cs="Times New Roman"/>
          <w:color w:val="000000" w:themeColor="text1"/>
          <w:sz w:val="24"/>
          <w:szCs w:val="24"/>
        </w:rPr>
        <w:t>ę</w:t>
      </w:r>
      <w:r w:rsidR="000E7842" w:rsidRPr="00BE7F62">
        <w:rPr>
          <w:rFonts w:ascii="Times New Roman" w:hAnsi="Times New Roman" w:cs="Times New Roman"/>
          <w:color w:val="000000" w:themeColor="text1"/>
          <w:sz w:val="24"/>
          <w:szCs w:val="24"/>
        </w:rPr>
        <w:t xml:space="preserve"> środków państwowych</w:t>
      </w:r>
      <w:r w:rsidR="00BE7F62" w:rsidRPr="00BE7F62">
        <w:rPr>
          <w:rFonts w:ascii="Times New Roman" w:hAnsi="Times New Roman" w:cs="Times New Roman"/>
          <w:color w:val="000000" w:themeColor="text1"/>
          <w:sz w:val="24"/>
          <w:szCs w:val="24"/>
        </w:rPr>
        <w:t>, a</w:t>
      </w:r>
      <w:r w:rsidR="00241454">
        <w:rPr>
          <w:rFonts w:ascii="Times New Roman" w:hAnsi="Times New Roman" w:cs="Times New Roman"/>
          <w:color w:val="000000" w:themeColor="text1"/>
          <w:sz w:val="24"/>
          <w:szCs w:val="24"/>
        </w:rPr>
        <w:t xml:space="preserve"> </w:t>
      </w:r>
      <w:r w:rsidR="0058591B">
        <w:rPr>
          <w:rFonts w:ascii="Times New Roman" w:hAnsi="Times New Roman" w:cs="Times New Roman"/>
          <w:color w:val="000000" w:themeColor="text1"/>
          <w:sz w:val="24"/>
          <w:szCs w:val="24"/>
        </w:rPr>
        <w:t xml:space="preserve">sam </w:t>
      </w:r>
      <w:r w:rsidR="00BE7F62" w:rsidRPr="00BE7F62">
        <w:rPr>
          <w:rFonts w:ascii="Times New Roman" w:hAnsi="Times New Roman" w:cs="Times New Roman"/>
          <w:color w:val="000000" w:themeColor="text1"/>
          <w:sz w:val="24"/>
          <w:szCs w:val="24"/>
        </w:rPr>
        <w:t xml:space="preserve">spadek liczby bezrobotnych </w:t>
      </w:r>
      <w:r w:rsidR="00291A0B">
        <w:rPr>
          <w:rFonts w:ascii="Times New Roman" w:hAnsi="Times New Roman" w:cs="Times New Roman"/>
          <w:color w:val="000000" w:themeColor="text1"/>
          <w:sz w:val="24"/>
          <w:szCs w:val="24"/>
        </w:rPr>
        <w:t>jest</w:t>
      </w:r>
      <w:r w:rsidR="00A217E2">
        <w:rPr>
          <w:rFonts w:ascii="Times New Roman" w:hAnsi="Times New Roman" w:cs="Times New Roman"/>
          <w:color w:val="000000" w:themeColor="text1"/>
          <w:sz w:val="24"/>
          <w:szCs w:val="24"/>
        </w:rPr>
        <w:t xml:space="preserve"> </w:t>
      </w:r>
      <w:r w:rsidR="00A217E2" w:rsidRPr="00BE7F62">
        <w:rPr>
          <w:rFonts w:ascii="Times New Roman" w:hAnsi="Times New Roman" w:cs="Times New Roman"/>
          <w:color w:val="000000" w:themeColor="text1"/>
          <w:sz w:val="24"/>
          <w:szCs w:val="24"/>
        </w:rPr>
        <w:t>pozytywnym</w:t>
      </w:r>
      <w:r w:rsidR="00A217E2">
        <w:rPr>
          <w:rFonts w:ascii="Times New Roman" w:hAnsi="Times New Roman" w:cs="Times New Roman"/>
          <w:color w:val="000000" w:themeColor="text1"/>
          <w:sz w:val="24"/>
          <w:szCs w:val="24"/>
        </w:rPr>
        <w:t xml:space="preserve"> z</w:t>
      </w:r>
      <w:r w:rsidR="00A217E2" w:rsidRPr="00BE7F62">
        <w:rPr>
          <w:rFonts w:ascii="Times New Roman" w:hAnsi="Times New Roman" w:cs="Times New Roman"/>
          <w:color w:val="000000" w:themeColor="text1"/>
          <w:sz w:val="24"/>
          <w:szCs w:val="24"/>
        </w:rPr>
        <w:t>jawiskiem</w:t>
      </w:r>
      <w:r w:rsidR="00291A0B">
        <w:rPr>
          <w:rFonts w:ascii="Times New Roman" w:hAnsi="Times New Roman" w:cs="Times New Roman"/>
          <w:color w:val="000000" w:themeColor="text1"/>
          <w:sz w:val="24"/>
          <w:szCs w:val="24"/>
        </w:rPr>
        <w:t>,</w:t>
      </w:r>
      <w:r w:rsidR="00A217E2">
        <w:rPr>
          <w:rFonts w:ascii="Times New Roman" w:hAnsi="Times New Roman" w:cs="Times New Roman"/>
          <w:color w:val="000000" w:themeColor="text1"/>
          <w:sz w:val="24"/>
          <w:szCs w:val="24"/>
        </w:rPr>
        <w:t xml:space="preserve"> </w:t>
      </w:r>
      <w:r w:rsidR="00291A0B">
        <w:rPr>
          <w:rFonts w:ascii="Times New Roman" w:hAnsi="Times New Roman" w:cs="Times New Roman"/>
          <w:color w:val="000000" w:themeColor="text1"/>
          <w:sz w:val="24"/>
          <w:szCs w:val="24"/>
        </w:rPr>
        <w:t xml:space="preserve">który nastąpi również w </w:t>
      </w:r>
      <w:r w:rsidR="00A217E2">
        <w:rPr>
          <w:rFonts w:ascii="Times New Roman" w:hAnsi="Times New Roman" w:cs="Times New Roman"/>
          <w:color w:val="000000" w:themeColor="text1"/>
          <w:sz w:val="24"/>
          <w:szCs w:val="24"/>
        </w:rPr>
        <w:t>I</w:t>
      </w:r>
      <w:r w:rsidR="0015715F">
        <w:rPr>
          <w:rFonts w:ascii="Times New Roman" w:hAnsi="Times New Roman" w:cs="Times New Roman"/>
          <w:color w:val="000000" w:themeColor="text1"/>
          <w:sz w:val="24"/>
          <w:szCs w:val="24"/>
        </w:rPr>
        <w:t>I </w:t>
      </w:r>
      <w:r w:rsidR="00A217E2">
        <w:rPr>
          <w:rFonts w:ascii="Times New Roman" w:hAnsi="Times New Roman" w:cs="Times New Roman"/>
          <w:color w:val="000000" w:themeColor="text1"/>
          <w:sz w:val="24"/>
          <w:szCs w:val="24"/>
        </w:rPr>
        <w:t>półrocz</w:t>
      </w:r>
      <w:r w:rsidR="00291A0B">
        <w:rPr>
          <w:rFonts w:ascii="Times New Roman" w:hAnsi="Times New Roman" w:cs="Times New Roman"/>
          <w:color w:val="000000" w:themeColor="text1"/>
          <w:sz w:val="24"/>
          <w:szCs w:val="24"/>
        </w:rPr>
        <w:t>u</w:t>
      </w:r>
      <w:r w:rsidR="00A217E2">
        <w:rPr>
          <w:rFonts w:ascii="Times New Roman" w:hAnsi="Times New Roman" w:cs="Times New Roman"/>
          <w:color w:val="000000" w:themeColor="text1"/>
          <w:sz w:val="24"/>
          <w:szCs w:val="24"/>
        </w:rPr>
        <w:t xml:space="preserve"> 2021 roku</w:t>
      </w:r>
      <w:r w:rsidR="00BE7F62" w:rsidRPr="00BE7F62">
        <w:rPr>
          <w:rFonts w:ascii="Times New Roman" w:hAnsi="Times New Roman" w:cs="Times New Roman"/>
          <w:color w:val="000000" w:themeColor="text1"/>
          <w:sz w:val="24"/>
          <w:szCs w:val="24"/>
        </w:rPr>
        <w:t>.</w:t>
      </w:r>
    </w:p>
    <w:p w:rsidR="004D2CDA" w:rsidRDefault="004D2CDA" w:rsidP="00B063CD">
      <w:pPr>
        <w:spacing w:after="0" w:line="360" w:lineRule="auto"/>
        <w:ind w:firstLine="709"/>
        <w:jc w:val="both"/>
        <w:rPr>
          <w:rFonts w:ascii="Times New Roman" w:hAnsi="Times New Roman" w:cs="Times New Roman"/>
          <w:sz w:val="24"/>
          <w:szCs w:val="24"/>
        </w:rPr>
      </w:pPr>
    </w:p>
    <w:p w:rsidR="0015715F" w:rsidRDefault="0015715F" w:rsidP="00B063CD">
      <w:pPr>
        <w:spacing w:after="0" w:line="360" w:lineRule="auto"/>
        <w:ind w:firstLine="709"/>
        <w:jc w:val="both"/>
        <w:rPr>
          <w:rFonts w:ascii="Times New Roman" w:hAnsi="Times New Roman" w:cs="Times New Roman"/>
          <w:sz w:val="24"/>
          <w:szCs w:val="24"/>
        </w:rPr>
      </w:pPr>
    </w:p>
    <w:p w:rsidR="004D2CDA" w:rsidRDefault="004D2CDA" w:rsidP="00B063CD">
      <w:pPr>
        <w:spacing w:after="0" w:line="360" w:lineRule="auto"/>
        <w:ind w:firstLine="709"/>
        <w:jc w:val="both"/>
        <w:rPr>
          <w:rFonts w:ascii="Times New Roman" w:hAnsi="Times New Roman" w:cs="Times New Roman"/>
          <w:sz w:val="24"/>
          <w:szCs w:val="24"/>
        </w:rPr>
      </w:pPr>
    </w:p>
    <w:p w:rsidR="00AA252B" w:rsidRPr="00481546" w:rsidRDefault="00624265" w:rsidP="00B063CD">
      <w:pPr>
        <w:spacing w:after="0" w:line="360" w:lineRule="auto"/>
        <w:ind w:firstLine="709"/>
        <w:jc w:val="both"/>
        <w:rPr>
          <w:sz w:val="16"/>
          <w:szCs w:val="16"/>
        </w:rPr>
      </w:pPr>
      <w:r w:rsidRPr="00481546">
        <w:rPr>
          <w:rFonts w:ascii="Times New Roman" w:hAnsi="Times New Roman" w:cs="Times New Roman"/>
          <w:sz w:val="24"/>
          <w:szCs w:val="24"/>
        </w:rPr>
        <w:t xml:space="preserve">W </w:t>
      </w:r>
      <w:r w:rsidR="002D1667" w:rsidRPr="00481546">
        <w:rPr>
          <w:rFonts w:ascii="Times New Roman" w:hAnsi="Times New Roman" w:cs="Times New Roman"/>
          <w:sz w:val="24"/>
          <w:szCs w:val="24"/>
        </w:rPr>
        <w:t>I</w:t>
      </w:r>
      <w:r w:rsidR="00862E87" w:rsidRPr="00481546">
        <w:rPr>
          <w:rFonts w:ascii="Times New Roman" w:hAnsi="Times New Roman" w:cs="Times New Roman"/>
          <w:sz w:val="24"/>
          <w:szCs w:val="24"/>
        </w:rPr>
        <w:t xml:space="preserve"> części</w:t>
      </w:r>
      <w:r w:rsidR="00D1788C" w:rsidRPr="00481546">
        <w:rPr>
          <w:rFonts w:ascii="Times New Roman" w:hAnsi="Times New Roman" w:cs="Times New Roman"/>
          <w:sz w:val="24"/>
          <w:szCs w:val="24"/>
        </w:rPr>
        <w:t xml:space="preserve"> </w:t>
      </w:r>
      <w:r w:rsidR="0013572E" w:rsidRPr="00481546">
        <w:rPr>
          <w:rFonts w:ascii="Times New Roman" w:hAnsi="Times New Roman" w:cs="Times New Roman"/>
          <w:sz w:val="24"/>
          <w:szCs w:val="24"/>
        </w:rPr>
        <w:t xml:space="preserve">analizy </w:t>
      </w:r>
      <w:r w:rsidR="00D1788C" w:rsidRPr="00481546">
        <w:rPr>
          <w:rFonts w:ascii="Times New Roman" w:hAnsi="Times New Roman" w:cs="Times New Roman"/>
          <w:sz w:val="24"/>
          <w:szCs w:val="24"/>
        </w:rPr>
        <w:t xml:space="preserve">– </w:t>
      </w:r>
      <w:r w:rsidR="002B5739" w:rsidRPr="00481546">
        <w:rPr>
          <w:rFonts w:ascii="Times New Roman" w:hAnsi="Times New Roman" w:cs="Times New Roman"/>
          <w:sz w:val="24"/>
          <w:szCs w:val="24"/>
        </w:rPr>
        <w:t xml:space="preserve">informacje </w:t>
      </w:r>
      <w:r w:rsidR="002D1667" w:rsidRPr="00481546">
        <w:rPr>
          <w:rFonts w:ascii="Times New Roman" w:hAnsi="Times New Roman" w:cs="Times New Roman"/>
          <w:sz w:val="24"/>
          <w:szCs w:val="24"/>
        </w:rPr>
        <w:t>zaczerpnięt</w:t>
      </w:r>
      <w:r w:rsidR="00516B56" w:rsidRPr="00481546">
        <w:rPr>
          <w:rFonts w:ascii="Times New Roman" w:hAnsi="Times New Roman" w:cs="Times New Roman"/>
          <w:sz w:val="24"/>
          <w:szCs w:val="24"/>
        </w:rPr>
        <w:t>o</w:t>
      </w:r>
      <w:r w:rsidR="002D1667" w:rsidRPr="00481546">
        <w:rPr>
          <w:rFonts w:ascii="Times New Roman" w:hAnsi="Times New Roman" w:cs="Times New Roman"/>
          <w:sz w:val="24"/>
          <w:szCs w:val="24"/>
        </w:rPr>
        <w:t xml:space="preserve"> z</w:t>
      </w:r>
      <w:r w:rsidR="00992E19" w:rsidRPr="00481546">
        <w:rPr>
          <w:rFonts w:ascii="Times New Roman" w:hAnsi="Times New Roman" w:cs="Times New Roman"/>
          <w:sz w:val="24"/>
          <w:szCs w:val="24"/>
        </w:rPr>
        <w:t xml:space="preserve"> </w:t>
      </w:r>
      <w:r w:rsidR="002D1667" w:rsidRPr="00481546">
        <w:rPr>
          <w:rFonts w:ascii="Times New Roman" w:hAnsi="Times New Roman" w:cs="Times New Roman"/>
          <w:sz w:val="24"/>
          <w:szCs w:val="24"/>
        </w:rPr>
        <w:t>publika</w:t>
      </w:r>
      <w:r w:rsidR="000C557E" w:rsidRPr="00481546">
        <w:rPr>
          <w:rFonts w:ascii="Times New Roman" w:hAnsi="Times New Roman" w:cs="Times New Roman"/>
          <w:sz w:val="24"/>
          <w:szCs w:val="24"/>
        </w:rPr>
        <w:t xml:space="preserve">cji </w:t>
      </w:r>
      <w:r w:rsidR="002D1667" w:rsidRPr="00481546">
        <w:rPr>
          <w:rFonts w:ascii="Times New Roman" w:hAnsi="Times New Roman" w:cs="Times New Roman"/>
          <w:sz w:val="24"/>
          <w:szCs w:val="24"/>
        </w:rPr>
        <w:t>lub zbiorów danych GUS</w:t>
      </w:r>
      <w:r w:rsidR="00862E87" w:rsidRPr="00481546">
        <w:rPr>
          <w:rFonts w:ascii="Times New Roman" w:hAnsi="Times New Roman" w:cs="Times New Roman"/>
          <w:sz w:val="24"/>
          <w:szCs w:val="24"/>
        </w:rPr>
        <w:t>.</w:t>
      </w:r>
      <w:r w:rsidRPr="00481546">
        <w:rPr>
          <w:rFonts w:ascii="Times New Roman" w:hAnsi="Times New Roman" w:cs="Times New Roman"/>
          <w:sz w:val="24"/>
          <w:szCs w:val="24"/>
        </w:rPr>
        <w:t xml:space="preserve"> </w:t>
      </w:r>
      <w:r w:rsidR="002D1667" w:rsidRPr="00481546">
        <w:rPr>
          <w:rFonts w:ascii="Times New Roman" w:hAnsi="Times New Roman" w:cs="Times New Roman"/>
          <w:sz w:val="24"/>
          <w:szCs w:val="24"/>
        </w:rPr>
        <w:t>W</w:t>
      </w:r>
      <w:r w:rsidR="00F473A7" w:rsidRPr="00481546">
        <w:rPr>
          <w:rFonts w:ascii="Times New Roman" w:hAnsi="Times New Roman" w:cs="Times New Roman"/>
          <w:sz w:val="24"/>
          <w:szCs w:val="24"/>
        </w:rPr>
        <w:t> </w:t>
      </w:r>
      <w:r w:rsidR="002D1667" w:rsidRPr="00481546">
        <w:rPr>
          <w:rFonts w:ascii="Times New Roman" w:hAnsi="Times New Roman" w:cs="Times New Roman"/>
          <w:sz w:val="24"/>
          <w:szCs w:val="24"/>
        </w:rPr>
        <w:t>II</w:t>
      </w:r>
      <w:r w:rsidR="00F473A7" w:rsidRPr="00481546">
        <w:rPr>
          <w:rFonts w:ascii="Times New Roman" w:hAnsi="Times New Roman" w:cs="Times New Roman"/>
          <w:sz w:val="24"/>
          <w:szCs w:val="24"/>
        </w:rPr>
        <w:t> </w:t>
      </w:r>
      <w:r w:rsidR="002D1667" w:rsidRPr="00481546">
        <w:rPr>
          <w:rFonts w:ascii="Times New Roman" w:hAnsi="Times New Roman" w:cs="Times New Roman"/>
          <w:sz w:val="24"/>
          <w:szCs w:val="24"/>
        </w:rPr>
        <w:t>części</w:t>
      </w:r>
      <w:r w:rsidR="00D1788C" w:rsidRPr="00481546">
        <w:rPr>
          <w:rFonts w:ascii="Times New Roman" w:hAnsi="Times New Roman" w:cs="Times New Roman"/>
          <w:sz w:val="24"/>
          <w:szCs w:val="24"/>
        </w:rPr>
        <w:t>,</w:t>
      </w:r>
      <w:r w:rsidR="002D1667" w:rsidRPr="00481546">
        <w:rPr>
          <w:rFonts w:ascii="Times New Roman" w:hAnsi="Times New Roman" w:cs="Times New Roman"/>
          <w:sz w:val="24"/>
          <w:szCs w:val="24"/>
        </w:rPr>
        <w:t xml:space="preserve"> uwzględniając </w:t>
      </w:r>
      <w:r w:rsidR="003A2CF6" w:rsidRPr="00481546">
        <w:rPr>
          <w:rFonts w:ascii="Times New Roman" w:hAnsi="Times New Roman" w:cs="Times New Roman"/>
          <w:sz w:val="24"/>
          <w:szCs w:val="24"/>
        </w:rPr>
        <w:t>ustalon</w:t>
      </w:r>
      <w:r w:rsidR="002D1667" w:rsidRPr="00481546">
        <w:rPr>
          <w:rFonts w:ascii="Times New Roman" w:hAnsi="Times New Roman" w:cs="Times New Roman"/>
          <w:sz w:val="24"/>
          <w:szCs w:val="24"/>
        </w:rPr>
        <w:t xml:space="preserve">y </w:t>
      </w:r>
      <w:r w:rsidR="00AE5712" w:rsidRPr="00481546">
        <w:rPr>
          <w:rFonts w:ascii="Times New Roman" w:hAnsi="Times New Roman" w:cs="Times New Roman"/>
          <w:sz w:val="24"/>
          <w:szCs w:val="24"/>
        </w:rPr>
        <w:t>w</w:t>
      </w:r>
      <w:r w:rsidR="002D1667" w:rsidRPr="00481546">
        <w:rPr>
          <w:rFonts w:ascii="Times New Roman" w:hAnsi="Times New Roman" w:cs="Times New Roman"/>
          <w:sz w:val="24"/>
          <w:szCs w:val="24"/>
        </w:rPr>
        <w:t xml:space="preserve"> </w:t>
      </w:r>
      <w:r w:rsidR="003A2CF6" w:rsidRPr="00481546">
        <w:rPr>
          <w:rFonts w:ascii="Times New Roman" w:hAnsi="Times New Roman" w:cs="Times New Roman"/>
          <w:sz w:val="24"/>
          <w:szCs w:val="24"/>
        </w:rPr>
        <w:t>ramach</w:t>
      </w:r>
      <w:r w:rsidR="002D1667" w:rsidRPr="00481546">
        <w:rPr>
          <w:rFonts w:ascii="Times New Roman" w:hAnsi="Times New Roman" w:cs="Times New Roman"/>
          <w:sz w:val="24"/>
          <w:szCs w:val="24"/>
        </w:rPr>
        <w:t xml:space="preserve"> </w:t>
      </w:r>
      <w:r w:rsidR="003A2CF6" w:rsidRPr="00481546">
        <w:rPr>
          <w:rFonts w:ascii="Times New Roman" w:hAnsi="Times New Roman" w:cs="Times New Roman"/>
          <w:sz w:val="24"/>
          <w:szCs w:val="24"/>
        </w:rPr>
        <w:t>sprawozdawczości zasób informacji</w:t>
      </w:r>
      <w:r w:rsidR="00AE5712" w:rsidRPr="00481546">
        <w:rPr>
          <w:rFonts w:ascii="Times New Roman" w:hAnsi="Times New Roman" w:cs="Times New Roman"/>
          <w:sz w:val="24"/>
          <w:szCs w:val="24"/>
        </w:rPr>
        <w:t xml:space="preserve"> w</w:t>
      </w:r>
      <w:r w:rsidR="006346B3" w:rsidRPr="00481546">
        <w:rPr>
          <w:rFonts w:ascii="Times New Roman" w:hAnsi="Times New Roman" w:cs="Times New Roman"/>
          <w:sz w:val="24"/>
          <w:szCs w:val="24"/>
        </w:rPr>
        <w:t> </w:t>
      </w:r>
      <w:r w:rsidR="003A2CF6" w:rsidRPr="00481546">
        <w:rPr>
          <w:rFonts w:ascii="Times New Roman" w:hAnsi="Times New Roman" w:cs="Times New Roman"/>
          <w:sz w:val="24"/>
          <w:szCs w:val="24"/>
        </w:rPr>
        <w:t>poszczególnych dokumentach</w:t>
      </w:r>
      <w:r w:rsidR="00E006A4" w:rsidRPr="00481546">
        <w:rPr>
          <w:rFonts w:ascii="Times New Roman" w:hAnsi="Times New Roman" w:cs="Times New Roman"/>
          <w:sz w:val="24"/>
          <w:szCs w:val="24"/>
        </w:rPr>
        <w:t xml:space="preserve"> – </w:t>
      </w:r>
      <w:r w:rsidR="006A132D" w:rsidRPr="00481546">
        <w:rPr>
          <w:rFonts w:ascii="Times New Roman" w:hAnsi="Times New Roman" w:cs="Times New Roman"/>
          <w:sz w:val="24"/>
          <w:szCs w:val="24"/>
        </w:rPr>
        <w:t>źródłem są sprawozdania</w:t>
      </w:r>
      <w:r w:rsidR="00C36BAB" w:rsidRPr="00481546">
        <w:rPr>
          <w:rFonts w:ascii="Times New Roman" w:hAnsi="Times New Roman" w:cs="Times New Roman"/>
          <w:sz w:val="24"/>
          <w:szCs w:val="24"/>
        </w:rPr>
        <w:t xml:space="preserve"> o rynku </w:t>
      </w:r>
      <w:r w:rsidR="00C45C43" w:rsidRPr="00481546">
        <w:rPr>
          <w:rFonts w:ascii="Times New Roman" w:hAnsi="Times New Roman" w:cs="Times New Roman"/>
          <w:sz w:val="24"/>
          <w:szCs w:val="24"/>
        </w:rPr>
        <w:t>pracy.</w:t>
      </w:r>
      <w:r w:rsidR="004347E1" w:rsidRPr="00481546">
        <w:rPr>
          <w:rFonts w:ascii="Times New Roman" w:hAnsi="Times New Roman" w:cs="Times New Roman"/>
          <w:sz w:val="24"/>
          <w:szCs w:val="24"/>
        </w:rPr>
        <w:t xml:space="preserve"> </w:t>
      </w:r>
      <w:r w:rsidR="00A43653" w:rsidRPr="00481546">
        <w:rPr>
          <w:rFonts w:ascii="Times New Roman" w:hAnsi="Times New Roman" w:cs="Times New Roman"/>
          <w:sz w:val="24"/>
          <w:szCs w:val="24"/>
        </w:rPr>
        <w:t>Zarówno pierwsza jak i d</w:t>
      </w:r>
      <w:r w:rsidR="00C45C43" w:rsidRPr="00481546">
        <w:rPr>
          <w:rFonts w:ascii="Times New Roman" w:hAnsi="Times New Roman" w:cs="Times New Roman"/>
          <w:sz w:val="24"/>
          <w:szCs w:val="24"/>
        </w:rPr>
        <w:t xml:space="preserve">ruga część zawiera dane, które są częścią </w:t>
      </w:r>
      <w:r w:rsidR="006346B3" w:rsidRPr="00481546">
        <w:rPr>
          <w:rFonts w:ascii="Times New Roman" w:hAnsi="Times New Roman" w:cs="Times New Roman"/>
          <w:sz w:val="24"/>
          <w:szCs w:val="24"/>
        </w:rPr>
        <w:t>statystyk</w:t>
      </w:r>
      <w:r w:rsidR="00C45C43" w:rsidRPr="00481546">
        <w:rPr>
          <w:rFonts w:ascii="Times New Roman" w:hAnsi="Times New Roman" w:cs="Times New Roman"/>
          <w:sz w:val="24"/>
          <w:szCs w:val="24"/>
        </w:rPr>
        <w:t>i</w:t>
      </w:r>
      <w:r w:rsidR="006346B3" w:rsidRPr="00481546">
        <w:rPr>
          <w:rFonts w:ascii="Times New Roman" w:hAnsi="Times New Roman" w:cs="Times New Roman"/>
          <w:sz w:val="24"/>
          <w:szCs w:val="24"/>
        </w:rPr>
        <w:t xml:space="preserve"> publiczn</w:t>
      </w:r>
      <w:r w:rsidR="00C45C43" w:rsidRPr="00481546">
        <w:rPr>
          <w:rFonts w:ascii="Times New Roman" w:hAnsi="Times New Roman" w:cs="Times New Roman"/>
          <w:sz w:val="24"/>
          <w:szCs w:val="24"/>
        </w:rPr>
        <w:t>ej</w:t>
      </w:r>
      <w:r w:rsidR="006346B3" w:rsidRPr="00481546">
        <w:rPr>
          <w:rFonts w:ascii="Times New Roman" w:hAnsi="Times New Roman" w:cs="Times New Roman"/>
          <w:sz w:val="24"/>
          <w:szCs w:val="24"/>
        </w:rPr>
        <w:t xml:space="preserve">. </w:t>
      </w:r>
      <w:r w:rsidR="002D1667" w:rsidRPr="00481546">
        <w:rPr>
          <w:rFonts w:ascii="Times New Roman" w:hAnsi="Times New Roman" w:cs="Times New Roman"/>
          <w:sz w:val="24"/>
          <w:szCs w:val="24"/>
        </w:rPr>
        <w:t>Wszystkie dane liczbowe pochodzące z </w:t>
      </w:r>
      <w:r w:rsidR="0013572E" w:rsidRPr="00481546">
        <w:rPr>
          <w:rFonts w:ascii="Times New Roman" w:hAnsi="Times New Roman" w:cs="Times New Roman"/>
          <w:sz w:val="24"/>
          <w:szCs w:val="24"/>
        </w:rPr>
        <w:t xml:space="preserve">powyżej wymienionych </w:t>
      </w:r>
      <w:r w:rsidR="002D1667" w:rsidRPr="00481546">
        <w:rPr>
          <w:rFonts w:ascii="Times New Roman" w:hAnsi="Times New Roman" w:cs="Times New Roman"/>
          <w:sz w:val="24"/>
          <w:szCs w:val="24"/>
        </w:rPr>
        <w:t>dokumentów</w:t>
      </w:r>
      <w:r w:rsidR="005E1824">
        <w:rPr>
          <w:rFonts w:ascii="Times New Roman" w:hAnsi="Times New Roman" w:cs="Times New Roman"/>
          <w:sz w:val="24"/>
          <w:szCs w:val="24"/>
        </w:rPr>
        <w:t>,</w:t>
      </w:r>
      <w:r w:rsidR="002D1667" w:rsidRPr="00481546">
        <w:rPr>
          <w:rFonts w:ascii="Times New Roman" w:hAnsi="Times New Roman" w:cs="Times New Roman"/>
          <w:sz w:val="24"/>
          <w:szCs w:val="24"/>
        </w:rPr>
        <w:t xml:space="preserve"> </w:t>
      </w:r>
      <w:r w:rsidR="0013572E" w:rsidRPr="00481546">
        <w:rPr>
          <w:rFonts w:ascii="Times New Roman" w:hAnsi="Times New Roman" w:cs="Times New Roman"/>
          <w:sz w:val="24"/>
          <w:szCs w:val="24"/>
        </w:rPr>
        <w:t xml:space="preserve">cytowane </w:t>
      </w:r>
      <w:r w:rsidR="002D1667" w:rsidRPr="00481546">
        <w:rPr>
          <w:rFonts w:ascii="Times New Roman" w:hAnsi="Times New Roman" w:cs="Times New Roman"/>
          <w:sz w:val="24"/>
          <w:szCs w:val="24"/>
        </w:rPr>
        <w:t>w </w:t>
      </w:r>
      <w:r w:rsidR="0013572E" w:rsidRPr="00481546">
        <w:rPr>
          <w:rFonts w:ascii="Times New Roman" w:hAnsi="Times New Roman" w:cs="Times New Roman"/>
          <w:sz w:val="24"/>
          <w:szCs w:val="24"/>
        </w:rPr>
        <w:t xml:space="preserve">niniejszej </w:t>
      </w:r>
      <w:r w:rsidR="002D1667" w:rsidRPr="00481546">
        <w:rPr>
          <w:rFonts w:ascii="Times New Roman" w:hAnsi="Times New Roman" w:cs="Times New Roman"/>
          <w:sz w:val="24"/>
          <w:szCs w:val="24"/>
        </w:rPr>
        <w:t>publikacji</w:t>
      </w:r>
      <w:r w:rsidR="0013572E" w:rsidRPr="00481546">
        <w:rPr>
          <w:rFonts w:ascii="Times New Roman" w:hAnsi="Times New Roman" w:cs="Times New Roman"/>
          <w:sz w:val="24"/>
          <w:szCs w:val="24"/>
        </w:rPr>
        <w:t>,</w:t>
      </w:r>
      <w:r w:rsidR="002D1667" w:rsidRPr="00481546">
        <w:rPr>
          <w:rFonts w:ascii="Times New Roman" w:hAnsi="Times New Roman" w:cs="Times New Roman"/>
          <w:sz w:val="24"/>
          <w:szCs w:val="24"/>
        </w:rPr>
        <w:t xml:space="preserve"> zostały również przygotowane w</w:t>
      </w:r>
      <w:r w:rsidR="00992E19" w:rsidRPr="00481546">
        <w:rPr>
          <w:rFonts w:ascii="Times New Roman" w:hAnsi="Times New Roman" w:cs="Times New Roman"/>
          <w:sz w:val="24"/>
          <w:szCs w:val="24"/>
        </w:rPr>
        <w:t xml:space="preserve"> </w:t>
      </w:r>
      <w:r w:rsidR="006C7DCA">
        <w:rPr>
          <w:rFonts w:ascii="Times New Roman" w:hAnsi="Times New Roman" w:cs="Times New Roman"/>
          <w:sz w:val="24"/>
          <w:szCs w:val="24"/>
        </w:rPr>
        <w:t>dodatku statystycznym</w:t>
      </w:r>
      <w:r w:rsidR="002D1667" w:rsidRPr="00481546">
        <w:rPr>
          <w:rFonts w:ascii="Times New Roman" w:hAnsi="Times New Roman" w:cs="Times New Roman"/>
          <w:sz w:val="24"/>
          <w:szCs w:val="24"/>
        </w:rPr>
        <w:t xml:space="preserve">. Mogą zostać wykorzystane </w:t>
      </w:r>
      <w:r w:rsidR="001B44F7" w:rsidRPr="00481546">
        <w:rPr>
          <w:rFonts w:ascii="Times New Roman" w:hAnsi="Times New Roman" w:cs="Times New Roman"/>
          <w:sz w:val="24"/>
          <w:szCs w:val="24"/>
        </w:rPr>
        <w:t xml:space="preserve">przez </w:t>
      </w:r>
      <w:r w:rsidR="002D1667" w:rsidRPr="00481546">
        <w:rPr>
          <w:rFonts w:ascii="Times New Roman" w:hAnsi="Times New Roman" w:cs="Times New Roman"/>
          <w:sz w:val="24"/>
          <w:szCs w:val="24"/>
        </w:rPr>
        <w:t>os</w:t>
      </w:r>
      <w:r w:rsidR="001B44F7" w:rsidRPr="00481546">
        <w:rPr>
          <w:rFonts w:ascii="Times New Roman" w:hAnsi="Times New Roman" w:cs="Times New Roman"/>
          <w:sz w:val="24"/>
          <w:szCs w:val="24"/>
        </w:rPr>
        <w:t>oby</w:t>
      </w:r>
      <w:r w:rsidR="002D1667" w:rsidRPr="00481546">
        <w:rPr>
          <w:rFonts w:ascii="Times New Roman" w:hAnsi="Times New Roman" w:cs="Times New Roman"/>
          <w:sz w:val="24"/>
          <w:szCs w:val="24"/>
        </w:rPr>
        <w:t xml:space="preserve"> </w:t>
      </w:r>
      <w:r w:rsidR="006B0C57" w:rsidRPr="00481546">
        <w:rPr>
          <w:rFonts w:ascii="Times New Roman" w:hAnsi="Times New Roman" w:cs="Times New Roman"/>
          <w:sz w:val="24"/>
          <w:szCs w:val="24"/>
        </w:rPr>
        <w:t xml:space="preserve">zainteresowane </w:t>
      </w:r>
      <w:r w:rsidR="006346B3" w:rsidRPr="00481546">
        <w:rPr>
          <w:rFonts w:ascii="Times New Roman" w:hAnsi="Times New Roman" w:cs="Times New Roman"/>
          <w:sz w:val="24"/>
          <w:szCs w:val="24"/>
        </w:rPr>
        <w:t>tematem</w:t>
      </w:r>
      <w:r w:rsidR="0013572E" w:rsidRPr="00481546">
        <w:rPr>
          <w:rFonts w:ascii="Times New Roman" w:hAnsi="Times New Roman" w:cs="Times New Roman"/>
          <w:sz w:val="24"/>
          <w:szCs w:val="24"/>
        </w:rPr>
        <w:t xml:space="preserve"> </w:t>
      </w:r>
      <w:r w:rsidR="005E1824">
        <w:rPr>
          <w:rFonts w:ascii="Times New Roman" w:hAnsi="Times New Roman" w:cs="Times New Roman"/>
          <w:sz w:val="24"/>
          <w:szCs w:val="24"/>
        </w:rPr>
        <w:t>lub</w:t>
      </w:r>
      <w:r w:rsidR="0013572E" w:rsidRPr="00481546">
        <w:rPr>
          <w:rFonts w:ascii="Times New Roman" w:hAnsi="Times New Roman" w:cs="Times New Roman"/>
          <w:sz w:val="24"/>
          <w:szCs w:val="24"/>
        </w:rPr>
        <w:t xml:space="preserve"> </w:t>
      </w:r>
      <w:r w:rsidR="002D1667" w:rsidRPr="00481546">
        <w:rPr>
          <w:rFonts w:ascii="Times New Roman" w:hAnsi="Times New Roman" w:cs="Times New Roman"/>
          <w:sz w:val="24"/>
          <w:szCs w:val="24"/>
        </w:rPr>
        <w:t>zajmując</w:t>
      </w:r>
      <w:r w:rsidR="001B44F7" w:rsidRPr="00481546">
        <w:rPr>
          <w:rFonts w:ascii="Times New Roman" w:hAnsi="Times New Roman" w:cs="Times New Roman"/>
          <w:sz w:val="24"/>
          <w:szCs w:val="24"/>
        </w:rPr>
        <w:t>e</w:t>
      </w:r>
      <w:r w:rsidR="002D1667" w:rsidRPr="00481546">
        <w:rPr>
          <w:rFonts w:ascii="Times New Roman" w:hAnsi="Times New Roman" w:cs="Times New Roman"/>
          <w:sz w:val="24"/>
          <w:szCs w:val="24"/>
        </w:rPr>
        <w:t xml:space="preserve"> się </w:t>
      </w:r>
      <w:r w:rsidR="006C7DCA">
        <w:rPr>
          <w:rFonts w:ascii="Times New Roman" w:hAnsi="Times New Roman" w:cs="Times New Roman"/>
          <w:sz w:val="24"/>
          <w:szCs w:val="24"/>
        </w:rPr>
        <w:t xml:space="preserve">rozwojem rynku </w:t>
      </w:r>
      <w:r w:rsidR="006346B3" w:rsidRPr="00481546">
        <w:rPr>
          <w:rFonts w:ascii="Times New Roman" w:hAnsi="Times New Roman" w:cs="Times New Roman"/>
          <w:sz w:val="24"/>
          <w:szCs w:val="24"/>
        </w:rPr>
        <w:t>p</w:t>
      </w:r>
      <w:r w:rsidR="002D1667" w:rsidRPr="00481546">
        <w:rPr>
          <w:rFonts w:ascii="Times New Roman" w:hAnsi="Times New Roman" w:cs="Times New Roman"/>
          <w:sz w:val="24"/>
          <w:szCs w:val="24"/>
        </w:rPr>
        <w:t>racy</w:t>
      </w:r>
      <w:r w:rsidR="001B44F7" w:rsidRPr="00481546">
        <w:rPr>
          <w:rFonts w:ascii="Times New Roman" w:hAnsi="Times New Roman" w:cs="Times New Roman"/>
          <w:sz w:val="24"/>
          <w:szCs w:val="24"/>
        </w:rPr>
        <w:t>.</w:t>
      </w:r>
    </w:p>
    <w:p w:rsidR="00206C0F" w:rsidRPr="00D62B23" w:rsidRDefault="00E75828" w:rsidP="009A1F42">
      <w:pPr>
        <w:jc w:val="both"/>
        <w:rPr>
          <w:rFonts w:ascii="Times New Roman" w:hAnsi="Times New Roman" w:cs="Times New Roman"/>
          <w:color w:val="000000"/>
          <w:sz w:val="24"/>
          <w:szCs w:val="24"/>
          <w:highlight w:val="yellow"/>
        </w:rPr>
      </w:pPr>
      <w:r w:rsidRPr="00D62B23">
        <w:rPr>
          <w:rFonts w:ascii="Times New Roman" w:hAnsi="Times New Roman" w:cs="Times New Roman"/>
          <w:color w:val="000000"/>
          <w:sz w:val="24"/>
          <w:szCs w:val="24"/>
          <w:highlight w:val="yellow"/>
        </w:rPr>
        <w:br w:type="page"/>
      </w:r>
    </w:p>
    <w:p w:rsidR="00B92E45" w:rsidRPr="00D62B23" w:rsidRDefault="00B92E45" w:rsidP="00B92E45">
      <w:pPr>
        <w:pStyle w:val="Nagwek1"/>
        <w:spacing w:line="360" w:lineRule="auto"/>
        <w:rPr>
          <w:rFonts w:ascii="Times New Roman" w:hAnsi="Times New Roman" w:cs="Times New Roman"/>
          <w:bCs w:val="0"/>
          <w:sz w:val="24"/>
          <w:szCs w:val="24"/>
          <w:highlight w:val="yellow"/>
        </w:rPr>
        <w:sectPr w:rsidR="00B92E45" w:rsidRPr="00D62B23" w:rsidSect="0075523D">
          <w:footerReference w:type="default" r:id="rId10"/>
          <w:pgSz w:w="11906" w:h="16838"/>
          <w:pgMar w:top="1418" w:right="1418" w:bottom="1418" w:left="1418" w:header="708" w:footer="708" w:gutter="0"/>
          <w:cols w:space="708"/>
          <w:docGrid w:linePitch="360"/>
        </w:sectPr>
      </w:pPr>
    </w:p>
    <w:p w:rsidR="00B92E45" w:rsidRPr="00481546" w:rsidRDefault="00AE5712" w:rsidP="00EE3609">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 w:name="_Toc446334627"/>
      <w:bookmarkStart w:id="3" w:name="_Toc81396058"/>
      <w:r w:rsidRPr="00481546">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c</w:t>
      </w:r>
      <w:r w:rsidR="00B92E45" w:rsidRPr="00481546">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harakterystyka regionu</w:t>
      </w:r>
      <w:bookmarkEnd w:id="2"/>
      <w:bookmarkEnd w:id="3"/>
    </w:p>
    <w:p w:rsidR="005A16D6" w:rsidRPr="00CA6E66" w:rsidRDefault="005A16D6" w:rsidP="005A16D6">
      <w:pPr>
        <w:autoSpaceDE w:val="0"/>
        <w:autoSpaceDN w:val="0"/>
        <w:adjustRightInd w:val="0"/>
        <w:spacing w:after="0" w:line="240" w:lineRule="auto"/>
        <w:jc w:val="both"/>
        <w:rPr>
          <w:rFonts w:ascii="Times New Roman" w:hAnsi="Times New Roman" w:cs="Times New Roman"/>
          <w:sz w:val="16"/>
          <w:szCs w:val="16"/>
          <w:highlight w:val="yellow"/>
        </w:rPr>
      </w:pPr>
      <w:bookmarkStart w:id="4" w:name="_Toc446334628"/>
    </w:p>
    <w:p w:rsidR="005A16D6" w:rsidRPr="00CA6E66" w:rsidRDefault="005A16D6" w:rsidP="005A16D6">
      <w:pPr>
        <w:autoSpaceDE w:val="0"/>
        <w:autoSpaceDN w:val="0"/>
        <w:adjustRightInd w:val="0"/>
        <w:spacing w:after="0" w:line="240" w:lineRule="auto"/>
        <w:jc w:val="both"/>
        <w:rPr>
          <w:rFonts w:ascii="Times New Roman" w:hAnsi="Times New Roman" w:cs="Times New Roman"/>
          <w:sz w:val="16"/>
          <w:szCs w:val="16"/>
          <w:highlight w:val="yellow"/>
        </w:rPr>
      </w:pPr>
    </w:p>
    <w:p w:rsidR="00FC1B7D" w:rsidRPr="00EB5FBF" w:rsidRDefault="00FC1B7D" w:rsidP="00D7041B">
      <w:pPr>
        <w:spacing w:after="0" w:line="36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B5FB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województwo</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podkarpackie</w:t>
      </w:r>
      <w:r w:rsidRPr="00EB5FB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EB5FBF">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
      </w:r>
    </w:p>
    <w:tbl>
      <w:tblPr>
        <w:tblStyle w:val="Tabela-Siatka"/>
        <w:tblW w:w="15072" w:type="dxa"/>
        <w:tblLook w:val="04A0" w:firstRow="1" w:lastRow="0" w:firstColumn="1" w:lastColumn="0" w:noHBand="0" w:noVBand="1"/>
      </w:tblPr>
      <w:tblGrid>
        <w:gridCol w:w="675"/>
        <w:gridCol w:w="3262"/>
        <w:gridCol w:w="2552"/>
        <w:gridCol w:w="2551"/>
        <w:gridCol w:w="6032"/>
      </w:tblGrid>
      <w:tr w:rsidR="00FC1B7D" w:rsidRPr="00CA6E66" w:rsidTr="009E4A6B">
        <w:trPr>
          <w:trHeight w:val="270"/>
        </w:trPr>
        <w:tc>
          <w:tcPr>
            <w:tcW w:w="675" w:type="dxa"/>
            <w:shd w:val="clear" w:color="auto" w:fill="E5DFEC" w:themeFill="accent4" w:themeFillTint="33"/>
          </w:tcPr>
          <w:p w:rsidR="00FC1B7D" w:rsidRPr="00EB5FBF" w:rsidRDefault="00FC1B7D" w:rsidP="009E4A6B">
            <w:pPr>
              <w:autoSpaceDE w:val="0"/>
              <w:autoSpaceDN w:val="0"/>
              <w:adjustRightInd w:val="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Lp.</w:t>
            </w:r>
          </w:p>
        </w:tc>
        <w:tc>
          <w:tcPr>
            <w:tcW w:w="3262" w:type="dxa"/>
            <w:shd w:val="clear" w:color="auto" w:fill="E5DFEC" w:themeFill="accent4" w:themeFillTint="33"/>
          </w:tcPr>
          <w:p w:rsidR="00FC1B7D" w:rsidRPr="00EB5FBF" w:rsidRDefault="00FC1B7D" w:rsidP="009E4A6B">
            <w:pPr>
              <w:autoSpaceDE w:val="0"/>
              <w:autoSpaceDN w:val="0"/>
              <w:adjustRightInd w:val="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Wskaźnik</w:t>
            </w:r>
          </w:p>
        </w:tc>
        <w:tc>
          <w:tcPr>
            <w:tcW w:w="2552" w:type="dxa"/>
            <w:shd w:val="clear" w:color="auto" w:fill="E5DFEC" w:themeFill="accent4" w:themeFillTint="33"/>
          </w:tcPr>
          <w:p w:rsidR="00FC1B7D" w:rsidRPr="00EB5FBF" w:rsidRDefault="00FC1B7D" w:rsidP="009E4A6B">
            <w:pPr>
              <w:autoSpaceDE w:val="0"/>
              <w:autoSpaceDN w:val="0"/>
              <w:adjustRightInd w:val="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201</w:t>
            </w:r>
            <w:r w:rsidR="0008417C">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9</w:t>
            </w:r>
          </w:p>
        </w:tc>
        <w:tc>
          <w:tcPr>
            <w:tcW w:w="2551" w:type="dxa"/>
            <w:shd w:val="clear" w:color="auto" w:fill="E5DFEC" w:themeFill="accent4" w:themeFillTint="33"/>
          </w:tcPr>
          <w:p w:rsidR="00FC1B7D" w:rsidRPr="00EB5FBF" w:rsidRDefault="00FC1B7D" w:rsidP="009E4A6B">
            <w:pPr>
              <w:autoSpaceDE w:val="0"/>
              <w:autoSpaceDN w:val="0"/>
              <w:adjustRightInd w:val="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w:t>
            </w:r>
            <w:r w:rsidR="0008417C">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w:t>
            </w:r>
          </w:p>
        </w:tc>
        <w:tc>
          <w:tcPr>
            <w:tcW w:w="6032" w:type="dxa"/>
            <w:shd w:val="clear" w:color="auto" w:fill="E5DFEC" w:themeFill="accent4" w:themeFillTint="33"/>
          </w:tcPr>
          <w:p w:rsidR="00FC1B7D" w:rsidRPr="00EB5FBF" w:rsidRDefault="00FC1B7D" w:rsidP="009E4A6B">
            <w:pPr>
              <w:autoSpaceDE w:val="0"/>
              <w:autoSpaceDN w:val="0"/>
              <w:adjustRightInd w:val="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Uwagi</w:t>
            </w:r>
          </w:p>
        </w:tc>
      </w:tr>
      <w:tr w:rsidR="00FC1B7D" w:rsidRPr="00CA6E66" w:rsidTr="000716D2">
        <w:tc>
          <w:tcPr>
            <w:tcW w:w="675" w:type="dxa"/>
            <w:tcBorders>
              <w:bottom w:val="single" w:sz="4" w:space="0" w:color="auto"/>
            </w:tcBorders>
            <w:vAlign w:val="center"/>
          </w:tcPr>
          <w:p w:rsidR="00FC1B7D" w:rsidRPr="00EB5FBF" w:rsidRDefault="00FC1B7D" w:rsidP="00977C90">
            <w:pPr>
              <w:pStyle w:val="Akapitzlist"/>
              <w:numPr>
                <w:ilvl w:val="0"/>
                <w:numId w:val="13"/>
              </w:numPr>
              <w:spacing w:before="120" w:after="120"/>
              <w:ind w:left="0" w:firstLine="0"/>
              <w:rPr>
                <w:rFonts w:ascii="Times New Roman" w:hAnsi="Times New Roman" w:cs="Times New Roman"/>
                <w:sz w:val="24"/>
                <w:szCs w:val="24"/>
              </w:rPr>
            </w:pPr>
          </w:p>
        </w:tc>
        <w:tc>
          <w:tcPr>
            <w:tcW w:w="3262" w:type="dxa"/>
            <w:tcBorders>
              <w:bottom w:val="single" w:sz="4" w:space="0" w:color="auto"/>
            </w:tcBorders>
            <w:vAlign w:val="center"/>
          </w:tcPr>
          <w:p w:rsidR="00FC1B7D" w:rsidRPr="00EB5FBF" w:rsidRDefault="00FC1B7D" w:rsidP="000716D2">
            <w:pPr>
              <w:rPr>
                <w:rFonts w:ascii="Times New Roman" w:hAnsi="Times New Roman" w:cs="Times New Roman"/>
                <w:sz w:val="24"/>
                <w:szCs w:val="24"/>
              </w:rPr>
            </w:pPr>
            <w:r w:rsidRPr="00EB5FBF">
              <w:rPr>
                <w:rFonts w:ascii="Times New Roman" w:hAnsi="Times New Roman" w:cs="Times New Roman"/>
                <w:sz w:val="24"/>
                <w:szCs w:val="24"/>
              </w:rPr>
              <w:t>Liczba ludności</w:t>
            </w:r>
          </w:p>
        </w:tc>
        <w:tc>
          <w:tcPr>
            <w:tcW w:w="2552" w:type="dxa"/>
            <w:tcBorders>
              <w:bottom w:val="single" w:sz="4" w:space="0" w:color="auto"/>
            </w:tcBorders>
            <w:vAlign w:val="center"/>
          </w:tcPr>
          <w:p w:rsidR="00C642EE" w:rsidRDefault="0008417C" w:rsidP="000716D2">
            <w:pPr>
              <w:jc w:val="center"/>
              <w:rPr>
                <w:rFonts w:ascii="Times New Roman" w:hAnsi="Times New Roman" w:cs="Times New Roman"/>
                <w:sz w:val="24"/>
                <w:szCs w:val="24"/>
              </w:rPr>
            </w:pPr>
            <w:r w:rsidRPr="008D5C3C">
              <w:rPr>
                <w:rFonts w:ascii="Times New Roman" w:hAnsi="Times New Roman" w:cs="Times New Roman"/>
                <w:sz w:val="24"/>
                <w:szCs w:val="24"/>
              </w:rPr>
              <w:t>2</w:t>
            </w:r>
            <w:r w:rsidR="00C82FA3">
              <w:rPr>
                <w:rFonts w:ascii="Times New Roman" w:hAnsi="Times New Roman" w:cs="Times New Roman"/>
                <w:sz w:val="24"/>
                <w:szCs w:val="24"/>
              </w:rPr>
              <w:t> </w:t>
            </w:r>
            <w:r w:rsidRPr="008D5C3C">
              <w:rPr>
                <w:rFonts w:ascii="Times New Roman" w:hAnsi="Times New Roman" w:cs="Times New Roman"/>
                <w:sz w:val="24"/>
                <w:szCs w:val="24"/>
              </w:rPr>
              <w:t>127</w:t>
            </w:r>
            <w:r w:rsidR="00C82FA3">
              <w:rPr>
                <w:rFonts w:ascii="Times New Roman" w:hAnsi="Times New Roman" w:cs="Times New Roman"/>
                <w:sz w:val="24"/>
                <w:szCs w:val="24"/>
              </w:rPr>
              <w:t xml:space="preserve"> </w:t>
            </w:r>
            <w:r w:rsidRPr="008D5C3C">
              <w:rPr>
                <w:rFonts w:ascii="Times New Roman" w:hAnsi="Times New Roman" w:cs="Times New Roman"/>
                <w:sz w:val="24"/>
                <w:szCs w:val="24"/>
              </w:rPr>
              <w:t>164 osób</w:t>
            </w:r>
          </w:p>
          <w:p w:rsidR="00FC1B7D" w:rsidRPr="00EB5FBF" w:rsidRDefault="00C642EE" w:rsidP="000716D2">
            <w:pPr>
              <w:jc w:val="center"/>
              <w:rPr>
                <w:rFonts w:ascii="Times New Roman" w:hAnsi="Times New Roman" w:cs="Times New Roman"/>
                <w:sz w:val="24"/>
                <w:szCs w:val="24"/>
              </w:rPr>
            </w:pPr>
            <w:r>
              <w:rPr>
                <w:rFonts w:ascii="Times New Roman" w:hAnsi="Times New Roman" w:cs="Times New Roman"/>
                <w:sz w:val="24"/>
                <w:szCs w:val="24"/>
              </w:rPr>
              <w:t>(stan na 31 XII)</w:t>
            </w:r>
          </w:p>
        </w:tc>
        <w:tc>
          <w:tcPr>
            <w:tcW w:w="2551" w:type="dxa"/>
            <w:tcBorders>
              <w:bottom w:val="single" w:sz="4" w:space="0" w:color="auto"/>
            </w:tcBorders>
            <w:vAlign w:val="center"/>
          </w:tcPr>
          <w:p w:rsidR="00C642EE" w:rsidRDefault="00F30EBB" w:rsidP="000716D2">
            <w:pPr>
              <w:jc w:val="center"/>
              <w:rPr>
                <w:rFonts w:ascii="Times New Roman" w:hAnsi="Times New Roman" w:cs="Times New Roman"/>
                <w:sz w:val="24"/>
                <w:szCs w:val="24"/>
              </w:rPr>
            </w:pPr>
            <w:r w:rsidRPr="00F30EBB">
              <w:rPr>
                <w:rFonts w:ascii="Times New Roman" w:hAnsi="Times New Roman" w:cs="Times New Roman"/>
                <w:sz w:val="24"/>
                <w:szCs w:val="24"/>
              </w:rPr>
              <w:t>2</w:t>
            </w:r>
            <w:r w:rsidR="00C82FA3">
              <w:rPr>
                <w:rFonts w:ascii="Times New Roman" w:hAnsi="Times New Roman" w:cs="Times New Roman"/>
                <w:sz w:val="24"/>
                <w:szCs w:val="24"/>
              </w:rPr>
              <w:t> </w:t>
            </w:r>
            <w:r w:rsidRPr="00F30EBB">
              <w:rPr>
                <w:rFonts w:ascii="Times New Roman" w:hAnsi="Times New Roman" w:cs="Times New Roman"/>
                <w:sz w:val="24"/>
                <w:szCs w:val="24"/>
              </w:rPr>
              <w:t>121</w:t>
            </w:r>
            <w:r w:rsidR="00C82FA3">
              <w:rPr>
                <w:rFonts w:ascii="Times New Roman" w:hAnsi="Times New Roman" w:cs="Times New Roman"/>
                <w:sz w:val="24"/>
                <w:szCs w:val="24"/>
              </w:rPr>
              <w:t xml:space="preserve"> </w:t>
            </w:r>
            <w:r w:rsidRPr="00F30EBB">
              <w:rPr>
                <w:rFonts w:ascii="Times New Roman" w:hAnsi="Times New Roman" w:cs="Times New Roman"/>
                <w:sz w:val="24"/>
                <w:szCs w:val="24"/>
              </w:rPr>
              <w:t>229</w:t>
            </w:r>
            <w:r>
              <w:rPr>
                <w:rFonts w:ascii="Times New Roman" w:hAnsi="Times New Roman" w:cs="Times New Roman"/>
                <w:sz w:val="24"/>
                <w:szCs w:val="24"/>
              </w:rPr>
              <w:t xml:space="preserve"> </w:t>
            </w:r>
            <w:r w:rsidR="00FC1B7D" w:rsidRPr="008D5C3C">
              <w:rPr>
                <w:rFonts w:ascii="Times New Roman" w:hAnsi="Times New Roman" w:cs="Times New Roman"/>
                <w:sz w:val="24"/>
                <w:szCs w:val="24"/>
              </w:rPr>
              <w:t>osób</w:t>
            </w:r>
          </w:p>
          <w:p w:rsidR="00FC1B7D" w:rsidRPr="008D5C3C" w:rsidRDefault="00C642EE" w:rsidP="000716D2">
            <w:pPr>
              <w:jc w:val="center"/>
              <w:rPr>
                <w:rFonts w:ascii="Times New Roman" w:hAnsi="Times New Roman" w:cs="Times New Roman"/>
                <w:sz w:val="24"/>
                <w:szCs w:val="24"/>
              </w:rPr>
            </w:pPr>
            <w:r>
              <w:rPr>
                <w:rFonts w:ascii="Times New Roman" w:hAnsi="Times New Roman" w:cs="Times New Roman"/>
                <w:sz w:val="24"/>
                <w:szCs w:val="24"/>
              </w:rPr>
              <w:t>(stan na 31 XII)</w:t>
            </w:r>
          </w:p>
        </w:tc>
        <w:tc>
          <w:tcPr>
            <w:tcW w:w="6032" w:type="dxa"/>
            <w:tcBorders>
              <w:bottom w:val="single" w:sz="4" w:space="0" w:color="auto"/>
            </w:tcBorders>
            <w:vAlign w:val="center"/>
          </w:tcPr>
          <w:p w:rsidR="00435DDB" w:rsidRDefault="00FC1B7D" w:rsidP="00435DDB">
            <w:pPr>
              <w:rPr>
                <w:rFonts w:ascii="Times New Roman" w:hAnsi="Times New Roman" w:cs="Times New Roman"/>
                <w:sz w:val="24"/>
                <w:szCs w:val="24"/>
              </w:rPr>
            </w:pPr>
            <w:r w:rsidRPr="007C3970">
              <w:rPr>
                <w:rFonts w:ascii="Times New Roman" w:hAnsi="Times New Roman" w:cs="Times New Roman"/>
                <w:sz w:val="24"/>
                <w:szCs w:val="24"/>
              </w:rPr>
              <w:t>5,5</w:t>
            </w:r>
            <w:r w:rsidR="00836EA1">
              <w:rPr>
                <w:rFonts w:ascii="Times New Roman" w:hAnsi="Times New Roman" w:cs="Times New Roman"/>
                <w:sz w:val="24"/>
                <w:szCs w:val="24"/>
              </w:rPr>
              <w:t xml:space="preserve"> proc.</w:t>
            </w:r>
            <w:r w:rsidRPr="007C3970">
              <w:rPr>
                <w:rFonts w:ascii="Times New Roman" w:hAnsi="Times New Roman" w:cs="Times New Roman"/>
                <w:sz w:val="24"/>
                <w:szCs w:val="24"/>
              </w:rPr>
              <w:t xml:space="preserve"> populacji całego kraju</w:t>
            </w:r>
            <w:r w:rsidR="00402713">
              <w:rPr>
                <w:rFonts w:ascii="Times New Roman" w:hAnsi="Times New Roman" w:cs="Times New Roman"/>
                <w:sz w:val="24"/>
                <w:szCs w:val="24"/>
              </w:rPr>
              <w:t>.</w:t>
            </w:r>
          </w:p>
          <w:p w:rsidR="00FC1B7D" w:rsidRPr="00CA6E66" w:rsidRDefault="00402713" w:rsidP="00435DDB">
            <w:pPr>
              <w:rPr>
                <w:rFonts w:ascii="Times New Roman" w:hAnsi="Times New Roman" w:cs="Times New Roman"/>
                <w:sz w:val="24"/>
                <w:szCs w:val="24"/>
                <w:highlight w:val="yellow"/>
              </w:rPr>
            </w:pPr>
            <w:r>
              <w:rPr>
                <w:rFonts w:ascii="Times New Roman" w:hAnsi="Times New Roman" w:cs="Times New Roman"/>
                <w:sz w:val="24"/>
                <w:szCs w:val="24"/>
              </w:rPr>
              <w:t xml:space="preserve">Nastąpił spadek </w:t>
            </w:r>
            <w:r w:rsidR="00FC1B7D" w:rsidRPr="00963533">
              <w:rPr>
                <w:rFonts w:ascii="Times New Roman" w:hAnsi="Times New Roman" w:cs="Times New Roman"/>
                <w:sz w:val="24"/>
                <w:szCs w:val="24"/>
              </w:rPr>
              <w:t xml:space="preserve"> </w:t>
            </w:r>
            <w:r>
              <w:rPr>
                <w:rFonts w:ascii="Times New Roman" w:hAnsi="Times New Roman" w:cs="Times New Roman"/>
                <w:sz w:val="24"/>
                <w:szCs w:val="24"/>
              </w:rPr>
              <w:t>o 5935 osób.</w:t>
            </w:r>
          </w:p>
        </w:tc>
      </w:tr>
      <w:tr w:rsidR="00175AAF" w:rsidRPr="00CA6E66" w:rsidTr="000716D2">
        <w:tc>
          <w:tcPr>
            <w:tcW w:w="675" w:type="dxa"/>
            <w:shd w:val="clear" w:color="auto" w:fill="FFFFFF" w:themeFill="background1"/>
            <w:vAlign w:val="center"/>
          </w:tcPr>
          <w:p w:rsidR="00175AAF" w:rsidRPr="00175AAF" w:rsidRDefault="00175AAF" w:rsidP="00977C90">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175AAF" w:rsidRPr="00175AAF" w:rsidRDefault="00175AAF" w:rsidP="000716D2">
            <w:pPr>
              <w:rPr>
                <w:rFonts w:ascii="Times New Roman" w:hAnsi="Times New Roman" w:cs="Times New Roman"/>
                <w:sz w:val="24"/>
                <w:szCs w:val="24"/>
              </w:rPr>
            </w:pPr>
            <w:r w:rsidRPr="00175AAF">
              <w:rPr>
                <w:rFonts w:ascii="Times New Roman" w:hAnsi="Times New Roman" w:cs="Times New Roman"/>
                <w:sz w:val="24"/>
                <w:szCs w:val="24"/>
              </w:rPr>
              <w:t>Ludność zamieszkała</w:t>
            </w:r>
          </w:p>
          <w:p w:rsidR="00175AAF" w:rsidRPr="00175AAF" w:rsidRDefault="00175AAF" w:rsidP="000716D2">
            <w:pPr>
              <w:rPr>
                <w:rFonts w:ascii="Times New Roman" w:hAnsi="Times New Roman" w:cs="Times New Roman"/>
                <w:sz w:val="24"/>
                <w:szCs w:val="24"/>
              </w:rPr>
            </w:pPr>
            <w:r w:rsidRPr="00175AAF">
              <w:rPr>
                <w:rFonts w:ascii="Times New Roman" w:hAnsi="Times New Roman" w:cs="Times New Roman"/>
                <w:sz w:val="24"/>
                <w:szCs w:val="24"/>
              </w:rPr>
              <w:t>w miastach</w:t>
            </w:r>
          </w:p>
        </w:tc>
        <w:tc>
          <w:tcPr>
            <w:tcW w:w="2552" w:type="dxa"/>
            <w:shd w:val="clear" w:color="auto" w:fill="FFFFFF" w:themeFill="background1"/>
            <w:vAlign w:val="center"/>
          </w:tcPr>
          <w:p w:rsidR="00175AAF" w:rsidRPr="00F318A0" w:rsidRDefault="00175AAF" w:rsidP="000716D2">
            <w:pPr>
              <w:jc w:val="center"/>
              <w:rPr>
                <w:rFonts w:ascii="Times New Roman" w:hAnsi="Times New Roman" w:cs="Times New Roman"/>
                <w:sz w:val="24"/>
                <w:szCs w:val="24"/>
              </w:rPr>
            </w:pPr>
            <w:r w:rsidRPr="00F318A0">
              <w:rPr>
                <w:rFonts w:ascii="Times New Roman" w:hAnsi="Times New Roman" w:cs="Times New Roman"/>
                <w:sz w:val="24"/>
                <w:szCs w:val="24"/>
              </w:rPr>
              <w:t>51 miast</w:t>
            </w:r>
          </w:p>
          <w:p w:rsidR="00175AAF" w:rsidRPr="00F318A0" w:rsidRDefault="00175AAF" w:rsidP="000716D2">
            <w:pPr>
              <w:jc w:val="center"/>
              <w:rPr>
                <w:rFonts w:ascii="Times New Roman" w:hAnsi="Times New Roman" w:cs="Times New Roman"/>
                <w:sz w:val="24"/>
                <w:szCs w:val="24"/>
              </w:rPr>
            </w:pPr>
            <w:r w:rsidRPr="00F318A0">
              <w:rPr>
                <w:rFonts w:ascii="Times New Roman" w:hAnsi="Times New Roman" w:cs="Times New Roman"/>
                <w:sz w:val="24"/>
                <w:szCs w:val="24"/>
              </w:rPr>
              <w:t>880 609 osób</w:t>
            </w:r>
          </w:p>
          <w:p w:rsidR="00175AAF" w:rsidRPr="00402713" w:rsidRDefault="00175AAF" w:rsidP="00836EA1">
            <w:pPr>
              <w:jc w:val="center"/>
              <w:rPr>
                <w:rFonts w:ascii="Times New Roman" w:hAnsi="Times New Roman" w:cs="Times New Roman"/>
                <w:sz w:val="24"/>
                <w:szCs w:val="24"/>
                <w:highlight w:val="yellow"/>
              </w:rPr>
            </w:pPr>
            <w:r w:rsidRPr="00F318A0">
              <w:rPr>
                <w:rFonts w:ascii="Times New Roman" w:hAnsi="Times New Roman" w:cs="Times New Roman"/>
                <w:sz w:val="24"/>
                <w:szCs w:val="24"/>
              </w:rPr>
              <w:t>41,40</w:t>
            </w:r>
            <w:r w:rsidR="00836EA1">
              <w:rPr>
                <w:rFonts w:ascii="Times New Roman" w:hAnsi="Times New Roman" w:cs="Times New Roman"/>
                <w:sz w:val="24"/>
                <w:szCs w:val="24"/>
              </w:rPr>
              <w:t xml:space="preserve"> proc.</w:t>
            </w:r>
            <w:r w:rsidRPr="00F318A0">
              <w:rPr>
                <w:rFonts w:ascii="Times New Roman" w:hAnsi="Times New Roman" w:cs="Times New Roman"/>
                <w:sz w:val="24"/>
                <w:szCs w:val="24"/>
              </w:rPr>
              <w:t xml:space="preserve"> ludności</w:t>
            </w:r>
          </w:p>
        </w:tc>
        <w:tc>
          <w:tcPr>
            <w:tcW w:w="2551" w:type="dxa"/>
            <w:shd w:val="clear" w:color="auto" w:fill="FFFFFF" w:themeFill="background1"/>
            <w:vAlign w:val="center"/>
          </w:tcPr>
          <w:p w:rsidR="00175AAF" w:rsidRPr="00F318A0" w:rsidRDefault="00175AAF" w:rsidP="000716D2">
            <w:pPr>
              <w:jc w:val="center"/>
              <w:rPr>
                <w:rFonts w:ascii="Times New Roman" w:hAnsi="Times New Roman" w:cs="Times New Roman"/>
                <w:sz w:val="24"/>
                <w:szCs w:val="24"/>
              </w:rPr>
            </w:pPr>
            <w:r w:rsidRPr="00F318A0">
              <w:rPr>
                <w:rFonts w:ascii="Times New Roman" w:hAnsi="Times New Roman" w:cs="Times New Roman"/>
                <w:sz w:val="24"/>
                <w:szCs w:val="24"/>
              </w:rPr>
              <w:t>51 miast</w:t>
            </w:r>
          </w:p>
          <w:p w:rsidR="00175AAF" w:rsidRPr="00F318A0" w:rsidRDefault="00175AAF" w:rsidP="000716D2">
            <w:pPr>
              <w:jc w:val="center"/>
              <w:rPr>
                <w:rFonts w:ascii="Times New Roman" w:hAnsi="Times New Roman" w:cs="Times New Roman"/>
                <w:sz w:val="24"/>
                <w:szCs w:val="24"/>
              </w:rPr>
            </w:pPr>
            <w:r w:rsidRPr="00F318A0">
              <w:rPr>
                <w:rFonts w:ascii="Times New Roman" w:hAnsi="Times New Roman" w:cs="Times New Roman"/>
                <w:sz w:val="24"/>
                <w:szCs w:val="24"/>
              </w:rPr>
              <w:t>8</w:t>
            </w:r>
            <w:r w:rsidR="00F318A0" w:rsidRPr="00F318A0">
              <w:rPr>
                <w:rFonts w:ascii="Times New Roman" w:hAnsi="Times New Roman" w:cs="Times New Roman"/>
                <w:sz w:val="24"/>
                <w:szCs w:val="24"/>
              </w:rPr>
              <w:t>77392</w:t>
            </w:r>
            <w:r w:rsidRPr="00F318A0">
              <w:rPr>
                <w:rFonts w:ascii="Times New Roman" w:hAnsi="Times New Roman" w:cs="Times New Roman"/>
                <w:sz w:val="24"/>
                <w:szCs w:val="24"/>
              </w:rPr>
              <w:t xml:space="preserve"> osób</w:t>
            </w:r>
          </w:p>
          <w:p w:rsidR="00175AAF" w:rsidRPr="00F318A0" w:rsidRDefault="00175AAF" w:rsidP="00836EA1">
            <w:pPr>
              <w:jc w:val="center"/>
              <w:rPr>
                <w:rFonts w:ascii="Times New Roman" w:hAnsi="Times New Roman" w:cs="Times New Roman"/>
                <w:sz w:val="24"/>
                <w:szCs w:val="24"/>
              </w:rPr>
            </w:pPr>
            <w:r w:rsidRPr="00F318A0">
              <w:rPr>
                <w:rFonts w:ascii="Times New Roman" w:hAnsi="Times New Roman" w:cs="Times New Roman"/>
                <w:sz w:val="24"/>
                <w:szCs w:val="24"/>
              </w:rPr>
              <w:t>41,</w:t>
            </w:r>
            <w:r w:rsidR="00F318A0">
              <w:rPr>
                <w:rFonts w:ascii="Times New Roman" w:hAnsi="Times New Roman" w:cs="Times New Roman"/>
                <w:sz w:val="24"/>
                <w:szCs w:val="24"/>
              </w:rPr>
              <w:t>36</w:t>
            </w:r>
            <w:r w:rsidR="00836EA1">
              <w:rPr>
                <w:rFonts w:ascii="Times New Roman" w:hAnsi="Times New Roman" w:cs="Times New Roman"/>
                <w:sz w:val="24"/>
                <w:szCs w:val="24"/>
              </w:rPr>
              <w:t xml:space="preserve"> proc.</w:t>
            </w:r>
            <w:r w:rsidRPr="00F318A0">
              <w:rPr>
                <w:rFonts w:ascii="Times New Roman" w:hAnsi="Times New Roman" w:cs="Times New Roman"/>
                <w:sz w:val="24"/>
                <w:szCs w:val="24"/>
              </w:rPr>
              <w:t xml:space="preserve"> ludności</w:t>
            </w:r>
          </w:p>
        </w:tc>
        <w:tc>
          <w:tcPr>
            <w:tcW w:w="6032" w:type="dxa"/>
            <w:shd w:val="clear" w:color="auto" w:fill="FFFFFF" w:themeFill="background1"/>
            <w:vAlign w:val="center"/>
          </w:tcPr>
          <w:p w:rsidR="00175AAF" w:rsidRPr="00222E15" w:rsidRDefault="00175AAF" w:rsidP="00435DDB">
            <w:pPr>
              <w:rPr>
                <w:rFonts w:ascii="Times New Roman" w:hAnsi="Times New Roman" w:cs="Times New Roman"/>
                <w:sz w:val="24"/>
                <w:szCs w:val="24"/>
              </w:rPr>
            </w:pPr>
            <w:r w:rsidRPr="00222E15">
              <w:rPr>
                <w:rFonts w:ascii="Times New Roman" w:hAnsi="Times New Roman" w:cs="Times New Roman"/>
                <w:sz w:val="24"/>
                <w:szCs w:val="24"/>
              </w:rPr>
              <w:t>Najniższy odsetek ludności w miastach w porównaniu</w:t>
            </w:r>
          </w:p>
          <w:p w:rsidR="00175AAF" w:rsidRPr="00402713" w:rsidRDefault="00175AAF" w:rsidP="00435DDB">
            <w:pPr>
              <w:rPr>
                <w:rFonts w:ascii="Times New Roman" w:hAnsi="Times New Roman" w:cs="Times New Roman"/>
                <w:sz w:val="24"/>
                <w:szCs w:val="24"/>
                <w:highlight w:val="yellow"/>
              </w:rPr>
            </w:pPr>
            <w:r w:rsidRPr="00222E15">
              <w:rPr>
                <w:rFonts w:ascii="Times New Roman" w:hAnsi="Times New Roman" w:cs="Times New Roman"/>
                <w:sz w:val="24"/>
                <w:szCs w:val="24"/>
              </w:rPr>
              <w:t>międzywojewódzkim.</w:t>
            </w:r>
          </w:p>
        </w:tc>
      </w:tr>
      <w:tr w:rsidR="00175AAF" w:rsidRPr="00CA6E66" w:rsidTr="000716D2">
        <w:tc>
          <w:tcPr>
            <w:tcW w:w="675" w:type="dxa"/>
            <w:shd w:val="clear" w:color="auto" w:fill="FFFFFF" w:themeFill="background1"/>
            <w:vAlign w:val="center"/>
          </w:tcPr>
          <w:p w:rsidR="00175AAF" w:rsidRPr="00175AAF" w:rsidRDefault="00175AAF" w:rsidP="00977C90">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647081" w:rsidRDefault="00175AAF" w:rsidP="000716D2">
            <w:pPr>
              <w:rPr>
                <w:rFonts w:ascii="Times New Roman" w:hAnsi="Times New Roman" w:cs="Times New Roman"/>
                <w:sz w:val="24"/>
                <w:szCs w:val="24"/>
              </w:rPr>
            </w:pPr>
            <w:r w:rsidRPr="00175AAF">
              <w:rPr>
                <w:rFonts w:ascii="Times New Roman" w:hAnsi="Times New Roman" w:cs="Times New Roman"/>
                <w:sz w:val="24"/>
                <w:szCs w:val="24"/>
              </w:rPr>
              <w:t>Gęstość zaludnienia</w:t>
            </w:r>
          </w:p>
          <w:p w:rsidR="00647081" w:rsidRDefault="00175AAF" w:rsidP="000716D2">
            <w:pPr>
              <w:rPr>
                <w:rFonts w:ascii="Times New Roman" w:hAnsi="Times New Roman" w:cs="Times New Roman"/>
                <w:sz w:val="24"/>
                <w:szCs w:val="24"/>
              </w:rPr>
            </w:pPr>
            <w:r w:rsidRPr="00175AAF">
              <w:rPr>
                <w:rFonts w:ascii="Times New Roman" w:hAnsi="Times New Roman" w:cs="Times New Roman"/>
                <w:sz w:val="24"/>
                <w:szCs w:val="24"/>
              </w:rPr>
              <w:t xml:space="preserve">(ludność </w:t>
            </w:r>
            <w:r w:rsidR="00647081">
              <w:rPr>
                <w:rFonts w:ascii="Times New Roman" w:hAnsi="Times New Roman" w:cs="Times New Roman"/>
                <w:sz w:val="24"/>
                <w:szCs w:val="24"/>
              </w:rPr>
              <w:t>w przeliczeniu</w:t>
            </w:r>
          </w:p>
          <w:p w:rsidR="00175AAF" w:rsidRPr="00175AAF" w:rsidRDefault="00175AAF" w:rsidP="000716D2">
            <w:pPr>
              <w:rPr>
                <w:rFonts w:ascii="Times New Roman" w:hAnsi="Times New Roman" w:cs="Times New Roman"/>
                <w:sz w:val="24"/>
                <w:szCs w:val="24"/>
              </w:rPr>
            </w:pPr>
            <w:r w:rsidRPr="00175AAF">
              <w:rPr>
                <w:rFonts w:ascii="Times New Roman" w:hAnsi="Times New Roman" w:cs="Times New Roman"/>
                <w:sz w:val="24"/>
                <w:szCs w:val="24"/>
              </w:rPr>
              <w:t>na 1 km</w:t>
            </w:r>
            <w:r w:rsidRPr="00175AAF">
              <w:rPr>
                <w:rFonts w:ascii="Times New Roman" w:hAnsi="Times New Roman" w:cs="Times New Roman"/>
                <w:sz w:val="24"/>
                <w:szCs w:val="24"/>
                <w:vertAlign w:val="superscript"/>
              </w:rPr>
              <w:t>2</w:t>
            </w:r>
            <w:r w:rsidRPr="00175AAF">
              <w:rPr>
                <w:rFonts w:ascii="Times New Roman" w:hAnsi="Times New Roman" w:cs="Times New Roman"/>
                <w:sz w:val="24"/>
                <w:szCs w:val="24"/>
              </w:rPr>
              <w:t>)</w:t>
            </w:r>
          </w:p>
        </w:tc>
        <w:tc>
          <w:tcPr>
            <w:tcW w:w="2552" w:type="dxa"/>
            <w:shd w:val="clear" w:color="auto" w:fill="FFFFFF" w:themeFill="background1"/>
            <w:vAlign w:val="center"/>
          </w:tcPr>
          <w:p w:rsidR="00175AAF" w:rsidRPr="002A25E6" w:rsidRDefault="00175AAF" w:rsidP="000716D2">
            <w:pPr>
              <w:jc w:val="center"/>
              <w:rPr>
                <w:rFonts w:ascii="Times New Roman" w:hAnsi="Times New Roman" w:cs="Times New Roman"/>
                <w:sz w:val="24"/>
                <w:szCs w:val="24"/>
              </w:rPr>
            </w:pPr>
            <w:r w:rsidRPr="002A25E6">
              <w:rPr>
                <w:rFonts w:ascii="Times New Roman" w:hAnsi="Times New Roman" w:cs="Times New Roman"/>
                <w:sz w:val="24"/>
                <w:szCs w:val="24"/>
              </w:rPr>
              <w:t>119 os./km</w:t>
            </w:r>
            <w:r w:rsidRPr="002A25E6">
              <w:rPr>
                <w:rFonts w:ascii="Times New Roman" w:hAnsi="Times New Roman" w:cs="Times New Roman"/>
                <w:sz w:val="24"/>
                <w:szCs w:val="24"/>
                <w:vertAlign w:val="superscript"/>
              </w:rPr>
              <w:t>2</w:t>
            </w:r>
          </w:p>
        </w:tc>
        <w:tc>
          <w:tcPr>
            <w:tcW w:w="2551" w:type="dxa"/>
            <w:shd w:val="clear" w:color="auto" w:fill="FFFFFF" w:themeFill="background1"/>
            <w:vAlign w:val="center"/>
          </w:tcPr>
          <w:p w:rsidR="00175AAF" w:rsidRPr="002A25E6" w:rsidRDefault="00175AAF" w:rsidP="000716D2">
            <w:pPr>
              <w:jc w:val="center"/>
              <w:rPr>
                <w:rFonts w:ascii="Times New Roman" w:hAnsi="Times New Roman" w:cs="Times New Roman"/>
                <w:sz w:val="24"/>
                <w:szCs w:val="24"/>
              </w:rPr>
            </w:pPr>
            <w:r w:rsidRPr="002A25E6">
              <w:rPr>
                <w:rFonts w:ascii="Times New Roman" w:hAnsi="Times New Roman" w:cs="Times New Roman"/>
                <w:sz w:val="24"/>
                <w:szCs w:val="24"/>
              </w:rPr>
              <w:t>119 os./km</w:t>
            </w:r>
            <w:r w:rsidRPr="002A25E6">
              <w:rPr>
                <w:rFonts w:ascii="Times New Roman" w:hAnsi="Times New Roman" w:cs="Times New Roman"/>
                <w:sz w:val="24"/>
                <w:szCs w:val="24"/>
                <w:vertAlign w:val="superscript"/>
              </w:rPr>
              <w:t>2</w:t>
            </w:r>
          </w:p>
        </w:tc>
        <w:tc>
          <w:tcPr>
            <w:tcW w:w="6032" w:type="dxa"/>
            <w:shd w:val="clear" w:color="auto" w:fill="FFFFFF" w:themeFill="background1"/>
            <w:vAlign w:val="center"/>
          </w:tcPr>
          <w:p w:rsidR="00175AAF" w:rsidRPr="002A25E6" w:rsidRDefault="00175AAF" w:rsidP="00435DDB">
            <w:pPr>
              <w:rPr>
                <w:rFonts w:ascii="Times New Roman" w:hAnsi="Times New Roman" w:cs="Times New Roman"/>
                <w:sz w:val="24"/>
                <w:szCs w:val="24"/>
              </w:rPr>
            </w:pPr>
            <w:r w:rsidRPr="002A25E6">
              <w:rPr>
                <w:rFonts w:ascii="Times New Roman" w:hAnsi="Times New Roman" w:cs="Times New Roman"/>
                <w:sz w:val="24"/>
                <w:szCs w:val="24"/>
              </w:rPr>
              <w:t>Dla kraju: 12</w:t>
            </w:r>
            <w:r w:rsidR="002A25E6" w:rsidRPr="002A25E6">
              <w:rPr>
                <w:rFonts w:ascii="Times New Roman" w:hAnsi="Times New Roman" w:cs="Times New Roman"/>
                <w:sz w:val="24"/>
                <w:szCs w:val="24"/>
              </w:rPr>
              <w:t>2</w:t>
            </w:r>
            <w:r w:rsidRPr="002A25E6">
              <w:rPr>
                <w:rFonts w:ascii="Times New Roman" w:hAnsi="Times New Roman" w:cs="Times New Roman"/>
                <w:sz w:val="24"/>
                <w:szCs w:val="24"/>
              </w:rPr>
              <w:t xml:space="preserve"> os./km</w:t>
            </w:r>
            <w:r w:rsidRPr="002A25E6">
              <w:rPr>
                <w:rFonts w:ascii="Times New Roman" w:hAnsi="Times New Roman" w:cs="Times New Roman"/>
                <w:sz w:val="24"/>
                <w:szCs w:val="24"/>
                <w:vertAlign w:val="superscript"/>
              </w:rPr>
              <w:t xml:space="preserve">2  </w:t>
            </w:r>
            <w:r w:rsidRPr="002A25E6">
              <w:rPr>
                <w:rFonts w:ascii="Times New Roman" w:hAnsi="Times New Roman" w:cs="Times New Roman"/>
                <w:sz w:val="24"/>
                <w:szCs w:val="24"/>
              </w:rPr>
              <w:t>(</w:t>
            </w:r>
            <w:r w:rsidR="002A25E6" w:rsidRPr="002A25E6">
              <w:rPr>
                <w:rFonts w:ascii="Times New Roman" w:hAnsi="Times New Roman" w:cs="Times New Roman"/>
                <w:sz w:val="24"/>
                <w:szCs w:val="24"/>
              </w:rPr>
              <w:t>2020).</w:t>
            </w:r>
          </w:p>
        </w:tc>
      </w:tr>
      <w:tr w:rsidR="00175AAF" w:rsidRPr="00CA6E66" w:rsidTr="000716D2">
        <w:tc>
          <w:tcPr>
            <w:tcW w:w="675" w:type="dxa"/>
            <w:tcBorders>
              <w:bottom w:val="single" w:sz="4" w:space="0" w:color="auto"/>
            </w:tcBorders>
            <w:vAlign w:val="center"/>
          </w:tcPr>
          <w:p w:rsidR="00175AAF" w:rsidRPr="00175AAF" w:rsidRDefault="00175AAF" w:rsidP="00977C90">
            <w:pPr>
              <w:pStyle w:val="Akapitzlist"/>
              <w:numPr>
                <w:ilvl w:val="0"/>
                <w:numId w:val="13"/>
              </w:numPr>
              <w:spacing w:before="120" w:after="120"/>
              <w:ind w:left="0" w:firstLine="0"/>
              <w:rPr>
                <w:rFonts w:ascii="Times New Roman" w:hAnsi="Times New Roman" w:cs="Times New Roman"/>
                <w:sz w:val="24"/>
                <w:szCs w:val="24"/>
              </w:rPr>
            </w:pPr>
          </w:p>
        </w:tc>
        <w:tc>
          <w:tcPr>
            <w:tcW w:w="3262" w:type="dxa"/>
            <w:tcBorders>
              <w:bottom w:val="single" w:sz="4" w:space="0" w:color="auto"/>
            </w:tcBorders>
            <w:vAlign w:val="center"/>
          </w:tcPr>
          <w:p w:rsidR="00175AAF" w:rsidRPr="00175AAF" w:rsidRDefault="00175AAF" w:rsidP="000716D2">
            <w:pPr>
              <w:rPr>
                <w:rFonts w:ascii="Times New Roman" w:hAnsi="Times New Roman" w:cs="Times New Roman"/>
                <w:sz w:val="24"/>
                <w:szCs w:val="24"/>
              </w:rPr>
            </w:pPr>
            <w:r w:rsidRPr="00175AAF">
              <w:rPr>
                <w:rFonts w:ascii="Times New Roman" w:hAnsi="Times New Roman" w:cs="Times New Roman"/>
                <w:sz w:val="24"/>
                <w:szCs w:val="24"/>
              </w:rPr>
              <w:t>Przyrost naturalny</w:t>
            </w:r>
          </w:p>
          <w:p w:rsidR="00175AAF" w:rsidRPr="00175AAF" w:rsidRDefault="00175AAF" w:rsidP="000716D2">
            <w:pPr>
              <w:rPr>
                <w:rFonts w:ascii="Times New Roman" w:hAnsi="Times New Roman" w:cs="Times New Roman"/>
                <w:sz w:val="24"/>
                <w:szCs w:val="24"/>
              </w:rPr>
            </w:pPr>
            <w:r w:rsidRPr="00175AAF">
              <w:rPr>
                <w:rFonts w:ascii="Times New Roman" w:hAnsi="Times New Roman" w:cs="Times New Roman"/>
                <w:sz w:val="24"/>
                <w:szCs w:val="24"/>
              </w:rPr>
              <w:t>(na 1000 ludności)</w:t>
            </w:r>
          </w:p>
        </w:tc>
        <w:tc>
          <w:tcPr>
            <w:tcW w:w="2552" w:type="dxa"/>
            <w:tcBorders>
              <w:bottom w:val="single" w:sz="4" w:space="0" w:color="auto"/>
            </w:tcBorders>
            <w:vAlign w:val="center"/>
          </w:tcPr>
          <w:p w:rsidR="00175AAF" w:rsidRPr="002A25E6" w:rsidRDefault="00175AAF" w:rsidP="000716D2">
            <w:pPr>
              <w:jc w:val="center"/>
              <w:rPr>
                <w:rFonts w:ascii="Times New Roman" w:hAnsi="Times New Roman" w:cs="Times New Roman"/>
                <w:sz w:val="24"/>
                <w:szCs w:val="24"/>
              </w:rPr>
            </w:pPr>
            <w:r w:rsidRPr="002A25E6">
              <w:rPr>
                <w:rFonts w:ascii="Times New Roman" w:hAnsi="Times New Roman" w:cs="Times New Roman"/>
                <w:sz w:val="24"/>
                <w:szCs w:val="24"/>
              </w:rPr>
              <w:t>+ 0,</w:t>
            </w:r>
            <w:r w:rsidR="002A25E6" w:rsidRPr="002A25E6">
              <w:rPr>
                <w:rFonts w:ascii="Times New Roman" w:hAnsi="Times New Roman" w:cs="Times New Roman"/>
                <w:sz w:val="24"/>
                <w:szCs w:val="24"/>
              </w:rPr>
              <w:t>3</w:t>
            </w:r>
            <w:r w:rsidRPr="002A25E6">
              <w:rPr>
                <w:rFonts w:ascii="Times New Roman" w:hAnsi="Times New Roman" w:cs="Times New Roman"/>
                <w:sz w:val="24"/>
                <w:szCs w:val="24"/>
              </w:rPr>
              <w:t>‰</w:t>
            </w:r>
          </w:p>
        </w:tc>
        <w:tc>
          <w:tcPr>
            <w:tcW w:w="2551" w:type="dxa"/>
            <w:tcBorders>
              <w:bottom w:val="single" w:sz="4" w:space="0" w:color="auto"/>
            </w:tcBorders>
            <w:shd w:val="clear" w:color="auto" w:fill="auto"/>
            <w:vAlign w:val="center"/>
          </w:tcPr>
          <w:p w:rsidR="00175AAF" w:rsidRPr="002A25E6" w:rsidRDefault="002A25E6" w:rsidP="000716D2">
            <w:pPr>
              <w:jc w:val="center"/>
              <w:rPr>
                <w:rFonts w:ascii="Times New Roman" w:hAnsi="Times New Roman" w:cs="Times New Roman"/>
                <w:sz w:val="24"/>
                <w:szCs w:val="24"/>
              </w:rPr>
            </w:pPr>
            <w:r w:rsidRPr="002A25E6">
              <w:rPr>
                <w:rFonts w:ascii="Times New Roman" w:hAnsi="Times New Roman" w:cs="Times New Roman"/>
                <w:sz w:val="24"/>
                <w:szCs w:val="24"/>
              </w:rPr>
              <w:t>-</w:t>
            </w:r>
            <w:r w:rsidR="00175AAF" w:rsidRPr="002A25E6">
              <w:rPr>
                <w:rFonts w:ascii="Times New Roman" w:hAnsi="Times New Roman" w:cs="Times New Roman"/>
                <w:sz w:val="24"/>
                <w:szCs w:val="24"/>
              </w:rPr>
              <w:t xml:space="preserve"> </w:t>
            </w:r>
            <w:r w:rsidRPr="002A25E6">
              <w:rPr>
                <w:rFonts w:ascii="Times New Roman" w:hAnsi="Times New Roman" w:cs="Times New Roman"/>
                <w:sz w:val="24"/>
                <w:szCs w:val="24"/>
              </w:rPr>
              <w:t>2</w:t>
            </w:r>
            <w:r w:rsidR="00175AAF" w:rsidRPr="002A25E6">
              <w:rPr>
                <w:rFonts w:ascii="Times New Roman" w:hAnsi="Times New Roman" w:cs="Times New Roman"/>
                <w:sz w:val="24"/>
                <w:szCs w:val="24"/>
              </w:rPr>
              <w:t>,</w:t>
            </w:r>
            <w:r w:rsidRPr="002A25E6">
              <w:rPr>
                <w:rFonts w:ascii="Times New Roman" w:hAnsi="Times New Roman" w:cs="Times New Roman"/>
                <w:sz w:val="24"/>
                <w:szCs w:val="24"/>
              </w:rPr>
              <w:t>1</w:t>
            </w:r>
            <w:r w:rsidR="00175AAF" w:rsidRPr="002A25E6">
              <w:rPr>
                <w:rFonts w:ascii="Times New Roman" w:hAnsi="Times New Roman" w:cs="Times New Roman"/>
                <w:sz w:val="24"/>
                <w:szCs w:val="24"/>
              </w:rPr>
              <w:t>‰</w:t>
            </w:r>
          </w:p>
        </w:tc>
        <w:tc>
          <w:tcPr>
            <w:tcW w:w="6032" w:type="dxa"/>
            <w:tcBorders>
              <w:bottom w:val="single" w:sz="4" w:space="0" w:color="auto"/>
            </w:tcBorders>
            <w:vAlign w:val="center"/>
          </w:tcPr>
          <w:p w:rsidR="00175AAF" w:rsidRPr="00647081" w:rsidRDefault="00175AAF" w:rsidP="00435DDB">
            <w:pPr>
              <w:rPr>
                <w:rFonts w:ascii="Times New Roman" w:hAnsi="Times New Roman" w:cs="Times New Roman"/>
                <w:sz w:val="24"/>
                <w:szCs w:val="24"/>
              </w:rPr>
            </w:pPr>
            <w:r w:rsidRPr="00647081">
              <w:rPr>
                <w:rFonts w:ascii="Times New Roman" w:hAnsi="Times New Roman" w:cs="Times New Roman"/>
                <w:sz w:val="24"/>
                <w:szCs w:val="24"/>
              </w:rPr>
              <w:t>Wartość dla kraju (20</w:t>
            </w:r>
            <w:r w:rsidR="002A25E6" w:rsidRPr="00647081">
              <w:rPr>
                <w:rFonts w:ascii="Times New Roman" w:hAnsi="Times New Roman" w:cs="Times New Roman"/>
                <w:sz w:val="24"/>
                <w:szCs w:val="24"/>
              </w:rPr>
              <w:t>20</w:t>
            </w:r>
            <w:r w:rsidRPr="00647081">
              <w:rPr>
                <w:rFonts w:ascii="Times New Roman" w:hAnsi="Times New Roman" w:cs="Times New Roman"/>
                <w:sz w:val="24"/>
                <w:szCs w:val="24"/>
              </w:rPr>
              <w:t xml:space="preserve">): minus </w:t>
            </w:r>
            <w:r w:rsidR="002A25E6" w:rsidRPr="00647081">
              <w:rPr>
                <w:rFonts w:ascii="Times New Roman" w:hAnsi="Times New Roman" w:cs="Times New Roman"/>
                <w:sz w:val="24"/>
                <w:szCs w:val="24"/>
              </w:rPr>
              <w:t>3</w:t>
            </w:r>
            <w:r w:rsidRPr="00647081">
              <w:rPr>
                <w:rFonts w:ascii="Times New Roman" w:hAnsi="Times New Roman" w:cs="Times New Roman"/>
                <w:sz w:val="24"/>
                <w:szCs w:val="24"/>
              </w:rPr>
              <w:t>,</w:t>
            </w:r>
            <w:r w:rsidR="002A25E6" w:rsidRPr="00647081">
              <w:rPr>
                <w:rFonts w:ascii="Times New Roman" w:hAnsi="Times New Roman" w:cs="Times New Roman"/>
                <w:sz w:val="24"/>
                <w:szCs w:val="24"/>
              </w:rPr>
              <w:t>2</w:t>
            </w:r>
            <w:r w:rsidRPr="00647081">
              <w:rPr>
                <w:rFonts w:ascii="Times New Roman" w:hAnsi="Times New Roman" w:cs="Times New Roman"/>
                <w:sz w:val="24"/>
                <w:szCs w:val="24"/>
              </w:rPr>
              <w:t>‰.</w:t>
            </w:r>
          </w:p>
          <w:p w:rsidR="00175AAF" w:rsidRPr="00402713" w:rsidRDefault="00175AAF" w:rsidP="00435DDB">
            <w:pPr>
              <w:rPr>
                <w:rFonts w:ascii="Times New Roman" w:hAnsi="Times New Roman" w:cs="Times New Roman"/>
                <w:sz w:val="24"/>
                <w:szCs w:val="24"/>
                <w:highlight w:val="yellow"/>
              </w:rPr>
            </w:pPr>
            <w:r w:rsidRPr="00647081">
              <w:rPr>
                <w:rFonts w:ascii="Times New Roman" w:hAnsi="Times New Roman" w:cs="Times New Roman"/>
                <w:sz w:val="24"/>
                <w:szCs w:val="24"/>
              </w:rPr>
              <w:t xml:space="preserve">5 lokata dla Podkarpacia wśród województw </w:t>
            </w:r>
            <w:r w:rsidR="00647081" w:rsidRPr="00647081">
              <w:rPr>
                <w:rFonts w:ascii="Times New Roman" w:hAnsi="Times New Roman" w:cs="Times New Roman"/>
                <w:sz w:val="24"/>
                <w:szCs w:val="24"/>
              </w:rPr>
              <w:t>(wszystkie z</w:t>
            </w:r>
            <w:r w:rsidR="00435DDB">
              <w:rPr>
                <w:rFonts w:ascii="Times New Roman" w:hAnsi="Times New Roman" w:cs="Times New Roman"/>
                <w:sz w:val="24"/>
                <w:szCs w:val="24"/>
              </w:rPr>
              <w:t> </w:t>
            </w:r>
            <w:r w:rsidR="00647081" w:rsidRPr="00647081">
              <w:rPr>
                <w:rFonts w:ascii="Times New Roman" w:hAnsi="Times New Roman" w:cs="Times New Roman"/>
                <w:sz w:val="24"/>
                <w:szCs w:val="24"/>
              </w:rPr>
              <w:t xml:space="preserve">ujemnym przyrostem; </w:t>
            </w:r>
            <w:r w:rsidRPr="00647081">
              <w:rPr>
                <w:rFonts w:ascii="Times New Roman" w:hAnsi="Times New Roman" w:cs="Times New Roman"/>
                <w:sz w:val="24"/>
                <w:szCs w:val="24"/>
              </w:rPr>
              <w:t xml:space="preserve">pomorskie </w:t>
            </w:r>
            <w:r w:rsidR="00647081" w:rsidRPr="00647081">
              <w:rPr>
                <w:rFonts w:ascii="Times New Roman" w:hAnsi="Times New Roman" w:cs="Times New Roman"/>
                <w:sz w:val="24"/>
                <w:szCs w:val="24"/>
              </w:rPr>
              <w:t>-0</w:t>
            </w:r>
            <w:r w:rsidRPr="00647081">
              <w:rPr>
                <w:rFonts w:ascii="Times New Roman" w:hAnsi="Times New Roman" w:cs="Times New Roman"/>
                <w:sz w:val="24"/>
                <w:szCs w:val="24"/>
              </w:rPr>
              <w:t>,</w:t>
            </w:r>
            <w:r w:rsidR="00647081" w:rsidRPr="00647081">
              <w:rPr>
                <w:rFonts w:ascii="Times New Roman" w:hAnsi="Times New Roman" w:cs="Times New Roman"/>
                <w:sz w:val="24"/>
                <w:szCs w:val="24"/>
              </w:rPr>
              <w:t>5</w:t>
            </w:r>
            <w:r w:rsidRPr="00647081">
              <w:rPr>
                <w:rFonts w:ascii="Times New Roman" w:hAnsi="Times New Roman" w:cs="Times New Roman"/>
                <w:sz w:val="24"/>
                <w:szCs w:val="24"/>
              </w:rPr>
              <w:t xml:space="preserve">‰, małopolskie </w:t>
            </w:r>
            <w:r w:rsidR="00647081" w:rsidRPr="00647081">
              <w:rPr>
                <w:rFonts w:ascii="Times New Roman" w:hAnsi="Times New Roman" w:cs="Times New Roman"/>
                <w:sz w:val="24"/>
                <w:szCs w:val="24"/>
              </w:rPr>
              <w:t>-</w:t>
            </w:r>
            <w:r w:rsidRPr="00647081">
              <w:rPr>
                <w:rFonts w:ascii="Times New Roman" w:hAnsi="Times New Roman" w:cs="Times New Roman"/>
                <w:sz w:val="24"/>
                <w:szCs w:val="24"/>
              </w:rPr>
              <w:t>1,</w:t>
            </w:r>
            <w:r w:rsidR="00647081" w:rsidRPr="00647081">
              <w:rPr>
                <w:rFonts w:ascii="Times New Roman" w:hAnsi="Times New Roman" w:cs="Times New Roman"/>
                <w:sz w:val="24"/>
                <w:szCs w:val="24"/>
              </w:rPr>
              <w:t>0</w:t>
            </w:r>
            <w:r w:rsidRPr="00647081">
              <w:rPr>
                <w:rFonts w:ascii="Times New Roman" w:hAnsi="Times New Roman" w:cs="Times New Roman"/>
                <w:sz w:val="24"/>
                <w:szCs w:val="24"/>
              </w:rPr>
              <w:t xml:space="preserve">‰, wielkopolskie </w:t>
            </w:r>
            <w:r w:rsidR="00647081" w:rsidRPr="00647081">
              <w:rPr>
                <w:rFonts w:ascii="Times New Roman" w:hAnsi="Times New Roman" w:cs="Times New Roman"/>
                <w:sz w:val="24"/>
                <w:szCs w:val="24"/>
              </w:rPr>
              <w:t>-1</w:t>
            </w:r>
            <w:r w:rsidRPr="00647081">
              <w:rPr>
                <w:rFonts w:ascii="Times New Roman" w:hAnsi="Times New Roman" w:cs="Times New Roman"/>
                <w:sz w:val="24"/>
                <w:szCs w:val="24"/>
              </w:rPr>
              <w:t xml:space="preserve">,2‰, mazowieckie </w:t>
            </w:r>
            <w:r w:rsidR="00647081" w:rsidRPr="00647081">
              <w:rPr>
                <w:rFonts w:ascii="Times New Roman" w:hAnsi="Times New Roman" w:cs="Times New Roman"/>
                <w:sz w:val="24"/>
                <w:szCs w:val="24"/>
              </w:rPr>
              <w:t>-2</w:t>
            </w:r>
            <w:r w:rsidRPr="00647081">
              <w:rPr>
                <w:rFonts w:ascii="Times New Roman" w:hAnsi="Times New Roman" w:cs="Times New Roman"/>
                <w:sz w:val="24"/>
                <w:szCs w:val="24"/>
              </w:rPr>
              <w:t>,</w:t>
            </w:r>
            <w:r w:rsidR="00647081" w:rsidRPr="00647081">
              <w:rPr>
                <w:rFonts w:ascii="Times New Roman" w:hAnsi="Times New Roman" w:cs="Times New Roman"/>
                <w:sz w:val="24"/>
                <w:szCs w:val="24"/>
              </w:rPr>
              <w:t>0</w:t>
            </w:r>
            <w:r w:rsidRPr="00647081">
              <w:rPr>
                <w:rFonts w:ascii="Times New Roman" w:hAnsi="Times New Roman" w:cs="Times New Roman"/>
                <w:sz w:val="24"/>
                <w:szCs w:val="24"/>
              </w:rPr>
              <w:t xml:space="preserve">‰ i podkarpackie </w:t>
            </w:r>
            <w:r w:rsidR="00647081" w:rsidRPr="00647081">
              <w:rPr>
                <w:rFonts w:ascii="Times New Roman" w:hAnsi="Times New Roman" w:cs="Times New Roman"/>
                <w:sz w:val="24"/>
                <w:szCs w:val="24"/>
              </w:rPr>
              <w:t>-2</w:t>
            </w:r>
            <w:r w:rsidRPr="00647081">
              <w:rPr>
                <w:rFonts w:ascii="Times New Roman" w:hAnsi="Times New Roman" w:cs="Times New Roman"/>
                <w:sz w:val="24"/>
                <w:szCs w:val="24"/>
              </w:rPr>
              <w:t>,</w:t>
            </w:r>
            <w:r w:rsidR="00647081" w:rsidRPr="00647081">
              <w:rPr>
                <w:rFonts w:ascii="Times New Roman" w:hAnsi="Times New Roman" w:cs="Times New Roman"/>
                <w:sz w:val="24"/>
                <w:szCs w:val="24"/>
              </w:rPr>
              <w:t>1</w:t>
            </w:r>
            <w:r w:rsidRPr="00647081">
              <w:rPr>
                <w:rFonts w:ascii="Times New Roman" w:hAnsi="Times New Roman" w:cs="Times New Roman"/>
                <w:sz w:val="24"/>
                <w:szCs w:val="24"/>
              </w:rPr>
              <w:t>‰).</w:t>
            </w:r>
          </w:p>
        </w:tc>
      </w:tr>
      <w:tr w:rsidR="00175AAF" w:rsidRPr="00CA6E66" w:rsidTr="000716D2">
        <w:tc>
          <w:tcPr>
            <w:tcW w:w="675" w:type="dxa"/>
            <w:shd w:val="clear" w:color="auto" w:fill="FFFFFF" w:themeFill="background1"/>
            <w:vAlign w:val="center"/>
          </w:tcPr>
          <w:p w:rsidR="00175AAF" w:rsidRPr="00EB5FBF" w:rsidRDefault="00175AAF" w:rsidP="00977C90">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175AAF" w:rsidRPr="00614F65" w:rsidRDefault="00175AAF" w:rsidP="000716D2">
            <w:pPr>
              <w:rPr>
                <w:rFonts w:ascii="Times New Roman" w:hAnsi="Times New Roman" w:cs="Times New Roman"/>
                <w:sz w:val="24"/>
                <w:szCs w:val="24"/>
              </w:rPr>
            </w:pPr>
            <w:r w:rsidRPr="00614F65">
              <w:rPr>
                <w:rFonts w:ascii="Times New Roman" w:hAnsi="Times New Roman" w:cs="Times New Roman"/>
                <w:sz w:val="24"/>
                <w:szCs w:val="24"/>
              </w:rPr>
              <w:t>Wskaźnik urbanizacji</w:t>
            </w:r>
          </w:p>
          <w:p w:rsidR="00175AAF" w:rsidRPr="00614F65" w:rsidRDefault="00175AAF" w:rsidP="000716D2">
            <w:pPr>
              <w:rPr>
                <w:rFonts w:ascii="Times New Roman" w:hAnsi="Times New Roman" w:cs="Times New Roman"/>
                <w:sz w:val="24"/>
                <w:szCs w:val="24"/>
              </w:rPr>
            </w:pPr>
            <w:r w:rsidRPr="00614F65">
              <w:rPr>
                <w:rFonts w:ascii="Times New Roman" w:hAnsi="Times New Roman" w:cs="Times New Roman"/>
                <w:sz w:val="24"/>
                <w:szCs w:val="24"/>
              </w:rPr>
              <w:t>(udział gruntów zabudowanych</w:t>
            </w:r>
          </w:p>
          <w:p w:rsidR="00175AAF" w:rsidRPr="00614F65" w:rsidRDefault="00175AAF" w:rsidP="000716D2">
            <w:pPr>
              <w:rPr>
                <w:rFonts w:ascii="Times New Roman" w:hAnsi="Times New Roman" w:cs="Times New Roman"/>
                <w:sz w:val="24"/>
                <w:szCs w:val="24"/>
              </w:rPr>
            </w:pPr>
            <w:r w:rsidRPr="00614F65">
              <w:rPr>
                <w:rFonts w:ascii="Times New Roman" w:hAnsi="Times New Roman" w:cs="Times New Roman"/>
                <w:sz w:val="24"/>
                <w:szCs w:val="24"/>
              </w:rPr>
              <w:t>i zurbanizowanych</w:t>
            </w:r>
          </w:p>
          <w:p w:rsidR="00175AAF" w:rsidRPr="00614F65" w:rsidRDefault="00175AAF" w:rsidP="000716D2">
            <w:pPr>
              <w:rPr>
                <w:rFonts w:ascii="Times New Roman" w:hAnsi="Times New Roman" w:cs="Times New Roman"/>
                <w:sz w:val="24"/>
                <w:szCs w:val="24"/>
              </w:rPr>
            </w:pPr>
            <w:r w:rsidRPr="00614F65">
              <w:rPr>
                <w:rFonts w:ascii="Times New Roman" w:hAnsi="Times New Roman" w:cs="Times New Roman"/>
                <w:sz w:val="24"/>
                <w:szCs w:val="24"/>
              </w:rPr>
              <w:t>w powierzchni ogółem)</w:t>
            </w:r>
          </w:p>
        </w:tc>
        <w:tc>
          <w:tcPr>
            <w:tcW w:w="2552" w:type="dxa"/>
            <w:shd w:val="clear" w:color="auto" w:fill="FFFFFF" w:themeFill="background1"/>
            <w:vAlign w:val="center"/>
          </w:tcPr>
          <w:p w:rsidR="00175AAF" w:rsidRPr="00920F4E" w:rsidRDefault="00175AAF" w:rsidP="000716D2">
            <w:pPr>
              <w:jc w:val="center"/>
              <w:rPr>
                <w:rFonts w:ascii="Times New Roman" w:hAnsi="Times New Roman" w:cs="Times New Roman"/>
                <w:sz w:val="24"/>
                <w:szCs w:val="24"/>
              </w:rPr>
            </w:pPr>
            <w:r w:rsidRPr="00920F4E">
              <w:rPr>
                <w:rFonts w:ascii="Times New Roman" w:hAnsi="Times New Roman" w:cs="Times New Roman"/>
                <w:sz w:val="24"/>
                <w:szCs w:val="24"/>
              </w:rPr>
              <w:t>5,</w:t>
            </w:r>
            <w:r w:rsidR="00920F4E" w:rsidRPr="00920F4E">
              <w:rPr>
                <w:rFonts w:ascii="Times New Roman" w:hAnsi="Times New Roman" w:cs="Times New Roman"/>
                <w:sz w:val="24"/>
                <w:szCs w:val="24"/>
              </w:rPr>
              <w:t>0</w:t>
            </w:r>
            <w:r w:rsidRPr="00920F4E">
              <w:rPr>
                <w:rStyle w:val="Odwoanieprzypisudolnego"/>
                <w:rFonts w:ascii="Times New Roman" w:hAnsi="Times New Roman" w:cs="Times New Roman"/>
                <w:sz w:val="24"/>
                <w:szCs w:val="24"/>
              </w:rPr>
              <w:footnoteReference w:id="2"/>
            </w:r>
          </w:p>
        </w:tc>
        <w:tc>
          <w:tcPr>
            <w:tcW w:w="2551" w:type="dxa"/>
            <w:shd w:val="clear" w:color="auto" w:fill="FFFFFF" w:themeFill="background1"/>
            <w:vAlign w:val="center"/>
          </w:tcPr>
          <w:p w:rsidR="00175AAF" w:rsidRPr="00920F4E" w:rsidRDefault="00175AAF" w:rsidP="000716D2">
            <w:pPr>
              <w:jc w:val="center"/>
              <w:rPr>
                <w:rFonts w:ascii="Times New Roman" w:hAnsi="Times New Roman" w:cs="Times New Roman"/>
                <w:sz w:val="24"/>
                <w:szCs w:val="24"/>
              </w:rPr>
            </w:pPr>
            <w:r w:rsidRPr="00920F4E">
              <w:rPr>
                <w:rFonts w:ascii="Times New Roman" w:hAnsi="Times New Roman" w:cs="Times New Roman"/>
                <w:sz w:val="24"/>
                <w:szCs w:val="24"/>
              </w:rPr>
              <w:t>5,</w:t>
            </w:r>
            <w:r w:rsidR="00920F4E" w:rsidRPr="00920F4E">
              <w:rPr>
                <w:rFonts w:ascii="Times New Roman" w:hAnsi="Times New Roman" w:cs="Times New Roman"/>
                <w:sz w:val="24"/>
                <w:szCs w:val="24"/>
              </w:rPr>
              <w:t>2</w:t>
            </w:r>
            <w:r w:rsidRPr="00920F4E">
              <w:rPr>
                <w:rStyle w:val="Odwoanieprzypisudolnego"/>
                <w:rFonts w:ascii="Times New Roman" w:hAnsi="Times New Roman" w:cs="Times New Roman"/>
                <w:sz w:val="24"/>
                <w:szCs w:val="24"/>
              </w:rPr>
              <w:footnoteReference w:id="3"/>
            </w:r>
          </w:p>
        </w:tc>
        <w:tc>
          <w:tcPr>
            <w:tcW w:w="6032" w:type="dxa"/>
            <w:shd w:val="clear" w:color="auto" w:fill="FFFFFF" w:themeFill="background1"/>
            <w:vAlign w:val="center"/>
          </w:tcPr>
          <w:p w:rsidR="00175AAF" w:rsidRPr="00920F4E" w:rsidRDefault="00175AAF" w:rsidP="00435DDB">
            <w:pPr>
              <w:rPr>
                <w:rFonts w:ascii="Times New Roman" w:hAnsi="Times New Roman" w:cs="Times New Roman"/>
                <w:sz w:val="24"/>
                <w:szCs w:val="24"/>
              </w:rPr>
            </w:pPr>
            <w:r w:rsidRPr="00920F4E">
              <w:rPr>
                <w:rFonts w:ascii="Times New Roman" w:hAnsi="Times New Roman" w:cs="Times New Roman"/>
                <w:sz w:val="24"/>
                <w:szCs w:val="24"/>
              </w:rPr>
              <w:t>woj. podkarpackie 20</w:t>
            </w:r>
            <w:r w:rsidR="00920F4E" w:rsidRPr="00920F4E">
              <w:rPr>
                <w:rFonts w:ascii="Times New Roman" w:hAnsi="Times New Roman" w:cs="Times New Roman"/>
                <w:sz w:val="24"/>
                <w:szCs w:val="24"/>
              </w:rPr>
              <w:t>03</w:t>
            </w:r>
            <w:r w:rsidRPr="00920F4E">
              <w:rPr>
                <w:rFonts w:ascii="Times New Roman" w:hAnsi="Times New Roman" w:cs="Times New Roman"/>
                <w:sz w:val="24"/>
                <w:szCs w:val="24"/>
              </w:rPr>
              <w:t xml:space="preserve"> r. – 4,</w:t>
            </w:r>
            <w:r w:rsidR="00920F4E" w:rsidRPr="00920F4E">
              <w:rPr>
                <w:rFonts w:ascii="Times New Roman" w:hAnsi="Times New Roman" w:cs="Times New Roman"/>
                <w:sz w:val="24"/>
                <w:szCs w:val="24"/>
              </w:rPr>
              <w:t>2</w:t>
            </w:r>
            <w:r w:rsidR="00836EA1">
              <w:rPr>
                <w:rFonts w:ascii="Times New Roman" w:hAnsi="Times New Roman" w:cs="Times New Roman"/>
                <w:sz w:val="24"/>
                <w:szCs w:val="24"/>
              </w:rPr>
              <w:t xml:space="preserve"> proc.</w:t>
            </w:r>
            <w:r w:rsidRPr="00920F4E">
              <w:rPr>
                <w:rFonts w:ascii="Times New Roman" w:hAnsi="Times New Roman" w:cs="Times New Roman"/>
                <w:sz w:val="24"/>
                <w:szCs w:val="24"/>
              </w:rPr>
              <w:t xml:space="preserve"> wzrost do 20</w:t>
            </w:r>
            <w:r w:rsidR="00920F4E" w:rsidRPr="00920F4E">
              <w:rPr>
                <w:rFonts w:ascii="Times New Roman" w:hAnsi="Times New Roman" w:cs="Times New Roman"/>
                <w:sz w:val="24"/>
                <w:szCs w:val="24"/>
              </w:rPr>
              <w:t xml:space="preserve">20 </w:t>
            </w:r>
            <w:r w:rsidRPr="00920F4E">
              <w:rPr>
                <w:rFonts w:ascii="Times New Roman" w:hAnsi="Times New Roman" w:cs="Times New Roman"/>
                <w:sz w:val="24"/>
                <w:szCs w:val="24"/>
              </w:rPr>
              <w:t>r.</w:t>
            </w:r>
          </w:p>
          <w:p w:rsidR="00175AAF" w:rsidRPr="00920F4E" w:rsidRDefault="00175AAF" w:rsidP="00435DDB">
            <w:pPr>
              <w:rPr>
                <w:rFonts w:ascii="Times New Roman" w:hAnsi="Times New Roman" w:cs="Times New Roman"/>
                <w:sz w:val="24"/>
                <w:szCs w:val="24"/>
              </w:rPr>
            </w:pPr>
            <w:r w:rsidRPr="00920F4E">
              <w:rPr>
                <w:rFonts w:ascii="Times New Roman" w:hAnsi="Times New Roman" w:cs="Times New Roman"/>
                <w:sz w:val="24"/>
                <w:szCs w:val="24"/>
              </w:rPr>
              <w:t>(5,</w:t>
            </w:r>
            <w:r w:rsidR="00920F4E" w:rsidRPr="00920F4E">
              <w:rPr>
                <w:rFonts w:ascii="Times New Roman" w:hAnsi="Times New Roman" w:cs="Times New Roman"/>
                <w:sz w:val="24"/>
                <w:szCs w:val="24"/>
              </w:rPr>
              <w:t>2</w:t>
            </w:r>
            <w:r w:rsidR="00836EA1">
              <w:rPr>
                <w:rFonts w:ascii="Times New Roman" w:hAnsi="Times New Roman" w:cs="Times New Roman"/>
                <w:sz w:val="24"/>
                <w:szCs w:val="24"/>
              </w:rPr>
              <w:t xml:space="preserve"> proc.</w:t>
            </w:r>
            <w:r w:rsidRPr="00920F4E">
              <w:rPr>
                <w:rFonts w:ascii="Times New Roman" w:hAnsi="Times New Roman" w:cs="Times New Roman"/>
                <w:sz w:val="24"/>
                <w:szCs w:val="24"/>
              </w:rPr>
              <w:t xml:space="preserve">) o </w:t>
            </w:r>
            <w:r w:rsidR="00920F4E" w:rsidRPr="00920F4E">
              <w:rPr>
                <w:rFonts w:ascii="Times New Roman" w:hAnsi="Times New Roman" w:cs="Times New Roman"/>
                <w:sz w:val="24"/>
                <w:szCs w:val="24"/>
              </w:rPr>
              <w:t>1,0</w:t>
            </w:r>
            <w:r w:rsidRPr="00920F4E">
              <w:rPr>
                <w:rFonts w:ascii="Times New Roman" w:hAnsi="Times New Roman" w:cs="Times New Roman"/>
                <w:sz w:val="24"/>
                <w:szCs w:val="24"/>
              </w:rPr>
              <w:t xml:space="preserve"> pkt. proc.</w:t>
            </w:r>
          </w:p>
          <w:p w:rsidR="00175AAF" w:rsidRPr="00920F4E" w:rsidRDefault="00175AAF" w:rsidP="00435DDB">
            <w:pPr>
              <w:rPr>
                <w:rFonts w:ascii="Times New Roman" w:hAnsi="Times New Roman" w:cs="Times New Roman"/>
                <w:sz w:val="24"/>
                <w:szCs w:val="24"/>
              </w:rPr>
            </w:pPr>
            <w:r w:rsidRPr="00920F4E">
              <w:rPr>
                <w:rFonts w:ascii="Times New Roman" w:hAnsi="Times New Roman" w:cs="Times New Roman"/>
                <w:sz w:val="24"/>
                <w:szCs w:val="24"/>
              </w:rPr>
              <w:t>Polska 20</w:t>
            </w:r>
            <w:r w:rsidR="00920F4E" w:rsidRPr="00920F4E">
              <w:rPr>
                <w:rFonts w:ascii="Times New Roman" w:hAnsi="Times New Roman" w:cs="Times New Roman"/>
                <w:sz w:val="24"/>
                <w:szCs w:val="24"/>
              </w:rPr>
              <w:t>03</w:t>
            </w:r>
            <w:r w:rsidRPr="00920F4E">
              <w:rPr>
                <w:rFonts w:ascii="Times New Roman" w:hAnsi="Times New Roman" w:cs="Times New Roman"/>
                <w:sz w:val="24"/>
                <w:szCs w:val="24"/>
              </w:rPr>
              <w:t xml:space="preserve"> – </w:t>
            </w:r>
            <w:r w:rsidR="00920F4E" w:rsidRPr="00920F4E">
              <w:rPr>
                <w:rFonts w:ascii="Times New Roman" w:hAnsi="Times New Roman" w:cs="Times New Roman"/>
                <w:sz w:val="24"/>
                <w:szCs w:val="24"/>
              </w:rPr>
              <w:t>4</w:t>
            </w:r>
            <w:r w:rsidRPr="00920F4E">
              <w:rPr>
                <w:rFonts w:ascii="Times New Roman" w:hAnsi="Times New Roman" w:cs="Times New Roman"/>
                <w:sz w:val="24"/>
                <w:szCs w:val="24"/>
              </w:rPr>
              <w:t>,</w:t>
            </w:r>
            <w:r w:rsidR="00920F4E" w:rsidRPr="00920F4E">
              <w:rPr>
                <w:rFonts w:ascii="Times New Roman" w:hAnsi="Times New Roman" w:cs="Times New Roman"/>
                <w:sz w:val="24"/>
                <w:szCs w:val="24"/>
              </w:rPr>
              <w:t>6</w:t>
            </w:r>
            <w:r w:rsidR="00836EA1">
              <w:rPr>
                <w:rFonts w:ascii="Times New Roman" w:hAnsi="Times New Roman" w:cs="Times New Roman"/>
                <w:sz w:val="24"/>
                <w:szCs w:val="24"/>
              </w:rPr>
              <w:t xml:space="preserve"> proc.</w:t>
            </w:r>
            <w:r w:rsidRPr="00920F4E">
              <w:rPr>
                <w:rFonts w:ascii="Times New Roman" w:hAnsi="Times New Roman" w:cs="Times New Roman"/>
                <w:sz w:val="24"/>
                <w:szCs w:val="24"/>
              </w:rPr>
              <w:t xml:space="preserve"> wzrost do 20</w:t>
            </w:r>
            <w:r w:rsidR="00920F4E" w:rsidRPr="00920F4E">
              <w:rPr>
                <w:rFonts w:ascii="Times New Roman" w:hAnsi="Times New Roman" w:cs="Times New Roman"/>
                <w:sz w:val="24"/>
                <w:szCs w:val="24"/>
              </w:rPr>
              <w:t>20</w:t>
            </w:r>
            <w:r w:rsidRPr="00920F4E">
              <w:rPr>
                <w:rFonts w:ascii="Times New Roman" w:hAnsi="Times New Roman" w:cs="Times New Roman"/>
                <w:sz w:val="24"/>
                <w:szCs w:val="24"/>
              </w:rPr>
              <w:t xml:space="preserve"> r.</w:t>
            </w:r>
          </w:p>
          <w:p w:rsidR="00175AAF" w:rsidRPr="00920F4E" w:rsidRDefault="00175AAF" w:rsidP="00435DDB">
            <w:pPr>
              <w:rPr>
                <w:rFonts w:ascii="Times New Roman" w:hAnsi="Times New Roman" w:cs="Times New Roman"/>
                <w:sz w:val="24"/>
                <w:szCs w:val="24"/>
              </w:rPr>
            </w:pPr>
            <w:r w:rsidRPr="00920F4E">
              <w:rPr>
                <w:rFonts w:ascii="Times New Roman" w:hAnsi="Times New Roman" w:cs="Times New Roman"/>
                <w:sz w:val="24"/>
                <w:szCs w:val="24"/>
              </w:rPr>
              <w:t>(5,</w:t>
            </w:r>
            <w:r w:rsidR="00920F4E" w:rsidRPr="00920F4E">
              <w:rPr>
                <w:rFonts w:ascii="Times New Roman" w:hAnsi="Times New Roman" w:cs="Times New Roman"/>
                <w:sz w:val="24"/>
                <w:szCs w:val="24"/>
              </w:rPr>
              <w:t>7</w:t>
            </w:r>
            <w:r w:rsidR="00836EA1">
              <w:rPr>
                <w:rFonts w:ascii="Times New Roman" w:hAnsi="Times New Roman" w:cs="Times New Roman"/>
                <w:sz w:val="24"/>
                <w:szCs w:val="24"/>
              </w:rPr>
              <w:t xml:space="preserve"> proc.</w:t>
            </w:r>
            <w:r w:rsidRPr="00920F4E">
              <w:rPr>
                <w:rFonts w:ascii="Times New Roman" w:hAnsi="Times New Roman" w:cs="Times New Roman"/>
                <w:sz w:val="24"/>
                <w:szCs w:val="24"/>
              </w:rPr>
              <w:t xml:space="preserve">) o </w:t>
            </w:r>
            <w:r w:rsidR="00920F4E" w:rsidRPr="00920F4E">
              <w:rPr>
                <w:rFonts w:ascii="Times New Roman" w:hAnsi="Times New Roman" w:cs="Times New Roman"/>
                <w:sz w:val="24"/>
                <w:szCs w:val="24"/>
              </w:rPr>
              <w:t>1</w:t>
            </w:r>
            <w:r w:rsidRPr="00920F4E">
              <w:rPr>
                <w:rFonts w:ascii="Times New Roman" w:hAnsi="Times New Roman" w:cs="Times New Roman"/>
                <w:sz w:val="24"/>
                <w:szCs w:val="24"/>
              </w:rPr>
              <w:t>,</w:t>
            </w:r>
            <w:r w:rsidR="00920F4E" w:rsidRPr="00920F4E">
              <w:rPr>
                <w:rFonts w:ascii="Times New Roman" w:hAnsi="Times New Roman" w:cs="Times New Roman"/>
                <w:sz w:val="24"/>
                <w:szCs w:val="24"/>
              </w:rPr>
              <w:t>1</w:t>
            </w:r>
            <w:r w:rsidRPr="00920F4E">
              <w:rPr>
                <w:rFonts w:ascii="Times New Roman" w:hAnsi="Times New Roman" w:cs="Times New Roman"/>
                <w:sz w:val="24"/>
                <w:szCs w:val="24"/>
              </w:rPr>
              <w:t xml:space="preserve"> pkt. proc.</w:t>
            </w:r>
          </w:p>
        </w:tc>
      </w:tr>
      <w:tr w:rsidR="00175AAF" w:rsidRPr="00CA6E66" w:rsidTr="000716D2">
        <w:tc>
          <w:tcPr>
            <w:tcW w:w="675" w:type="dxa"/>
            <w:shd w:val="clear" w:color="auto" w:fill="FFFFFF" w:themeFill="background1"/>
            <w:vAlign w:val="center"/>
          </w:tcPr>
          <w:p w:rsidR="00175AAF" w:rsidRPr="00EB5FBF" w:rsidRDefault="00175AAF" w:rsidP="00977C90">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175AAF" w:rsidRPr="009E4A6B" w:rsidRDefault="00175AAF" w:rsidP="000716D2">
            <w:pPr>
              <w:rPr>
                <w:rFonts w:ascii="Times New Roman" w:hAnsi="Times New Roman" w:cs="Times New Roman"/>
                <w:sz w:val="24"/>
                <w:szCs w:val="24"/>
              </w:rPr>
            </w:pPr>
            <w:r w:rsidRPr="009E4A6B">
              <w:rPr>
                <w:rFonts w:ascii="Times New Roman" w:hAnsi="Times New Roman" w:cs="Times New Roman"/>
                <w:sz w:val="24"/>
                <w:szCs w:val="24"/>
              </w:rPr>
              <w:t>Współczynnik feminizacji</w:t>
            </w:r>
          </w:p>
        </w:tc>
        <w:tc>
          <w:tcPr>
            <w:tcW w:w="2552" w:type="dxa"/>
            <w:shd w:val="clear" w:color="auto" w:fill="FFFFFF" w:themeFill="background1"/>
            <w:vAlign w:val="center"/>
          </w:tcPr>
          <w:p w:rsidR="00175AAF" w:rsidRPr="009E4A6B" w:rsidRDefault="00175AAF" w:rsidP="000716D2">
            <w:pPr>
              <w:jc w:val="center"/>
              <w:rPr>
                <w:rFonts w:ascii="Times New Roman" w:hAnsi="Times New Roman" w:cs="Times New Roman"/>
                <w:sz w:val="24"/>
                <w:szCs w:val="24"/>
              </w:rPr>
            </w:pPr>
            <w:r w:rsidRPr="009E4A6B">
              <w:rPr>
                <w:rFonts w:ascii="Times New Roman" w:hAnsi="Times New Roman" w:cs="Times New Roman"/>
                <w:sz w:val="24"/>
                <w:szCs w:val="24"/>
              </w:rPr>
              <w:t>104</w:t>
            </w:r>
          </w:p>
        </w:tc>
        <w:tc>
          <w:tcPr>
            <w:tcW w:w="2551" w:type="dxa"/>
            <w:shd w:val="clear" w:color="auto" w:fill="FFFFFF" w:themeFill="background1"/>
            <w:vAlign w:val="center"/>
          </w:tcPr>
          <w:p w:rsidR="00175AAF" w:rsidRPr="009E4A6B" w:rsidRDefault="00175AAF" w:rsidP="000716D2">
            <w:pPr>
              <w:jc w:val="center"/>
              <w:rPr>
                <w:rFonts w:ascii="Times New Roman" w:hAnsi="Times New Roman" w:cs="Times New Roman"/>
                <w:sz w:val="24"/>
                <w:szCs w:val="24"/>
              </w:rPr>
            </w:pPr>
            <w:r w:rsidRPr="009E4A6B">
              <w:rPr>
                <w:rFonts w:ascii="Times New Roman" w:hAnsi="Times New Roman" w:cs="Times New Roman"/>
                <w:sz w:val="24"/>
                <w:szCs w:val="24"/>
              </w:rPr>
              <w:t>104</w:t>
            </w:r>
          </w:p>
        </w:tc>
        <w:tc>
          <w:tcPr>
            <w:tcW w:w="6032" w:type="dxa"/>
            <w:shd w:val="clear" w:color="auto" w:fill="FFFFFF" w:themeFill="background1"/>
            <w:vAlign w:val="center"/>
          </w:tcPr>
          <w:p w:rsidR="00175AAF" w:rsidRPr="009E4A6B" w:rsidRDefault="00175AAF" w:rsidP="00435DDB">
            <w:pPr>
              <w:rPr>
                <w:rFonts w:ascii="Times New Roman" w:hAnsi="Times New Roman" w:cs="Times New Roman"/>
                <w:sz w:val="24"/>
                <w:szCs w:val="24"/>
              </w:rPr>
            </w:pPr>
            <w:r w:rsidRPr="009E4A6B">
              <w:rPr>
                <w:rFonts w:ascii="Times New Roman" w:hAnsi="Times New Roman" w:cs="Times New Roman"/>
                <w:sz w:val="24"/>
                <w:szCs w:val="24"/>
              </w:rPr>
              <w:t>Dla Polski: 107.</w:t>
            </w:r>
          </w:p>
        </w:tc>
      </w:tr>
      <w:tr w:rsidR="00175AAF" w:rsidRPr="00CA6E66" w:rsidTr="000716D2">
        <w:tc>
          <w:tcPr>
            <w:tcW w:w="675" w:type="dxa"/>
            <w:shd w:val="clear" w:color="auto" w:fill="FFFFFF" w:themeFill="background1"/>
            <w:vAlign w:val="center"/>
          </w:tcPr>
          <w:p w:rsidR="00175AAF" w:rsidRPr="00EB5FBF" w:rsidRDefault="00175AAF" w:rsidP="00977C90">
            <w:pPr>
              <w:pStyle w:val="Akapitzlist"/>
              <w:numPr>
                <w:ilvl w:val="0"/>
                <w:numId w:val="13"/>
              </w:numPr>
              <w:spacing w:before="120" w:after="120"/>
              <w:ind w:left="0" w:firstLine="0"/>
              <w:jc w:val="center"/>
              <w:rPr>
                <w:rFonts w:ascii="Times New Roman" w:hAnsi="Times New Roman" w:cs="Times New Roman"/>
                <w:sz w:val="24"/>
                <w:szCs w:val="24"/>
              </w:rPr>
            </w:pPr>
          </w:p>
        </w:tc>
        <w:tc>
          <w:tcPr>
            <w:tcW w:w="3262" w:type="dxa"/>
            <w:shd w:val="clear" w:color="auto" w:fill="FFFFFF" w:themeFill="background1"/>
            <w:vAlign w:val="center"/>
          </w:tcPr>
          <w:p w:rsidR="00175AAF" w:rsidRDefault="00175AAF" w:rsidP="000716D2">
            <w:pPr>
              <w:rPr>
                <w:rFonts w:ascii="Times New Roman" w:hAnsi="Times New Roman" w:cs="Times New Roman"/>
                <w:sz w:val="24"/>
                <w:szCs w:val="24"/>
              </w:rPr>
            </w:pPr>
            <w:r w:rsidRPr="00EB5FBF">
              <w:rPr>
                <w:rFonts w:ascii="Times New Roman" w:hAnsi="Times New Roman" w:cs="Times New Roman"/>
                <w:sz w:val="24"/>
                <w:szCs w:val="24"/>
              </w:rPr>
              <w:t>Mediana wieku mieszkańców</w:t>
            </w:r>
          </w:p>
          <w:p w:rsidR="009E4A6B" w:rsidRPr="00EB5FBF" w:rsidRDefault="009E4A6B" w:rsidP="000716D2">
            <w:pPr>
              <w:rPr>
                <w:rFonts w:ascii="Times New Roman" w:hAnsi="Times New Roman" w:cs="Times New Roman"/>
                <w:sz w:val="24"/>
                <w:szCs w:val="24"/>
              </w:rPr>
            </w:pPr>
            <w:r>
              <w:rPr>
                <w:rFonts w:ascii="Times New Roman" w:hAnsi="Times New Roman" w:cs="Times New Roman"/>
                <w:sz w:val="24"/>
                <w:szCs w:val="24"/>
              </w:rPr>
              <w:t>ogółem</w:t>
            </w:r>
          </w:p>
        </w:tc>
        <w:tc>
          <w:tcPr>
            <w:tcW w:w="2552" w:type="dxa"/>
            <w:shd w:val="clear" w:color="auto" w:fill="FFFFFF" w:themeFill="background1"/>
            <w:vAlign w:val="center"/>
          </w:tcPr>
          <w:p w:rsidR="00175AAF" w:rsidRPr="001A54F2" w:rsidRDefault="00175AAF" w:rsidP="000716D2">
            <w:pPr>
              <w:jc w:val="center"/>
              <w:rPr>
                <w:rFonts w:ascii="Times New Roman" w:hAnsi="Times New Roman" w:cs="Times New Roman"/>
                <w:sz w:val="24"/>
                <w:szCs w:val="24"/>
              </w:rPr>
            </w:pPr>
            <w:r w:rsidRPr="001A54F2">
              <w:rPr>
                <w:rFonts w:ascii="Times New Roman" w:hAnsi="Times New Roman" w:cs="Times New Roman"/>
                <w:sz w:val="24"/>
                <w:szCs w:val="24"/>
              </w:rPr>
              <w:t>40,3 l</w:t>
            </w:r>
            <w:r w:rsidR="009E4A6B" w:rsidRPr="001A54F2">
              <w:rPr>
                <w:rFonts w:ascii="Times New Roman" w:hAnsi="Times New Roman" w:cs="Times New Roman"/>
                <w:sz w:val="24"/>
                <w:szCs w:val="24"/>
              </w:rPr>
              <w:t>a</w:t>
            </w:r>
            <w:r w:rsidRPr="001A54F2">
              <w:rPr>
                <w:rFonts w:ascii="Times New Roman" w:hAnsi="Times New Roman" w:cs="Times New Roman"/>
                <w:sz w:val="24"/>
                <w:szCs w:val="24"/>
              </w:rPr>
              <w:t>t</w:t>
            </w:r>
          </w:p>
        </w:tc>
        <w:tc>
          <w:tcPr>
            <w:tcW w:w="2551" w:type="dxa"/>
            <w:shd w:val="clear" w:color="auto" w:fill="FFFFFF" w:themeFill="background1"/>
            <w:vAlign w:val="center"/>
          </w:tcPr>
          <w:p w:rsidR="00175AAF" w:rsidRPr="001A54F2" w:rsidRDefault="00175AAF" w:rsidP="000716D2">
            <w:pPr>
              <w:jc w:val="center"/>
              <w:rPr>
                <w:rFonts w:ascii="Times New Roman" w:hAnsi="Times New Roman" w:cs="Times New Roman"/>
                <w:sz w:val="24"/>
                <w:szCs w:val="24"/>
              </w:rPr>
            </w:pPr>
            <w:r w:rsidRPr="001A54F2">
              <w:rPr>
                <w:rFonts w:ascii="Times New Roman" w:hAnsi="Times New Roman" w:cs="Times New Roman"/>
                <w:sz w:val="24"/>
                <w:szCs w:val="24"/>
              </w:rPr>
              <w:t>40,</w:t>
            </w:r>
            <w:r w:rsidR="001A54F2" w:rsidRPr="001A54F2">
              <w:rPr>
                <w:rFonts w:ascii="Times New Roman" w:hAnsi="Times New Roman" w:cs="Times New Roman"/>
                <w:sz w:val="24"/>
                <w:szCs w:val="24"/>
              </w:rPr>
              <w:t>7</w:t>
            </w:r>
            <w:r w:rsidRPr="001A54F2">
              <w:rPr>
                <w:rFonts w:ascii="Times New Roman" w:hAnsi="Times New Roman" w:cs="Times New Roman"/>
                <w:sz w:val="24"/>
                <w:szCs w:val="24"/>
              </w:rPr>
              <w:t xml:space="preserve"> lat</w:t>
            </w:r>
          </w:p>
        </w:tc>
        <w:tc>
          <w:tcPr>
            <w:tcW w:w="6032" w:type="dxa"/>
            <w:shd w:val="clear" w:color="auto" w:fill="FFFFFF" w:themeFill="background1"/>
            <w:vAlign w:val="center"/>
          </w:tcPr>
          <w:p w:rsidR="00175AAF" w:rsidRPr="00526081" w:rsidRDefault="00175AAF" w:rsidP="00435DDB">
            <w:pPr>
              <w:rPr>
                <w:rFonts w:ascii="Times New Roman" w:hAnsi="Times New Roman" w:cs="Times New Roman"/>
                <w:sz w:val="24"/>
                <w:szCs w:val="24"/>
                <w:highlight w:val="yellow"/>
              </w:rPr>
            </w:pPr>
            <w:r w:rsidRPr="001A54F2">
              <w:rPr>
                <w:rFonts w:ascii="Times New Roman" w:hAnsi="Times New Roman" w:cs="Times New Roman"/>
                <w:sz w:val="24"/>
                <w:szCs w:val="24"/>
              </w:rPr>
              <w:t>Polska  1990 – 32,3  vs.  20</w:t>
            </w:r>
            <w:r w:rsidR="009E4A6B" w:rsidRPr="001A54F2">
              <w:rPr>
                <w:rFonts w:ascii="Times New Roman" w:hAnsi="Times New Roman" w:cs="Times New Roman"/>
                <w:sz w:val="24"/>
                <w:szCs w:val="24"/>
              </w:rPr>
              <w:t>20</w:t>
            </w:r>
            <w:r w:rsidRPr="001A54F2">
              <w:rPr>
                <w:rFonts w:ascii="Times New Roman" w:hAnsi="Times New Roman" w:cs="Times New Roman"/>
                <w:sz w:val="24"/>
                <w:szCs w:val="24"/>
              </w:rPr>
              <w:t xml:space="preserve"> – 4</w:t>
            </w:r>
            <w:r w:rsidR="001A54F2">
              <w:rPr>
                <w:rFonts w:ascii="Times New Roman" w:hAnsi="Times New Roman" w:cs="Times New Roman"/>
                <w:sz w:val="24"/>
                <w:szCs w:val="24"/>
              </w:rPr>
              <w:t>1</w:t>
            </w:r>
            <w:r w:rsidRPr="001A54F2">
              <w:rPr>
                <w:rFonts w:ascii="Times New Roman" w:hAnsi="Times New Roman" w:cs="Times New Roman"/>
                <w:sz w:val="24"/>
                <w:szCs w:val="24"/>
              </w:rPr>
              <w:t>,</w:t>
            </w:r>
            <w:r w:rsidR="001A54F2">
              <w:rPr>
                <w:rFonts w:ascii="Times New Roman" w:hAnsi="Times New Roman" w:cs="Times New Roman"/>
                <w:sz w:val="24"/>
                <w:szCs w:val="24"/>
              </w:rPr>
              <w:t>7</w:t>
            </w:r>
            <w:r w:rsidRPr="001A54F2">
              <w:rPr>
                <w:rFonts w:ascii="Times New Roman" w:hAnsi="Times New Roman" w:cs="Times New Roman"/>
                <w:sz w:val="24"/>
                <w:szCs w:val="24"/>
              </w:rPr>
              <w:t>.</w:t>
            </w:r>
          </w:p>
          <w:p w:rsidR="001A54F2" w:rsidRDefault="00175AAF" w:rsidP="00435DDB">
            <w:pPr>
              <w:rPr>
                <w:rFonts w:ascii="Times New Roman" w:hAnsi="Times New Roman" w:cs="Times New Roman"/>
                <w:sz w:val="24"/>
                <w:szCs w:val="24"/>
              </w:rPr>
            </w:pPr>
            <w:r w:rsidRPr="001A54F2">
              <w:rPr>
                <w:rFonts w:ascii="Times New Roman" w:hAnsi="Times New Roman" w:cs="Times New Roman"/>
                <w:sz w:val="24"/>
                <w:szCs w:val="24"/>
              </w:rPr>
              <w:t>Podkarpackie  2005 – 34,6  vs.  2019 – 40,</w:t>
            </w:r>
            <w:r w:rsidR="001A54F2" w:rsidRPr="001A54F2">
              <w:rPr>
                <w:rFonts w:ascii="Times New Roman" w:hAnsi="Times New Roman" w:cs="Times New Roman"/>
                <w:sz w:val="24"/>
                <w:szCs w:val="24"/>
              </w:rPr>
              <w:t>7</w:t>
            </w:r>
            <w:r w:rsidRPr="001A54F2">
              <w:rPr>
                <w:rFonts w:ascii="Times New Roman" w:hAnsi="Times New Roman" w:cs="Times New Roman"/>
                <w:sz w:val="24"/>
                <w:szCs w:val="24"/>
              </w:rPr>
              <w:t>.</w:t>
            </w:r>
          </w:p>
          <w:p w:rsidR="00175AAF" w:rsidRPr="00526081" w:rsidRDefault="00175AAF" w:rsidP="00435DDB">
            <w:pPr>
              <w:rPr>
                <w:rFonts w:ascii="Times New Roman" w:hAnsi="Times New Roman" w:cs="Times New Roman"/>
                <w:b/>
                <w:sz w:val="24"/>
                <w:szCs w:val="24"/>
                <w:highlight w:val="yellow"/>
              </w:rPr>
            </w:pPr>
            <w:r w:rsidRPr="009E4A6B">
              <w:rPr>
                <w:rFonts w:ascii="Times New Roman" w:hAnsi="Times New Roman" w:cs="Times New Roman"/>
                <w:sz w:val="24"/>
                <w:szCs w:val="24"/>
              </w:rPr>
              <w:t>Wzrost mediany wieku.</w:t>
            </w:r>
          </w:p>
        </w:tc>
      </w:tr>
    </w:tbl>
    <w:p w:rsidR="00FC1B7D" w:rsidRPr="00CA6E66" w:rsidRDefault="00FC1B7D" w:rsidP="00FC1B7D">
      <w:pPr>
        <w:autoSpaceDE w:val="0"/>
        <w:autoSpaceDN w:val="0"/>
        <w:adjustRightInd w:val="0"/>
        <w:spacing w:after="0" w:line="240" w:lineRule="auto"/>
        <w:ind w:left="1410" w:hanging="1410"/>
        <w:jc w:val="center"/>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1B7D" w:rsidRPr="00CA6E66" w:rsidRDefault="00FC1B7D" w:rsidP="00FC1B7D">
      <w:pPr>
        <w:spacing w:after="0" w:line="240" w:lineRule="auto"/>
        <w:rPr>
          <w:sz w:val="16"/>
          <w:szCs w:val="16"/>
          <w:highlight w:val="yellow"/>
        </w:rPr>
      </w:pPr>
    </w:p>
    <w:p w:rsidR="00FC1B7D" w:rsidRDefault="00FC1B7D" w:rsidP="00FC1B7D">
      <w:pPr>
        <w:spacing w:after="0" w:line="240" w:lineRule="auto"/>
        <w:rPr>
          <w:sz w:val="16"/>
          <w:szCs w:val="16"/>
          <w:highlight w:val="yellow"/>
        </w:rPr>
      </w:pPr>
    </w:p>
    <w:tbl>
      <w:tblPr>
        <w:tblStyle w:val="Tabela-Siatka"/>
        <w:tblW w:w="15072" w:type="dxa"/>
        <w:tblLook w:val="04A0" w:firstRow="1" w:lastRow="0" w:firstColumn="1" w:lastColumn="0" w:noHBand="0" w:noVBand="1"/>
      </w:tblPr>
      <w:tblGrid>
        <w:gridCol w:w="675"/>
        <w:gridCol w:w="3262"/>
        <w:gridCol w:w="2552"/>
        <w:gridCol w:w="2551"/>
        <w:gridCol w:w="6032"/>
      </w:tblGrid>
      <w:tr w:rsidR="00FC1B7D" w:rsidRPr="00EB5FBF" w:rsidTr="00977C90">
        <w:tc>
          <w:tcPr>
            <w:tcW w:w="675" w:type="dxa"/>
            <w:shd w:val="clear" w:color="auto" w:fill="E5DFEC" w:themeFill="accent4" w:themeFillTint="33"/>
          </w:tcPr>
          <w:p w:rsidR="00FC1B7D" w:rsidRPr="00EB5FBF" w:rsidRDefault="00FC1B7D" w:rsidP="00977C90">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Lp.</w:t>
            </w:r>
          </w:p>
        </w:tc>
        <w:tc>
          <w:tcPr>
            <w:tcW w:w="3262" w:type="dxa"/>
            <w:shd w:val="clear" w:color="auto" w:fill="E5DFEC" w:themeFill="accent4" w:themeFillTint="33"/>
          </w:tcPr>
          <w:p w:rsidR="00FC1B7D" w:rsidRPr="00EB5FBF" w:rsidRDefault="00FC1B7D" w:rsidP="00977C90">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Wskaźnik</w:t>
            </w:r>
          </w:p>
        </w:tc>
        <w:tc>
          <w:tcPr>
            <w:tcW w:w="2552" w:type="dxa"/>
            <w:shd w:val="clear" w:color="auto" w:fill="E5DFEC" w:themeFill="accent4" w:themeFillTint="33"/>
          </w:tcPr>
          <w:p w:rsidR="00FC1B7D" w:rsidRPr="00EB5FBF" w:rsidRDefault="00FC1B7D" w:rsidP="00175AAF">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w:t>
            </w:r>
            <w:r w:rsidR="00175AA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19</w:t>
            </w:r>
          </w:p>
        </w:tc>
        <w:tc>
          <w:tcPr>
            <w:tcW w:w="2551" w:type="dxa"/>
            <w:shd w:val="clear" w:color="auto" w:fill="E5DFEC" w:themeFill="accent4" w:themeFillTint="33"/>
          </w:tcPr>
          <w:p w:rsidR="00FC1B7D" w:rsidRPr="00EB5FBF" w:rsidRDefault="00FC1B7D" w:rsidP="00175AAF">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w:t>
            </w:r>
            <w:r w:rsidR="00175AA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20</w:t>
            </w:r>
          </w:p>
        </w:tc>
        <w:tc>
          <w:tcPr>
            <w:tcW w:w="6032" w:type="dxa"/>
            <w:shd w:val="clear" w:color="auto" w:fill="E5DFEC" w:themeFill="accent4" w:themeFillTint="33"/>
          </w:tcPr>
          <w:p w:rsidR="00FC1B7D" w:rsidRPr="00EB5FBF" w:rsidRDefault="00FC1B7D" w:rsidP="00977C90">
            <w:pPr>
              <w:autoSpaceDE w:val="0"/>
              <w:autoSpaceDN w:val="0"/>
              <w:adjustRightInd w:val="0"/>
              <w:spacing w:before="120" w:after="120"/>
              <w:jc w:val="center"/>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pPr>
            <w:r w:rsidRPr="00EB5FBF">
              <w:rPr>
                <w:rFonts w:ascii="Arial" w:hAnsi="Arial" w:cs="Arial"/>
                <w:caps/>
                <w:color w:val="000000" w:themeColor="text1"/>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rPr>
              <w:t>Uwagi</w:t>
            </w:r>
          </w:p>
        </w:tc>
      </w:tr>
      <w:tr w:rsidR="00175AAF" w:rsidRPr="00CA6E66" w:rsidTr="00977C90">
        <w:tc>
          <w:tcPr>
            <w:tcW w:w="675" w:type="dxa"/>
            <w:shd w:val="clear" w:color="auto" w:fill="FFFFFF" w:themeFill="background1"/>
          </w:tcPr>
          <w:p w:rsidR="00175AAF" w:rsidRPr="00EB5FBF" w:rsidRDefault="00175AAF" w:rsidP="00977C90">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175AAF" w:rsidRDefault="00175AAF" w:rsidP="00977C90">
            <w:pPr>
              <w:rPr>
                <w:rFonts w:ascii="Times New Roman" w:hAnsi="Times New Roman" w:cs="Times New Roman"/>
                <w:sz w:val="24"/>
                <w:szCs w:val="24"/>
              </w:rPr>
            </w:pPr>
            <w:r w:rsidRPr="00A54CE6">
              <w:rPr>
                <w:rFonts w:ascii="Times New Roman" w:hAnsi="Times New Roman" w:cs="Times New Roman"/>
                <w:sz w:val="24"/>
                <w:szCs w:val="24"/>
              </w:rPr>
              <w:t>Wskaźnik migracji ludności</w:t>
            </w:r>
            <w:r w:rsidR="00C82FA3">
              <w:rPr>
                <w:rFonts w:ascii="Times New Roman" w:hAnsi="Times New Roman" w:cs="Times New Roman"/>
                <w:sz w:val="24"/>
                <w:szCs w:val="24"/>
              </w:rPr>
              <w:t xml:space="preserve"> tj.</w:t>
            </w:r>
          </w:p>
          <w:p w:rsidR="00C82FA3" w:rsidRDefault="00175AAF" w:rsidP="00C82FA3">
            <w:pPr>
              <w:rPr>
                <w:rFonts w:ascii="Times New Roman" w:hAnsi="Times New Roman" w:cs="Times New Roman"/>
                <w:sz w:val="24"/>
                <w:szCs w:val="24"/>
              </w:rPr>
            </w:pPr>
            <w:r w:rsidRPr="00A54CE6">
              <w:rPr>
                <w:rFonts w:ascii="Times New Roman" w:hAnsi="Times New Roman" w:cs="Times New Roman"/>
                <w:sz w:val="24"/>
                <w:szCs w:val="24"/>
              </w:rPr>
              <w:t xml:space="preserve">Saldo migracji </w:t>
            </w:r>
            <w:r w:rsidR="00C82FA3">
              <w:rPr>
                <w:rFonts w:ascii="Times New Roman" w:hAnsi="Times New Roman" w:cs="Times New Roman"/>
                <w:sz w:val="24"/>
                <w:szCs w:val="24"/>
              </w:rPr>
              <w:t xml:space="preserve">ogółem </w:t>
            </w:r>
            <w:r w:rsidRPr="00A54CE6">
              <w:rPr>
                <w:rFonts w:ascii="Times New Roman" w:hAnsi="Times New Roman" w:cs="Times New Roman"/>
                <w:sz w:val="24"/>
                <w:szCs w:val="24"/>
              </w:rPr>
              <w:t>(wewnętrznych</w:t>
            </w:r>
          </w:p>
          <w:p w:rsidR="00175AAF" w:rsidRPr="00A54CE6" w:rsidRDefault="00175AAF" w:rsidP="00C82FA3">
            <w:pPr>
              <w:rPr>
                <w:rFonts w:ascii="Times New Roman" w:hAnsi="Times New Roman" w:cs="Times New Roman"/>
                <w:sz w:val="24"/>
                <w:szCs w:val="24"/>
              </w:rPr>
            </w:pPr>
            <w:r w:rsidRPr="00A54CE6">
              <w:rPr>
                <w:rFonts w:ascii="Times New Roman" w:hAnsi="Times New Roman" w:cs="Times New Roman"/>
                <w:sz w:val="24"/>
                <w:szCs w:val="24"/>
              </w:rPr>
              <w:t>i zagranicznych)</w:t>
            </w:r>
          </w:p>
        </w:tc>
        <w:tc>
          <w:tcPr>
            <w:tcW w:w="2552" w:type="dxa"/>
            <w:shd w:val="clear" w:color="auto" w:fill="FFFFFF" w:themeFill="background1"/>
            <w:vAlign w:val="center"/>
          </w:tcPr>
          <w:p w:rsidR="00175AAF" w:rsidRPr="00B00BC2" w:rsidRDefault="00175AAF" w:rsidP="00B00BC2">
            <w:pPr>
              <w:rPr>
                <w:rFonts w:ascii="Times New Roman" w:hAnsi="Times New Roman" w:cs="Times New Roman"/>
                <w:sz w:val="24"/>
                <w:szCs w:val="24"/>
              </w:rPr>
            </w:pPr>
            <w:r w:rsidRPr="00B00BC2">
              <w:rPr>
                <w:rFonts w:ascii="Times New Roman" w:hAnsi="Times New Roman" w:cs="Times New Roman"/>
                <w:sz w:val="24"/>
                <w:szCs w:val="24"/>
              </w:rPr>
              <w:t>- (minus) 2950</w:t>
            </w:r>
          </w:p>
        </w:tc>
        <w:tc>
          <w:tcPr>
            <w:tcW w:w="2551" w:type="dxa"/>
            <w:shd w:val="clear" w:color="auto" w:fill="FFFFFF" w:themeFill="background1"/>
            <w:vAlign w:val="center"/>
          </w:tcPr>
          <w:p w:rsidR="00175AAF" w:rsidRPr="00B00BC2" w:rsidRDefault="00175AAF" w:rsidP="00B00BC2">
            <w:pPr>
              <w:rPr>
                <w:rFonts w:ascii="Times New Roman" w:hAnsi="Times New Roman" w:cs="Times New Roman"/>
                <w:sz w:val="24"/>
                <w:szCs w:val="24"/>
              </w:rPr>
            </w:pPr>
            <w:r w:rsidRPr="00B00BC2">
              <w:rPr>
                <w:rFonts w:ascii="Times New Roman" w:hAnsi="Times New Roman" w:cs="Times New Roman"/>
                <w:sz w:val="24"/>
                <w:szCs w:val="24"/>
              </w:rPr>
              <w:t xml:space="preserve">- (minus) </w:t>
            </w:r>
            <w:r w:rsidR="00B00BC2" w:rsidRPr="00B00BC2">
              <w:rPr>
                <w:rFonts w:ascii="Times New Roman" w:hAnsi="Times New Roman" w:cs="Times New Roman"/>
                <w:sz w:val="24"/>
                <w:szCs w:val="24"/>
              </w:rPr>
              <w:t>1956</w:t>
            </w:r>
          </w:p>
        </w:tc>
        <w:tc>
          <w:tcPr>
            <w:tcW w:w="6032" w:type="dxa"/>
            <w:shd w:val="clear" w:color="auto" w:fill="auto"/>
            <w:vAlign w:val="center"/>
          </w:tcPr>
          <w:p w:rsidR="00E22273" w:rsidRPr="00B00BC2" w:rsidRDefault="00E22273" w:rsidP="00AB6255">
            <w:pPr>
              <w:rPr>
                <w:rFonts w:ascii="Times New Roman" w:hAnsi="Times New Roman" w:cs="Times New Roman"/>
                <w:sz w:val="24"/>
                <w:szCs w:val="24"/>
              </w:rPr>
            </w:pPr>
            <w:r>
              <w:rPr>
                <w:rFonts w:ascii="Times New Roman" w:hAnsi="Times New Roman" w:cs="Times New Roman"/>
                <w:sz w:val="24"/>
                <w:szCs w:val="24"/>
              </w:rPr>
              <w:t xml:space="preserve">Przyczyną ujemnego salda migracji ogółem jest przemieszczanie się ludności województwa podkarpackiego do dużych aglomeracji w kraju, przy jednoczesnym przemieszczaniu się </w:t>
            </w:r>
            <w:r w:rsidR="00AB6255">
              <w:rPr>
                <w:rFonts w:ascii="Times New Roman" w:hAnsi="Times New Roman" w:cs="Times New Roman"/>
                <w:sz w:val="24"/>
                <w:szCs w:val="24"/>
              </w:rPr>
              <w:t xml:space="preserve">części ludności </w:t>
            </w:r>
            <w:r>
              <w:rPr>
                <w:rFonts w:ascii="Times New Roman" w:hAnsi="Times New Roman" w:cs="Times New Roman"/>
                <w:sz w:val="24"/>
                <w:szCs w:val="24"/>
              </w:rPr>
              <w:t>z miast do suburbii</w:t>
            </w:r>
            <w:r w:rsidR="00AB6255">
              <w:rPr>
                <w:rStyle w:val="Odwoanieprzypisudolnego"/>
                <w:rFonts w:ascii="Times New Roman" w:hAnsi="Times New Roman" w:cs="Times New Roman"/>
                <w:sz w:val="24"/>
                <w:szCs w:val="24"/>
              </w:rPr>
              <w:footnoteReference w:id="4"/>
            </w:r>
            <w:r>
              <w:rPr>
                <w:rFonts w:ascii="Times New Roman" w:hAnsi="Times New Roman" w:cs="Times New Roman"/>
                <w:sz w:val="24"/>
                <w:szCs w:val="24"/>
              </w:rPr>
              <w:t>.</w:t>
            </w:r>
          </w:p>
        </w:tc>
      </w:tr>
      <w:tr w:rsidR="00175AAF" w:rsidRPr="00CA6E66" w:rsidTr="00977C90">
        <w:tc>
          <w:tcPr>
            <w:tcW w:w="675" w:type="dxa"/>
            <w:shd w:val="clear" w:color="auto" w:fill="FFFFFF" w:themeFill="background1"/>
          </w:tcPr>
          <w:p w:rsidR="00175AAF" w:rsidRPr="00EB5FBF" w:rsidRDefault="00175AAF" w:rsidP="00977C90">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175AAF" w:rsidRPr="00EB5FBF" w:rsidRDefault="00175AAF" w:rsidP="00977C90">
            <w:pPr>
              <w:rPr>
                <w:rFonts w:ascii="Times New Roman" w:hAnsi="Times New Roman" w:cs="Times New Roman"/>
                <w:sz w:val="24"/>
                <w:szCs w:val="24"/>
              </w:rPr>
            </w:pPr>
            <w:r w:rsidRPr="00EB5FBF">
              <w:rPr>
                <w:rFonts w:ascii="Times New Roman" w:hAnsi="Times New Roman" w:cs="Times New Roman"/>
                <w:sz w:val="24"/>
                <w:szCs w:val="24"/>
              </w:rPr>
              <w:t>Produkt krajowy brutto</w:t>
            </w:r>
            <w:r>
              <w:rPr>
                <w:rFonts w:ascii="Times New Roman" w:hAnsi="Times New Roman" w:cs="Times New Roman"/>
                <w:sz w:val="24"/>
                <w:szCs w:val="24"/>
              </w:rPr>
              <w:t> </w:t>
            </w:r>
            <w:r w:rsidRPr="00A54CE6">
              <w:rPr>
                <w:rStyle w:val="Odwoanieprzypisudolnego"/>
                <w:rFonts w:ascii="Times New Roman" w:hAnsi="Times New Roman" w:cs="Times New Roman"/>
                <w:sz w:val="24"/>
                <w:szCs w:val="24"/>
              </w:rPr>
              <w:footnoteReference w:id="5"/>
            </w:r>
          </w:p>
        </w:tc>
        <w:tc>
          <w:tcPr>
            <w:tcW w:w="2552" w:type="dxa"/>
            <w:shd w:val="clear" w:color="auto" w:fill="FFFFFF" w:themeFill="background1"/>
            <w:vAlign w:val="center"/>
          </w:tcPr>
          <w:p w:rsidR="00175AAF" w:rsidRPr="00306913" w:rsidRDefault="00175AAF" w:rsidP="00E42E36">
            <w:pPr>
              <w:rPr>
                <w:rFonts w:ascii="Times New Roman" w:hAnsi="Times New Roman" w:cs="Times New Roman"/>
                <w:sz w:val="24"/>
                <w:szCs w:val="24"/>
              </w:rPr>
            </w:pPr>
            <w:r w:rsidRPr="00306913">
              <w:rPr>
                <w:rFonts w:ascii="Times New Roman" w:hAnsi="Times New Roman" w:cs="Times New Roman"/>
                <w:sz w:val="24"/>
                <w:szCs w:val="24"/>
              </w:rPr>
              <w:t>89023  mln zł</w:t>
            </w:r>
          </w:p>
          <w:p w:rsidR="00175AAF" w:rsidRPr="00306913" w:rsidRDefault="00175AAF" w:rsidP="00306913">
            <w:pPr>
              <w:rPr>
                <w:rFonts w:ascii="Times New Roman" w:hAnsi="Times New Roman" w:cs="Times New Roman"/>
                <w:b/>
                <w:sz w:val="24"/>
                <w:szCs w:val="24"/>
              </w:rPr>
            </w:pPr>
            <w:r w:rsidRPr="00306913">
              <w:rPr>
                <w:rFonts w:ascii="Times New Roman" w:hAnsi="Times New Roman" w:cs="Times New Roman"/>
                <w:b/>
                <w:sz w:val="24"/>
                <w:szCs w:val="24"/>
              </w:rPr>
              <w:t xml:space="preserve">per capita –  41845 zł </w:t>
            </w:r>
          </w:p>
        </w:tc>
        <w:tc>
          <w:tcPr>
            <w:tcW w:w="2551" w:type="dxa"/>
            <w:shd w:val="clear" w:color="auto" w:fill="FFFFFF" w:themeFill="background1"/>
            <w:vAlign w:val="center"/>
          </w:tcPr>
          <w:p w:rsidR="00175AAF" w:rsidRPr="00306913" w:rsidRDefault="00306913" w:rsidP="00977C90">
            <w:pPr>
              <w:rPr>
                <w:rFonts w:ascii="Times New Roman" w:hAnsi="Times New Roman" w:cs="Times New Roman"/>
                <w:sz w:val="24"/>
                <w:szCs w:val="24"/>
              </w:rPr>
            </w:pPr>
            <w:r w:rsidRPr="00306913">
              <w:rPr>
                <w:rFonts w:ascii="Times New Roman" w:hAnsi="Times New Roman" w:cs="Times New Roman"/>
                <w:sz w:val="24"/>
                <w:szCs w:val="24"/>
              </w:rPr>
              <w:t>brak danych</w:t>
            </w:r>
          </w:p>
        </w:tc>
        <w:tc>
          <w:tcPr>
            <w:tcW w:w="6032" w:type="dxa"/>
            <w:shd w:val="clear" w:color="auto" w:fill="FFFFFF" w:themeFill="background1"/>
            <w:vAlign w:val="center"/>
          </w:tcPr>
          <w:p w:rsidR="00175AAF" w:rsidRPr="00306913" w:rsidRDefault="00175AAF" w:rsidP="00977C90">
            <w:pPr>
              <w:rPr>
                <w:rFonts w:ascii="Times New Roman" w:hAnsi="Times New Roman" w:cs="Times New Roman"/>
                <w:sz w:val="24"/>
                <w:szCs w:val="24"/>
              </w:rPr>
            </w:pPr>
            <w:r w:rsidRPr="00306913">
              <w:rPr>
                <w:rFonts w:ascii="Times New Roman" w:hAnsi="Times New Roman" w:cs="Times New Roman"/>
                <w:sz w:val="24"/>
                <w:szCs w:val="24"/>
              </w:rPr>
              <w:t>Wartość bezwzględna 9 lokata,</w:t>
            </w:r>
          </w:p>
          <w:p w:rsidR="00175AAF" w:rsidRPr="00526081" w:rsidRDefault="00175AAF" w:rsidP="00977C90">
            <w:pPr>
              <w:rPr>
                <w:rFonts w:ascii="Times New Roman" w:hAnsi="Times New Roman" w:cs="Times New Roman"/>
                <w:sz w:val="24"/>
                <w:szCs w:val="24"/>
                <w:highlight w:val="yellow"/>
              </w:rPr>
            </w:pPr>
            <w:r w:rsidRPr="00306913">
              <w:rPr>
                <w:rFonts w:ascii="Times New Roman" w:hAnsi="Times New Roman" w:cs="Times New Roman"/>
                <w:sz w:val="24"/>
                <w:szCs w:val="24"/>
              </w:rPr>
              <w:t>per capita – 14 lokata wśród województw.</w:t>
            </w:r>
          </w:p>
        </w:tc>
      </w:tr>
      <w:tr w:rsidR="00175AAF" w:rsidRPr="00CA6E66" w:rsidTr="00977C90">
        <w:tc>
          <w:tcPr>
            <w:tcW w:w="675" w:type="dxa"/>
            <w:shd w:val="clear" w:color="auto" w:fill="FFFFFF" w:themeFill="background1"/>
          </w:tcPr>
          <w:p w:rsidR="00175AAF" w:rsidRPr="00EB5FBF" w:rsidRDefault="00175AAF" w:rsidP="00977C90">
            <w:pPr>
              <w:pStyle w:val="Akapitzlist"/>
              <w:numPr>
                <w:ilvl w:val="0"/>
                <w:numId w:val="13"/>
              </w:numPr>
              <w:spacing w:before="120" w:after="120"/>
              <w:ind w:left="0" w:firstLine="0"/>
              <w:rPr>
                <w:rFonts w:ascii="Times New Roman" w:hAnsi="Times New Roman" w:cs="Times New Roman"/>
                <w:sz w:val="24"/>
                <w:szCs w:val="24"/>
              </w:rPr>
            </w:pPr>
          </w:p>
        </w:tc>
        <w:tc>
          <w:tcPr>
            <w:tcW w:w="3262" w:type="dxa"/>
            <w:shd w:val="clear" w:color="auto" w:fill="FFFFFF" w:themeFill="background1"/>
            <w:vAlign w:val="center"/>
          </w:tcPr>
          <w:p w:rsidR="00175AAF" w:rsidRPr="00EB5FBF" w:rsidRDefault="00175AAF" w:rsidP="00977C90">
            <w:pPr>
              <w:rPr>
                <w:rFonts w:ascii="Times New Roman" w:hAnsi="Times New Roman" w:cs="Times New Roman"/>
                <w:color w:val="000000"/>
                <w:sz w:val="24"/>
                <w:szCs w:val="24"/>
              </w:rPr>
            </w:pPr>
            <w:r w:rsidRPr="00EB5FBF">
              <w:rPr>
                <w:rFonts w:ascii="Times New Roman" w:hAnsi="Times New Roman" w:cs="Times New Roman"/>
                <w:color w:val="000000"/>
                <w:sz w:val="24"/>
                <w:szCs w:val="24"/>
              </w:rPr>
              <w:t>Przeciętne miesięczne</w:t>
            </w:r>
          </w:p>
          <w:p w:rsidR="00175AAF" w:rsidRPr="00EB5FBF" w:rsidRDefault="00175AAF" w:rsidP="00977C90">
            <w:pPr>
              <w:rPr>
                <w:rFonts w:ascii="Times New Roman" w:hAnsi="Times New Roman" w:cs="Times New Roman"/>
                <w:color w:val="000000"/>
                <w:sz w:val="24"/>
                <w:szCs w:val="24"/>
              </w:rPr>
            </w:pPr>
            <w:r w:rsidRPr="00EB5FBF">
              <w:rPr>
                <w:rFonts w:ascii="Times New Roman" w:hAnsi="Times New Roman" w:cs="Times New Roman"/>
                <w:color w:val="000000"/>
                <w:sz w:val="24"/>
                <w:szCs w:val="24"/>
              </w:rPr>
              <w:t>wynagrodzenie brutto ogółem</w:t>
            </w:r>
          </w:p>
          <w:p w:rsidR="00175AAF" w:rsidRPr="00EB5FBF" w:rsidRDefault="00175AAF" w:rsidP="00977C90">
            <w:pPr>
              <w:rPr>
                <w:rFonts w:ascii="Times New Roman" w:hAnsi="Times New Roman" w:cs="Times New Roman"/>
                <w:sz w:val="24"/>
                <w:szCs w:val="24"/>
              </w:rPr>
            </w:pPr>
            <w:r w:rsidRPr="00EB5FBF">
              <w:rPr>
                <w:rFonts w:ascii="Times New Roman" w:hAnsi="Times New Roman" w:cs="Times New Roman"/>
                <w:color w:val="000000"/>
                <w:sz w:val="24"/>
                <w:szCs w:val="24"/>
              </w:rPr>
              <w:t>(zł) w gospodarce narodowej</w:t>
            </w:r>
            <w:r>
              <w:rPr>
                <w:rFonts w:ascii="Times New Roman" w:hAnsi="Times New Roman" w:cs="Times New Roman"/>
                <w:color w:val="000000"/>
                <w:sz w:val="24"/>
                <w:szCs w:val="24"/>
              </w:rPr>
              <w:t> </w:t>
            </w:r>
            <w:r>
              <w:rPr>
                <w:rStyle w:val="Odwoanieprzypisudolnego"/>
                <w:rFonts w:ascii="Times New Roman" w:hAnsi="Times New Roman" w:cs="Times New Roman"/>
                <w:color w:val="000000"/>
                <w:sz w:val="24"/>
                <w:szCs w:val="24"/>
              </w:rPr>
              <w:footnoteReference w:id="6"/>
            </w:r>
          </w:p>
        </w:tc>
        <w:tc>
          <w:tcPr>
            <w:tcW w:w="2552" w:type="dxa"/>
            <w:shd w:val="clear" w:color="auto" w:fill="FFFFFF" w:themeFill="background1"/>
            <w:vAlign w:val="center"/>
          </w:tcPr>
          <w:p w:rsidR="00175AAF" w:rsidRPr="003C539A" w:rsidRDefault="00175AAF" w:rsidP="00E42E36">
            <w:pPr>
              <w:rPr>
                <w:rFonts w:ascii="Times New Roman" w:hAnsi="Times New Roman" w:cs="Times New Roman"/>
                <w:sz w:val="24"/>
                <w:szCs w:val="24"/>
              </w:rPr>
            </w:pPr>
            <w:r w:rsidRPr="003C539A">
              <w:rPr>
                <w:rFonts w:ascii="Times New Roman" w:hAnsi="Times New Roman" w:cs="Times New Roman"/>
                <w:sz w:val="24"/>
                <w:szCs w:val="24"/>
              </w:rPr>
              <w:t>4 388,16 zł</w:t>
            </w:r>
          </w:p>
        </w:tc>
        <w:tc>
          <w:tcPr>
            <w:tcW w:w="2551" w:type="dxa"/>
            <w:shd w:val="clear" w:color="auto" w:fill="FFFFFF" w:themeFill="background1"/>
            <w:vAlign w:val="center"/>
          </w:tcPr>
          <w:p w:rsidR="00175AAF" w:rsidRPr="003C539A" w:rsidRDefault="00175AAF" w:rsidP="003C539A">
            <w:pPr>
              <w:rPr>
                <w:rFonts w:ascii="Times New Roman" w:hAnsi="Times New Roman" w:cs="Times New Roman"/>
                <w:sz w:val="24"/>
                <w:szCs w:val="24"/>
              </w:rPr>
            </w:pPr>
            <w:r w:rsidRPr="003C539A">
              <w:rPr>
                <w:rFonts w:ascii="Times New Roman" w:hAnsi="Times New Roman" w:cs="Times New Roman"/>
                <w:sz w:val="24"/>
                <w:szCs w:val="24"/>
              </w:rPr>
              <w:t>4 </w:t>
            </w:r>
            <w:r w:rsidR="003C539A" w:rsidRPr="003C539A">
              <w:rPr>
                <w:rFonts w:ascii="Times New Roman" w:hAnsi="Times New Roman" w:cs="Times New Roman"/>
                <w:sz w:val="24"/>
                <w:szCs w:val="24"/>
              </w:rPr>
              <w:t>707</w:t>
            </w:r>
            <w:r w:rsidRPr="003C539A">
              <w:rPr>
                <w:rFonts w:ascii="Times New Roman" w:hAnsi="Times New Roman" w:cs="Times New Roman"/>
                <w:sz w:val="24"/>
                <w:szCs w:val="24"/>
              </w:rPr>
              <w:t>,</w:t>
            </w:r>
            <w:r w:rsidR="003C539A" w:rsidRPr="003C539A">
              <w:rPr>
                <w:rFonts w:ascii="Times New Roman" w:hAnsi="Times New Roman" w:cs="Times New Roman"/>
                <w:sz w:val="24"/>
                <w:szCs w:val="24"/>
              </w:rPr>
              <w:t>81</w:t>
            </w:r>
            <w:r w:rsidRPr="003C539A">
              <w:rPr>
                <w:rFonts w:ascii="Times New Roman" w:hAnsi="Times New Roman" w:cs="Times New Roman"/>
                <w:sz w:val="24"/>
                <w:szCs w:val="24"/>
              </w:rPr>
              <w:t xml:space="preserve"> zł</w:t>
            </w:r>
          </w:p>
        </w:tc>
        <w:tc>
          <w:tcPr>
            <w:tcW w:w="6032" w:type="dxa"/>
            <w:shd w:val="clear" w:color="auto" w:fill="FFFFFF" w:themeFill="background1"/>
            <w:vAlign w:val="center"/>
          </w:tcPr>
          <w:p w:rsidR="003C539A" w:rsidRPr="003C539A" w:rsidRDefault="00175AAF" w:rsidP="00977C90">
            <w:pPr>
              <w:rPr>
                <w:rFonts w:ascii="Times New Roman" w:hAnsi="Times New Roman" w:cs="Times New Roman"/>
                <w:sz w:val="24"/>
                <w:szCs w:val="24"/>
              </w:rPr>
            </w:pPr>
            <w:r w:rsidRPr="003C539A">
              <w:rPr>
                <w:rFonts w:ascii="Times New Roman" w:hAnsi="Times New Roman" w:cs="Times New Roman"/>
                <w:sz w:val="24"/>
                <w:szCs w:val="24"/>
              </w:rPr>
              <w:t>Średnia dla Polski: 5</w:t>
            </w:r>
            <w:r w:rsidR="003C539A" w:rsidRPr="003C539A">
              <w:rPr>
                <w:rFonts w:ascii="Times New Roman" w:hAnsi="Times New Roman" w:cs="Times New Roman"/>
                <w:sz w:val="24"/>
                <w:szCs w:val="24"/>
              </w:rPr>
              <w:t>523</w:t>
            </w:r>
            <w:r w:rsidRPr="003C539A">
              <w:rPr>
                <w:rFonts w:ascii="Times New Roman" w:hAnsi="Times New Roman" w:cs="Times New Roman"/>
                <w:sz w:val="24"/>
                <w:szCs w:val="24"/>
              </w:rPr>
              <w:t>,</w:t>
            </w:r>
            <w:r w:rsidR="003C539A" w:rsidRPr="003C539A">
              <w:rPr>
                <w:rFonts w:ascii="Times New Roman" w:hAnsi="Times New Roman" w:cs="Times New Roman"/>
                <w:sz w:val="24"/>
                <w:szCs w:val="24"/>
              </w:rPr>
              <w:t>32</w:t>
            </w:r>
            <w:r w:rsidRPr="003C539A">
              <w:rPr>
                <w:rFonts w:ascii="Times New Roman" w:hAnsi="Times New Roman" w:cs="Times New Roman"/>
                <w:sz w:val="24"/>
                <w:szCs w:val="24"/>
              </w:rPr>
              <w:t xml:space="preserve"> zł</w:t>
            </w:r>
            <w:r w:rsidR="003C539A" w:rsidRPr="003C539A">
              <w:rPr>
                <w:rFonts w:ascii="Times New Roman" w:hAnsi="Times New Roman" w:cs="Times New Roman"/>
                <w:sz w:val="24"/>
                <w:szCs w:val="24"/>
              </w:rPr>
              <w:t>.</w:t>
            </w:r>
          </w:p>
          <w:p w:rsidR="00175AAF" w:rsidRPr="003C539A" w:rsidRDefault="003C539A" w:rsidP="00977C90">
            <w:pPr>
              <w:rPr>
                <w:rFonts w:ascii="Times New Roman" w:hAnsi="Times New Roman" w:cs="Times New Roman"/>
                <w:sz w:val="24"/>
                <w:szCs w:val="24"/>
              </w:rPr>
            </w:pPr>
            <w:r w:rsidRPr="003C539A">
              <w:rPr>
                <w:rFonts w:ascii="Times New Roman" w:hAnsi="Times New Roman" w:cs="Times New Roman"/>
                <w:sz w:val="24"/>
                <w:szCs w:val="24"/>
              </w:rPr>
              <w:t xml:space="preserve">Podkarpackie ostatnia tj. 16 </w:t>
            </w:r>
            <w:r w:rsidR="00175AAF" w:rsidRPr="003C539A">
              <w:rPr>
                <w:rFonts w:ascii="Times New Roman" w:hAnsi="Times New Roman" w:cs="Times New Roman"/>
                <w:sz w:val="24"/>
                <w:szCs w:val="24"/>
              </w:rPr>
              <w:t xml:space="preserve"> lokata wśród</w:t>
            </w:r>
          </w:p>
          <w:p w:rsidR="00175AAF" w:rsidRPr="00526081" w:rsidRDefault="00175AAF" w:rsidP="00836EA1">
            <w:pPr>
              <w:rPr>
                <w:rFonts w:ascii="Times New Roman" w:hAnsi="Times New Roman" w:cs="Times New Roman"/>
                <w:sz w:val="24"/>
                <w:szCs w:val="24"/>
                <w:highlight w:val="yellow"/>
              </w:rPr>
            </w:pPr>
            <w:r w:rsidRPr="003C539A">
              <w:rPr>
                <w:rFonts w:ascii="Times New Roman" w:hAnsi="Times New Roman" w:cs="Times New Roman"/>
                <w:sz w:val="24"/>
                <w:szCs w:val="24"/>
              </w:rPr>
              <w:t>województw  (</w:t>
            </w:r>
            <w:r w:rsidR="003C539A" w:rsidRPr="003C539A">
              <w:rPr>
                <w:rFonts w:ascii="Times New Roman" w:hAnsi="Times New Roman" w:cs="Times New Roman"/>
                <w:sz w:val="24"/>
                <w:szCs w:val="24"/>
              </w:rPr>
              <w:t>85</w:t>
            </w:r>
            <w:r w:rsidRPr="003C539A">
              <w:rPr>
                <w:rFonts w:ascii="Times New Roman" w:hAnsi="Times New Roman" w:cs="Times New Roman"/>
                <w:sz w:val="24"/>
                <w:szCs w:val="24"/>
              </w:rPr>
              <w:t>,</w:t>
            </w:r>
            <w:r w:rsidR="003C539A" w:rsidRPr="003C539A">
              <w:rPr>
                <w:rFonts w:ascii="Times New Roman" w:hAnsi="Times New Roman" w:cs="Times New Roman"/>
                <w:sz w:val="24"/>
                <w:szCs w:val="24"/>
              </w:rPr>
              <w:t>2</w:t>
            </w:r>
            <w:r w:rsidR="00836EA1">
              <w:rPr>
                <w:rFonts w:ascii="Times New Roman" w:hAnsi="Times New Roman" w:cs="Times New Roman"/>
                <w:sz w:val="24"/>
                <w:szCs w:val="24"/>
              </w:rPr>
              <w:t xml:space="preserve"> proc.</w:t>
            </w:r>
            <w:r w:rsidRPr="003C539A">
              <w:rPr>
                <w:rFonts w:ascii="Times New Roman" w:hAnsi="Times New Roman" w:cs="Times New Roman"/>
                <w:sz w:val="24"/>
                <w:szCs w:val="24"/>
              </w:rPr>
              <w:t xml:space="preserve"> średniej krajowej).</w:t>
            </w:r>
          </w:p>
        </w:tc>
      </w:tr>
    </w:tbl>
    <w:p w:rsidR="00FC1B7D" w:rsidRPr="00CA6E66" w:rsidRDefault="00EE6FD9" w:rsidP="00FC1B7D">
      <w:pPr>
        <w:spacing w:after="0" w:line="360" w:lineRule="auto"/>
        <w:rPr>
          <w:rFonts w:ascii="Times New Roman" w:hAnsi="Times New Roman" w:cs="Times New Roman"/>
          <w:bCs/>
          <w:sz w:val="24"/>
          <w:szCs w:val="24"/>
          <w:highlight w:val="yellow"/>
        </w:rPr>
        <w:sectPr w:rsidR="00FC1B7D" w:rsidRPr="00CA6E66" w:rsidSect="0075523D">
          <w:pgSz w:w="16838" w:h="11906" w:orient="landscape"/>
          <w:pgMar w:top="1418" w:right="1418" w:bottom="1418" w:left="1418" w:header="708" w:footer="708" w:gutter="0"/>
          <w:cols w:space="708"/>
          <w:docGrid w:linePitch="360"/>
        </w:sectPr>
      </w:pPr>
      <w:r>
        <w:rPr>
          <w:noProof/>
          <w:lang w:eastAsia="pl-PL"/>
        </w:rPr>
        <w:drawing>
          <wp:anchor distT="0" distB="0" distL="114300" distR="114300" simplePos="0" relativeHeight="251900928" behindDoc="1" locked="0" layoutInCell="1" allowOverlap="1" wp14:anchorId="1AA7372E" wp14:editId="1BFCAEFD">
            <wp:simplePos x="0" y="0"/>
            <wp:positionH relativeFrom="column">
              <wp:posOffset>-67945</wp:posOffset>
            </wp:positionH>
            <wp:positionV relativeFrom="paragraph">
              <wp:posOffset>344805</wp:posOffset>
            </wp:positionV>
            <wp:extent cx="9450705" cy="2524760"/>
            <wp:effectExtent l="0" t="0" r="0" b="8890"/>
            <wp:wrapTight wrapText="bothSides">
              <wp:wrapPolygon edited="0">
                <wp:start x="3962" y="0"/>
                <wp:lineTo x="1524" y="1956"/>
                <wp:lineTo x="1524" y="2771"/>
                <wp:lineTo x="2395" y="2934"/>
                <wp:lineTo x="2351" y="4726"/>
                <wp:lineTo x="3048" y="5378"/>
                <wp:lineTo x="2569" y="6193"/>
                <wp:lineTo x="2525" y="6519"/>
                <wp:lineTo x="2699" y="7986"/>
                <wp:lineTo x="2569" y="10268"/>
                <wp:lineTo x="1480" y="10594"/>
                <wp:lineTo x="1437" y="12386"/>
                <wp:lineTo x="2874" y="13201"/>
                <wp:lineTo x="1698" y="13853"/>
                <wp:lineTo x="1698" y="14668"/>
                <wp:lineTo x="3048" y="15809"/>
                <wp:lineTo x="2351" y="17113"/>
                <wp:lineTo x="2264" y="17439"/>
                <wp:lineTo x="2395" y="18416"/>
                <wp:lineTo x="1480" y="19557"/>
                <wp:lineTo x="1524" y="20046"/>
                <wp:lineTo x="2787" y="21024"/>
                <wp:lineTo x="2787" y="21187"/>
                <wp:lineTo x="4006" y="21513"/>
                <wp:lineTo x="9013" y="21513"/>
                <wp:lineTo x="9971" y="21024"/>
                <wp:lineTo x="10232" y="20209"/>
                <wp:lineTo x="10101" y="18416"/>
                <wp:lineTo x="10362" y="16950"/>
                <wp:lineTo x="10275" y="16135"/>
                <wp:lineTo x="10711" y="15809"/>
                <wp:lineTo x="11016" y="15157"/>
                <wp:lineTo x="11059" y="13201"/>
                <wp:lineTo x="11320" y="11082"/>
                <wp:lineTo x="11582" y="10594"/>
                <wp:lineTo x="12148" y="8801"/>
                <wp:lineTo x="12148" y="7986"/>
                <wp:lineTo x="12452" y="5378"/>
                <wp:lineTo x="19767" y="2934"/>
                <wp:lineTo x="20855" y="2771"/>
                <wp:lineTo x="21334" y="1956"/>
                <wp:lineTo x="21247" y="0"/>
                <wp:lineTo x="3962" y="0"/>
              </wp:wrapPolygon>
            </wp:wrapTight>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B00BC2" w:rsidRPr="00CA6E66">
        <w:rPr>
          <w:rFonts w:ascii="Times New Roman" w:hAnsi="Times New Roman" w:cs="Times New Roman"/>
          <w:b/>
          <w:caps/>
          <w:noProof/>
          <w:color w:val="000000"/>
          <w:sz w:val="16"/>
          <w:szCs w:val="16"/>
          <w:highlight w:val="yellow"/>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94784" behindDoc="0" locked="0" layoutInCell="1" allowOverlap="1" wp14:anchorId="47D1DA21" wp14:editId="58AA02FF">
                <wp:simplePos x="0" y="0"/>
                <wp:positionH relativeFrom="column">
                  <wp:posOffset>13970</wp:posOffset>
                </wp:positionH>
                <wp:positionV relativeFrom="paragraph">
                  <wp:posOffset>110632</wp:posOffset>
                </wp:positionV>
                <wp:extent cx="6421272" cy="1403985"/>
                <wp:effectExtent l="0" t="0" r="0" b="0"/>
                <wp:wrapNone/>
                <wp:docPr id="68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272" cy="1403985"/>
                        </a:xfrm>
                        <a:prstGeom prst="rect">
                          <a:avLst/>
                        </a:prstGeom>
                        <a:noFill/>
                        <a:ln w="9525">
                          <a:noFill/>
                          <a:miter lim="800000"/>
                          <a:headEnd/>
                          <a:tailEnd/>
                        </a:ln>
                      </wps:spPr>
                      <wps:txbx>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Produkt Krajowy Brutto w przeliczeniu na 1mieszkańca, porównanie wstępnych  szacunków PKB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1pt;margin-top:8.7pt;width:505.6pt;height:110.5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9hTEgIAAPoDAAAOAAAAZHJzL2Uyb0RvYy54bWysU9uO2yAQfa/Uf0C8N740VyvOarvbVJW2&#10;7UrbfgDBOEYLDAUSO/36Djibjdq3qn5A4Jk5M+dwWN8MWpGjcF6CqWkxySkRhkMjzb6mP75v3y0p&#10;8YGZhikwoqYn4enN5u2bdW8rUUIHqhGOIIjxVW9r2oVgqyzzvBOa+QlYYTDYgtMs4NHts8axHtG1&#10;yso8n2c9uMY64MJ7/Hs/Bukm4bet4OFb23oRiKopzhbS6tK6i2u2WbNq75jtJD+Pwf5hCs2kwaYX&#10;qHsWGDk4+ReUltyBhzZMOOgM2lZykTggmyL/g81Tx6xIXFAcby8y+f8Hy78eHx2RTU3nywUlhmm8&#10;pEdQggTx7AP0gpRRpN76CnOfLGaH4QMMeNmJsLcPwJ89MXDXMbMXt85B3wnW4JBFrMyuSkccH0F2&#10;/RdosBc7BEhAQ+t0VBA1IYiOl3W6XJAYAuH4cz4ti3JRUsIxVkzz96vlLPVg1Uu5dT58EqBJ3NTU&#10;oQMSPDs++BDHYdVLSuxmYCuVSi5QhvQ1Xc3KWSq4imgZ0KRK6pou8/iNtoksP5omFQcm1bjHBsqc&#10;aUemI+cw7AZMjFrsoDmhAA5GM+LjwU0H7hclPRqxpv7ngTlBifpsUMRVMZ1G56bDdLYo8eCuI7vr&#10;CDMcoWoaKBm3dyG5PXL19hbF3sokw+sk51nRYEmd82OIDr4+p6zXJ7v5DQAA//8DAFBLAwQUAAYA&#10;CAAAACEArUyzrN0AAAAJAQAADwAAAGRycy9kb3ducmV2LnhtbEyPQU/DMAyF70j8h8hI3FiyDthU&#10;mk4T2sYRGBXnrDFtReNETdaVf493gpvt9/T8vWI9uV6MOMTOk4b5TIFAqr3tqNFQfezuViBiMmRN&#10;7wk1/GCEdXl9VZjc+jO943hIjeAQirnR0KYUcilj3aIzceYDEmtffnAm8To00g7mzOGul5lSj9KZ&#10;jvhDawI+t1h/H05OQ0hhv3wZXt82292oqs99lXXNVuvbm2nzBCLhlP7McMFndCiZ6ehPZKPoNWQZ&#10;G/m8vAdxkdV8wdORhcXqAWRZyP8Nyl8AAAD//wMAUEsBAi0AFAAGAAgAAAAhALaDOJL+AAAA4QEA&#10;ABMAAAAAAAAAAAAAAAAAAAAAAFtDb250ZW50X1R5cGVzXS54bWxQSwECLQAUAAYACAAAACEAOP0h&#10;/9YAAACUAQAACwAAAAAAAAAAAAAAAAAvAQAAX3JlbHMvLnJlbHNQSwECLQAUAAYACAAAACEAoQvY&#10;UxICAAD6AwAADgAAAAAAAAAAAAAAAAAuAgAAZHJzL2Uyb0RvYy54bWxQSwECLQAUAAYACAAAACEA&#10;rUyzrN0AAAAJAQAADwAAAAAAAAAAAAAAAABsBAAAZHJzL2Rvd25yZXYueG1sUEsFBgAAAAAEAAQA&#10;8wAAAHYFAAAAAA==&#10;" filled="f" stroked="f">
                <v:textbox style="mso-fit-shape-to-text:t">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Produkt Krajowy Brutto w przeliczeniu na 1mieszkańca, porównanie wstępnych  szacunków PKB</w:t>
                      </w:r>
                    </w:p>
                  </w:txbxContent>
                </v:textbox>
              </v:shape>
            </w:pict>
          </mc:Fallback>
        </mc:AlternateContent>
      </w:r>
    </w:p>
    <w:p w:rsidR="00FC1B7D" w:rsidRDefault="00FC1B7D" w:rsidP="00FC1B7D">
      <w:pPr>
        <w:spacing w:after="0" w:line="360" w:lineRule="auto"/>
        <w:jc w:val="both"/>
        <w:rPr>
          <w:rFonts w:ascii="Times New Roman" w:hAnsi="Times New Roman" w:cs="Times New Roman"/>
          <w:bCs/>
          <w:sz w:val="16"/>
          <w:szCs w:val="16"/>
        </w:rPr>
      </w:pPr>
      <w:r w:rsidRPr="00C84F93">
        <w:rPr>
          <w:rFonts w:ascii="Times New Roman" w:hAnsi="Times New Roman" w:cs="Times New Roman"/>
          <w:b/>
          <w:caps/>
          <w:noProof/>
          <w:color w:val="000000"/>
          <w:sz w:val="16"/>
          <w:szCs w:val="16"/>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mc:AlternateContent>
          <mc:Choice Requires="wps">
            <w:drawing>
              <wp:anchor distT="0" distB="0" distL="114300" distR="114300" simplePos="0" relativeHeight="251888640" behindDoc="0" locked="0" layoutInCell="1" allowOverlap="1" wp14:anchorId="0D41D6C4" wp14:editId="31D8E6C9">
                <wp:simplePos x="0" y="0"/>
                <wp:positionH relativeFrom="column">
                  <wp:posOffset>-309880</wp:posOffset>
                </wp:positionH>
                <wp:positionV relativeFrom="paragraph">
                  <wp:posOffset>-132080</wp:posOffset>
                </wp:positionV>
                <wp:extent cx="6692900" cy="1403985"/>
                <wp:effectExtent l="0" t="0" r="0" b="6350"/>
                <wp:wrapNone/>
                <wp:docPr id="69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403985"/>
                        </a:xfrm>
                        <a:prstGeom prst="rect">
                          <a:avLst/>
                        </a:prstGeom>
                        <a:noFill/>
                        <a:ln w="9525">
                          <a:noFill/>
                          <a:miter lim="800000"/>
                          <a:headEnd/>
                          <a:tailEnd/>
                        </a:ln>
                      </wps:spPr>
                      <wps:txbx>
                        <w:txbxContent>
                          <w:p w:rsidR="00077ACD" w:rsidRDefault="00077ACD" w:rsidP="00FC1B7D">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143D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gross domestic product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E143D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per inhabitant)</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PKB</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na 1 mieszkańca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201</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r</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oku</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najbogatsze regiony</w:t>
                            </w:r>
                          </w:p>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por. do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województwa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podkarpackiego</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4.4pt;margin-top:-10.4pt;width:527pt;height:110.55pt;z-index:251888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wOFQIAAAEEAAAOAAAAZHJzL2Uyb0RvYy54bWysU9Fu2yAUfZ+0f0C8L3a8JIutOFXXLtOk&#10;bqvU7gMIxjEqcBmQ2NnX94LTNNreqvkBcX25595zOKyuBq3IQTgvwdR0OskpEYZDI82upr8eNx+W&#10;lPjATMMUGFHTo/D0av3+3aq3lSigA9UIRxDE+Kq3Ne1CsFWWed4JzfwErDCYbMFpFjB0u6xxrEd0&#10;rbIizxdZD66xDrjwHv/ejkm6TvhtK3j42bZeBKJqirOFtLq0buOarVes2jlmO8lPY7A3TKGZNNj0&#10;DHXLAiN7J/+B0pI78NCGCQedQdtKLhIHZDPN/2Lz0DErEhcUx9uzTP7/wfIfh3tHZFPTRVlSYpjG&#10;S7oHJUgQTz5AL0gRReqtr/Dsg8XTYfgMA152IuztHfAnTwzcdMzsxLVz0HeCNTjkNFZmF6Ujjo8g&#10;2/47NNiL7QMkoKF1OiqImhBEx8s6ni9IDIFw/LlYlEWZY4pjbjrLP5bLeerBqpdy63z4KkCTuKmp&#10;QwckeHa48yGOw6qXI7GbgY1UKrlAGdLXtJwX81RwkdEyoEmV1DVd5vEbbRNZfjFNKg5MqnGPDZQ5&#10;0Y5MR85h2A5J5qRJlGQLzRF1cDB6Et8Qbjpwfyjp0Y819b/3zAlK1DeDWpbT2SwaOAWz+acCA3eZ&#10;2V5mmOEIVdNAybi9Ccn0kbK316j5RiY1Xic5jYw+SyKd3kQ08mWcTr2+3PUzAAAA//8DAFBLAwQU&#10;AAYACAAAACEAQnfNCt4AAAAMAQAADwAAAGRycy9kb3ducmV2LnhtbEyPzU7DMBCE70i8g7VI3Fqb&#10;8NMqxKkq1JYjUKKe3XhJIuJ1ZLtpeHu2J7jNakcz3xSryfVixBA7Txru5goEUu1tR42G6nM7W4KI&#10;yZA1vSfU8IMRVuX1VWFy68/0geM+NYJDKOZGQ5vSkEsZ6xadiXM/IPHvywdnEp+hkTaYM4e7XmZK&#10;PUlnOuKG1gz40mL9vT85DUMadovX8Pa+3mxHVR12VdY1G61vb6b1M4iEU/ozwwWf0aFkpqM/kY2i&#10;1zB7WDJ6YpEpFheHUo8ZiKMGbr4HWRby/4jyFwAA//8DAFBLAQItABQABgAIAAAAIQC2gziS/gAA&#10;AOEBAAATAAAAAAAAAAAAAAAAAAAAAABbQ29udGVudF9UeXBlc10ueG1sUEsBAi0AFAAGAAgAAAAh&#10;ADj9If/WAAAAlAEAAAsAAAAAAAAAAAAAAAAALwEAAF9yZWxzLy5yZWxzUEsBAi0AFAAGAAgAAAAh&#10;AA9YHA4VAgAAAQQAAA4AAAAAAAAAAAAAAAAALgIAAGRycy9lMm9Eb2MueG1sUEsBAi0AFAAGAAgA&#10;AAAhAEJ3zQreAAAADAEAAA8AAAAAAAAAAAAAAAAAbwQAAGRycy9kb3ducmV2LnhtbFBLBQYAAAAA&#10;BAAEAPMAAAB6BQAAAAA=&#10;" filled="f" stroked="f">
                <v:textbox style="mso-fit-shape-to-text:t">
                  <w:txbxContent>
                    <w:p w:rsidR="00077ACD" w:rsidRDefault="00077ACD" w:rsidP="00FC1B7D">
                      <w:pPr>
                        <w:autoSpaceDE w:val="0"/>
                        <w:autoSpaceDN w:val="0"/>
                        <w:adjustRightInd w:val="0"/>
                        <w:spacing w:after="0" w:line="240" w:lineRule="auto"/>
                        <w:ind w:left="1410" w:hanging="1410"/>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143D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gross domestic product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E143D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per inhabitant)</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PKB</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na 1 mieszkańca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201</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9</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r</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oku</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najbogatsze regiony</w:t>
                      </w:r>
                    </w:p>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 por. do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województwa  </w:t>
                      </w:r>
                      <w:r w:rsidRPr="00F71A98">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podkarpackiego</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xbxContent>
                </v:textbox>
              </v:shape>
            </w:pict>
          </mc:Fallback>
        </mc:AlternateContent>
      </w:r>
    </w:p>
    <w:p w:rsidR="00FC1B7D" w:rsidRDefault="00BB08FC" w:rsidP="00FC1B7D">
      <w:pPr>
        <w:spacing w:after="0" w:line="360" w:lineRule="auto"/>
        <w:jc w:val="both"/>
        <w:rPr>
          <w:rFonts w:ascii="Times New Roman" w:hAnsi="Times New Roman" w:cs="Times New Roman"/>
          <w:bCs/>
          <w:sz w:val="16"/>
          <w:szCs w:val="16"/>
        </w:rPr>
      </w:pPr>
      <w:r>
        <w:rPr>
          <w:noProof/>
          <w:lang w:eastAsia="pl-PL"/>
        </w:rPr>
        <w:drawing>
          <wp:inline distT="0" distB="0" distL="0" distR="0" wp14:anchorId="0DA2BA4C" wp14:editId="36D1C09D">
            <wp:extent cx="5492750" cy="8115300"/>
            <wp:effectExtent l="0" t="0" r="0" b="0"/>
            <wp:docPr id="16"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1B7D" w:rsidRDefault="00FC1B7D" w:rsidP="00FC1B7D">
      <w:pPr>
        <w:spacing w:after="0" w:line="240" w:lineRule="auto"/>
        <w:jc w:val="both"/>
        <w:rPr>
          <w:rFonts w:ascii="Times New Roman" w:hAnsi="Times New Roman" w:cs="Times New Roman"/>
          <w:bCs/>
          <w:sz w:val="16"/>
          <w:szCs w:val="16"/>
          <w:highlight w:val="yellow"/>
        </w:rPr>
      </w:pPr>
      <w:r w:rsidRPr="00C84F93">
        <w:rPr>
          <w:rFonts w:ascii="Times New Roman" w:hAnsi="Times New Roman" w:cs="Times New Roman"/>
          <w:bCs/>
          <w:sz w:val="16"/>
          <w:szCs w:val="16"/>
        </w:rPr>
        <w:t>* Źródło: Eurostat Database.</w:t>
      </w:r>
      <w:r>
        <w:rPr>
          <w:rFonts w:ascii="Times New Roman" w:hAnsi="Times New Roman" w:cs="Times New Roman"/>
          <w:bCs/>
          <w:sz w:val="16"/>
          <w:szCs w:val="16"/>
        </w:rPr>
        <w:t xml:space="preserve"> </w:t>
      </w:r>
      <w:r w:rsidRPr="00C84F93">
        <w:rPr>
          <w:rFonts w:ascii="Times New Roman" w:hAnsi="Times New Roman" w:cs="Times New Roman"/>
          <w:bCs/>
          <w:sz w:val="16"/>
          <w:szCs w:val="16"/>
        </w:rPr>
        <w:t xml:space="preserve">Dane zaprezentowano dla porównania poziomu produktu krajowego brutto </w:t>
      </w:r>
      <w:r w:rsidR="00BB08FC">
        <w:rPr>
          <w:rFonts w:ascii="Times New Roman" w:hAnsi="Times New Roman" w:cs="Times New Roman"/>
          <w:bCs/>
          <w:sz w:val="16"/>
          <w:szCs w:val="16"/>
        </w:rPr>
        <w:t xml:space="preserve">województwa podkarpackiego </w:t>
      </w:r>
      <w:r w:rsidRPr="00C84F93">
        <w:rPr>
          <w:rFonts w:ascii="Times New Roman" w:hAnsi="Times New Roman" w:cs="Times New Roman"/>
          <w:bCs/>
          <w:sz w:val="16"/>
          <w:szCs w:val="16"/>
        </w:rPr>
        <w:t>z</w:t>
      </w:r>
      <w:r w:rsidR="00BB08FC">
        <w:rPr>
          <w:rFonts w:ascii="Times New Roman" w:hAnsi="Times New Roman" w:cs="Times New Roman"/>
          <w:bCs/>
          <w:sz w:val="16"/>
          <w:szCs w:val="16"/>
        </w:rPr>
        <w:t> </w:t>
      </w:r>
      <w:r w:rsidRPr="00C84F93">
        <w:rPr>
          <w:rFonts w:ascii="Times New Roman" w:hAnsi="Times New Roman" w:cs="Times New Roman"/>
          <w:bCs/>
          <w:sz w:val="16"/>
          <w:szCs w:val="16"/>
        </w:rPr>
        <w:t xml:space="preserve">innymi </w:t>
      </w:r>
      <w:r w:rsidR="00BB08FC">
        <w:rPr>
          <w:rFonts w:ascii="Times New Roman" w:hAnsi="Times New Roman" w:cs="Times New Roman"/>
          <w:bCs/>
          <w:sz w:val="16"/>
          <w:szCs w:val="16"/>
        </w:rPr>
        <w:t xml:space="preserve">regionami UE i regionami krajów dla których Eurostat zamieścił odpowiednio przeliczony GDP. </w:t>
      </w:r>
      <w:r w:rsidRPr="00C84F93">
        <w:rPr>
          <w:rFonts w:ascii="Times New Roman" w:hAnsi="Times New Roman" w:cs="Times New Roman"/>
          <w:bCs/>
          <w:sz w:val="16"/>
          <w:szCs w:val="16"/>
        </w:rPr>
        <w:t>PKB (</w:t>
      </w:r>
      <w:r>
        <w:rPr>
          <w:rFonts w:ascii="Times New Roman" w:hAnsi="Times New Roman" w:cs="Times New Roman"/>
          <w:bCs/>
          <w:sz w:val="16"/>
          <w:szCs w:val="16"/>
        </w:rPr>
        <w:t>P</w:t>
      </w:r>
      <w:r w:rsidRPr="00C84F93">
        <w:rPr>
          <w:rFonts w:ascii="Times New Roman" w:hAnsi="Times New Roman" w:cs="Times New Roman"/>
          <w:bCs/>
          <w:sz w:val="16"/>
          <w:szCs w:val="16"/>
        </w:rPr>
        <w:t xml:space="preserve">rodukt </w:t>
      </w:r>
      <w:r>
        <w:rPr>
          <w:rFonts w:ascii="Times New Roman" w:hAnsi="Times New Roman" w:cs="Times New Roman"/>
          <w:bCs/>
          <w:sz w:val="16"/>
          <w:szCs w:val="16"/>
        </w:rPr>
        <w:t>K</w:t>
      </w:r>
      <w:r w:rsidRPr="00C84F93">
        <w:rPr>
          <w:rFonts w:ascii="Times New Roman" w:hAnsi="Times New Roman" w:cs="Times New Roman"/>
          <w:bCs/>
          <w:sz w:val="16"/>
          <w:szCs w:val="16"/>
        </w:rPr>
        <w:t xml:space="preserve">rajowy </w:t>
      </w:r>
      <w:r>
        <w:rPr>
          <w:rFonts w:ascii="Times New Roman" w:hAnsi="Times New Roman" w:cs="Times New Roman"/>
          <w:bCs/>
          <w:sz w:val="16"/>
          <w:szCs w:val="16"/>
        </w:rPr>
        <w:t>B</w:t>
      </w:r>
      <w:r w:rsidRPr="00C84F93">
        <w:rPr>
          <w:rFonts w:ascii="Times New Roman" w:hAnsi="Times New Roman" w:cs="Times New Roman"/>
          <w:bCs/>
          <w:sz w:val="16"/>
          <w:szCs w:val="16"/>
        </w:rPr>
        <w:t>rutto) jest wskaźnikiem produkcji regionu. Odzwierciedla całkowitą wartość wszystkich wytworzonych towarów i usług</w:t>
      </w:r>
      <w:r>
        <w:rPr>
          <w:rFonts w:ascii="Times New Roman" w:hAnsi="Times New Roman" w:cs="Times New Roman"/>
          <w:bCs/>
          <w:sz w:val="16"/>
          <w:szCs w:val="16"/>
        </w:rPr>
        <w:t>,</w:t>
      </w:r>
      <w:r w:rsidRPr="00C84F93">
        <w:rPr>
          <w:rFonts w:ascii="Times New Roman" w:hAnsi="Times New Roman" w:cs="Times New Roman"/>
          <w:bCs/>
          <w:sz w:val="16"/>
          <w:szCs w:val="16"/>
        </w:rPr>
        <w:t xml:space="preserve"> pomniejszoną o wartość towarów i usług wykorzystanych do zużycia pośredniego w ich produkcji.</w:t>
      </w:r>
      <w:r>
        <w:rPr>
          <w:rFonts w:ascii="Times New Roman" w:hAnsi="Times New Roman" w:cs="Times New Roman"/>
          <w:bCs/>
          <w:sz w:val="16"/>
          <w:szCs w:val="16"/>
          <w:highlight w:val="yellow"/>
        </w:rPr>
        <w:br w:type="page"/>
      </w:r>
    </w:p>
    <w:p w:rsidR="00FC1B7D" w:rsidRDefault="00FC1B7D" w:rsidP="00FC1B7D">
      <w:pPr>
        <w:spacing w:after="0" w:line="360" w:lineRule="auto"/>
        <w:ind w:firstLine="709"/>
        <w:jc w:val="both"/>
        <w:rPr>
          <w:rFonts w:ascii="Times New Roman" w:hAnsi="Times New Roman" w:cs="Times New Roman"/>
          <w:bCs/>
          <w:szCs w:val="24"/>
        </w:rPr>
      </w:pPr>
      <w:r w:rsidRPr="00EB5FBF">
        <w:rPr>
          <w:rFonts w:ascii="Times New Roman" w:hAnsi="Times New Roman" w:cs="Times New Roman"/>
          <w:bCs/>
          <w:sz w:val="24"/>
          <w:szCs w:val="24"/>
        </w:rPr>
        <w:lastRenderedPageBreak/>
        <w:t>Analiza sytuacji na rynku pracy w województwie podkarpackim</w:t>
      </w:r>
      <w:r w:rsidR="00AB6255">
        <w:rPr>
          <w:rFonts w:ascii="Times New Roman" w:hAnsi="Times New Roman" w:cs="Times New Roman"/>
          <w:bCs/>
          <w:sz w:val="24"/>
          <w:szCs w:val="24"/>
        </w:rPr>
        <w:t xml:space="preserve"> – </w:t>
      </w:r>
      <w:r w:rsidRPr="00EB5FBF">
        <w:rPr>
          <w:rFonts w:ascii="Times New Roman" w:hAnsi="Times New Roman" w:cs="Times New Roman"/>
          <w:bCs/>
          <w:sz w:val="24"/>
          <w:szCs w:val="24"/>
        </w:rPr>
        <w:t xml:space="preserve">to również opis uwarunkowań </w:t>
      </w:r>
      <w:r w:rsidR="00CB7E57">
        <w:rPr>
          <w:rFonts w:ascii="Times New Roman" w:hAnsi="Times New Roman" w:cs="Times New Roman"/>
          <w:bCs/>
          <w:sz w:val="24"/>
          <w:szCs w:val="24"/>
        </w:rPr>
        <w:t xml:space="preserve">społecznych i gospodarczych </w:t>
      </w:r>
      <w:r w:rsidRPr="00EB5FBF">
        <w:rPr>
          <w:rFonts w:ascii="Times New Roman" w:hAnsi="Times New Roman" w:cs="Times New Roman"/>
          <w:bCs/>
          <w:sz w:val="24"/>
          <w:szCs w:val="24"/>
        </w:rPr>
        <w:t xml:space="preserve">regionu. </w:t>
      </w:r>
      <w:r w:rsidRPr="006A4653">
        <w:rPr>
          <w:rFonts w:ascii="Times New Roman" w:hAnsi="Times New Roman" w:cs="Times New Roman"/>
          <w:bCs/>
          <w:sz w:val="24"/>
          <w:szCs w:val="24"/>
        </w:rPr>
        <w:t xml:space="preserve">Powyższe dane zwracają uwagę przede wszystkim </w:t>
      </w:r>
      <w:r>
        <w:rPr>
          <w:rFonts w:ascii="Times New Roman" w:hAnsi="Times New Roman" w:cs="Times New Roman"/>
          <w:bCs/>
          <w:sz w:val="24"/>
          <w:szCs w:val="24"/>
        </w:rPr>
        <w:t>na</w:t>
      </w:r>
      <w:r w:rsidRPr="006A4653">
        <w:rPr>
          <w:rFonts w:ascii="Times New Roman" w:hAnsi="Times New Roman" w:cs="Times New Roman"/>
          <w:bCs/>
          <w:szCs w:val="24"/>
        </w:rPr>
        <w:t>:</w:t>
      </w:r>
    </w:p>
    <w:p w:rsidR="00FC1B7D" w:rsidRPr="000C3833" w:rsidRDefault="00FC1B7D" w:rsidP="00FC1B7D">
      <w:pPr>
        <w:pStyle w:val="Akapitzlist"/>
        <w:numPr>
          <w:ilvl w:val="0"/>
          <w:numId w:val="14"/>
        </w:numPr>
        <w:spacing w:after="0" w:line="360" w:lineRule="auto"/>
        <w:jc w:val="both"/>
        <w:rPr>
          <w:rFonts w:ascii="Times New Roman" w:hAnsi="Times New Roman" w:cs="Times New Roman"/>
          <w:bCs/>
          <w:sz w:val="24"/>
          <w:szCs w:val="24"/>
        </w:rPr>
      </w:pPr>
      <w:r w:rsidRPr="000C3833">
        <w:rPr>
          <w:rFonts w:ascii="Times New Roman" w:hAnsi="Times New Roman" w:cs="Times New Roman"/>
          <w:bCs/>
          <w:sz w:val="24"/>
          <w:szCs w:val="24"/>
        </w:rPr>
        <w:t>najniższy w Polsce udział ludności zamieszkałej w miastach</w:t>
      </w:r>
      <w:r>
        <w:rPr>
          <w:rFonts w:ascii="Times New Roman" w:hAnsi="Times New Roman" w:cs="Times New Roman"/>
          <w:bCs/>
          <w:sz w:val="24"/>
          <w:szCs w:val="24"/>
        </w:rPr>
        <w:t>,</w:t>
      </w:r>
      <w:r w:rsidR="00F461D7">
        <w:rPr>
          <w:rFonts w:ascii="Times New Roman" w:hAnsi="Times New Roman" w:cs="Times New Roman"/>
          <w:bCs/>
          <w:sz w:val="24"/>
          <w:szCs w:val="24"/>
        </w:rPr>
        <w:t xml:space="preserve"> który koresponduje z niskim wskaźnikiem urbanizacji (udział gruntów zabudowanych i zurbanizowanych do powierzchni ogółem</w:t>
      </w:r>
      <w:r w:rsidR="00AB6255">
        <w:rPr>
          <w:rFonts w:ascii="Times New Roman" w:hAnsi="Times New Roman" w:cs="Times New Roman"/>
          <w:bCs/>
          <w:sz w:val="24"/>
          <w:szCs w:val="24"/>
        </w:rPr>
        <w:t>, 10 lokata w rankingu wojewódzkim</w:t>
      </w:r>
      <w:r w:rsidR="00DE4C6B">
        <w:rPr>
          <w:rFonts w:ascii="Times New Roman" w:hAnsi="Times New Roman" w:cs="Times New Roman"/>
          <w:bCs/>
          <w:sz w:val="24"/>
          <w:szCs w:val="24"/>
        </w:rPr>
        <w:t>, w grupie 8 województw o słabszej wartości wskaźnika urbanizacji</w:t>
      </w:r>
      <w:r w:rsidR="00F461D7">
        <w:rPr>
          <w:rFonts w:ascii="Times New Roman" w:hAnsi="Times New Roman" w:cs="Times New Roman"/>
          <w:bCs/>
          <w:sz w:val="24"/>
          <w:szCs w:val="24"/>
        </w:rPr>
        <w:t>),</w:t>
      </w:r>
    </w:p>
    <w:p w:rsidR="00FC1B7D" w:rsidRPr="00CB7E57" w:rsidRDefault="00FC1B7D" w:rsidP="00FC1B7D">
      <w:pPr>
        <w:pStyle w:val="Akapitzlist"/>
        <w:numPr>
          <w:ilvl w:val="0"/>
          <w:numId w:val="14"/>
        </w:numPr>
        <w:spacing w:after="0" w:line="360" w:lineRule="auto"/>
        <w:jc w:val="both"/>
        <w:rPr>
          <w:rFonts w:ascii="Times New Roman" w:hAnsi="Times New Roman" w:cs="Times New Roman"/>
          <w:bCs/>
          <w:sz w:val="24"/>
          <w:szCs w:val="24"/>
        </w:rPr>
      </w:pPr>
      <w:r w:rsidRPr="00CB7E57">
        <w:rPr>
          <w:rFonts w:ascii="Times New Roman" w:hAnsi="Times New Roman" w:cs="Times New Roman"/>
          <w:bCs/>
          <w:sz w:val="24"/>
          <w:szCs w:val="24"/>
        </w:rPr>
        <w:t>skupienie ludności na części obszar</w:t>
      </w:r>
      <w:r w:rsidR="00ED7E05">
        <w:rPr>
          <w:rFonts w:ascii="Times New Roman" w:hAnsi="Times New Roman" w:cs="Times New Roman"/>
          <w:bCs/>
          <w:sz w:val="24"/>
          <w:szCs w:val="24"/>
        </w:rPr>
        <w:t>u</w:t>
      </w:r>
      <w:r w:rsidRPr="00CB7E57">
        <w:rPr>
          <w:rFonts w:ascii="Times New Roman" w:hAnsi="Times New Roman" w:cs="Times New Roman"/>
          <w:bCs/>
          <w:sz w:val="24"/>
          <w:szCs w:val="24"/>
        </w:rPr>
        <w:t xml:space="preserve"> województwa. Występowanie </w:t>
      </w:r>
      <w:r w:rsidR="00ED7E05">
        <w:rPr>
          <w:rFonts w:ascii="Times New Roman" w:hAnsi="Times New Roman" w:cs="Times New Roman"/>
          <w:bCs/>
          <w:sz w:val="24"/>
          <w:szCs w:val="24"/>
        </w:rPr>
        <w:t xml:space="preserve">terenów </w:t>
      </w:r>
      <w:r w:rsidRPr="00CB7E57">
        <w:rPr>
          <w:rFonts w:ascii="Times New Roman" w:hAnsi="Times New Roman" w:cs="Times New Roman"/>
          <w:bCs/>
          <w:sz w:val="24"/>
          <w:szCs w:val="24"/>
        </w:rPr>
        <w:t>o</w:t>
      </w:r>
      <w:r w:rsidR="00ED7E05">
        <w:rPr>
          <w:rFonts w:ascii="Times New Roman" w:hAnsi="Times New Roman" w:cs="Times New Roman"/>
          <w:bCs/>
          <w:sz w:val="24"/>
          <w:szCs w:val="24"/>
        </w:rPr>
        <w:t xml:space="preserve"> </w:t>
      </w:r>
      <w:r w:rsidRPr="00CB7E57">
        <w:rPr>
          <w:rFonts w:ascii="Times New Roman" w:hAnsi="Times New Roman" w:cs="Times New Roman"/>
          <w:bCs/>
          <w:sz w:val="24"/>
          <w:szCs w:val="24"/>
        </w:rPr>
        <w:t xml:space="preserve">niskiej gęstości zaludnienia </w:t>
      </w:r>
      <w:r w:rsidR="00ED7E05">
        <w:rPr>
          <w:rFonts w:ascii="Times New Roman" w:hAnsi="Times New Roman" w:cs="Times New Roman"/>
          <w:bCs/>
          <w:sz w:val="24"/>
          <w:szCs w:val="24"/>
        </w:rPr>
        <w:t>i znacznych walorach przyrodniczych</w:t>
      </w:r>
      <w:r w:rsidR="007306A4">
        <w:rPr>
          <w:rFonts w:ascii="Times New Roman" w:hAnsi="Times New Roman" w:cs="Times New Roman"/>
          <w:bCs/>
          <w:sz w:val="24"/>
          <w:szCs w:val="24"/>
        </w:rPr>
        <w:t>.</w:t>
      </w:r>
      <w:r w:rsidR="00ED7E05">
        <w:rPr>
          <w:rFonts w:ascii="Times New Roman" w:hAnsi="Times New Roman" w:cs="Times New Roman"/>
          <w:bCs/>
          <w:sz w:val="24"/>
          <w:szCs w:val="24"/>
        </w:rPr>
        <w:t xml:space="preserve"> </w:t>
      </w:r>
      <w:r w:rsidR="007306A4">
        <w:rPr>
          <w:rFonts w:ascii="Times New Roman" w:hAnsi="Times New Roman" w:cs="Times New Roman"/>
          <w:bCs/>
          <w:sz w:val="24"/>
          <w:szCs w:val="24"/>
        </w:rPr>
        <w:t>W</w:t>
      </w:r>
      <w:r w:rsidRPr="00CB7E57">
        <w:rPr>
          <w:rFonts w:ascii="Times New Roman" w:hAnsi="Times New Roman" w:cs="Times New Roman"/>
          <w:bCs/>
          <w:sz w:val="24"/>
          <w:szCs w:val="24"/>
        </w:rPr>
        <w:t xml:space="preserve"> warunkach pandemii</w:t>
      </w:r>
      <w:r w:rsidR="007306A4">
        <w:rPr>
          <w:rFonts w:ascii="Times New Roman" w:hAnsi="Times New Roman" w:cs="Times New Roman"/>
          <w:bCs/>
          <w:sz w:val="24"/>
          <w:szCs w:val="24"/>
        </w:rPr>
        <w:t xml:space="preserve"> i podczas </w:t>
      </w:r>
      <w:r w:rsidR="00CB7E57" w:rsidRPr="00CB7E57">
        <w:rPr>
          <w:rFonts w:ascii="Times New Roman" w:hAnsi="Times New Roman" w:cs="Times New Roman"/>
          <w:bCs/>
          <w:sz w:val="24"/>
          <w:szCs w:val="24"/>
        </w:rPr>
        <w:t xml:space="preserve">rozwoju nowoczesnych form komunikacji </w:t>
      </w:r>
      <w:r w:rsidR="007306A4">
        <w:rPr>
          <w:rFonts w:ascii="Times New Roman" w:hAnsi="Times New Roman" w:cs="Times New Roman"/>
          <w:bCs/>
          <w:sz w:val="24"/>
          <w:szCs w:val="24"/>
        </w:rPr>
        <w:t>czy</w:t>
      </w:r>
      <w:r w:rsidR="00CB7E57">
        <w:rPr>
          <w:rFonts w:ascii="Times New Roman" w:hAnsi="Times New Roman" w:cs="Times New Roman"/>
          <w:bCs/>
          <w:sz w:val="24"/>
          <w:szCs w:val="24"/>
        </w:rPr>
        <w:t> </w:t>
      </w:r>
      <w:r w:rsidR="00CB7E57" w:rsidRPr="00CB7E57">
        <w:rPr>
          <w:rFonts w:ascii="Times New Roman" w:hAnsi="Times New Roman" w:cs="Times New Roman"/>
          <w:bCs/>
          <w:sz w:val="24"/>
          <w:szCs w:val="24"/>
        </w:rPr>
        <w:t xml:space="preserve">elektronicznych form pracy zdalnej – </w:t>
      </w:r>
      <w:r w:rsidR="007306A4">
        <w:rPr>
          <w:rFonts w:ascii="Times New Roman" w:hAnsi="Times New Roman" w:cs="Times New Roman"/>
          <w:bCs/>
          <w:sz w:val="24"/>
          <w:szCs w:val="24"/>
        </w:rPr>
        <w:t xml:space="preserve">może to być zaletą dla </w:t>
      </w:r>
      <w:r w:rsidR="00ED7E05">
        <w:rPr>
          <w:rFonts w:ascii="Times New Roman" w:hAnsi="Times New Roman" w:cs="Times New Roman"/>
          <w:bCs/>
          <w:sz w:val="24"/>
          <w:szCs w:val="24"/>
        </w:rPr>
        <w:t>regionu</w:t>
      </w:r>
      <w:r w:rsidRPr="00CB7E57">
        <w:rPr>
          <w:rFonts w:ascii="Times New Roman" w:hAnsi="Times New Roman" w:cs="Times New Roman"/>
          <w:bCs/>
          <w:sz w:val="24"/>
          <w:szCs w:val="24"/>
        </w:rPr>
        <w:t>,</w:t>
      </w:r>
    </w:p>
    <w:p w:rsidR="00F461D7" w:rsidRPr="00DE4C6B" w:rsidRDefault="00F461D7" w:rsidP="00FC1B7D">
      <w:pPr>
        <w:pStyle w:val="Akapitzlist"/>
        <w:numPr>
          <w:ilvl w:val="0"/>
          <w:numId w:val="14"/>
        </w:numPr>
        <w:spacing w:after="0" w:line="360" w:lineRule="auto"/>
        <w:jc w:val="both"/>
        <w:rPr>
          <w:rFonts w:ascii="Times New Roman" w:hAnsi="Times New Roman" w:cs="Times New Roman"/>
          <w:bCs/>
          <w:sz w:val="24"/>
          <w:szCs w:val="24"/>
        </w:rPr>
      </w:pPr>
      <w:r w:rsidRPr="00DE4C6B">
        <w:rPr>
          <w:rFonts w:ascii="Times New Roman" w:hAnsi="Times New Roman" w:cs="Times New Roman"/>
          <w:bCs/>
          <w:sz w:val="24"/>
          <w:szCs w:val="24"/>
        </w:rPr>
        <w:t>wzrastająca mediana wieku, która na tle kraju</w:t>
      </w:r>
      <w:r w:rsidR="00DE4C6B" w:rsidRPr="00DE4C6B">
        <w:rPr>
          <w:rFonts w:ascii="Times New Roman" w:hAnsi="Times New Roman" w:cs="Times New Roman"/>
          <w:bCs/>
          <w:sz w:val="24"/>
          <w:szCs w:val="24"/>
        </w:rPr>
        <w:t xml:space="preserve"> – </w:t>
      </w:r>
      <w:r w:rsidRPr="00DE4C6B">
        <w:rPr>
          <w:rFonts w:ascii="Times New Roman" w:hAnsi="Times New Roman" w:cs="Times New Roman"/>
          <w:bCs/>
          <w:sz w:val="24"/>
          <w:szCs w:val="24"/>
        </w:rPr>
        <w:t>jest relatywnie niska,</w:t>
      </w:r>
    </w:p>
    <w:p w:rsidR="00FC1B7D" w:rsidRPr="000C3833" w:rsidRDefault="00F461D7" w:rsidP="00FC1B7D">
      <w:pPr>
        <w:pStyle w:val="Akapitzlist"/>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ujemny przyrost </w:t>
      </w:r>
      <w:r w:rsidR="00FC1B7D" w:rsidRPr="000C3833">
        <w:rPr>
          <w:rFonts w:ascii="Times New Roman" w:hAnsi="Times New Roman" w:cs="Times New Roman"/>
          <w:bCs/>
          <w:sz w:val="24"/>
          <w:szCs w:val="24"/>
        </w:rPr>
        <w:t>naturaln</w:t>
      </w:r>
      <w:r>
        <w:rPr>
          <w:rFonts w:ascii="Times New Roman" w:hAnsi="Times New Roman" w:cs="Times New Roman"/>
          <w:bCs/>
          <w:sz w:val="24"/>
          <w:szCs w:val="24"/>
        </w:rPr>
        <w:t xml:space="preserve">y </w:t>
      </w:r>
      <w:r w:rsidR="00DE4C6B">
        <w:rPr>
          <w:rFonts w:ascii="Times New Roman" w:hAnsi="Times New Roman" w:cs="Times New Roman"/>
          <w:bCs/>
          <w:sz w:val="24"/>
          <w:szCs w:val="24"/>
        </w:rPr>
        <w:t>(w 11 województwach wyższy, a w 5 niższy</w:t>
      </w:r>
      <w:r w:rsidR="00093F42">
        <w:rPr>
          <w:rFonts w:ascii="Times New Roman" w:hAnsi="Times New Roman" w:cs="Times New Roman"/>
          <w:bCs/>
          <w:sz w:val="24"/>
          <w:szCs w:val="24"/>
        </w:rPr>
        <w:t>, 6 lokata w kraju od najniższej wartości spadku przyrostu naturalnego</w:t>
      </w:r>
      <w:r w:rsidR="00DE4C6B">
        <w:rPr>
          <w:rFonts w:ascii="Times New Roman" w:hAnsi="Times New Roman" w:cs="Times New Roman"/>
          <w:bCs/>
          <w:sz w:val="24"/>
          <w:szCs w:val="24"/>
        </w:rPr>
        <w:t>)</w:t>
      </w:r>
      <w:r w:rsidR="00FC1B7D">
        <w:rPr>
          <w:rFonts w:ascii="Times New Roman" w:hAnsi="Times New Roman" w:cs="Times New Roman"/>
          <w:bCs/>
          <w:sz w:val="24"/>
          <w:szCs w:val="24"/>
        </w:rPr>
        <w:t>,</w:t>
      </w:r>
    </w:p>
    <w:p w:rsidR="00FC1B7D" w:rsidRPr="00ED7E05" w:rsidRDefault="00FC1B7D" w:rsidP="00FC1B7D">
      <w:pPr>
        <w:pStyle w:val="Akapitzlist"/>
        <w:numPr>
          <w:ilvl w:val="0"/>
          <w:numId w:val="14"/>
        </w:numPr>
        <w:spacing w:after="0" w:line="360" w:lineRule="auto"/>
        <w:jc w:val="both"/>
        <w:rPr>
          <w:rFonts w:ascii="Times New Roman" w:hAnsi="Times New Roman" w:cs="Times New Roman"/>
          <w:bCs/>
          <w:sz w:val="24"/>
          <w:szCs w:val="24"/>
        </w:rPr>
      </w:pPr>
      <w:r w:rsidRPr="00ED7E05">
        <w:rPr>
          <w:rFonts w:ascii="Times New Roman" w:hAnsi="Times New Roman" w:cs="Times New Roman"/>
          <w:bCs/>
          <w:sz w:val="24"/>
          <w:szCs w:val="24"/>
        </w:rPr>
        <w:t>w stosunku do pozostałych województw i regionów UE</w:t>
      </w:r>
      <w:r w:rsidR="00ED7E05" w:rsidRPr="00ED7E05">
        <w:rPr>
          <w:rFonts w:ascii="Times New Roman" w:hAnsi="Times New Roman" w:cs="Times New Roman"/>
          <w:bCs/>
          <w:sz w:val="24"/>
          <w:szCs w:val="24"/>
        </w:rPr>
        <w:t xml:space="preserve"> – </w:t>
      </w:r>
      <w:r w:rsidRPr="00ED7E05">
        <w:rPr>
          <w:rFonts w:ascii="Times New Roman" w:hAnsi="Times New Roman" w:cs="Times New Roman"/>
          <w:bCs/>
          <w:sz w:val="24"/>
          <w:szCs w:val="24"/>
        </w:rPr>
        <w:t>niski poziom rozwoju gospodarczego, z którego wynika m. in. niewielka zamożność mieszkańców mierzona produktem krajowym brutto na 1 mieszkańca,</w:t>
      </w:r>
    </w:p>
    <w:p w:rsidR="00FC1B7D" w:rsidRPr="000C3833" w:rsidRDefault="00FC1B7D" w:rsidP="00FC1B7D">
      <w:pPr>
        <w:pStyle w:val="Akapitzlist"/>
        <w:numPr>
          <w:ilvl w:val="0"/>
          <w:numId w:val="14"/>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jedno z najniższych </w:t>
      </w:r>
      <w:r w:rsidRPr="000C3833">
        <w:rPr>
          <w:rFonts w:ascii="Times New Roman" w:hAnsi="Times New Roman" w:cs="Times New Roman"/>
          <w:bCs/>
          <w:sz w:val="24"/>
          <w:szCs w:val="24"/>
        </w:rPr>
        <w:t>przeciętn</w:t>
      </w:r>
      <w:r>
        <w:rPr>
          <w:rFonts w:ascii="Times New Roman" w:hAnsi="Times New Roman" w:cs="Times New Roman"/>
          <w:bCs/>
          <w:sz w:val="24"/>
          <w:szCs w:val="24"/>
        </w:rPr>
        <w:t>ych</w:t>
      </w:r>
      <w:r w:rsidRPr="000C3833">
        <w:rPr>
          <w:rFonts w:ascii="Times New Roman" w:hAnsi="Times New Roman" w:cs="Times New Roman"/>
          <w:bCs/>
          <w:sz w:val="24"/>
          <w:szCs w:val="24"/>
        </w:rPr>
        <w:t xml:space="preserve"> miesięczn</w:t>
      </w:r>
      <w:r>
        <w:rPr>
          <w:rFonts w:ascii="Times New Roman" w:hAnsi="Times New Roman" w:cs="Times New Roman"/>
          <w:bCs/>
          <w:sz w:val="24"/>
          <w:szCs w:val="24"/>
        </w:rPr>
        <w:t>ych</w:t>
      </w:r>
      <w:r w:rsidRPr="000C3833">
        <w:rPr>
          <w:rFonts w:ascii="Times New Roman" w:hAnsi="Times New Roman" w:cs="Times New Roman"/>
          <w:bCs/>
          <w:sz w:val="24"/>
          <w:szCs w:val="24"/>
        </w:rPr>
        <w:t xml:space="preserve"> wynagrodze</w:t>
      </w:r>
      <w:r>
        <w:rPr>
          <w:rFonts w:ascii="Times New Roman" w:hAnsi="Times New Roman" w:cs="Times New Roman"/>
          <w:bCs/>
          <w:sz w:val="24"/>
          <w:szCs w:val="24"/>
        </w:rPr>
        <w:t>ń</w:t>
      </w:r>
      <w:r w:rsidRPr="000C3833">
        <w:rPr>
          <w:rFonts w:ascii="Times New Roman" w:hAnsi="Times New Roman" w:cs="Times New Roman"/>
          <w:bCs/>
          <w:sz w:val="24"/>
          <w:szCs w:val="24"/>
        </w:rPr>
        <w:t xml:space="preserve"> brutto</w:t>
      </w:r>
      <w:r>
        <w:rPr>
          <w:rFonts w:ascii="Times New Roman" w:hAnsi="Times New Roman" w:cs="Times New Roman"/>
          <w:bCs/>
          <w:sz w:val="24"/>
          <w:szCs w:val="24"/>
        </w:rPr>
        <w:t xml:space="preserve"> </w:t>
      </w:r>
      <w:r w:rsidRPr="000C3833">
        <w:rPr>
          <w:rFonts w:ascii="Times New Roman" w:hAnsi="Times New Roman" w:cs="Times New Roman"/>
          <w:bCs/>
          <w:sz w:val="24"/>
          <w:szCs w:val="24"/>
        </w:rPr>
        <w:t>w</w:t>
      </w:r>
      <w:r>
        <w:rPr>
          <w:rFonts w:ascii="Times New Roman" w:hAnsi="Times New Roman" w:cs="Times New Roman"/>
          <w:bCs/>
          <w:sz w:val="24"/>
          <w:szCs w:val="24"/>
        </w:rPr>
        <w:t xml:space="preserve"> </w:t>
      </w:r>
      <w:r w:rsidRPr="000C3833">
        <w:rPr>
          <w:rFonts w:ascii="Times New Roman" w:hAnsi="Times New Roman" w:cs="Times New Roman"/>
          <w:bCs/>
          <w:sz w:val="24"/>
          <w:szCs w:val="24"/>
        </w:rPr>
        <w:t>rankingu międzywojewódzkim.</w:t>
      </w:r>
    </w:p>
    <w:p w:rsidR="007A393D" w:rsidRPr="00D62B23" w:rsidRDefault="007A393D" w:rsidP="007A393D">
      <w:pPr>
        <w:spacing w:after="0" w:line="240" w:lineRule="auto"/>
        <w:jc w:val="both"/>
        <w:rPr>
          <w:rFonts w:ascii="Times New Roman" w:hAnsi="Times New Roman" w:cs="Times New Roman"/>
          <w:bCs/>
          <w:sz w:val="16"/>
          <w:szCs w:val="16"/>
          <w:highlight w:val="yellow"/>
        </w:rPr>
      </w:pPr>
    </w:p>
    <w:p w:rsidR="00B92E45" w:rsidRPr="00481546" w:rsidRDefault="00B92E45" w:rsidP="00EE3609">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5" w:name="_Toc81396059"/>
      <w:r w:rsidRPr="00481546">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Wiek</w:t>
      </w:r>
      <w:r w:rsidR="0062527B" w:rsidRPr="00481546">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481546">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produkcyjny</w:t>
      </w:r>
      <w:r w:rsidR="0062527B" w:rsidRPr="00481546">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481546">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ludności</w:t>
      </w:r>
      <w:bookmarkEnd w:id="4"/>
      <w:bookmarkEnd w:id="5"/>
    </w:p>
    <w:p w:rsidR="00175AAF" w:rsidRDefault="00175AAF"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175AAF" w:rsidRDefault="00175AAF"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ED7E05" w:rsidRDefault="00ED7E05"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ED7E05" w:rsidRDefault="00ED7E05"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ED7E05" w:rsidRDefault="00ED7E05"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7457D6" w:rsidRDefault="007457D6" w:rsidP="007457D6">
      <w:pPr>
        <w:autoSpaceDE w:val="0"/>
        <w:autoSpaceDN w:val="0"/>
        <w:adjustRightInd w:val="0"/>
        <w:spacing w:after="0" w:line="240" w:lineRule="auto"/>
        <w:jc w:val="cente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sta</w:t>
      </w:r>
      <w:r w:rsidR="007306A4">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rz</w:t>
      </w:r>
      <w:r>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enie się społeczeństwa</w:t>
      </w:r>
      <w:r w:rsidR="00801242">
        <w:rPr>
          <w:rFonts w:ascii="Times New Roman" w:hAnsi="Times New Roman" w:cs="Times New Roman"/>
          <w:b/>
          <w:caps/>
          <w:color w:val="7030A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województwie podkarpackim</w:t>
      </w:r>
    </w:p>
    <w:p w:rsidR="007457D6" w:rsidRDefault="007457D6"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7457D6" w:rsidRDefault="00ED7E05" w:rsidP="007D00FC">
      <w:pPr>
        <w:autoSpaceDE w:val="0"/>
        <w:autoSpaceDN w:val="0"/>
        <w:adjustRightInd w:val="0"/>
        <w:spacing w:after="0" w:line="240" w:lineRule="auto"/>
        <w:rPr>
          <w:rFonts w:ascii="Times New Roman" w:hAnsi="Times New Roman" w:cs="Times New Roman"/>
          <w:color w:val="000000"/>
          <w:sz w:val="16"/>
          <w:szCs w:val="16"/>
          <w:highlight w:val="yellow"/>
        </w:rPr>
      </w:pPr>
      <w:r>
        <w:rPr>
          <w:noProof/>
          <w:lang w:eastAsia="pl-PL"/>
        </w:rPr>
        <w:drawing>
          <wp:anchor distT="0" distB="0" distL="114300" distR="114300" simplePos="0" relativeHeight="251899904" behindDoc="1" locked="0" layoutInCell="1" allowOverlap="1" wp14:anchorId="26CBAAD1" wp14:editId="6E64DC9B">
            <wp:simplePos x="0" y="0"/>
            <wp:positionH relativeFrom="column">
              <wp:posOffset>-416560</wp:posOffset>
            </wp:positionH>
            <wp:positionV relativeFrom="paragraph">
              <wp:posOffset>93980</wp:posOffset>
            </wp:positionV>
            <wp:extent cx="4435475" cy="2688590"/>
            <wp:effectExtent l="0" t="0" r="3175" b="0"/>
            <wp:wrapTight wrapText="bothSides">
              <wp:wrapPolygon edited="0">
                <wp:start x="2783" y="0"/>
                <wp:lineTo x="2412" y="612"/>
                <wp:lineTo x="2598" y="1837"/>
                <wp:lineTo x="5937" y="2755"/>
                <wp:lineTo x="5473" y="3367"/>
                <wp:lineTo x="4360" y="5204"/>
                <wp:lineTo x="3618" y="7652"/>
                <wp:lineTo x="3525" y="10101"/>
                <wp:lineTo x="928" y="11172"/>
                <wp:lineTo x="742" y="11938"/>
                <wp:lineTo x="1299" y="12550"/>
                <wp:lineTo x="742" y="12703"/>
                <wp:lineTo x="835" y="16223"/>
                <wp:lineTo x="6030" y="17447"/>
                <wp:lineTo x="6030" y="18060"/>
                <wp:lineTo x="9648" y="19896"/>
                <wp:lineTo x="10761" y="19896"/>
                <wp:lineTo x="20038" y="20967"/>
                <wp:lineTo x="20502" y="20967"/>
                <wp:lineTo x="21430" y="20661"/>
                <wp:lineTo x="20966" y="19896"/>
                <wp:lineTo x="21523" y="19743"/>
                <wp:lineTo x="21523" y="17906"/>
                <wp:lineTo x="15771" y="17447"/>
                <wp:lineTo x="17348" y="14999"/>
                <wp:lineTo x="18183" y="12550"/>
                <wp:lineTo x="18461" y="7652"/>
                <wp:lineTo x="17812" y="5204"/>
                <wp:lineTo x="16699" y="3367"/>
                <wp:lineTo x="16235" y="2755"/>
                <wp:lineTo x="16328" y="1377"/>
                <wp:lineTo x="12060" y="306"/>
                <wp:lineTo x="6958" y="0"/>
                <wp:lineTo x="2783" y="0"/>
              </wp:wrapPolygon>
            </wp:wrapTight>
            <wp:docPr id="10"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7457D6" w:rsidRDefault="00ED7E05" w:rsidP="007D00FC">
      <w:pPr>
        <w:autoSpaceDE w:val="0"/>
        <w:autoSpaceDN w:val="0"/>
        <w:adjustRightInd w:val="0"/>
        <w:spacing w:after="0" w:line="240" w:lineRule="auto"/>
        <w:rPr>
          <w:rFonts w:ascii="Times New Roman" w:hAnsi="Times New Roman" w:cs="Times New Roman"/>
          <w:color w:val="000000"/>
          <w:sz w:val="16"/>
          <w:szCs w:val="16"/>
          <w:highlight w:val="yellow"/>
        </w:rPr>
      </w:pPr>
      <w:r>
        <w:rPr>
          <w:noProof/>
          <w:lang w:eastAsia="pl-PL"/>
        </w:rPr>
        <w:drawing>
          <wp:anchor distT="0" distB="0" distL="114300" distR="114300" simplePos="0" relativeHeight="251898880" behindDoc="0" locked="0" layoutInCell="1" allowOverlap="1" wp14:anchorId="2E70077E" wp14:editId="1ADC36E1">
            <wp:simplePos x="0" y="0"/>
            <wp:positionH relativeFrom="column">
              <wp:posOffset>614045</wp:posOffset>
            </wp:positionH>
            <wp:positionV relativeFrom="paragraph">
              <wp:posOffset>52705</wp:posOffset>
            </wp:positionV>
            <wp:extent cx="3029585" cy="2142490"/>
            <wp:effectExtent l="0" t="0" r="0" b="0"/>
            <wp:wrapSquare wrapText="bothSides"/>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7457D6" w:rsidRDefault="007457D6"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7457D6" w:rsidRDefault="007457D6"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7457D6" w:rsidRDefault="007457D6"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7457D6" w:rsidRDefault="007457D6"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7457D6" w:rsidRDefault="007457D6"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7457D6" w:rsidRDefault="007457D6"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7457D6" w:rsidRDefault="007457D6"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08417C" w:rsidRDefault="0008417C"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ED7E05" w:rsidRDefault="00ED7E05" w:rsidP="007D00FC">
      <w:pPr>
        <w:autoSpaceDE w:val="0"/>
        <w:autoSpaceDN w:val="0"/>
        <w:adjustRightInd w:val="0"/>
        <w:spacing w:after="0" w:line="240" w:lineRule="auto"/>
        <w:rPr>
          <w:rFonts w:ascii="Times New Roman" w:hAnsi="Times New Roman" w:cs="Times New Roman"/>
          <w:color w:val="000000"/>
          <w:sz w:val="16"/>
          <w:szCs w:val="16"/>
          <w:highlight w:val="yellow"/>
        </w:rPr>
      </w:pPr>
    </w:p>
    <w:p w:rsidR="00ED7E05" w:rsidRDefault="00ED7E05">
      <w:pPr>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br w:type="page"/>
      </w:r>
    </w:p>
    <w:p w:rsidR="0023120A" w:rsidRDefault="00ED7E05" w:rsidP="00093F42">
      <w:pPr>
        <w:autoSpaceDE w:val="0"/>
        <w:autoSpaceDN w:val="0"/>
        <w:adjustRightInd w:val="0"/>
        <w:spacing w:after="0" w:line="240" w:lineRule="auto"/>
        <w:jc w:val="cente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Z</w:t>
      </w:r>
      <w:r w:rsidR="00FC1B7D" w:rsidRPr="00BA6A4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miany w strukturze ludności wg wieku w województwie podkarpackim</w:t>
      </w:r>
      <w:r w:rsidR="00175AA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FC1B7D" w:rsidRPr="00BA6A4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 założeń</w:t>
      </w:r>
    </w:p>
    <w:p w:rsidR="00FC1B7D" w:rsidRPr="00BA6A4F" w:rsidRDefault="00FC1B7D" w:rsidP="00093F42">
      <w:pPr>
        <w:autoSpaceDE w:val="0"/>
        <w:autoSpaceDN w:val="0"/>
        <w:adjustRightInd w:val="0"/>
        <w:spacing w:after="0" w:line="240" w:lineRule="auto"/>
        <w:jc w:val="cente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A6A4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stosowanych w badaniach</w:t>
      </w:r>
      <w:r w:rsidR="00175AA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A6A4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demograficznych GUS</w:t>
      </w:r>
      <w:r w:rsidR="007306A4">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co do przedziałów wieku</w:t>
      </w:r>
      <w:r w:rsidRPr="00BA6A4F">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proc.</w:t>
      </w:r>
    </w:p>
    <w:tbl>
      <w:tblPr>
        <w:tblW w:w="0" w:type="auto"/>
        <w:jc w:val="center"/>
        <w:tblInd w:w="151" w:type="dxa"/>
        <w:tblBorders>
          <w:top w:val="nil"/>
          <w:left w:val="nil"/>
          <w:bottom w:val="nil"/>
          <w:right w:val="nil"/>
        </w:tblBorders>
        <w:tblLook w:val="0000" w:firstRow="0" w:lastRow="0" w:firstColumn="0" w:lastColumn="0" w:noHBand="0" w:noVBand="0"/>
      </w:tblPr>
      <w:tblGrid>
        <w:gridCol w:w="1641"/>
        <w:gridCol w:w="531"/>
        <w:gridCol w:w="531"/>
        <w:gridCol w:w="531"/>
        <w:gridCol w:w="531"/>
        <w:gridCol w:w="531"/>
        <w:gridCol w:w="531"/>
        <w:gridCol w:w="531"/>
        <w:gridCol w:w="531"/>
        <w:gridCol w:w="531"/>
        <w:gridCol w:w="531"/>
        <w:gridCol w:w="531"/>
      </w:tblGrid>
      <w:tr w:rsidR="004A1253" w:rsidRPr="00CA6E66" w:rsidTr="00F5639A">
        <w:trPr>
          <w:trHeight w:val="912"/>
          <w:jc w:val="center"/>
        </w:trPr>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right"/>
              <w:rPr>
                <w:rFonts w:ascii="Times New Roman" w:hAnsi="Times New Roman" w:cs="Times New Roman"/>
                <w:color w:val="000000"/>
                <w:sz w:val="18"/>
                <w:szCs w:val="18"/>
              </w:rPr>
            </w:pPr>
            <w:r w:rsidRPr="00F5639A">
              <w:rPr>
                <w:rFonts w:ascii="Times New Roman" w:hAnsi="Times New Roman" w:cs="Times New Roman"/>
                <w:color w:val="000000"/>
                <w:sz w:val="18"/>
                <w:szCs w:val="18"/>
              </w:rPr>
              <w:t>Wartości</w:t>
            </w:r>
          </w:p>
          <w:p w:rsidR="004A1253" w:rsidRPr="00F5639A" w:rsidRDefault="004A1253" w:rsidP="00977C90">
            <w:pPr>
              <w:autoSpaceDE w:val="0"/>
              <w:autoSpaceDN w:val="0"/>
              <w:adjustRightInd w:val="0"/>
              <w:spacing w:after="0" w:line="240" w:lineRule="auto"/>
              <w:jc w:val="right"/>
              <w:rPr>
                <w:rFonts w:ascii="Times New Roman" w:hAnsi="Times New Roman" w:cs="Times New Roman"/>
                <w:color w:val="000000"/>
                <w:sz w:val="18"/>
                <w:szCs w:val="18"/>
              </w:rPr>
            </w:pPr>
            <w:r w:rsidRPr="00F5639A">
              <w:rPr>
                <w:rFonts w:ascii="Times New Roman" w:hAnsi="Times New Roman" w:cs="Times New Roman"/>
                <w:color w:val="000000"/>
                <w:sz w:val="18"/>
                <w:szCs w:val="18"/>
              </w:rPr>
              <w:t>wskaźnika</w:t>
            </w:r>
          </w:p>
          <w:p w:rsidR="004A1253" w:rsidRPr="00F5639A" w:rsidRDefault="004A1253" w:rsidP="00977C90">
            <w:pPr>
              <w:autoSpaceDE w:val="0"/>
              <w:autoSpaceDN w:val="0"/>
              <w:adjustRightInd w:val="0"/>
              <w:spacing w:after="0" w:line="240" w:lineRule="auto"/>
              <w:jc w:val="right"/>
              <w:rPr>
                <w:rFonts w:ascii="Times New Roman" w:hAnsi="Times New Roman" w:cs="Times New Roman"/>
                <w:color w:val="000000"/>
                <w:sz w:val="18"/>
                <w:szCs w:val="18"/>
              </w:rPr>
            </w:pPr>
            <w:r w:rsidRPr="00F5639A">
              <w:rPr>
                <w:rFonts w:ascii="Times New Roman" w:hAnsi="Times New Roman" w:cs="Times New Roman"/>
                <w:color w:val="000000"/>
                <w:sz w:val="18"/>
                <w:szCs w:val="18"/>
              </w:rPr>
              <w:t>w roku</w:t>
            </w:r>
          </w:p>
          <w:p w:rsidR="004A1253" w:rsidRPr="00F5639A" w:rsidRDefault="004A1253" w:rsidP="00977C90">
            <w:pPr>
              <w:autoSpaceDE w:val="0"/>
              <w:autoSpaceDN w:val="0"/>
              <w:adjustRightInd w:val="0"/>
              <w:spacing w:after="0" w:line="240" w:lineRule="auto"/>
              <w:jc w:val="right"/>
              <w:rPr>
                <w:rFonts w:ascii="Times New Roman" w:hAnsi="Times New Roman" w:cs="Times New Roman"/>
                <w:color w:val="000000"/>
                <w:sz w:val="18"/>
                <w:szCs w:val="18"/>
              </w:rPr>
            </w:pPr>
          </w:p>
          <w:p w:rsidR="004A1253" w:rsidRPr="00F5639A" w:rsidRDefault="004A1253" w:rsidP="00977C90">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Wiek ludności –</w:t>
            </w:r>
          </w:p>
          <w:p w:rsidR="004A1253" w:rsidRPr="00F5639A" w:rsidRDefault="004A1253" w:rsidP="00977C90">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w przedziałach</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‘95</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‘05</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‘11</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‘13</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‘15</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‘17</w:t>
            </w:r>
          </w:p>
        </w:tc>
      </w:tr>
      <w:tr w:rsidR="004A1253" w:rsidRPr="00CA6E66" w:rsidTr="00F5639A">
        <w:trPr>
          <w:trHeight w:val="9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A1253" w:rsidRPr="00F5639A" w:rsidRDefault="004A1253" w:rsidP="00977C90">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Przedprodukcyjny </w:t>
            </w:r>
            <w:r w:rsidRPr="00F5639A">
              <w:rPr>
                <w:rStyle w:val="Odwoanieprzypisudolnego"/>
                <w:rFonts w:ascii="Times New Roman" w:hAnsi="Times New Roman" w:cs="Times New Roman"/>
                <w:color w:val="000000"/>
                <w:sz w:val="18"/>
                <w:szCs w:val="18"/>
              </w:rPr>
              <w:footnoteReference w:id="7"/>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30,5</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27,5</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23,1</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19,9</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19,8</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19,5</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19,1</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18,8</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18,5</w:t>
            </w:r>
          </w:p>
        </w:tc>
        <w:tc>
          <w:tcPr>
            <w:tcW w:w="0" w:type="auto"/>
            <w:tcBorders>
              <w:top w:val="single" w:sz="4" w:space="0" w:color="auto"/>
              <w:left w:val="single" w:sz="4" w:space="0" w:color="auto"/>
              <w:bottom w:val="single" w:sz="4" w:space="0" w:color="auto"/>
              <w:right w:val="single" w:sz="4" w:space="0" w:color="auto"/>
            </w:tcBorders>
            <w:shd w:val="clear" w:color="auto" w:fill="DBE5F1"/>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18,4</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18,3</w:t>
            </w:r>
          </w:p>
        </w:tc>
      </w:tr>
      <w:tr w:rsidR="004A1253" w:rsidRPr="00CA6E66" w:rsidTr="00F5639A">
        <w:trPr>
          <w:trHeight w:val="9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A1253" w:rsidRPr="00F5639A" w:rsidRDefault="004A1253" w:rsidP="00977C90">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 xml:space="preserve">Produkcyjny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56,2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58,2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64,1</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63,9</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63,8</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63,7</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63,5</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63,2</w:t>
            </w:r>
          </w:p>
        </w:tc>
        <w:tc>
          <w:tcPr>
            <w:tcW w:w="0" w:type="auto"/>
            <w:tcBorders>
              <w:top w:val="single" w:sz="4" w:space="0" w:color="auto"/>
              <w:left w:val="single" w:sz="4" w:space="0" w:color="auto"/>
              <w:bottom w:val="single" w:sz="4" w:space="0" w:color="auto"/>
              <w:right w:val="single" w:sz="4" w:space="0" w:color="auto"/>
            </w:tcBorders>
            <w:shd w:val="clear" w:color="auto" w:fill="DBE5F1"/>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62,9</w:t>
            </w:r>
          </w:p>
        </w:tc>
        <w:tc>
          <w:tcPr>
            <w:tcW w:w="0" w:type="auto"/>
            <w:tcBorders>
              <w:top w:val="single" w:sz="4" w:space="0" w:color="auto"/>
              <w:left w:val="single" w:sz="4" w:space="0" w:color="auto"/>
              <w:bottom w:val="single" w:sz="4" w:space="0" w:color="auto"/>
              <w:right w:val="single" w:sz="4" w:space="0" w:color="auto"/>
            </w:tcBorders>
            <w:shd w:val="clear" w:color="auto" w:fill="DBE5F1"/>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62,4</w:t>
            </w:r>
          </w:p>
        </w:tc>
      </w:tr>
      <w:tr w:rsidR="004A1253" w:rsidRPr="00CA6E66" w:rsidTr="00F5639A">
        <w:trPr>
          <w:trHeight w:val="9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A1253" w:rsidRPr="00F5639A" w:rsidRDefault="004A1253" w:rsidP="00977C90">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Poprodukcyjny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16,3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18,2</w:t>
            </w:r>
          </w:p>
        </w:tc>
        <w:tc>
          <w:tcPr>
            <w:tcW w:w="0" w:type="auto"/>
            <w:tcBorders>
              <w:top w:val="single" w:sz="4" w:space="0" w:color="auto"/>
              <w:left w:val="single" w:sz="4" w:space="0" w:color="auto"/>
              <w:bottom w:val="single" w:sz="4" w:space="0" w:color="auto"/>
              <w:right w:val="single" w:sz="4" w:space="0" w:color="auto"/>
            </w:tcBorders>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1253" w:rsidRPr="00F5639A" w:rsidRDefault="004A1253" w:rsidP="00977C90">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19,3</w:t>
            </w:r>
          </w:p>
        </w:tc>
      </w:tr>
    </w:tbl>
    <w:p w:rsidR="00FC1B7D" w:rsidRDefault="00FC1B7D" w:rsidP="00FC1B7D">
      <w:pPr>
        <w:pStyle w:val="Tekstpodstawowywcity"/>
        <w:spacing w:after="0" w:line="240" w:lineRule="auto"/>
        <w:ind w:left="0"/>
        <w:jc w:val="both"/>
        <w:rPr>
          <w:rFonts w:ascii="Times New Roman" w:hAnsi="Times New Roman" w:cs="Times New Roman"/>
          <w:sz w:val="16"/>
          <w:szCs w:val="16"/>
        </w:rPr>
      </w:pPr>
    </w:p>
    <w:tbl>
      <w:tblPr>
        <w:tblW w:w="0" w:type="auto"/>
        <w:jc w:val="center"/>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531"/>
        <w:gridCol w:w="531"/>
        <w:gridCol w:w="531"/>
        <w:gridCol w:w="932"/>
        <w:gridCol w:w="932"/>
      </w:tblGrid>
      <w:tr w:rsidR="00F5639A" w:rsidRPr="00DE58DC" w:rsidTr="00CC7AA2">
        <w:trPr>
          <w:trHeight w:val="912"/>
          <w:jc w:val="center"/>
        </w:trPr>
        <w:tc>
          <w:tcPr>
            <w:tcW w:w="0" w:type="auto"/>
            <w:shd w:val="clear" w:color="auto" w:fill="E5DFEC" w:themeFill="accent4" w:themeFillTint="33"/>
            <w:vAlign w:val="center"/>
          </w:tcPr>
          <w:p w:rsidR="00F5639A" w:rsidRPr="00F5639A" w:rsidRDefault="00F5639A" w:rsidP="00801242">
            <w:pPr>
              <w:autoSpaceDE w:val="0"/>
              <w:autoSpaceDN w:val="0"/>
              <w:adjustRightInd w:val="0"/>
              <w:spacing w:after="0" w:line="240" w:lineRule="auto"/>
              <w:jc w:val="right"/>
              <w:rPr>
                <w:rFonts w:ascii="Times New Roman" w:hAnsi="Times New Roman" w:cs="Times New Roman"/>
                <w:color w:val="000000"/>
                <w:sz w:val="18"/>
                <w:szCs w:val="18"/>
              </w:rPr>
            </w:pPr>
            <w:r w:rsidRPr="00F5639A">
              <w:rPr>
                <w:rFonts w:ascii="Times New Roman" w:hAnsi="Times New Roman" w:cs="Times New Roman"/>
                <w:color w:val="000000"/>
                <w:sz w:val="18"/>
                <w:szCs w:val="18"/>
              </w:rPr>
              <w:t>Wartości</w:t>
            </w:r>
          </w:p>
          <w:p w:rsidR="00F5639A" w:rsidRPr="00F5639A" w:rsidRDefault="00F5639A" w:rsidP="00801242">
            <w:pPr>
              <w:autoSpaceDE w:val="0"/>
              <w:autoSpaceDN w:val="0"/>
              <w:adjustRightInd w:val="0"/>
              <w:spacing w:after="0" w:line="240" w:lineRule="auto"/>
              <w:jc w:val="right"/>
              <w:rPr>
                <w:rFonts w:ascii="Times New Roman" w:hAnsi="Times New Roman" w:cs="Times New Roman"/>
                <w:color w:val="000000"/>
                <w:sz w:val="18"/>
                <w:szCs w:val="18"/>
              </w:rPr>
            </w:pPr>
            <w:r w:rsidRPr="00F5639A">
              <w:rPr>
                <w:rFonts w:ascii="Times New Roman" w:hAnsi="Times New Roman" w:cs="Times New Roman"/>
                <w:color w:val="000000"/>
                <w:sz w:val="18"/>
                <w:szCs w:val="18"/>
              </w:rPr>
              <w:t>wskaźnika</w:t>
            </w:r>
          </w:p>
          <w:p w:rsidR="00F5639A" w:rsidRPr="00F5639A" w:rsidRDefault="00F5639A" w:rsidP="00801242">
            <w:pPr>
              <w:autoSpaceDE w:val="0"/>
              <w:autoSpaceDN w:val="0"/>
              <w:adjustRightInd w:val="0"/>
              <w:spacing w:after="0" w:line="240" w:lineRule="auto"/>
              <w:jc w:val="right"/>
              <w:rPr>
                <w:rFonts w:ascii="Times New Roman" w:hAnsi="Times New Roman" w:cs="Times New Roman"/>
                <w:color w:val="000000"/>
                <w:sz w:val="18"/>
                <w:szCs w:val="18"/>
              </w:rPr>
            </w:pPr>
            <w:r w:rsidRPr="00F5639A">
              <w:rPr>
                <w:rFonts w:ascii="Times New Roman" w:hAnsi="Times New Roman" w:cs="Times New Roman"/>
                <w:color w:val="000000"/>
                <w:sz w:val="18"/>
                <w:szCs w:val="18"/>
              </w:rPr>
              <w:t>w roku</w:t>
            </w:r>
          </w:p>
          <w:p w:rsidR="00F5639A" w:rsidRPr="00F5639A" w:rsidRDefault="00F5639A" w:rsidP="00801242">
            <w:pPr>
              <w:autoSpaceDE w:val="0"/>
              <w:autoSpaceDN w:val="0"/>
              <w:adjustRightInd w:val="0"/>
              <w:spacing w:after="0" w:line="240" w:lineRule="auto"/>
              <w:jc w:val="right"/>
              <w:rPr>
                <w:rFonts w:ascii="Times New Roman" w:hAnsi="Times New Roman" w:cs="Times New Roman"/>
                <w:color w:val="000000"/>
                <w:sz w:val="18"/>
                <w:szCs w:val="18"/>
              </w:rPr>
            </w:pPr>
          </w:p>
          <w:p w:rsidR="00F5639A" w:rsidRPr="00F5639A" w:rsidRDefault="00F5639A" w:rsidP="00801242">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Wiek ludności –</w:t>
            </w:r>
          </w:p>
          <w:p w:rsidR="00F5639A" w:rsidRPr="00F5639A" w:rsidRDefault="00F5639A" w:rsidP="00801242">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w przedziałach</w:t>
            </w:r>
          </w:p>
        </w:tc>
        <w:tc>
          <w:tcPr>
            <w:tcW w:w="0" w:type="auto"/>
            <w:tcBorders>
              <w:bottom w:val="single" w:sz="4" w:space="0" w:color="auto"/>
            </w:tcBorders>
            <w:shd w:val="clear" w:color="auto" w:fill="E5DFEC" w:themeFill="accent4" w:themeFillTint="33"/>
            <w:vAlign w:val="center"/>
          </w:tcPr>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‘18</w:t>
            </w:r>
          </w:p>
        </w:tc>
        <w:tc>
          <w:tcPr>
            <w:tcW w:w="0" w:type="auto"/>
            <w:tcBorders>
              <w:bottom w:val="single" w:sz="4" w:space="0" w:color="auto"/>
            </w:tcBorders>
            <w:shd w:val="clear" w:color="auto" w:fill="E5DFEC" w:themeFill="accent4" w:themeFillTint="33"/>
            <w:vAlign w:val="center"/>
          </w:tcPr>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‘19</w:t>
            </w:r>
          </w:p>
        </w:tc>
        <w:tc>
          <w:tcPr>
            <w:tcW w:w="0" w:type="auto"/>
            <w:tcBorders>
              <w:bottom w:val="single" w:sz="4" w:space="0" w:color="auto"/>
            </w:tcBorders>
            <w:shd w:val="clear" w:color="auto" w:fill="E5DFEC" w:themeFill="accent4" w:themeFillTint="33"/>
            <w:vAlign w:val="center"/>
          </w:tcPr>
          <w:p w:rsidR="00F5639A" w:rsidRPr="00435E5C"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435E5C">
              <w:rPr>
                <w:rFonts w:ascii="Times New Roman" w:hAnsi="Times New Roman" w:cs="Times New Roman"/>
                <w:color w:val="000000"/>
                <w:sz w:val="16"/>
                <w:szCs w:val="16"/>
              </w:rPr>
              <w:t>‘20</w:t>
            </w:r>
          </w:p>
        </w:tc>
        <w:tc>
          <w:tcPr>
            <w:tcW w:w="0" w:type="auto"/>
            <w:shd w:val="clear" w:color="auto" w:fill="E5DFEC" w:themeFill="accent4" w:themeFillTint="33"/>
            <w:vAlign w:val="center"/>
          </w:tcPr>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Wzrost lub</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spadek</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w okresie</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1995 –</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 2020</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(pkt. proc.)</w:t>
            </w:r>
          </w:p>
        </w:tc>
        <w:tc>
          <w:tcPr>
            <w:tcW w:w="0" w:type="auto"/>
            <w:shd w:val="clear" w:color="auto" w:fill="E5DFEC" w:themeFill="accent4" w:themeFillTint="33"/>
            <w:vAlign w:val="center"/>
          </w:tcPr>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Wzrost lub</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spadek</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w okresie</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201</w:t>
            </w:r>
            <w:r w:rsidR="00435E5C">
              <w:rPr>
                <w:rFonts w:ascii="Times New Roman" w:hAnsi="Times New Roman" w:cs="Times New Roman"/>
                <w:color w:val="000000"/>
                <w:sz w:val="16"/>
                <w:szCs w:val="16"/>
              </w:rPr>
              <w:t>9</w:t>
            </w:r>
            <w:r w:rsidRPr="00F5639A">
              <w:rPr>
                <w:rFonts w:ascii="Times New Roman" w:hAnsi="Times New Roman" w:cs="Times New Roman"/>
                <w:color w:val="000000"/>
                <w:sz w:val="16"/>
                <w:szCs w:val="16"/>
              </w:rPr>
              <w:t xml:space="preserve"> –</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 2020</w:t>
            </w:r>
          </w:p>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6"/>
                <w:szCs w:val="16"/>
              </w:rPr>
            </w:pPr>
            <w:r w:rsidRPr="00F5639A">
              <w:rPr>
                <w:rFonts w:ascii="Times New Roman" w:hAnsi="Times New Roman" w:cs="Times New Roman"/>
                <w:color w:val="000000"/>
                <w:sz w:val="16"/>
                <w:szCs w:val="16"/>
              </w:rPr>
              <w:t>(pkt. proc.)</w:t>
            </w:r>
          </w:p>
        </w:tc>
      </w:tr>
      <w:tr w:rsidR="00F5639A" w:rsidRPr="00DE58DC" w:rsidTr="00CC7AA2">
        <w:trPr>
          <w:trHeight w:val="97"/>
          <w:jc w:val="center"/>
        </w:trPr>
        <w:tc>
          <w:tcPr>
            <w:tcW w:w="0" w:type="auto"/>
            <w:shd w:val="clear" w:color="auto" w:fill="auto"/>
          </w:tcPr>
          <w:p w:rsidR="00F5639A" w:rsidRPr="00F5639A" w:rsidRDefault="00F5639A" w:rsidP="00801242">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Przedprodukcyjny </w:t>
            </w:r>
            <w:r w:rsidRPr="00F5639A">
              <w:rPr>
                <w:rStyle w:val="Odwoanieprzypisudolnego"/>
                <w:rFonts w:ascii="Times New Roman" w:hAnsi="Times New Roman" w:cs="Times New Roman"/>
                <w:color w:val="000000"/>
                <w:sz w:val="18"/>
                <w:szCs w:val="18"/>
              </w:rPr>
              <w:footnoteReference w:id="8"/>
            </w:r>
          </w:p>
        </w:tc>
        <w:tc>
          <w:tcPr>
            <w:tcW w:w="0" w:type="auto"/>
            <w:tcBorders>
              <w:bottom w:val="single" w:sz="4" w:space="0" w:color="auto"/>
            </w:tcBorders>
            <w:shd w:val="clear" w:color="auto" w:fill="DBE5F1" w:themeFill="accent1" w:themeFillTint="33"/>
          </w:tcPr>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18,2</w:t>
            </w:r>
          </w:p>
        </w:tc>
        <w:tc>
          <w:tcPr>
            <w:tcW w:w="0" w:type="auto"/>
            <w:tcBorders>
              <w:bottom w:val="single" w:sz="4" w:space="0" w:color="auto"/>
            </w:tcBorders>
            <w:shd w:val="clear" w:color="auto" w:fill="DBE5F1" w:themeFill="accent1" w:themeFillTint="33"/>
          </w:tcPr>
          <w:p w:rsidR="00F5639A" w:rsidRPr="00F5639A" w:rsidRDefault="00F5639A" w:rsidP="00CC7AA2">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18,</w:t>
            </w:r>
            <w:r w:rsidR="00CC7AA2">
              <w:rPr>
                <w:rFonts w:ascii="Times New Roman" w:hAnsi="Times New Roman" w:cs="Times New Roman"/>
                <w:color w:val="000000"/>
                <w:sz w:val="18"/>
                <w:szCs w:val="18"/>
              </w:rPr>
              <w:t>2</w:t>
            </w:r>
          </w:p>
        </w:tc>
        <w:tc>
          <w:tcPr>
            <w:tcW w:w="0" w:type="auto"/>
            <w:tcBorders>
              <w:bottom w:val="single" w:sz="4" w:space="0" w:color="auto"/>
            </w:tcBorders>
            <w:shd w:val="clear" w:color="auto" w:fill="DBE5F1" w:themeFill="accent1" w:themeFillTint="33"/>
          </w:tcPr>
          <w:p w:rsidR="00F5639A" w:rsidRPr="00435E5C" w:rsidRDefault="00435E5C" w:rsidP="00CC7AA2">
            <w:pPr>
              <w:autoSpaceDE w:val="0"/>
              <w:autoSpaceDN w:val="0"/>
              <w:adjustRightInd w:val="0"/>
              <w:spacing w:after="0" w:line="240" w:lineRule="auto"/>
              <w:jc w:val="center"/>
              <w:rPr>
                <w:rFonts w:ascii="Times New Roman" w:hAnsi="Times New Roman" w:cs="Times New Roman"/>
                <w:color w:val="000000"/>
                <w:sz w:val="18"/>
                <w:szCs w:val="18"/>
              </w:rPr>
            </w:pPr>
            <w:r w:rsidRPr="00435E5C">
              <w:rPr>
                <w:rFonts w:ascii="Times New Roman" w:hAnsi="Times New Roman" w:cs="Times New Roman"/>
                <w:color w:val="000000"/>
                <w:sz w:val="18"/>
                <w:szCs w:val="18"/>
              </w:rPr>
              <w:t>18,1</w:t>
            </w:r>
          </w:p>
        </w:tc>
        <w:tc>
          <w:tcPr>
            <w:tcW w:w="0" w:type="auto"/>
          </w:tcPr>
          <w:p w:rsidR="00F5639A" w:rsidRPr="00F5639A" w:rsidRDefault="00F5639A" w:rsidP="00F5639A">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 xml:space="preserve">- </w:t>
            </w:r>
            <w:r w:rsidR="00435E5C">
              <w:rPr>
                <w:rFonts w:ascii="Times New Roman" w:hAnsi="Times New Roman" w:cs="Times New Roman"/>
                <w:color w:val="000000"/>
                <w:sz w:val="18"/>
                <w:szCs w:val="18"/>
              </w:rPr>
              <w:t>12</w:t>
            </w:r>
            <w:r w:rsidRPr="00F5639A">
              <w:rPr>
                <w:rFonts w:ascii="Times New Roman" w:hAnsi="Times New Roman" w:cs="Times New Roman"/>
                <w:color w:val="000000"/>
                <w:sz w:val="18"/>
                <w:szCs w:val="18"/>
              </w:rPr>
              <w:t>,</w:t>
            </w:r>
            <w:r w:rsidR="00435E5C">
              <w:rPr>
                <w:rFonts w:ascii="Times New Roman" w:hAnsi="Times New Roman" w:cs="Times New Roman"/>
                <w:color w:val="000000"/>
                <w:sz w:val="18"/>
                <w:szCs w:val="18"/>
              </w:rPr>
              <w:t>4</w:t>
            </w:r>
          </w:p>
        </w:tc>
        <w:tc>
          <w:tcPr>
            <w:tcW w:w="0" w:type="auto"/>
          </w:tcPr>
          <w:p w:rsidR="00F5639A" w:rsidRPr="00F5639A" w:rsidRDefault="00435E5C" w:rsidP="00CC7AA2">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r w:rsidR="00F5639A" w:rsidRPr="00F5639A">
              <w:rPr>
                <w:rFonts w:ascii="Times New Roman" w:hAnsi="Times New Roman" w:cs="Times New Roman"/>
                <w:color w:val="000000"/>
                <w:sz w:val="18"/>
                <w:szCs w:val="18"/>
              </w:rPr>
              <w:t>,</w:t>
            </w:r>
            <w:r w:rsidR="00CC7AA2">
              <w:rPr>
                <w:rFonts w:ascii="Times New Roman" w:hAnsi="Times New Roman" w:cs="Times New Roman"/>
                <w:color w:val="000000"/>
                <w:sz w:val="18"/>
                <w:szCs w:val="18"/>
              </w:rPr>
              <w:t>0</w:t>
            </w:r>
          </w:p>
        </w:tc>
      </w:tr>
      <w:tr w:rsidR="00F5639A" w:rsidRPr="00DE58DC" w:rsidTr="00CC7AA2">
        <w:trPr>
          <w:trHeight w:val="97"/>
          <w:jc w:val="center"/>
        </w:trPr>
        <w:tc>
          <w:tcPr>
            <w:tcW w:w="0" w:type="auto"/>
            <w:shd w:val="clear" w:color="auto" w:fill="auto"/>
          </w:tcPr>
          <w:p w:rsidR="00F5639A" w:rsidRPr="00F5639A" w:rsidRDefault="00F5639A" w:rsidP="00801242">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 xml:space="preserve">Produkcyjny </w:t>
            </w:r>
          </w:p>
        </w:tc>
        <w:tc>
          <w:tcPr>
            <w:tcW w:w="0" w:type="auto"/>
            <w:tcBorders>
              <w:top w:val="single" w:sz="4" w:space="0" w:color="auto"/>
            </w:tcBorders>
            <w:shd w:val="clear" w:color="auto" w:fill="DBE5F1" w:themeFill="accent1" w:themeFillTint="33"/>
          </w:tcPr>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62,0</w:t>
            </w:r>
          </w:p>
        </w:tc>
        <w:tc>
          <w:tcPr>
            <w:tcW w:w="0" w:type="auto"/>
            <w:tcBorders>
              <w:top w:val="single" w:sz="4" w:space="0" w:color="auto"/>
            </w:tcBorders>
            <w:shd w:val="clear" w:color="auto" w:fill="DBE5F1" w:themeFill="accent1" w:themeFillTint="33"/>
          </w:tcPr>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61,5</w:t>
            </w:r>
          </w:p>
        </w:tc>
        <w:tc>
          <w:tcPr>
            <w:tcW w:w="0" w:type="auto"/>
            <w:tcBorders>
              <w:top w:val="single" w:sz="4" w:space="0" w:color="auto"/>
            </w:tcBorders>
            <w:shd w:val="clear" w:color="auto" w:fill="DBE5F1" w:themeFill="accent1" w:themeFillTint="33"/>
          </w:tcPr>
          <w:p w:rsidR="00F5639A" w:rsidRPr="00435E5C" w:rsidRDefault="00435E5C" w:rsidP="00801242">
            <w:pPr>
              <w:autoSpaceDE w:val="0"/>
              <w:autoSpaceDN w:val="0"/>
              <w:adjustRightInd w:val="0"/>
              <w:spacing w:after="0" w:line="240" w:lineRule="auto"/>
              <w:jc w:val="center"/>
              <w:rPr>
                <w:rFonts w:ascii="Times New Roman" w:hAnsi="Times New Roman" w:cs="Times New Roman"/>
                <w:color w:val="000000"/>
                <w:sz w:val="18"/>
                <w:szCs w:val="18"/>
              </w:rPr>
            </w:pPr>
            <w:r w:rsidRPr="00435E5C">
              <w:rPr>
                <w:rFonts w:ascii="Times New Roman" w:hAnsi="Times New Roman" w:cs="Times New Roman"/>
                <w:color w:val="000000"/>
                <w:sz w:val="18"/>
                <w:szCs w:val="18"/>
              </w:rPr>
              <w:t>61,1</w:t>
            </w:r>
          </w:p>
        </w:tc>
        <w:tc>
          <w:tcPr>
            <w:tcW w:w="0" w:type="auto"/>
          </w:tcPr>
          <w:p w:rsidR="00F5639A" w:rsidRPr="00F5639A" w:rsidRDefault="00F5639A" w:rsidP="00F5639A">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 xml:space="preserve">+ </w:t>
            </w:r>
            <w:r w:rsidR="00435E5C">
              <w:rPr>
                <w:rFonts w:ascii="Times New Roman" w:hAnsi="Times New Roman" w:cs="Times New Roman"/>
                <w:color w:val="000000"/>
                <w:sz w:val="18"/>
                <w:szCs w:val="18"/>
              </w:rPr>
              <w:t>4</w:t>
            </w:r>
            <w:r w:rsidRPr="00F5639A">
              <w:rPr>
                <w:rFonts w:ascii="Times New Roman" w:hAnsi="Times New Roman" w:cs="Times New Roman"/>
                <w:color w:val="000000"/>
                <w:sz w:val="18"/>
                <w:szCs w:val="18"/>
              </w:rPr>
              <w:t>,</w:t>
            </w:r>
            <w:r w:rsidR="00435E5C">
              <w:rPr>
                <w:rFonts w:ascii="Times New Roman" w:hAnsi="Times New Roman" w:cs="Times New Roman"/>
                <w:color w:val="000000"/>
                <w:sz w:val="18"/>
                <w:szCs w:val="18"/>
              </w:rPr>
              <w:t>9</w:t>
            </w:r>
          </w:p>
        </w:tc>
        <w:tc>
          <w:tcPr>
            <w:tcW w:w="0" w:type="auto"/>
          </w:tcPr>
          <w:p w:rsidR="00F5639A" w:rsidRPr="00F5639A" w:rsidRDefault="00F5639A" w:rsidP="00CC7AA2">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 xml:space="preserve">- </w:t>
            </w:r>
            <w:r w:rsidR="00435E5C">
              <w:rPr>
                <w:rFonts w:ascii="Times New Roman" w:hAnsi="Times New Roman" w:cs="Times New Roman"/>
                <w:color w:val="000000"/>
                <w:sz w:val="18"/>
                <w:szCs w:val="18"/>
              </w:rPr>
              <w:t>0</w:t>
            </w:r>
            <w:r w:rsidRPr="00F5639A">
              <w:rPr>
                <w:rFonts w:ascii="Times New Roman" w:hAnsi="Times New Roman" w:cs="Times New Roman"/>
                <w:color w:val="000000"/>
                <w:sz w:val="18"/>
                <w:szCs w:val="18"/>
              </w:rPr>
              <w:t>,</w:t>
            </w:r>
            <w:r w:rsidR="00CC7AA2">
              <w:rPr>
                <w:rFonts w:ascii="Times New Roman" w:hAnsi="Times New Roman" w:cs="Times New Roman"/>
                <w:color w:val="000000"/>
                <w:sz w:val="18"/>
                <w:szCs w:val="18"/>
              </w:rPr>
              <w:t>4</w:t>
            </w:r>
          </w:p>
        </w:tc>
      </w:tr>
      <w:tr w:rsidR="00F5639A" w:rsidRPr="00DE58DC" w:rsidTr="00F5639A">
        <w:trPr>
          <w:trHeight w:val="97"/>
          <w:jc w:val="center"/>
        </w:trPr>
        <w:tc>
          <w:tcPr>
            <w:tcW w:w="0" w:type="auto"/>
            <w:shd w:val="clear" w:color="auto" w:fill="auto"/>
          </w:tcPr>
          <w:p w:rsidR="00F5639A" w:rsidRPr="00F5639A" w:rsidRDefault="00F5639A" w:rsidP="00801242">
            <w:pPr>
              <w:autoSpaceDE w:val="0"/>
              <w:autoSpaceDN w:val="0"/>
              <w:adjustRightInd w:val="0"/>
              <w:spacing w:after="0" w:line="240" w:lineRule="auto"/>
              <w:rPr>
                <w:rFonts w:ascii="Times New Roman" w:hAnsi="Times New Roman" w:cs="Times New Roman"/>
                <w:color w:val="000000"/>
                <w:sz w:val="18"/>
                <w:szCs w:val="18"/>
              </w:rPr>
            </w:pPr>
            <w:r w:rsidRPr="00F5639A">
              <w:rPr>
                <w:rFonts w:ascii="Times New Roman" w:hAnsi="Times New Roman" w:cs="Times New Roman"/>
                <w:color w:val="000000"/>
                <w:sz w:val="18"/>
                <w:szCs w:val="18"/>
              </w:rPr>
              <w:t>Poprodukcyjny</w:t>
            </w:r>
          </w:p>
        </w:tc>
        <w:tc>
          <w:tcPr>
            <w:tcW w:w="0" w:type="auto"/>
          </w:tcPr>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19,8</w:t>
            </w:r>
          </w:p>
        </w:tc>
        <w:tc>
          <w:tcPr>
            <w:tcW w:w="0" w:type="auto"/>
          </w:tcPr>
          <w:p w:rsidR="00F5639A" w:rsidRPr="00F5639A" w:rsidRDefault="00F5639A" w:rsidP="00801242">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20,4</w:t>
            </w:r>
          </w:p>
        </w:tc>
        <w:tc>
          <w:tcPr>
            <w:tcW w:w="0" w:type="auto"/>
          </w:tcPr>
          <w:p w:rsidR="00F5639A" w:rsidRPr="00435E5C" w:rsidRDefault="00435E5C" w:rsidP="00801242">
            <w:pPr>
              <w:autoSpaceDE w:val="0"/>
              <w:autoSpaceDN w:val="0"/>
              <w:adjustRightInd w:val="0"/>
              <w:spacing w:after="0" w:line="240" w:lineRule="auto"/>
              <w:jc w:val="center"/>
              <w:rPr>
                <w:rFonts w:ascii="Times New Roman" w:hAnsi="Times New Roman" w:cs="Times New Roman"/>
                <w:color w:val="000000"/>
                <w:sz w:val="18"/>
                <w:szCs w:val="18"/>
              </w:rPr>
            </w:pPr>
            <w:r w:rsidRPr="00435E5C">
              <w:rPr>
                <w:rFonts w:ascii="Times New Roman" w:hAnsi="Times New Roman" w:cs="Times New Roman"/>
                <w:color w:val="000000"/>
                <w:sz w:val="18"/>
                <w:szCs w:val="18"/>
              </w:rPr>
              <w:t>20,8</w:t>
            </w:r>
          </w:p>
        </w:tc>
        <w:tc>
          <w:tcPr>
            <w:tcW w:w="0" w:type="auto"/>
          </w:tcPr>
          <w:p w:rsidR="00F5639A" w:rsidRPr="00F5639A" w:rsidRDefault="00F5639A" w:rsidP="00F5639A">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 xml:space="preserve">+ </w:t>
            </w:r>
            <w:r w:rsidR="00435E5C">
              <w:rPr>
                <w:rFonts w:ascii="Times New Roman" w:hAnsi="Times New Roman" w:cs="Times New Roman"/>
                <w:color w:val="000000"/>
                <w:sz w:val="18"/>
                <w:szCs w:val="18"/>
              </w:rPr>
              <w:t>7</w:t>
            </w:r>
            <w:r w:rsidRPr="00F5639A">
              <w:rPr>
                <w:rFonts w:ascii="Times New Roman" w:hAnsi="Times New Roman" w:cs="Times New Roman"/>
                <w:color w:val="000000"/>
                <w:sz w:val="18"/>
                <w:szCs w:val="18"/>
              </w:rPr>
              <w:t>,</w:t>
            </w:r>
            <w:r w:rsidR="00435E5C">
              <w:rPr>
                <w:rFonts w:ascii="Times New Roman" w:hAnsi="Times New Roman" w:cs="Times New Roman"/>
                <w:color w:val="000000"/>
                <w:sz w:val="18"/>
                <w:szCs w:val="18"/>
              </w:rPr>
              <w:t>5</w:t>
            </w:r>
          </w:p>
        </w:tc>
        <w:tc>
          <w:tcPr>
            <w:tcW w:w="0" w:type="auto"/>
          </w:tcPr>
          <w:p w:rsidR="00F5639A" w:rsidRPr="00F5639A" w:rsidRDefault="00F5639A" w:rsidP="00CC7AA2">
            <w:pPr>
              <w:autoSpaceDE w:val="0"/>
              <w:autoSpaceDN w:val="0"/>
              <w:adjustRightInd w:val="0"/>
              <w:spacing w:after="0" w:line="240" w:lineRule="auto"/>
              <w:jc w:val="center"/>
              <w:rPr>
                <w:rFonts w:ascii="Times New Roman" w:hAnsi="Times New Roman" w:cs="Times New Roman"/>
                <w:color w:val="000000"/>
                <w:sz w:val="18"/>
                <w:szCs w:val="18"/>
              </w:rPr>
            </w:pPr>
            <w:r w:rsidRPr="00F5639A">
              <w:rPr>
                <w:rFonts w:ascii="Times New Roman" w:hAnsi="Times New Roman" w:cs="Times New Roman"/>
                <w:color w:val="000000"/>
                <w:sz w:val="18"/>
                <w:szCs w:val="18"/>
              </w:rPr>
              <w:t xml:space="preserve">+ </w:t>
            </w:r>
            <w:r w:rsidR="00435E5C">
              <w:rPr>
                <w:rFonts w:ascii="Times New Roman" w:hAnsi="Times New Roman" w:cs="Times New Roman"/>
                <w:color w:val="000000"/>
                <w:sz w:val="18"/>
                <w:szCs w:val="18"/>
              </w:rPr>
              <w:t>0</w:t>
            </w:r>
            <w:r w:rsidRPr="00F5639A">
              <w:rPr>
                <w:rFonts w:ascii="Times New Roman" w:hAnsi="Times New Roman" w:cs="Times New Roman"/>
                <w:color w:val="000000"/>
                <w:sz w:val="18"/>
                <w:szCs w:val="18"/>
              </w:rPr>
              <w:t>,</w:t>
            </w:r>
            <w:r w:rsidR="00CC7AA2">
              <w:rPr>
                <w:rFonts w:ascii="Times New Roman" w:hAnsi="Times New Roman" w:cs="Times New Roman"/>
                <w:color w:val="000000"/>
                <w:sz w:val="18"/>
                <w:szCs w:val="18"/>
              </w:rPr>
              <w:t>4</w:t>
            </w:r>
          </w:p>
        </w:tc>
      </w:tr>
    </w:tbl>
    <w:p w:rsidR="004A1253" w:rsidRDefault="004A1253" w:rsidP="00FC1B7D">
      <w:pPr>
        <w:pStyle w:val="Tekstpodstawowywcity"/>
        <w:spacing w:after="0" w:line="240" w:lineRule="auto"/>
        <w:ind w:left="0"/>
        <w:jc w:val="both"/>
        <w:rPr>
          <w:rFonts w:ascii="Times New Roman" w:hAnsi="Times New Roman" w:cs="Times New Roman"/>
          <w:i/>
          <w:sz w:val="16"/>
          <w:szCs w:val="16"/>
        </w:rPr>
      </w:pPr>
    </w:p>
    <w:p w:rsidR="00F5639A" w:rsidRPr="00113D43" w:rsidRDefault="00FC1B7D" w:rsidP="00FC1B7D">
      <w:pPr>
        <w:pStyle w:val="Tekstpodstawowywcity"/>
        <w:spacing w:after="0" w:line="240" w:lineRule="auto"/>
        <w:ind w:left="0"/>
        <w:jc w:val="both"/>
        <w:rPr>
          <w:rFonts w:ascii="Times New Roman" w:hAnsi="Times New Roman" w:cs="Times New Roman"/>
          <w:sz w:val="16"/>
          <w:szCs w:val="16"/>
        </w:rPr>
      </w:pPr>
      <w:r w:rsidRPr="00113D43">
        <w:rPr>
          <w:rFonts w:ascii="Times New Roman" w:hAnsi="Times New Roman" w:cs="Times New Roman"/>
          <w:b/>
          <w:sz w:val="16"/>
          <w:szCs w:val="16"/>
        </w:rPr>
        <w:t>Wiek przedprodukcyjny</w:t>
      </w:r>
      <w:r w:rsidRPr="00113D43">
        <w:rPr>
          <w:rFonts w:ascii="Times New Roman" w:hAnsi="Times New Roman" w:cs="Times New Roman"/>
          <w:sz w:val="16"/>
          <w:szCs w:val="16"/>
        </w:rPr>
        <w:t>: kolorem białym oznaczono ostatnią sekwencję wzrostową. Kolor niebieski oznacza spadki w stos. do ostatniego roku z lat wzrostowych.</w:t>
      </w:r>
    </w:p>
    <w:p w:rsidR="00F5639A" w:rsidRPr="00113D43" w:rsidRDefault="00FC1B7D" w:rsidP="00FC1B7D">
      <w:pPr>
        <w:pStyle w:val="Tekstpodstawowywcity"/>
        <w:spacing w:after="0" w:line="240" w:lineRule="auto"/>
        <w:ind w:left="0"/>
        <w:jc w:val="both"/>
        <w:rPr>
          <w:rFonts w:ascii="Times New Roman" w:hAnsi="Times New Roman" w:cs="Times New Roman"/>
          <w:sz w:val="16"/>
          <w:szCs w:val="16"/>
        </w:rPr>
      </w:pPr>
      <w:r w:rsidRPr="00113D43">
        <w:rPr>
          <w:rFonts w:ascii="Times New Roman" w:hAnsi="Times New Roman" w:cs="Times New Roman"/>
          <w:b/>
          <w:sz w:val="16"/>
          <w:szCs w:val="16"/>
        </w:rPr>
        <w:t>Wiek produkcyjny</w:t>
      </w:r>
      <w:r w:rsidRPr="00113D43">
        <w:rPr>
          <w:rFonts w:ascii="Times New Roman" w:hAnsi="Times New Roman" w:cs="Times New Roman"/>
          <w:sz w:val="16"/>
          <w:szCs w:val="16"/>
        </w:rPr>
        <w:t>: kolorem białym oznaczono sekwencje wzrostowe. Kolor niebieski oznacza spadek w stos. do ostatniego roku z lat wzrostowych.</w:t>
      </w:r>
    </w:p>
    <w:p w:rsidR="00FC1B7D" w:rsidRPr="00113D43" w:rsidRDefault="00FC1B7D" w:rsidP="00FC1B7D">
      <w:pPr>
        <w:pStyle w:val="Tekstpodstawowywcity"/>
        <w:spacing w:after="0" w:line="240" w:lineRule="auto"/>
        <w:ind w:left="0"/>
        <w:jc w:val="both"/>
        <w:rPr>
          <w:rFonts w:ascii="Times New Roman" w:hAnsi="Times New Roman" w:cs="Times New Roman"/>
          <w:sz w:val="16"/>
          <w:szCs w:val="16"/>
        </w:rPr>
      </w:pPr>
      <w:r w:rsidRPr="00113D43">
        <w:rPr>
          <w:rFonts w:ascii="Times New Roman" w:hAnsi="Times New Roman" w:cs="Times New Roman"/>
          <w:b/>
          <w:sz w:val="16"/>
          <w:szCs w:val="16"/>
        </w:rPr>
        <w:t>Wiek poprodukcyjny</w:t>
      </w:r>
      <w:r w:rsidRPr="00113D43">
        <w:rPr>
          <w:rFonts w:ascii="Times New Roman" w:hAnsi="Times New Roman" w:cs="Times New Roman"/>
          <w:sz w:val="16"/>
          <w:szCs w:val="16"/>
        </w:rPr>
        <w:t>: kolor biały oznacza wzrost.</w:t>
      </w:r>
    </w:p>
    <w:p w:rsidR="00FC1B7D" w:rsidRPr="00CA6E66" w:rsidRDefault="00FC1B7D" w:rsidP="00FC1B7D">
      <w:pPr>
        <w:autoSpaceDE w:val="0"/>
        <w:autoSpaceDN w:val="0"/>
        <w:adjustRightInd w:val="0"/>
        <w:spacing w:after="0" w:line="240" w:lineRule="auto"/>
        <w:rPr>
          <w:rFonts w:ascii="Times New Roman" w:hAnsi="Times New Roman" w:cs="Times New Roman"/>
          <w:color w:val="000000"/>
          <w:sz w:val="16"/>
          <w:szCs w:val="16"/>
          <w:highlight w:val="yellow"/>
        </w:rPr>
      </w:pPr>
      <w:r w:rsidRPr="00CA6E66">
        <w:rPr>
          <w:rFonts w:ascii="Times New Roman" w:hAnsi="Times New Roman" w:cs="Times New Roman"/>
          <w:b/>
          <w:caps/>
          <w:noProof/>
          <w:color w:val="000000"/>
          <w:sz w:val="16"/>
          <w:szCs w:val="16"/>
          <w:highlight w:val="yellow"/>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75328" behindDoc="0" locked="0" layoutInCell="1" allowOverlap="1" wp14:anchorId="0D3221DE" wp14:editId="574A0A1A">
                <wp:simplePos x="0" y="0"/>
                <wp:positionH relativeFrom="column">
                  <wp:posOffset>-167612</wp:posOffset>
                </wp:positionH>
                <wp:positionV relativeFrom="paragraph">
                  <wp:posOffset>87630</wp:posOffset>
                </wp:positionV>
                <wp:extent cx="2523490" cy="1403985"/>
                <wp:effectExtent l="0" t="0" r="0" b="0"/>
                <wp:wrapNone/>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403985"/>
                        </a:xfrm>
                        <a:prstGeom prst="rect">
                          <a:avLst/>
                        </a:prstGeom>
                        <a:noFill/>
                        <a:ln w="9525">
                          <a:noFill/>
                          <a:miter lim="800000"/>
                          <a:headEnd/>
                          <a:tailEnd/>
                        </a:ln>
                      </wps:spPr>
                      <wps:txbx>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ogółem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3.2pt;margin-top:6.9pt;width:198.7pt;height:110.55pt;z-index:251875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QIEwIAAAAEAAAOAAAAZHJzL2Uyb0RvYy54bWysU8GO0zAQvSPxD5bvNGnaQhvVXS27FCEt&#10;sNLCB7iO01hre4ztNlm+nrHTlgpuiBwsO+N5M+/N8/pmMJocpQ8KLKPTSUmJtAIaZfeMfv+2fbOk&#10;JERuG67BSkZfZKA3m9ev1r2rZQUd6EZ6giA21L1jtIvR1UURRCcNDxNw0mKwBW94xKPfF43nPaIb&#10;XVRl+bbowTfOg5Ah4N/7MUg3Gb9tpYhf2zbISDSj2FvMq8/rLq3FZs3rveeuU+LUBv+HLgxXFote&#10;oO555OTg1V9QRgkPAdo4EWAKaFslZOaAbKblH2yeOu5k5oLiBHeRKfw/WPHl+OiJahitZpRYbnBG&#10;j6AlifI5ROglqZJGvQs1Xn1yeDkO72HAWWe+wT2AeA7Ewl3H7V7eeg99J3mDPU5TZnGVOuKEBLLr&#10;P0ODtfghQgYaWm+SgCgJQXSc1ctlPnKIRODPalHN5isMCYxN5+VstVzkGrw+pzsf4kcJhqQNox4N&#10;kOH58SHE1A6vz1dSNQtbpXU2gbakZ3S1qBY54SpiVESPamUYXZbpG12TWH6wTU6OXOlxjwW0PdFO&#10;TEfOcdgNo8pnNXfQvKAOHkZL4hPCTQf+JyU92pHR8OPAvaREf7Ko5Wo6nyf/5sN88a7Cg7+O7K4j&#10;3AqEYjRSMm7vYvZ8ohzcLWq+VVmNNJyxk1PLaLMs0ulJJB9fn/Ot3w938wsAAP//AwBQSwMEFAAG&#10;AAgAAAAhAI+WINfeAAAACgEAAA8AAABkcnMvZG93bnJldi54bWxMj8FOwzAQRO9I/IO1SNxap0nV&#10;QohTVagtR0qJOLvxkkTEayt20/D3LCc4rmY0+16xmWwvRhxC50jBYp6AQKqd6ahRUL3vZw8gQtRk&#10;dO8IFXxjgE15e1Po3LgrveF4io3gEQq5VtDG6HMpQ92i1WHuPBJnn26wOvI5NNIM+srjtpdpkqyk&#10;1R3xh1Z7fG6x/jpdrAIf/WH9Mrwet7v9mFQfhyrtmp1S93fT9glExCn+leEXn9GhZKazu5AJolcw&#10;S1dLrnKQsQIXsvWC5c4K0mz5CLIs5H+F8gcAAP//AwBQSwECLQAUAAYACAAAACEAtoM4kv4AAADh&#10;AQAAEwAAAAAAAAAAAAAAAAAAAAAAW0NvbnRlbnRfVHlwZXNdLnhtbFBLAQItABQABgAIAAAAIQA4&#10;/SH/1gAAAJQBAAALAAAAAAAAAAAAAAAAAC8BAABfcmVscy8ucmVsc1BLAQItABQABgAIAAAAIQDI&#10;EjQIEwIAAAAEAAAOAAAAAAAAAAAAAAAAAC4CAABkcnMvZTJvRG9jLnhtbFBLAQItABQABgAIAAAA&#10;IQCPliDX3gAAAAoBAAAPAAAAAAAAAAAAAAAAAG0EAABkcnMvZG93bnJldi54bWxQSwUGAAAAAAQA&#10;BADzAAAAeAUAAAAA&#10;" filled="f" stroked="f">
                <v:textbox style="mso-fit-shape-to-text:t">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ogółem</w:t>
                      </w:r>
                    </w:p>
                  </w:txbxContent>
                </v:textbox>
              </v:shape>
            </w:pict>
          </mc:Fallback>
        </mc:AlternateContent>
      </w:r>
    </w:p>
    <w:p w:rsidR="00FC1B7D" w:rsidRDefault="00FC1B7D" w:rsidP="00FC1B7D">
      <w:pPr>
        <w:autoSpaceDE w:val="0"/>
        <w:autoSpaceDN w:val="0"/>
        <w:adjustRightInd w:val="0"/>
        <w:spacing w:after="0" w:line="240" w:lineRule="auto"/>
        <w:rPr>
          <w:rFonts w:ascii="Times New Roman" w:hAnsi="Times New Roman" w:cs="Times New Roman"/>
          <w:b/>
          <w:caps/>
          <w:noProof/>
          <w:color w:val="000000"/>
          <w:sz w:val="16"/>
          <w:szCs w:val="16"/>
          <w:highlight w:val="yellow"/>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FC1B7D" w:rsidRPr="00CA6E66" w:rsidRDefault="00DA1446" w:rsidP="00FC1B7D">
      <w:pPr>
        <w:spacing w:after="0" w:line="240" w:lineRule="auto"/>
        <w:rPr>
          <w:rFonts w:ascii="Times New Roman" w:hAnsi="Times New Roman" w:cs="Times New Roman"/>
          <w:color w:val="000000"/>
          <w:sz w:val="16"/>
          <w:szCs w:val="16"/>
          <w:highlight w:val="yellow"/>
        </w:rPr>
      </w:pPr>
      <w:r>
        <w:rPr>
          <w:noProof/>
          <w:lang w:eastAsia="pl-PL"/>
        </w:rPr>
        <w:drawing>
          <wp:inline distT="0" distB="0" distL="0" distR="0" wp14:anchorId="4E727A16" wp14:editId="18C27463">
            <wp:extent cx="5759450" cy="950928"/>
            <wp:effectExtent l="0" t="0" r="0" b="190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1B7D" w:rsidRPr="00DA1446" w:rsidRDefault="00FC1B7D" w:rsidP="00FC1B7D">
      <w:pPr>
        <w:spacing w:after="0" w:line="240" w:lineRule="auto"/>
        <w:rPr>
          <w:rFonts w:ascii="Times New Roman" w:hAnsi="Times New Roman" w:cs="Times New Roman"/>
          <w:b/>
          <w:color w:val="000000"/>
          <w:sz w:val="16"/>
          <w:szCs w:val="16"/>
          <w:highlight w:val="yellow"/>
        </w:rPr>
      </w:pPr>
      <w:r w:rsidRPr="00DA1446">
        <w:rPr>
          <w:rFonts w:ascii="Times New Roman" w:hAnsi="Times New Roman" w:cs="Times New Roman"/>
          <w:b/>
          <w:caps/>
          <w:noProof/>
          <w:color w:val="000000"/>
          <w:sz w:val="16"/>
          <w:szCs w:val="16"/>
          <w:highlight w:val="yellow"/>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77376" behindDoc="0" locked="0" layoutInCell="1" allowOverlap="1" wp14:anchorId="76F7BDFF" wp14:editId="1940DD25">
                <wp:simplePos x="0" y="0"/>
                <wp:positionH relativeFrom="column">
                  <wp:posOffset>-170180</wp:posOffset>
                </wp:positionH>
                <wp:positionV relativeFrom="paragraph">
                  <wp:posOffset>6985</wp:posOffset>
                </wp:positionV>
                <wp:extent cx="3306445" cy="1403985"/>
                <wp:effectExtent l="0" t="0" r="0" b="0"/>
                <wp:wrapNone/>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403985"/>
                        </a:xfrm>
                        <a:prstGeom prst="rect">
                          <a:avLst/>
                        </a:prstGeom>
                        <a:noFill/>
                        <a:ln w="9525">
                          <a:noFill/>
                          <a:miter lim="800000"/>
                          <a:headEnd/>
                          <a:tailEnd/>
                        </a:ln>
                      </wps:spPr>
                      <wps:txbx>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w wieku produkcyjnym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3.4pt;margin-top:.55pt;width:260.35pt;height:110.5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XpFQIAAAAEAAAOAAAAZHJzL2Uyb0RvYy54bWysU8GO2yAQvVfqPyDujR3H2SZWnNV2t6kq&#10;bduVtv0AgnGMFhgKJHb69TvgJI3aW1UfEHiYN/PePFa3g1bkIJyXYGo6neSUCMOhkWZX0x/fN+8W&#10;lPjATMMUGFHTo/D0dv32zaq3lSigA9UIRxDE+Kq3Ne1CsFWWed4JzfwErDAYbMFpFvDodlnjWI/o&#10;WmVFnt9kPbjGOuDCe/z7MAbpOuG3reDhW9t6EYiqKfYW0urSuo1rtl6xaueY7SQ/tcH+oQvNpMGi&#10;F6gHFhjZO/kXlJbcgYc2TDjoDNpWcpE4IJtp/geb545ZkbigON5eZPL/D5Z/PTw5IpuaFiUlhmmc&#10;0RMoQYJ48QF6QYqoUW99hVefLV4OwwcYcNaJr7ePwF88MXDfMbMTd85B3wnWYI/TmJldpY44PoJs&#10;+y/QYC22D5CAhtbpKCBKQhAdZ3W8zEcMgXD8OZvlN2U5p4RjbFrms+Vinmqw6pxunQ+fBGgSNzV1&#10;aIAEzw6PPsR2WHW+EqsZ2EilkgmUIX1Nl/NinhKuIloG9KiSuqaLPH6jayLLj6ZJyYFJNe6xgDIn&#10;2pHpyDkM2yGpPDuruYXmiDo4GC2JTwg3HbhflPRox5r6n3vmBCXqs0Etl9OyjP5Nh3L+vsCDu45s&#10;ryPMcISqaaBk3N6H5PlI2ds71HwjkxpxOGMnp5bRZkmk05OIPr4+p1u/H+76FQAA//8DAFBLAwQU&#10;AAYACAAAACEAx14ik90AAAAJAQAADwAAAGRycy9kb3ducmV2LnhtbEyPwU7DMAyG70i8Q2Qkblu6&#10;ggYrTacJbePIGBXnrDFtReNESdaVt8ecwDfr+/X7c7me7CBGDLF3pGAxz0AgNc701Cqo33ezRxAx&#10;aTJ6cIQKvjHCurq+KnVh3IXecDymVnAJxUIr6FLyhZSx6dDqOHceidmnC1YnXkMrTdAXLreDzLNs&#10;Ka3uiS902uNzh83X8WwV+OT3Dy/h9bDZ7sas/tjXed9ulbq9mTZPIBJO6S8Mv/qsDhU7ndyZTBSD&#10;glm+ZPXEYAGC+f3qbgXipCDnAVmV8v8H1Q8AAAD//wMAUEsBAi0AFAAGAAgAAAAhALaDOJL+AAAA&#10;4QEAABMAAAAAAAAAAAAAAAAAAAAAAFtDb250ZW50X1R5cGVzXS54bWxQSwECLQAUAAYACAAAACEA&#10;OP0h/9YAAACUAQAACwAAAAAAAAAAAAAAAAAvAQAAX3JlbHMvLnJlbHNQSwECLQAUAAYACAAAACEA&#10;cs3l6RUCAAAABAAADgAAAAAAAAAAAAAAAAAuAgAAZHJzL2Uyb0RvYy54bWxQSwECLQAUAAYACAAA&#10;ACEAx14ik90AAAAJAQAADwAAAAAAAAAAAAAAAABvBAAAZHJzL2Rvd25yZXYueG1sUEsFBgAAAAAE&#10;AAQA8wAAAHkFAAAAAA==&#10;" filled="f" stroked="f">
                <v:textbox style="mso-fit-shape-to-text:t">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w wieku produkcyjnym</w:t>
                      </w:r>
                    </w:p>
                  </w:txbxContent>
                </v:textbox>
              </v:shape>
            </w:pict>
          </mc:Fallback>
        </mc:AlternateContent>
      </w:r>
    </w:p>
    <w:p w:rsidR="00FC1B7D" w:rsidRPr="00CA6E66" w:rsidRDefault="00FC1B7D" w:rsidP="00FC1B7D">
      <w:pPr>
        <w:spacing w:after="0" w:line="240" w:lineRule="auto"/>
        <w:rPr>
          <w:rFonts w:ascii="Times New Roman" w:hAnsi="Times New Roman" w:cs="Times New Roman"/>
          <w:color w:val="000000"/>
          <w:sz w:val="16"/>
          <w:szCs w:val="16"/>
          <w:highlight w:val="yellow"/>
        </w:rPr>
      </w:pPr>
    </w:p>
    <w:p w:rsidR="00FC1B7D" w:rsidRDefault="00DA1446" w:rsidP="00175AAF">
      <w:pPr>
        <w:spacing w:after="0" w:line="240" w:lineRule="auto"/>
        <w:rPr>
          <w:rFonts w:ascii="Times New Roman" w:hAnsi="Times New Roman" w:cs="Times New Roman"/>
          <w:color w:val="000000"/>
          <w:sz w:val="16"/>
          <w:szCs w:val="16"/>
          <w:highlight w:val="yellow"/>
        </w:rPr>
      </w:pPr>
      <w:r>
        <w:rPr>
          <w:noProof/>
          <w:lang w:eastAsia="pl-PL"/>
        </w:rPr>
        <w:drawing>
          <wp:inline distT="0" distB="0" distL="0" distR="0" wp14:anchorId="68709181" wp14:editId="418B037D">
            <wp:extent cx="5759450" cy="1145644"/>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1B7D" w:rsidRPr="00CA6E66" w:rsidRDefault="00FC1B7D" w:rsidP="00175AAF">
      <w:pPr>
        <w:rPr>
          <w:rFonts w:ascii="Times New Roman" w:hAnsi="Times New Roman" w:cs="Times New Roman"/>
          <w:color w:val="000000"/>
          <w:sz w:val="16"/>
          <w:szCs w:val="16"/>
          <w:highlight w:val="yellow"/>
        </w:rPr>
      </w:pPr>
      <w:r w:rsidRPr="00CA6E66">
        <w:rPr>
          <w:rFonts w:ascii="Times New Roman" w:hAnsi="Times New Roman" w:cs="Times New Roman"/>
          <w:b/>
          <w:caps/>
          <w:noProof/>
          <w:color w:val="000000"/>
          <w:sz w:val="16"/>
          <w:szCs w:val="16"/>
          <w:highlight w:val="yellow"/>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78400" behindDoc="0" locked="0" layoutInCell="1" allowOverlap="1" wp14:anchorId="0D11B565" wp14:editId="7B689524">
                <wp:simplePos x="0" y="0"/>
                <wp:positionH relativeFrom="column">
                  <wp:posOffset>-131445</wp:posOffset>
                </wp:positionH>
                <wp:positionV relativeFrom="paragraph">
                  <wp:posOffset>50800</wp:posOffset>
                </wp:positionV>
                <wp:extent cx="4125595" cy="1403985"/>
                <wp:effectExtent l="0" t="0" r="0" b="0"/>
                <wp:wrapNone/>
                <wp:docPr id="6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1403985"/>
                        </a:xfrm>
                        <a:prstGeom prst="rect">
                          <a:avLst/>
                        </a:prstGeom>
                        <a:noFill/>
                        <a:ln w="9525">
                          <a:noFill/>
                          <a:miter lim="800000"/>
                          <a:headEnd/>
                          <a:tailEnd/>
                        </a:ln>
                      </wps:spPr>
                      <wps:txbx>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w wieku przed- i poprodukcyjnym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0.35pt;margin-top:4pt;width:324.85pt;height:110.55pt;z-index:251878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7aFwIAAAEEAAAOAAAAZHJzL2Uyb0RvYy54bWysU9uO0zAQfUfiHyy/01xIum3UdLXsUoS0&#10;wEoLH+A6TmOt4zG226R8/Y6dtlTwhsiDZWc8Z+acOV7djr0iB2GdBF3TbJZSIjSHRupdTX9837xb&#10;UOI80w1ToEVNj8LR2/XbN6vBVCKHDlQjLEEQ7arB1LTz3lRJ4ngneuZmYITGYAu2Zx6Pdpc0lg2I&#10;3qskT9N5MoBtjAUunMO/D1OQriN+2wruv7WtE56ommJvPq42rtuwJusVq3aWmU7yUxvsH7romdRY&#10;9AL1wDwjeyv/guolt+Cg9TMOfQJtK7mIHJBNlv7B5rljRkQuKI4zF5nc/4PlXw9PlsimpvObOSWa&#10;9TikJ1CCePHiPAyC5EGkwbgK7z4bvO3HDzDisCNhZx6Bvzii4b5jeifurIWhE6zBJrOQmVylTjgu&#10;gGyHL9BgLbb3EIHG1vZBQdSEIDoO63gZkBg94fizyPKyXJaUcIxlRfp+uShjDVad0411/pOAnoRN&#10;TS06IMKzw6PzoR1Wna+Eaho2UqnoAqXJUNNlmZcx4SrSS48mVbKv6SIN32SbwPKjbmKyZ1JNeyyg&#10;9Il2YDpx9uN2jDIXZzW30BxRBwuTJ/EN4aYD+4uSAf1YU/dzz6ygRH3WqOUyK4pg4HgoypscD/Y6&#10;sr2OMM0Rqqaekml776PpA2Vn7lDzjYxqhOFMnZxaRp9FkU5vIhj5+hxv/X6561cAAAD//wMAUEsD&#10;BBQABgAIAAAAIQCMSrCe3QAAAAkBAAAPAAAAZHJzL2Rvd25yZXYueG1sTI/NTsMwEITvSLyDtUjc&#10;Wrs+9CfEqSrUliPQRpzd2CQR8dqy3TS8PcsJbjua0ew35XZyAxttTL1HBYu5AGax8abHVkF9PszW&#10;wFLWaPTg0Sr4tgm21f1dqQvjb/hux1NuGZVgKrSCLudQcJ6azjqd5j5YJO/TR6czydhyE/WNyt3A&#10;pRBL7nSP9KHTwT53tvk6XZ2CkMNx9RJf33b7wyjqj2Mt+3av1OPDtHsClu2U/8Lwi0/oUBHTxV/R&#10;JDYomEmxoqiCNU0ifyk3dFwUSLlZAK9K/n9B9QMAAP//AwBQSwECLQAUAAYACAAAACEAtoM4kv4A&#10;AADhAQAAEwAAAAAAAAAAAAAAAAAAAAAAW0NvbnRlbnRfVHlwZXNdLnhtbFBLAQItABQABgAIAAAA&#10;IQA4/SH/1gAAAJQBAAALAAAAAAAAAAAAAAAAAC8BAABfcmVscy8ucmVsc1BLAQItABQABgAIAAAA&#10;IQDH437aFwIAAAEEAAAOAAAAAAAAAAAAAAAAAC4CAABkcnMvZTJvRG9jLnhtbFBLAQItABQABgAI&#10;AAAAIQCMSrCe3QAAAAkBAAAPAAAAAAAAAAAAAAAAAHEEAABkcnMvZG93bnJldi54bWxQSwUGAAAA&#10;AAQABADzAAAAewUAAAAA&#10;" filled="f" stroked="f">
                <v:textbox style="mso-fit-shape-to-text:t">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saldo migracji w wieku przed- i poprodukcyjnym</w:t>
                      </w:r>
                    </w:p>
                  </w:txbxContent>
                </v:textbox>
              </v:shape>
            </w:pict>
          </mc:Fallback>
        </mc:AlternateContent>
      </w:r>
    </w:p>
    <w:p w:rsidR="00FC1B7D" w:rsidRPr="00CA6E66" w:rsidRDefault="00DA1446" w:rsidP="00FC1B7D">
      <w:pPr>
        <w:spacing w:after="0" w:line="240" w:lineRule="auto"/>
        <w:rPr>
          <w:rFonts w:ascii="Times New Roman" w:hAnsi="Times New Roman" w:cs="Times New Roman"/>
          <w:color w:val="000000"/>
          <w:sz w:val="16"/>
          <w:szCs w:val="16"/>
          <w:highlight w:val="yellow"/>
        </w:rPr>
      </w:pPr>
      <w:r>
        <w:rPr>
          <w:noProof/>
          <w:lang w:eastAsia="pl-PL"/>
        </w:rPr>
        <w:drawing>
          <wp:inline distT="0" distB="0" distL="0" distR="0" wp14:anchorId="762E81C8" wp14:editId="7135D1A9">
            <wp:extent cx="5759450" cy="1006036"/>
            <wp:effectExtent l="0" t="0" r="0" b="381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1B7D" w:rsidRDefault="00FC1B7D" w:rsidP="00FC1B7D">
      <w:pPr>
        <w:spacing w:after="0" w:line="240" w:lineRule="auto"/>
        <w:rPr>
          <w:rFonts w:ascii="Times New Roman" w:hAnsi="Times New Roman" w:cs="Times New Roman"/>
          <w:color w:val="000000"/>
          <w:sz w:val="16"/>
          <w:szCs w:val="16"/>
          <w:highlight w:val="yellow"/>
        </w:rPr>
      </w:pPr>
    </w:p>
    <w:p w:rsidR="00DA1446" w:rsidRDefault="00DA1446" w:rsidP="00FC1B7D">
      <w:pPr>
        <w:spacing w:after="0" w:line="240" w:lineRule="auto"/>
        <w:rPr>
          <w:rFonts w:ascii="Times New Roman" w:hAnsi="Times New Roman" w:cs="Times New Roman"/>
          <w:color w:val="000000"/>
          <w:sz w:val="16"/>
          <w:szCs w:val="16"/>
          <w:highlight w:val="yellow"/>
        </w:rPr>
      </w:pPr>
    </w:p>
    <w:p w:rsidR="00DA1446" w:rsidRDefault="00DA1446" w:rsidP="00FC1B7D">
      <w:pPr>
        <w:spacing w:after="0" w:line="240" w:lineRule="auto"/>
        <w:rPr>
          <w:rFonts w:ascii="Times New Roman" w:hAnsi="Times New Roman" w:cs="Times New Roman"/>
          <w:color w:val="000000"/>
          <w:sz w:val="16"/>
          <w:szCs w:val="16"/>
          <w:highlight w:val="yellow"/>
        </w:rPr>
      </w:pPr>
    </w:p>
    <w:p w:rsidR="00DA1446" w:rsidRDefault="00DA1446" w:rsidP="00FC1B7D">
      <w:pPr>
        <w:spacing w:after="0" w:line="240" w:lineRule="auto"/>
        <w:rPr>
          <w:rFonts w:ascii="Times New Roman" w:hAnsi="Times New Roman" w:cs="Times New Roman"/>
          <w:color w:val="000000"/>
          <w:sz w:val="16"/>
          <w:szCs w:val="16"/>
          <w:highlight w:val="yellow"/>
        </w:rPr>
      </w:pPr>
    </w:p>
    <w:p w:rsidR="00DA1446" w:rsidRDefault="00DA1446" w:rsidP="00FC1B7D">
      <w:pPr>
        <w:spacing w:after="0" w:line="240" w:lineRule="auto"/>
        <w:rPr>
          <w:rFonts w:ascii="Times New Roman" w:hAnsi="Times New Roman" w:cs="Times New Roman"/>
          <w:color w:val="000000"/>
          <w:sz w:val="16"/>
          <w:szCs w:val="16"/>
          <w:highlight w:val="yellow"/>
        </w:rPr>
      </w:pPr>
    </w:p>
    <w:p w:rsidR="00DA1446" w:rsidRDefault="00DA1446" w:rsidP="00FC1B7D">
      <w:pPr>
        <w:spacing w:after="0" w:line="240" w:lineRule="auto"/>
        <w:rPr>
          <w:rFonts w:ascii="Times New Roman" w:hAnsi="Times New Roman" w:cs="Times New Roman"/>
          <w:color w:val="000000"/>
          <w:sz w:val="16"/>
          <w:szCs w:val="16"/>
          <w:highlight w:val="yellow"/>
        </w:rPr>
      </w:pPr>
    </w:p>
    <w:p w:rsidR="00DA1446" w:rsidRDefault="00DA1446">
      <w:pPr>
        <w:rPr>
          <w:rFonts w:ascii="Times New Roman" w:hAnsi="Times New Roman" w:cs="Times New Roman"/>
          <w:color w:val="000000"/>
          <w:sz w:val="16"/>
          <w:szCs w:val="16"/>
          <w:highlight w:val="yellow"/>
        </w:rPr>
      </w:pPr>
      <w:r>
        <w:rPr>
          <w:rFonts w:ascii="Times New Roman" w:hAnsi="Times New Roman" w:cs="Times New Roman"/>
          <w:color w:val="000000"/>
          <w:sz w:val="16"/>
          <w:szCs w:val="16"/>
          <w:highlight w:val="yellow"/>
        </w:rPr>
        <w:br w:type="page"/>
      </w:r>
    </w:p>
    <w:p w:rsidR="00FC1B7D" w:rsidRPr="004E0B88" w:rsidRDefault="00FC1B7D" w:rsidP="00FC1B7D">
      <w:pPr>
        <w:pStyle w:val="Default"/>
        <w:ind w:left="1410" w:hanging="1410"/>
        <w:jc w:val="both"/>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E0B88">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Wskaźnik obciążenia demograficznego w latach 2002–20</w:t>
      </w:r>
      <w:r w:rsidR="00291A0B">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Pr="004E0B88">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(ludność w wieku</w:t>
      </w:r>
    </w:p>
    <w:p w:rsidR="00FC1B7D" w:rsidRPr="004E0B88" w:rsidRDefault="00FC1B7D" w:rsidP="00FC1B7D">
      <w:pPr>
        <w:pStyle w:val="Default"/>
        <w:ind w:left="1410" w:hanging="1410"/>
        <w:jc w:val="both"/>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E0B88">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nieprodukcyjnym </w:t>
      </w:r>
      <w:r w:rsidR="00257AA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E0B88">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(przed- i poprodukcyjnym) </w:t>
      </w:r>
      <w:r w:rsidR="00257AA7">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4E0B88">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na 100 osób w wieku produkcyjnym </w:t>
      </w:r>
      <w:r w:rsidRPr="004E0B88">
        <w:rPr>
          <w:b/>
          <w:caps/>
          <w:sz w:val="16"/>
          <w:szCs w:val="1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9"/>
      </w:r>
    </w:p>
    <w:tbl>
      <w:tblPr>
        <w:tblW w:w="8519" w:type="dxa"/>
        <w:jc w:val="center"/>
        <w:tblInd w:w="-719" w:type="dxa"/>
        <w:tblLook w:val="04A0" w:firstRow="1" w:lastRow="0" w:firstColumn="1" w:lastColumn="0" w:noHBand="0" w:noVBand="1"/>
      </w:tblPr>
      <w:tblGrid>
        <w:gridCol w:w="1079"/>
        <w:gridCol w:w="496"/>
        <w:gridCol w:w="496"/>
        <w:gridCol w:w="496"/>
        <w:gridCol w:w="496"/>
        <w:gridCol w:w="496"/>
        <w:gridCol w:w="496"/>
        <w:gridCol w:w="496"/>
        <w:gridCol w:w="496"/>
        <w:gridCol w:w="496"/>
        <w:gridCol w:w="496"/>
        <w:gridCol w:w="496"/>
        <w:gridCol w:w="496"/>
        <w:gridCol w:w="496"/>
        <w:gridCol w:w="496"/>
        <w:gridCol w:w="496"/>
      </w:tblGrid>
      <w:tr w:rsidR="007F0A73" w:rsidRPr="00020690" w:rsidTr="008639CF">
        <w:trPr>
          <w:trHeight w:val="274"/>
          <w:jc w:val="center"/>
        </w:trPr>
        <w:tc>
          <w:tcPr>
            <w:tcW w:w="107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rPr>
                <w:rFonts w:ascii="Times New Roman" w:hAnsi="Times New Roman" w:cs="Times New Roman"/>
                <w:sz w:val="16"/>
                <w:szCs w:val="16"/>
              </w:rPr>
            </w:pPr>
            <w:r w:rsidRPr="00020690">
              <w:rPr>
                <w:rFonts w:ascii="Times New Roman" w:hAnsi="Times New Roman" w:cs="Times New Roman"/>
                <w:sz w:val="16"/>
                <w:szCs w:val="16"/>
              </w:rPr>
              <w:t>kategoria</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‘02</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‘03</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‘04</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‘05</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‘06</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‘07</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‘08</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‘09</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‘10</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‘11</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‘12</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‘13</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‘14</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‘15</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‘16</w:t>
            </w:r>
          </w:p>
        </w:tc>
      </w:tr>
      <w:tr w:rsidR="007F0A73" w:rsidRPr="00020690" w:rsidTr="007F0A73">
        <w:trPr>
          <w:trHeight w:val="197"/>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rPr>
                <w:rFonts w:ascii="Times New Roman" w:hAnsi="Times New Roman" w:cs="Times New Roman"/>
                <w:b/>
                <w:sz w:val="16"/>
                <w:szCs w:val="16"/>
              </w:rPr>
            </w:pPr>
            <w:r w:rsidRPr="00020690">
              <w:rPr>
                <w:rFonts w:ascii="Times New Roman" w:hAnsi="Times New Roman" w:cs="Times New Roman"/>
                <w:b/>
                <w:sz w:val="16"/>
                <w:szCs w:val="16"/>
              </w:rPr>
              <w:t>Polska</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60,7</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58,9</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57,5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56,3</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55,7</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55,3</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55,1</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55,0</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55,2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55,8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56,6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58,8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60,1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61,7</w:t>
            </w:r>
          </w:p>
        </w:tc>
      </w:tr>
      <w:tr w:rsidR="007F0A73" w:rsidRPr="00020690" w:rsidTr="007F0A73">
        <w:trPr>
          <w:trHeight w:val="115"/>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rPr>
                <w:rFonts w:ascii="Times New Roman" w:hAnsi="Times New Roman" w:cs="Times New Roman"/>
                <w:sz w:val="16"/>
                <w:szCs w:val="16"/>
              </w:rPr>
            </w:pPr>
            <w:r w:rsidRPr="00020690">
              <w:rPr>
                <w:rFonts w:ascii="Times New Roman" w:hAnsi="Times New Roman" w:cs="Times New Roman"/>
                <w:sz w:val="16"/>
                <w:szCs w:val="16"/>
              </w:rPr>
              <w:t>miasta</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54,7</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53,3</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52,3</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51,6</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51,5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51,6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51,9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52,5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53,1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54,3</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55,8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57,5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59,4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61,3</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63,5</w:t>
            </w:r>
          </w:p>
        </w:tc>
      </w:tr>
      <w:tr w:rsidR="007F0A73" w:rsidRPr="00020690" w:rsidTr="007F0A73">
        <w:trPr>
          <w:trHeight w:val="135"/>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rPr>
                <w:rFonts w:ascii="Times New Roman" w:hAnsi="Times New Roman" w:cs="Times New Roman"/>
                <w:sz w:val="16"/>
                <w:szCs w:val="16"/>
              </w:rPr>
            </w:pPr>
            <w:r w:rsidRPr="00020690">
              <w:rPr>
                <w:rFonts w:ascii="Times New Roman" w:hAnsi="Times New Roman" w:cs="Times New Roman"/>
                <w:sz w:val="16"/>
                <w:szCs w:val="16"/>
              </w:rPr>
              <w:t>wieś</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71,3</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68,8</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66,5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64,5</w:t>
            </w: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62,9</w:t>
            </w:r>
          </w:p>
        </w:tc>
        <w:tc>
          <w:tcPr>
            <w:tcW w:w="496" w:type="dxa"/>
            <w:tcBorders>
              <w:top w:val="single" w:sz="4" w:space="0" w:color="auto"/>
              <w:left w:val="single" w:sz="4" w:space="0" w:color="auto"/>
              <w:bottom w:val="single" w:sz="4" w:space="0" w:color="auto"/>
              <w:right w:val="single" w:sz="4" w:space="0" w:color="auto"/>
            </w:tcBorders>
            <w:shd w:val="clear" w:color="auto" w:fill="DBE5F1"/>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61,5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60,3</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59,1</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58,5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58,1</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57,8</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57,8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58,0</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58,3</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59,0</w:t>
            </w:r>
          </w:p>
        </w:tc>
      </w:tr>
      <w:tr w:rsidR="007F0A73" w:rsidRPr="00020690" w:rsidTr="007F0A73">
        <w:trPr>
          <w:trHeight w:val="223"/>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rPr>
                <w:rFonts w:ascii="Times New Roman" w:hAnsi="Times New Roman" w:cs="Times New Roman"/>
                <w:b/>
                <w:sz w:val="16"/>
                <w:szCs w:val="16"/>
              </w:rPr>
            </w:pPr>
            <w:r w:rsidRPr="00020690">
              <w:rPr>
                <w:rFonts w:ascii="Times New Roman" w:hAnsi="Times New Roman" w:cs="Times New Roman"/>
                <w:b/>
                <w:sz w:val="16"/>
                <w:szCs w:val="16"/>
              </w:rPr>
              <w:t>Podkarpacie</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67,1</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64,7</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62,9</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61,2</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59,8</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58,5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57,5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56,7</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56,6</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56,5</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56,7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57,1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57,6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59,1</w:t>
            </w:r>
          </w:p>
        </w:tc>
      </w:tr>
      <w:tr w:rsidR="007F0A73" w:rsidRPr="00020690" w:rsidTr="007F0A73">
        <w:trPr>
          <w:trHeight w:val="81"/>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rPr>
                <w:rFonts w:ascii="Times New Roman" w:hAnsi="Times New Roman" w:cs="Times New Roman"/>
                <w:sz w:val="16"/>
                <w:szCs w:val="16"/>
              </w:rPr>
            </w:pPr>
            <w:r w:rsidRPr="00020690">
              <w:rPr>
                <w:rFonts w:ascii="Times New Roman" w:hAnsi="Times New Roman" w:cs="Times New Roman"/>
                <w:sz w:val="16"/>
                <w:szCs w:val="16"/>
              </w:rPr>
              <w:t>miasta</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56,9</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54,7</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53,4</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52,2</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51,4</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50,9</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50,7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51,2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52,1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53,4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55,0</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56,6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58,2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jc w:val="center"/>
              <w:rPr>
                <w:rFonts w:ascii="Times New Roman" w:hAnsi="Times New Roman" w:cs="Times New Roman"/>
                <w:sz w:val="16"/>
                <w:szCs w:val="16"/>
              </w:rPr>
            </w:pPr>
            <w:r w:rsidRPr="00020690">
              <w:rPr>
                <w:rFonts w:ascii="Times New Roman" w:hAnsi="Times New Roman" w:cs="Times New Roman"/>
                <w:sz w:val="16"/>
                <w:szCs w:val="16"/>
              </w:rPr>
              <w:t>60,3</w:t>
            </w:r>
          </w:p>
        </w:tc>
      </w:tr>
      <w:tr w:rsidR="007F0A73" w:rsidRPr="00020690" w:rsidTr="007F0A73">
        <w:trPr>
          <w:trHeight w:val="170"/>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020690" w:rsidRDefault="007F0A73" w:rsidP="00977C90">
            <w:pPr>
              <w:spacing w:after="0" w:line="240" w:lineRule="auto"/>
              <w:rPr>
                <w:rFonts w:ascii="Times New Roman" w:hAnsi="Times New Roman" w:cs="Times New Roman"/>
                <w:sz w:val="16"/>
                <w:szCs w:val="16"/>
              </w:rPr>
            </w:pPr>
            <w:r w:rsidRPr="00020690">
              <w:rPr>
                <w:rFonts w:ascii="Times New Roman" w:hAnsi="Times New Roman" w:cs="Times New Roman"/>
                <w:sz w:val="16"/>
                <w:szCs w:val="16"/>
              </w:rPr>
              <w:t>wieś</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74,8</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72,4</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70,0</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67,9</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66,1</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64,2</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62,5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61,0</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60,6</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59,8</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59,1</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58,5</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58,3</w:t>
            </w:r>
          </w:p>
        </w:tc>
        <w:tc>
          <w:tcPr>
            <w:tcW w:w="49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F0A73" w:rsidRPr="00020690" w:rsidRDefault="007F0A73" w:rsidP="00977C90">
            <w:pPr>
              <w:spacing w:after="0" w:line="240" w:lineRule="auto"/>
              <w:jc w:val="center"/>
              <w:rPr>
                <w:rFonts w:ascii="Times New Roman" w:hAnsi="Times New Roman" w:cs="Times New Roman"/>
                <w:b/>
                <w:sz w:val="16"/>
                <w:szCs w:val="16"/>
              </w:rPr>
            </w:pPr>
            <w:r w:rsidRPr="00020690">
              <w:rPr>
                <w:rFonts w:ascii="Times New Roman" w:hAnsi="Times New Roman" w:cs="Times New Roman"/>
                <w:b/>
                <w:sz w:val="16"/>
                <w:szCs w:val="16"/>
              </w:rPr>
              <w:t>58,1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0A73" w:rsidRPr="0075523D" w:rsidRDefault="007F0A73" w:rsidP="00977C90">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58,2</w:t>
            </w:r>
          </w:p>
        </w:tc>
      </w:tr>
    </w:tbl>
    <w:p w:rsidR="007F0A73" w:rsidRDefault="007F0A73" w:rsidP="00FC1B7D">
      <w:pPr>
        <w:pStyle w:val="Tekstpodstawowywcity"/>
        <w:spacing w:after="0" w:line="240" w:lineRule="auto"/>
        <w:ind w:left="0"/>
        <w:jc w:val="both"/>
        <w:rPr>
          <w:rFonts w:ascii="Times New Roman" w:hAnsi="Times New Roman" w:cs="Times New Roman"/>
          <w:sz w:val="16"/>
          <w:szCs w:val="16"/>
        </w:rPr>
      </w:pPr>
    </w:p>
    <w:tbl>
      <w:tblPr>
        <w:tblW w:w="3063" w:type="dxa"/>
        <w:jc w:val="center"/>
        <w:tblInd w:w="-719" w:type="dxa"/>
        <w:tblLook w:val="04A0" w:firstRow="1" w:lastRow="0" w:firstColumn="1" w:lastColumn="0" w:noHBand="0" w:noVBand="1"/>
      </w:tblPr>
      <w:tblGrid>
        <w:gridCol w:w="1079"/>
        <w:gridCol w:w="496"/>
        <w:gridCol w:w="496"/>
        <w:gridCol w:w="496"/>
        <w:gridCol w:w="496"/>
      </w:tblGrid>
      <w:tr w:rsidR="007F0A73" w:rsidRPr="00020690" w:rsidTr="008639CF">
        <w:trPr>
          <w:trHeight w:val="287"/>
          <w:jc w:val="center"/>
        </w:trPr>
        <w:tc>
          <w:tcPr>
            <w:tcW w:w="107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75523D" w:rsidRDefault="007F0A73" w:rsidP="0075523D">
            <w:pPr>
              <w:spacing w:after="0" w:line="240" w:lineRule="auto"/>
              <w:rPr>
                <w:rFonts w:ascii="Times New Roman" w:hAnsi="Times New Roman" w:cs="Times New Roman"/>
                <w:sz w:val="16"/>
                <w:szCs w:val="16"/>
              </w:rPr>
            </w:pPr>
            <w:r w:rsidRPr="0075523D">
              <w:rPr>
                <w:rFonts w:ascii="Times New Roman" w:hAnsi="Times New Roman" w:cs="Times New Roman"/>
                <w:sz w:val="16"/>
                <w:szCs w:val="16"/>
              </w:rPr>
              <w:t>kategoria</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75523D" w:rsidRDefault="007F0A73"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‘17</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75523D" w:rsidRDefault="007F0A73"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‘18</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75523D" w:rsidRDefault="007F0A73"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‘19</w:t>
            </w:r>
          </w:p>
        </w:tc>
        <w:tc>
          <w:tcPr>
            <w:tcW w:w="49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7F0A73" w:rsidRPr="0075523D" w:rsidRDefault="007F0A73"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‘20</w:t>
            </w:r>
          </w:p>
        </w:tc>
      </w:tr>
      <w:tr w:rsidR="0075523D" w:rsidRPr="00020690" w:rsidTr="0075523D">
        <w:trPr>
          <w:trHeight w:val="197"/>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rPr>
                <w:rFonts w:ascii="Times New Roman" w:hAnsi="Times New Roman" w:cs="Times New Roman"/>
                <w:b/>
                <w:sz w:val="16"/>
                <w:szCs w:val="16"/>
              </w:rPr>
            </w:pPr>
            <w:r w:rsidRPr="0075523D">
              <w:rPr>
                <w:rFonts w:ascii="Times New Roman" w:hAnsi="Times New Roman" w:cs="Times New Roman"/>
                <w:b/>
                <w:sz w:val="16"/>
                <w:szCs w:val="16"/>
              </w:rPr>
              <w:t>Polska</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63,4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65,1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66,7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5523D" w:rsidRPr="0075523D" w:rsidRDefault="0075523D" w:rsidP="0075523D">
            <w:pPr>
              <w:spacing w:after="0" w:line="240" w:lineRule="auto"/>
              <w:jc w:val="right"/>
              <w:rPr>
                <w:rFonts w:ascii="Times New Roman" w:hAnsi="Times New Roman" w:cs="Times New Roman"/>
                <w:sz w:val="16"/>
                <w:szCs w:val="16"/>
              </w:rPr>
            </w:pPr>
            <w:r w:rsidRPr="0075523D">
              <w:rPr>
                <w:rFonts w:ascii="Times New Roman" w:hAnsi="Times New Roman" w:cs="Times New Roman"/>
                <w:sz w:val="16"/>
                <w:szCs w:val="16"/>
              </w:rPr>
              <w:t>68,0</w:t>
            </w:r>
          </w:p>
        </w:tc>
      </w:tr>
      <w:tr w:rsidR="0075523D" w:rsidRPr="00020690" w:rsidTr="0075523D">
        <w:trPr>
          <w:trHeight w:val="115"/>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rPr>
                <w:rFonts w:ascii="Times New Roman" w:hAnsi="Times New Roman" w:cs="Times New Roman"/>
                <w:sz w:val="16"/>
                <w:szCs w:val="16"/>
              </w:rPr>
            </w:pPr>
            <w:r w:rsidRPr="0075523D">
              <w:rPr>
                <w:rFonts w:ascii="Times New Roman" w:hAnsi="Times New Roman" w:cs="Times New Roman"/>
                <w:sz w:val="16"/>
                <w:szCs w:val="16"/>
              </w:rPr>
              <w:t>miasta</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65,8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68,0</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70,1</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5523D" w:rsidRPr="0075523D" w:rsidRDefault="0075523D" w:rsidP="0075523D">
            <w:pPr>
              <w:spacing w:after="0" w:line="240" w:lineRule="auto"/>
              <w:jc w:val="right"/>
              <w:rPr>
                <w:rFonts w:ascii="Times New Roman" w:hAnsi="Times New Roman" w:cs="Times New Roman"/>
                <w:sz w:val="16"/>
                <w:szCs w:val="16"/>
              </w:rPr>
            </w:pPr>
            <w:r w:rsidRPr="0075523D">
              <w:rPr>
                <w:rFonts w:ascii="Times New Roman" w:hAnsi="Times New Roman" w:cs="Times New Roman"/>
                <w:sz w:val="16"/>
                <w:szCs w:val="16"/>
              </w:rPr>
              <w:t>71,8</w:t>
            </w:r>
          </w:p>
        </w:tc>
      </w:tr>
      <w:tr w:rsidR="0075523D" w:rsidRPr="00020690" w:rsidTr="0075523D">
        <w:trPr>
          <w:trHeight w:val="135"/>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rPr>
                <w:rFonts w:ascii="Times New Roman" w:hAnsi="Times New Roman" w:cs="Times New Roman"/>
                <w:sz w:val="16"/>
                <w:szCs w:val="16"/>
              </w:rPr>
            </w:pPr>
            <w:r w:rsidRPr="0075523D">
              <w:rPr>
                <w:rFonts w:ascii="Times New Roman" w:hAnsi="Times New Roman" w:cs="Times New Roman"/>
                <w:sz w:val="16"/>
                <w:szCs w:val="16"/>
              </w:rPr>
              <w:t>wieś</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59,9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60,8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61,9</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5523D" w:rsidRPr="0075523D" w:rsidRDefault="0075523D" w:rsidP="0075523D">
            <w:pPr>
              <w:spacing w:after="0" w:line="240" w:lineRule="auto"/>
              <w:jc w:val="right"/>
              <w:rPr>
                <w:rFonts w:ascii="Times New Roman" w:hAnsi="Times New Roman" w:cs="Times New Roman"/>
                <w:sz w:val="16"/>
                <w:szCs w:val="16"/>
              </w:rPr>
            </w:pPr>
            <w:r w:rsidRPr="0075523D">
              <w:rPr>
                <w:rFonts w:ascii="Times New Roman" w:hAnsi="Times New Roman" w:cs="Times New Roman"/>
                <w:sz w:val="16"/>
                <w:szCs w:val="16"/>
              </w:rPr>
              <w:t>62,7</w:t>
            </w:r>
          </w:p>
        </w:tc>
      </w:tr>
      <w:tr w:rsidR="0075523D" w:rsidRPr="00020690" w:rsidTr="0075523D">
        <w:trPr>
          <w:trHeight w:val="223"/>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rPr>
                <w:rFonts w:ascii="Times New Roman" w:hAnsi="Times New Roman" w:cs="Times New Roman"/>
                <w:b/>
                <w:sz w:val="16"/>
                <w:szCs w:val="16"/>
              </w:rPr>
            </w:pPr>
            <w:r w:rsidRPr="0075523D">
              <w:rPr>
                <w:rFonts w:ascii="Times New Roman" w:hAnsi="Times New Roman" w:cs="Times New Roman"/>
                <w:b/>
                <w:sz w:val="16"/>
                <w:szCs w:val="16"/>
              </w:rPr>
              <w:t>Podkarpacie</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60,2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61,4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62,7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5523D" w:rsidRPr="0075523D" w:rsidRDefault="0075523D" w:rsidP="0075523D">
            <w:pPr>
              <w:spacing w:after="0" w:line="240" w:lineRule="auto"/>
              <w:jc w:val="right"/>
              <w:rPr>
                <w:rFonts w:ascii="Times New Roman" w:hAnsi="Times New Roman" w:cs="Times New Roman"/>
                <w:sz w:val="16"/>
                <w:szCs w:val="16"/>
              </w:rPr>
            </w:pPr>
            <w:r w:rsidRPr="0075523D">
              <w:rPr>
                <w:rFonts w:ascii="Times New Roman" w:hAnsi="Times New Roman" w:cs="Times New Roman"/>
                <w:sz w:val="16"/>
                <w:szCs w:val="16"/>
              </w:rPr>
              <w:t>63,7</w:t>
            </w:r>
          </w:p>
        </w:tc>
      </w:tr>
      <w:tr w:rsidR="0075523D" w:rsidRPr="00020690" w:rsidTr="0075523D">
        <w:trPr>
          <w:trHeight w:val="81"/>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rPr>
                <w:rFonts w:ascii="Times New Roman" w:hAnsi="Times New Roman" w:cs="Times New Roman"/>
                <w:sz w:val="16"/>
                <w:szCs w:val="16"/>
              </w:rPr>
            </w:pPr>
            <w:r w:rsidRPr="0075523D">
              <w:rPr>
                <w:rFonts w:ascii="Times New Roman" w:hAnsi="Times New Roman" w:cs="Times New Roman"/>
                <w:sz w:val="16"/>
                <w:szCs w:val="16"/>
              </w:rPr>
              <w:t>miasta</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62,4</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64,6</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66,8</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5523D" w:rsidRPr="0075523D" w:rsidRDefault="0075523D" w:rsidP="0075523D">
            <w:pPr>
              <w:spacing w:after="0" w:line="240" w:lineRule="auto"/>
              <w:jc w:val="right"/>
              <w:rPr>
                <w:rFonts w:ascii="Times New Roman" w:hAnsi="Times New Roman" w:cs="Times New Roman"/>
                <w:sz w:val="16"/>
                <w:szCs w:val="16"/>
              </w:rPr>
            </w:pPr>
            <w:r w:rsidRPr="0075523D">
              <w:rPr>
                <w:rFonts w:ascii="Times New Roman" w:hAnsi="Times New Roman" w:cs="Times New Roman"/>
                <w:sz w:val="16"/>
                <w:szCs w:val="16"/>
              </w:rPr>
              <w:t>68,6</w:t>
            </w:r>
          </w:p>
        </w:tc>
      </w:tr>
      <w:tr w:rsidR="0075523D" w:rsidRPr="00020690" w:rsidTr="0075523D">
        <w:trPr>
          <w:trHeight w:val="170"/>
          <w:jc w:val="center"/>
        </w:trPr>
        <w:tc>
          <w:tcPr>
            <w:tcW w:w="1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rPr>
                <w:rFonts w:ascii="Times New Roman" w:hAnsi="Times New Roman" w:cs="Times New Roman"/>
                <w:sz w:val="16"/>
                <w:szCs w:val="16"/>
              </w:rPr>
            </w:pPr>
            <w:r w:rsidRPr="0075523D">
              <w:rPr>
                <w:rFonts w:ascii="Times New Roman" w:hAnsi="Times New Roman" w:cs="Times New Roman"/>
                <w:sz w:val="16"/>
                <w:szCs w:val="16"/>
              </w:rPr>
              <w:t>wieś</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58,7</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59,2</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523D" w:rsidRPr="0075523D" w:rsidRDefault="0075523D" w:rsidP="0075523D">
            <w:pPr>
              <w:spacing w:after="0" w:line="240" w:lineRule="auto"/>
              <w:jc w:val="center"/>
              <w:rPr>
                <w:rFonts w:ascii="Times New Roman" w:hAnsi="Times New Roman" w:cs="Times New Roman"/>
                <w:sz w:val="16"/>
                <w:szCs w:val="16"/>
              </w:rPr>
            </w:pPr>
            <w:r w:rsidRPr="0075523D">
              <w:rPr>
                <w:rFonts w:ascii="Times New Roman" w:hAnsi="Times New Roman" w:cs="Times New Roman"/>
                <w:sz w:val="16"/>
                <w:szCs w:val="16"/>
              </w:rPr>
              <w:t>60,0</w:t>
            </w:r>
          </w:p>
        </w:tc>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5523D" w:rsidRPr="0075523D" w:rsidRDefault="0075523D" w:rsidP="0075523D">
            <w:pPr>
              <w:spacing w:after="0" w:line="240" w:lineRule="auto"/>
              <w:jc w:val="right"/>
              <w:rPr>
                <w:rFonts w:ascii="Times New Roman" w:hAnsi="Times New Roman" w:cs="Times New Roman"/>
                <w:sz w:val="16"/>
                <w:szCs w:val="16"/>
              </w:rPr>
            </w:pPr>
            <w:r w:rsidRPr="0075523D">
              <w:rPr>
                <w:rFonts w:ascii="Times New Roman" w:hAnsi="Times New Roman" w:cs="Times New Roman"/>
                <w:sz w:val="16"/>
                <w:szCs w:val="16"/>
              </w:rPr>
              <w:t>60,5</w:t>
            </w:r>
          </w:p>
        </w:tc>
      </w:tr>
    </w:tbl>
    <w:p w:rsidR="0075523D" w:rsidRDefault="00FC1B7D" w:rsidP="00FC1B7D">
      <w:pPr>
        <w:pStyle w:val="Tekstpodstawowywcity"/>
        <w:spacing w:after="0" w:line="240" w:lineRule="auto"/>
        <w:ind w:left="0"/>
        <w:jc w:val="both"/>
        <w:rPr>
          <w:rFonts w:ascii="Times New Roman" w:hAnsi="Times New Roman" w:cs="Times New Roman"/>
          <w:sz w:val="16"/>
          <w:szCs w:val="16"/>
        </w:rPr>
      </w:pPr>
      <w:r w:rsidRPr="00020690">
        <w:rPr>
          <w:rFonts w:ascii="Times New Roman" w:hAnsi="Times New Roman" w:cs="Times New Roman"/>
          <w:sz w:val="16"/>
          <w:szCs w:val="16"/>
        </w:rPr>
        <w:t xml:space="preserve">  </w:t>
      </w:r>
      <w:r>
        <w:rPr>
          <w:rFonts w:ascii="Times New Roman" w:hAnsi="Times New Roman" w:cs="Times New Roman"/>
          <w:sz w:val="16"/>
          <w:szCs w:val="16"/>
        </w:rPr>
        <w:t xml:space="preserve">Źródło: </w:t>
      </w:r>
      <w:hyperlink r:id="rId18" w:history="1">
        <w:r w:rsidRPr="001E3581">
          <w:rPr>
            <w:rStyle w:val="Hipercze"/>
            <w:rFonts w:ascii="Times New Roman" w:hAnsi="Times New Roman" w:cs="Times New Roman"/>
            <w:sz w:val="16"/>
            <w:szCs w:val="16"/>
          </w:rPr>
          <w:t>www.stat.gov.pl</w:t>
        </w:r>
      </w:hyperlink>
      <w:r>
        <w:rPr>
          <w:rFonts w:ascii="Times New Roman" w:hAnsi="Times New Roman" w:cs="Times New Roman"/>
          <w:sz w:val="16"/>
          <w:szCs w:val="16"/>
        </w:rPr>
        <w:t xml:space="preserve"> . </w:t>
      </w:r>
      <w:r w:rsidRPr="00020690">
        <w:rPr>
          <w:rFonts w:ascii="Times New Roman" w:hAnsi="Times New Roman" w:cs="Times New Roman"/>
          <w:sz w:val="16"/>
          <w:szCs w:val="16"/>
        </w:rPr>
        <w:t>Kolorem niebieskim oznaczono sekwencje spadkowe.</w:t>
      </w:r>
    </w:p>
    <w:p w:rsidR="00FC1B7D" w:rsidRPr="00020690" w:rsidRDefault="0075523D" w:rsidP="00FC1B7D">
      <w:pPr>
        <w:pStyle w:val="Tekstpodstawowywcity"/>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w:t>
      </w:r>
      <w:r w:rsidR="00FC1B7D" w:rsidRPr="00020690">
        <w:rPr>
          <w:rFonts w:ascii="Times New Roman" w:hAnsi="Times New Roman" w:cs="Times New Roman"/>
          <w:sz w:val="16"/>
          <w:szCs w:val="16"/>
        </w:rPr>
        <w:t>Kolor biały oznacza wzrost w stos. do ostatniego roku</w:t>
      </w:r>
      <w:r>
        <w:rPr>
          <w:rFonts w:ascii="Times New Roman" w:hAnsi="Times New Roman" w:cs="Times New Roman"/>
          <w:sz w:val="16"/>
          <w:szCs w:val="16"/>
        </w:rPr>
        <w:t xml:space="preserve"> </w:t>
      </w:r>
      <w:r w:rsidR="00FC1B7D" w:rsidRPr="00020690">
        <w:rPr>
          <w:rFonts w:ascii="Times New Roman" w:hAnsi="Times New Roman" w:cs="Times New Roman"/>
          <w:sz w:val="16"/>
          <w:szCs w:val="16"/>
        </w:rPr>
        <w:t>z lat spadkowych.</w:t>
      </w:r>
    </w:p>
    <w:p w:rsidR="00FC1B7D" w:rsidRDefault="00746B0B" w:rsidP="00FC1B7D">
      <w:pPr>
        <w:spacing w:after="0" w:line="240" w:lineRule="auto"/>
        <w:rPr>
          <w:rFonts w:ascii="Times New Roman" w:hAnsi="Times New Roman" w:cs="Times New Roman"/>
          <w:color w:val="000000"/>
          <w:sz w:val="16"/>
          <w:szCs w:val="16"/>
          <w:highlight w:val="yellow"/>
        </w:rPr>
      </w:pPr>
      <w:r w:rsidRPr="00746B0B">
        <w:rPr>
          <w:noProof/>
          <w:color w:val="33CC33"/>
          <w:lang w:eastAsia="pl-PL"/>
        </w:rPr>
        <w:drawing>
          <wp:anchor distT="0" distB="0" distL="114300" distR="114300" simplePos="0" relativeHeight="251901952" behindDoc="0" locked="0" layoutInCell="1" allowOverlap="1" wp14:anchorId="63593121" wp14:editId="6FBEA4D0">
            <wp:simplePos x="0" y="0"/>
            <wp:positionH relativeFrom="column">
              <wp:posOffset>83820</wp:posOffset>
            </wp:positionH>
            <wp:positionV relativeFrom="paragraph">
              <wp:posOffset>232410</wp:posOffset>
            </wp:positionV>
            <wp:extent cx="5759450" cy="1122045"/>
            <wp:effectExtent l="0" t="0" r="0" b="1905"/>
            <wp:wrapSquare wrapText="bothSides"/>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75523D" w:rsidRPr="00CA6E66">
        <w:rPr>
          <w:rFonts w:ascii="Times New Roman" w:hAnsi="Times New Roman" w:cs="Times New Roman"/>
          <w:b/>
          <w:caps/>
          <w:noProof/>
          <w:color w:val="000000"/>
          <w:sz w:val="16"/>
          <w:szCs w:val="16"/>
          <w:highlight w:val="yellow"/>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76352" behindDoc="0" locked="0" layoutInCell="1" allowOverlap="1" wp14:anchorId="08392EDE" wp14:editId="14C7AD74">
                <wp:simplePos x="0" y="0"/>
                <wp:positionH relativeFrom="column">
                  <wp:posOffset>214630</wp:posOffset>
                </wp:positionH>
                <wp:positionV relativeFrom="paragraph">
                  <wp:posOffset>52070</wp:posOffset>
                </wp:positionV>
                <wp:extent cx="5376545" cy="1403985"/>
                <wp:effectExtent l="0" t="0" r="0" b="0"/>
                <wp:wrapNone/>
                <wp:docPr id="2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6545" cy="1403985"/>
                        </a:xfrm>
                        <a:prstGeom prst="rect">
                          <a:avLst/>
                        </a:prstGeom>
                        <a:noFill/>
                        <a:ln w="9525">
                          <a:noFill/>
                          <a:miter lim="800000"/>
                          <a:headEnd/>
                          <a:tailEnd/>
                        </a:ln>
                      </wps:spPr>
                      <wps:txbx>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WSPÓŁczynnik obciążenia demograficznego osobami starszymi  2012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6.9pt;margin-top:4.1pt;width:423.35pt;height:110.55pt;z-index:251876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NZFQIAAAAEAAAOAAAAZHJzL2Uyb0RvYy54bWysU9Fu2yAUfZ+0f0C8L3bcuE2sOFXXLtOk&#10;bqvU7gMIxjEqcBmQ2NnX94LTNNreqvkBcX25595zOCyvB63IXjgvwdR0OskpEYZDI822pr+e1p/m&#10;lPjATMMUGFHTg/D0evXxw7K3lSigA9UIRxDE+Kq3Ne1CsFWWed4JzfwErDCYbMFpFjB026xxrEd0&#10;rbIizy+zHlxjHXDhPf69G5N0lfDbVvDws229CETVFGcLaXVp3cQ1Wy1ZtXXMdpIfx2DvmEIzabDp&#10;CeqOBUZ2Tv4DpSV34KENEw46g7aVXCQOyGaa/8XmsWNWJC4ojrcnmfz/g+U/9g+OyKamxYISwzTe&#10;0QMoQYJ49gF6QYqoUW99hUcfLR4Ow2cY8K4TX2/vgT97YuC2Y2YrbpyDvhOswRmnsTI7Kx1xfATZ&#10;9N+hwV5sFyABDa3TUUCUhCA63tXhdD9iCITjz/Li6rKclZRwzE1n+cViXqYerHott86HrwI0iZua&#10;OjRAgmf7ex/iOKx6PRK7GVhLpZIJlCF9TRdlUaaCs4yWAT2qpK7pPI/f6JrI8otpUnFgUo17bKDM&#10;kXZkOnIOw2ZIKqd5oyQbaA6og4PRkviEcNOB+0NJj3asqf+9Y05Qor4Z1HIxnc2if1MwK68KDNx5&#10;ZnOeYYYjVE0DJeP2NiTPR8re3qDma5nUeJvkODLaLIl0fBLRx+dxOvX2cFcvAAAA//8DAFBLAwQU&#10;AAYACAAAACEAGV8xYN0AAAAIAQAADwAAAGRycy9kb3ducmV2LnhtbEyPwU7DMBBE70j8g7VI3KiN&#10;IyBN41QVasuRUiLObrwkEfE6st00/D3mBMfRjGbelOvZDmxCH3pHCu4XAhhS40xPrYL6fXeXAwtR&#10;k9GDI1TwjQHW1fVVqQvjLvSG0zG2LJVQKLSCLsax4Dw0HVodFm5ESt6n81bHJH3LjdeXVG4HLoV4&#10;5Fb3lBY6PeJzh83X8WwVjHHcP73418Nmu5tE/bGvZd9ulbq9mTcrYBHn+BeGX/yEDlViOrkzmcAG&#10;BVmWyKOCXAJLdp6LB2AnBVIuM+BVyf8fqH4AAAD//wMAUEsBAi0AFAAGAAgAAAAhALaDOJL+AAAA&#10;4QEAABMAAAAAAAAAAAAAAAAAAAAAAFtDb250ZW50X1R5cGVzXS54bWxQSwECLQAUAAYACAAAACEA&#10;OP0h/9YAAACUAQAACwAAAAAAAAAAAAAAAAAvAQAAX3JlbHMvLnJlbHNQSwECLQAUAAYACAAAACEA&#10;oBcTWRUCAAAABAAADgAAAAAAAAAAAAAAAAAuAgAAZHJzL2Uyb0RvYy54bWxQSwECLQAUAAYACAAA&#10;ACEAGV8xYN0AAAAIAQAADwAAAAAAAAAAAAAAAABvBAAAZHJzL2Rvd25yZXYueG1sUEsFBgAAAAAE&#10;AAQA8wAAAHkFAAAAAA==&#10;" filled="f" stroked="f">
                <v:textbox style="mso-fit-shape-to-text:t">
                  <w:txbxContent>
                    <w:p w:rsidR="00077ACD" w:rsidRPr="004C466F" w:rsidRDefault="00077ACD" w:rsidP="00FC1B7D">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WSPÓŁczynnik obciążenia demograficznego osobami starszymi  2012 – 2020</w:t>
                      </w:r>
                    </w:p>
                  </w:txbxContent>
                </v:textbox>
              </v:shape>
            </w:pict>
          </mc:Fallback>
        </mc:AlternateContent>
      </w:r>
    </w:p>
    <w:p w:rsidR="00FC1B7D" w:rsidRPr="00CA6E66" w:rsidRDefault="00FC1B7D" w:rsidP="00FC1B7D">
      <w:pPr>
        <w:spacing w:after="0" w:line="240" w:lineRule="auto"/>
        <w:rPr>
          <w:rFonts w:ascii="Times New Roman" w:hAnsi="Times New Roman" w:cs="Times New Roman"/>
          <w:color w:val="000000"/>
          <w:sz w:val="16"/>
          <w:szCs w:val="16"/>
          <w:highlight w:val="yellow"/>
        </w:rPr>
      </w:pPr>
    </w:p>
    <w:p w:rsidR="00FC1B7D" w:rsidRDefault="00FC1B7D" w:rsidP="00FC1B7D">
      <w:pPr>
        <w:pStyle w:val="Tekstpodstawowywcity"/>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Źródło: </w:t>
      </w:r>
      <w:r w:rsidR="00746B0B">
        <w:rPr>
          <w:rFonts w:ascii="Times New Roman" w:hAnsi="Times New Roman" w:cs="Times New Roman"/>
          <w:sz w:val="16"/>
          <w:szCs w:val="16"/>
        </w:rPr>
        <w:t>Ekonomiczne grupy wieku wg ludności w wieku przedprodukcyjnym 17 lat i mniej, BDL.</w:t>
      </w:r>
    </w:p>
    <w:p w:rsidR="00FC1B7D" w:rsidRPr="00CA6E66" w:rsidRDefault="00FC1B7D" w:rsidP="00FC1B7D">
      <w:pPr>
        <w:pStyle w:val="Tekstpodstawowywcity"/>
        <w:pBdr>
          <w:bottom w:val="single" w:sz="4" w:space="1" w:color="auto"/>
        </w:pBdr>
        <w:spacing w:after="0" w:line="240" w:lineRule="auto"/>
        <w:ind w:left="0"/>
        <w:jc w:val="both"/>
        <w:rPr>
          <w:rFonts w:ascii="Times New Roman" w:hAnsi="Times New Roman" w:cs="Times New Roman"/>
          <w:sz w:val="16"/>
          <w:szCs w:val="16"/>
          <w:highlight w:val="yellow"/>
        </w:rPr>
      </w:pPr>
    </w:p>
    <w:p w:rsidR="00FC1B7D" w:rsidRPr="00DF1654" w:rsidRDefault="00FC1B7D" w:rsidP="00FC1B7D">
      <w:pPr>
        <w:pStyle w:val="Tekstpodstawowywcity"/>
        <w:pBdr>
          <w:bottom w:val="single" w:sz="4" w:space="1" w:color="auto"/>
        </w:pBdr>
        <w:spacing w:after="0" w:line="240" w:lineRule="auto"/>
        <w:ind w:left="0"/>
        <w:jc w:val="both"/>
        <w:rPr>
          <w:rFonts w:ascii="Times New Roman" w:hAnsi="Times New Roman" w:cs="Times New Roman"/>
          <w:sz w:val="24"/>
          <w:szCs w:val="24"/>
        </w:rPr>
      </w:pPr>
      <w:r w:rsidRPr="00DF1654">
        <w:rPr>
          <w:rFonts w:ascii="Times New Roman" w:hAnsi="Times New Roman" w:cs="Times New Roman"/>
          <w:sz w:val="24"/>
          <w:szCs w:val="24"/>
        </w:rPr>
        <w:t>Wnioski:</w:t>
      </w:r>
    </w:p>
    <w:p w:rsidR="00FC1B7D" w:rsidRPr="00DF1654" w:rsidRDefault="00FC1B7D" w:rsidP="00FC1B7D">
      <w:pPr>
        <w:pStyle w:val="Tekstpodstawowywcity"/>
        <w:spacing w:after="0" w:line="360" w:lineRule="auto"/>
        <w:ind w:left="0"/>
        <w:jc w:val="both"/>
        <w:rPr>
          <w:rFonts w:ascii="Times New Roman" w:hAnsi="Times New Roman" w:cs="Times New Roman"/>
          <w:sz w:val="18"/>
          <w:szCs w:val="18"/>
        </w:rPr>
      </w:pPr>
      <w:r w:rsidRPr="00DF1654">
        <w:rPr>
          <w:rFonts w:ascii="Times New Roman" w:hAnsi="Times New Roman" w:cs="Times New Roman"/>
          <w:sz w:val="18"/>
          <w:szCs w:val="18"/>
        </w:rPr>
        <w:t>(na podstawie tabel</w:t>
      </w:r>
      <w:r w:rsidR="00D7041B">
        <w:rPr>
          <w:rFonts w:ascii="Times New Roman" w:hAnsi="Times New Roman" w:cs="Times New Roman"/>
          <w:sz w:val="18"/>
          <w:szCs w:val="18"/>
        </w:rPr>
        <w:t xml:space="preserve"> </w:t>
      </w:r>
      <w:r w:rsidRPr="00DF1654">
        <w:rPr>
          <w:rFonts w:ascii="Times New Roman" w:hAnsi="Times New Roman" w:cs="Times New Roman"/>
          <w:sz w:val="18"/>
          <w:szCs w:val="18"/>
        </w:rPr>
        <w:t>i</w:t>
      </w:r>
      <w:r w:rsidR="00D7041B">
        <w:rPr>
          <w:rFonts w:ascii="Times New Roman" w:hAnsi="Times New Roman" w:cs="Times New Roman"/>
          <w:sz w:val="18"/>
          <w:szCs w:val="18"/>
        </w:rPr>
        <w:t xml:space="preserve"> </w:t>
      </w:r>
      <w:r w:rsidRPr="00DF1654">
        <w:rPr>
          <w:rFonts w:ascii="Times New Roman" w:hAnsi="Times New Roman" w:cs="Times New Roman"/>
          <w:sz w:val="18"/>
          <w:szCs w:val="18"/>
        </w:rPr>
        <w:t>wykres</w:t>
      </w:r>
      <w:r w:rsidR="00D7041B">
        <w:rPr>
          <w:rFonts w:ascii="Times New Roman" w:hAnsi="Times New Roman" w:cs="Times New Roman"/>
          <w:sz w:val="18"/>
          <w:szCs w:val="18"/>
        </w:rPr>
        <w:t>ów</w:t>
      </w:r>
      <w:r w:rsidRPr="00DF1654">
        <w:rPr>
          <w:rFonts w:ascii="Times New Roman" w:hAnsi="Times New Roman" w:cs="Times New Roman"/>
          <w:sz w:val="18"/>
          <w:szCs w:val="18"/>
        </w:rPr>
        <w:t>)</w:t>
      </w:r>
    </w:p>
    <w:p w:rsidR="00FC1B7D" w:rsidRPr="00B822CE" w:rsidRDefault="00FC1B7D" w:rsidP="00FC1B7D">
      <w:pPr>
        <w:pStyle w:val="Akapitzlist"/>
        <w:numPr>
          <w:ilvl w:val="0"/>
          <w:numId w:val="17"/>
        </w:numPr>
        <w:spacing w:after="0" w:line="360" w:lineRule="auto"/>
        <w:ind w:left="357" w:hanging="357"/>
        <w:jc w:val="both"/>
        <w:rPr>
          <w:rFonts w:ascii="Times New Roman" w:hAnsi="Times New Roman" w:cs="Times New Roman"/>
          <w:sz w:val="24"/>
          <w:szCs w:val="24"/>
        </w:rPr>
      </w:pPr>
      <w:r w:rsidRPr="00B822CE">
        <w:rPr>
          <w:rFonts w:ascii="Times New Roman" w:hAnsi="Times New Roman" w:cs="Times New Roman"/>
          <w:sz w:val="24"/>
          <w:szCs w:val="24"/>
        </w:rPr>
        <w:t>Zmniejsza się odsetek ludności w wieku przedprodukcyjnym (z 30,5</w:t>
      </w:r>
      <w:r w:rsidR="00836EA1">
        <w:rPr>
          <w:rFonts w:ascii="Times New Roman" w:hAnsi="Times New Roman" w:cs="Times New Roman"/>
          <w:sz w:val="24"/>
          <w:szCs w:val="24"/>
        </w:rPr>
        <w:t xml:space="preserve"> proc.</w:t>
      </w:r>
      <w:r w:rsidRPr="00B822CE">
        <w:rPr>
          <w:rFonts w:ascii="Times New Roman" w:hAnsi="Times New Roman" w:cs="Times New Roman"/>
          <w:sz w:val="24"/>
          <w:szCs w:val="24"/>
        </w:rPr>
        <w:t xml:space="preserve"> w 1995 r. do 18,</w:t>
      </w:r>
      <w:r w:rsidR="0075523D">
        <w:rPr>
          <w:rFonts w:ascii="Times New Roman" w:hAnsi="Times New Roman" w:cs="Times New Roman"/>
          <w:sz w:val="24"/>
          <w:szCs w:val="24"/>
        </w:rPr>
        <w:t>1</w:t>
      </w:r>
      <w:r w:rsidR="00836EA1">
        <w:rPr>
          <w:rFonts w:ascii="Times New Roman" w:hAnsi="Times New Roman" w:cs="Times New Roman"/>
          <w:sz w:val="24"/>
          <w:szCs w:val="24"/>
        </w:rPr>
        <w:t xml:space="preserve"> proc.</w:t>
      </w:r>
      <w:r w:rsidRPr="00B822CE">
        <w:rPr>
          <w:rFonts w:ascii="Times New Roman" w:hAnsi="Times New Roman" w:cs="Times New Roman"/>
          <w:sz w:val="24"/>
          <w:szCs w:val="24"/>
        </w:rPr>
        <w:t xml:space="preserve"> w 20</w:t>
      </w:r>
      <w:r w:rsidR="0075523D">
        <w:rPr>
          <w:rFonts w:ascii="Times New Roman" w:hAnsi="Times New Roman" w:cs="Times New Roman"/>
          <w:sz w:val="24"/>
          <w:szCs w:val="24"/>
        </w:rPr>
        <w:t>20</w:t>
      </w:r>
      <w:r w:rsidRPr="00B822CE">
        <w:rPr>
          <w:rFonts w:ascii="Times New Roman" w:hAnsi="Times New Roman" w:cs="Times New Roman"/>
          <w:sz w:val="24"/>
          <w:szCs w:val="24"/>
        </w:rPr>
        <w:t xml:space="preserve"> roku.). </w:t>
      </w:r>
      <w:r w:rsidR="00AE1713">
        <w:rPr>
          <w:rFonts w:ascii="Times New Roman" w:hAnsi="Times New Roman" w:cs="Times New Roman"/>
          <w:sz w:val="24"/>
          <w:szCs w:val="24"/>
        </w:rPr>
        <w:t>Spadek ludności w młodym wieku w</w:t>
      </w:r>
      <w:r w:rsidRPr="00B822CE">
        <w:rPr>
          <w:rFonts w:ascii="Times New Roman" w:hAnsi="Times New Roman" w:cs="Times New Roman"/>
          <w:sz w:val="24"/>
          <w:szCs w:val="24"/>
        </w:rPr>
        <w:t>spółwystępuje</w:t>
      </w:r>
      <w:r w:rsidR="00AE1713">
        <w:rPr>
          <w:rFonts w:ascii="Times New Roman" w:hAnsi="Times New Roman" w:cs="Times New Roman"/>
          <w:sz w:val="24"/>
          <w:szCs w:val="24"/>
        </w:rPr>
        <w:t xml:space="preserve"> </w:t>
      </w:r>
      <w:r w:rsidRPr="00B822CE">
        <w:rPr>
          <w:rFonts w:ascii="Times New Roman" w:hAnsi="Times New Roman" w:cs="Times New Roman"/>
          <w:sz w:val="24"/>
          <w:szCs w:val="24"/>
        </w:rPr>
        <w:t>z</w:t>
      </w:r>
      <w:r w:rsidR="00AE1713">
        <w:rPr>
          <w:rFonts w:ascii="Times New Roman" w:hAnsi="Times New Roman" w:cs="Times New Roman"/>
          <w:sz w:val="24"/>
          <w:szCs w:val="24"/>
        </w:rPr>
        <w:t xml:space="preserve">e </w:t>
      </w:r>
      <w:r w:rsidRPr="00B822CE">
        <w:rPr>
          <w:rFonts w:ascii="Times New Roman" w:hAnsi="Times New Roman" w:cs="Times New Roman"/>
          <w:sz w:val="24"/>
          <w:szCs w:val="24"/>
        </w:rPr>
        <w:t>wzrostem ludności w wieku poprodukcyjnym. O niekorzystnych tendencjach wśród osób młodych świadczy ponadto ograniczenie wzrostu liczby ludności w wieku przedprodukcyjnym</w:t>
      </w:r>
      <w:r w:rsidR="0075523D">
        <w:rPr>
          <w:rFonts w:ascii="Times New Roman" w:hAnsi="Times New Roman" w:cs="Times New Roman"/>
          <w:sz w:val="24"/>
          <w:szCs w:val="24"/>
        </w:rPr>
        <w:t>,</w:t>
      </w:r>
      <w:r w:rsidRPr="00B822CE">
        <w:rPr>
          <w:rFonts w:ascii="Times New Roman" w:hAnsi="Times New Roman" w:cs="Times New Roman"/>
          <w:sz w:val="24"/>
          <w:szCs w:val="24"/>
        </w:rPr>
        <w:t xml:space="preserve"> pomimo występującego od 2016 roku dodatniego salda migracji </w:t>
      </w:r>
      <w:r>
        <w:rPr>
          <w:rFonts w:ascii="Times New Roman" w:hAnsi="Times New Roman" w:cs="Times New Roman"/>
          <w:sz w:val="24"/>
          <w:szCs w:val="24"/>
        </w:rPr>
        <w:t>w tej grupie</w:t>
      </w:r>
      <w:r w:rsidRPr="00B822CE">
        <w:rPr>
          <w:rFonts w:ascii="Times New Roman" w:hAnsi="Times New Roman" w:cs="Times New Roman"/>
          <w:sz w:val="24"/>
          <w:szCs w:val="24"/>
        </w:rPr>
        <w:t>.</w:t>
      </w:r>
    </w:p>
    <w:p w:rsidR="00FC1B7D" w:rsidRPr="006F08DC" w:rsidRDefault="00FC1B7D" w:rsidP="00FC1B7D">
      <w:pPr>
        <w:pStyle w:val="Akapitzlist"/>
        <w:numPr>
          <w:ilvl w:val="0"/>
          <w:numId w:val="17"/>
        </w:numPr>
        <w:spacing w:after="0" w:line="360" w:lineRule="auto"/>
        <w:jc w:val="both"/>
        <w:rPr>
          <w:rFonts w:ascii="Times New Roman" w:hAnsi="Times New Roman" w:cs="Times New Roman"/>
          <w:sz w:val="24"/>
          <w:szCs w:val="24"/>
        </w:rPr>
      </w:pPr>
      <w:r w:rsidRPr="006F08DC">
        <w:rPr>
          <w:rFonts w:ascii="Times New Roman" w:hAnsi="Times New Roman" w:cs="Times New Roman"/>
          <w:sz w:val="24"/>
          <w:szCs w:val="24"/>
        </w:rPr>
        <w:t xml:space="preserve">Ponowny wzrost wskaźnika obciążenia demograficznego </w:t>
      </w:r>
      <w:r>
        <w:rPr>
          <w:rFonts w:ascii="Times New Roman" w:hAnsi="Times New Roman" w:cs="Times New Roman"/>
          <w:sz w:val="24"/>
          <w:szCs w:val="24"/>
        </w:rPr>
        <w:t>o</w:t>
      </w:r>
      <w:r w:rsidRPr="006F08DC">
        <w:rPr>
          <w:rFonts w:ascii="Times New Roman" w:hAnsi="Times New Roman" w:cs="Times New Roman"/>
          <w:sz w:val="24"/>
          <w:szCs w:val="24"/>
        </w:rPr>
        <w:t xml:space="preserve">d 2012 roku </w:t>
      </w:r>
      <w:r w:rsidR="00E118D8">
        <w:rPr>
          <w:rFonts w:ascii="Times New Roman" w:hAnsi="Times New Roman" w:cs="Times New Roman"/>
          <w:sz w:val="24"/>
          <w:szCs w:val="24"/>
        </w:rPr>
        <w:t>(</w:t>
      </w:r>
      <w:r w:rsidR="00155C38" w:rsidRPr="006F08DC">
        <w:rPr>
          <w:rFonts w:ascii="Times New Roman" w:hAnsi="Times New Roman" w:cs="Times New Roman"/>
          <w:sz w:val="24"/>
          <w:szCs w:val="24"/>
        </w:rPr>
        <w:t>po zmniejszaniu się jego wartości do 2011 roku</w:t>
      </w:r>
      <w:r w:rsidR="00E118D8">
        <w:rPr>
          <w:rFonts w:ascii="Times New Roman" w:hAnsi="Times New Roman" w:cs="Times New Roman"/>
          <w:sz w:val="24"/>
          <w:szCs w:val="24"/>
        </w:rPr>
        <w:t>)</w:t>
      </w:r>
      <w:r w:rsidR="00155C38">
        <w:rPr>
          <w:rFonts w:ascii="Times New Roman" w:hAnsi="Times New Roman" w:cs="Times New Roman"/>
          <w:sz w:val="24"/>
          <w:szCs w:val="24"/>
        </w:rPr>
        <w:t xml:space="preserve">. Wskaźnik obciążenia demograficznego obliczono jako </w:t>
      </w:r>
      <w:r w:rsidRPr="006F08DC">
        <w:rPr>
          <w:rFonts w:ascii="Times New Roman" w:hAnsi="Times New Roman" w:cs="Times New Roman"/>
          <w:sz w:val="24"/>
          <w:szCs w:val="24"/>
        </w:rPr>
        <w:t>proporcj</w:t>
      </w:r>
      <w:r w:rsidR="00155C38">
        <w:rPr>
          <w:rFonts w:ascii="Times New Roman" w:hAnsi="Times New Roman" w:cs="Times New Roman"/>
          <w:sz w:val="24"/>
          <w:szCs w:val="24"/>
        </w:rPr>
        <w:t>a</w:t>
      </w:r>
      <w:r w:rsidRPr="006F08DC">
        <w:rPr>
          <w:rFonts w:ascii="Times New Roman" w:hAnsi="Times New Roman" w:cs="Times New Roman"/>
          <w:sz w:val="24"/>
          <w:szCs w:val="24"/>
        </w:rPr>
        <w:t xml:space="preserve"> ludności w wieku nieprodukcyjnym (przed i po produkcyjnym) w stosunku do ludności będącej w wieku produkcyjnym.</w:t>
      </w:r>
    </w:p>
    <w:p w:rsidR="008639CF" w:rsidRPr="008639CF" w:rsidRDefault="00FC1B7D" w:rsidP="008639CF">
      <w:pPr>
        <w:pStyle w:val="Akapitzlist"/>
        <w:numPr>
          <w:ilvl w:val="0"/>
          <w:numId w:val="17"/>
        </w:numPr>
        <w:spacing w:after="0" w:line="360" w:lineRule="auto"/>
        <w:jc w:val="both"/>
        <w:rPr>
          <w:rFonts w:ascii="Times New Roman" w:hAnsi="Times New Roman" w:cs="Times New Roman"/>
          <w:sz w:val="24"/>
          <w:szCs w:val="24"/>
        </w:rPr>
      </w:pPr>
      <w:r w:rsidRPr="008639CF">
        <w:rPr>
          <w:rFonts w:ascii="Times New Roman" w:hAnsi="Times New Roman" w:cs="Times New Roman"/>
          <w:sz w:val="24"/>
          <w:szCs w:val="24"/>
        </w:rPr>
        <w:t xml:space="preserve">Wykres zawiera wersję wskaźnika obciążenia demograficznego zdefiniowanego jako proporcja osób starszych tj. będących już w wieku poprodukcyjnym do sumy osób w wieku przedprodukcyjnym i produkcyjnym. W tak zdefiniowanym wskaźniku również wystąpił wzrost, który wynika </w:t>
      </w:r>
      <w:r w:rsidR="00746B0B">
        <w:rPr>
          <w:rFonts w:ascii="Times New Roman" w:hAnsi="Times New Roman" w:cs="Times New Roman"/>
          <w:sz w:val="24"/>
          <w:szCs w:val="24"/>
        </w:rPr>
        <w:t xml:space="preserve">m. in. </w:t>
      </w:r>
      <w:r w:rsidRPr="008639CF">
        <w:rPr>
          <w:rFonts w:ascii="Times New Roman" w:hAnsi="Times New Roman" w:cs="Times New Roman"/>
          <w:sz w:val="24"/>
          <w:szCs w:val="24"/>
        </w:rPr>
        <w:t>ze znaczn</w:t>
      </w:r>
      <w:r w:rsidR="008639CF" w:rsidRPr="008639CF">
        <w:rPr>
          <w:rFonts w:ascii="Times New Roman" w:hAnsi="Times New Roman" w:cs="Times New Roman"/>
          <w:sz w:val="24"/>
          <w:szCs w:val="24"/>
        </w:rPr>
        <w:t>ych</w:t>
      </w:r>
      <w:r w:rsidRPr="008639CF">
        <w:rPr>
          <w:rFonts w:ascii="Times New Roman" w:hAnsi="Times New Roman" w:cs="Times New Roman"/>
          <w:sz w:val="24"/>
          <w:szCs w:val="24"/>
        </w:rPr>
        <w:t xml:space="preserve"> migracji osób w </w:t>
      </w:r>
      <w:r w:rsidR="008639CF" w:rsidRPr="008639CF">
        <w:rPr>
          <w:rFonts w:ascii="Times New Roman" w:hAnsi="Times New Roman" w:cs="Times New Roman"/>
          <w:sz w:val="24"/>
          <w:szCs w:val="24"/>
        </w:rPr>
        <w:t xml:space="preserve">sile </w:t>
      </w:r>
      <w:r w:rsidRPr="008639CF">
        <w:rPr>
          <w:rFonts w:ascii="Times New Roman" w:hAnsi="Times New Roman" w:cs="Times New Roman"/>
          <w:sz w:val="24"/>
          <w:szCs w:val="24"/>
        </w:rPr>
        <w:t>wieku.</w:t>
      </w:r>
      <w:r w:rsidR="008639CF" w:rsidRPr="008639CF">
        <w:rPr>
          <w:rFonts w:ascii="Times New Roman" w:hAnsi="Times New Roman" w:cs="Times New Roman"/>
          <w:sz w:val="24"/>
          <w:szCs w:val="24"/>
        </w:rPr>
        <w:br w:type="page"/>
      </w:r>
    </w:p>
    <w:p w:rsidR="00B92E45" w:rsidRPr="005B0288" w:rsidRDefault="00365228" w:rsidP="00EE3609">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6" w:name="_Toc446334629"/>
      <w:bookmarkStart w:id="7" w:name="_Toc81396060"/>
      <w:r w:rsidRPr="005B0288">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Pracodawcy. </w:t>
      </w:r>
      <w:r w:rsidR="00B92E45" w:rsidRPr="005B0288">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Stan rozwoju </w:t>
      </w:r>
      <w:r w:rsidR="0069405B" w:rsidRPr="005B0288">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firm</w:t>
      </w:r>
      <w:r w:rsidR="00675DD3" w:rsidRPr="005B0288">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B92E45" w:rsidRPr="005B0288">
        <w:rPr>
          <w:rFonts w:ascii="Arial Black" w:hAnsi="Arial Black"/>
          <w:caps/>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0"/>
      </w:r>
      <w:bookmarkEnd w:id="6"/>
      <w:bookmarkEnd w:id="7"/>
    </w:p>
    <w:p w:rsidR="00A6488E" w:rsidRDefault="00A6488E" w:rsidP="00B92E45">
      <w:pPr>
        <w:pStyle w:val="Bezodstpw"/>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B0288" w:rsidRPr="009754EE" w:rsidRDefault="005B0288" w:rsidP="005B0288">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754E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LICZBA PodmiotÓW gospodarki narodowej  w</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Pr="009754EE">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województw</w:t>
      </w:r>
    </w:p>
    <w:tbl>
      <w:tblPr>
        <w:tblStyle w:val="Tabela-Siatka"/>
        <w:tblW w:w="7513" w:type="dxa"/>
        <w:jc w:val="center"/>
        <w:tblLook w:val="04A0" w:firstRow="1" w:lastRow="0" w:firstColumn="1" w:lastColumn="0" w:noHBand="0" w:noVBand="1"/>
      </w:tblPr>
      <w:tblGrid>
        <w:gridCol w:w="2693"/>
        <w:gridCol w:w="2410"/>
        <w:gridCol w:w="2410"/>
      </w:tblGrid>
      <w:tr w:rsidR="00BE425A" w:rsidRPr="00CA6E66" w:rsidTr="00BE425A">
        <w:trPr>
          <w:trHeight w:val="285"/>
          <w:jc w:val="center"/>
        </w:trPr>
        <w:tc>
          <w:tcPr>
            <w:tcW w:w="2693" w:type="dxa"/>
            <w:tcBorders>
              <w:right w:val="single" w:sz="4" w:space="0" w:color="auto"/>
            </w:tcBorders>
            <w:shd w:val="clear" w:color="auto" w:fill="E5DFEC" w:themeFill="accent4" w:themeFillTint="33"/>
            <w:noWrap/>
            <w:vAlign w:val="center"/>
            <w:hideMark/>
          </w:tcPr>
          <w:p w:rsidR="00BE425A" w:rsidRPr="009754EE" w:rsidRDefault="00BE425A" w:rsidP="00977C90">
            <w:pPr>
              <w:pStyle w:val="Bezodstpw"/>
              <w:jc w:val="center"/>
              <w:rPr>
                <w:rFonts w:ascii="Times New Roman" w:hAnsi="Times New Roman" w:cs="Times New Roman"/>
                <w:sz w:val="16"/>
                <w:szCs w:val="16"/>
              </w:rPr>
            </w:pPr>
            <w:r w:rsidRPr="009754EE">
              <w:rPr>
                <w:rFonts w:ascii="Times New Roman" w:hAnsi="Times New Roman" w:cs="Times New Roman"/>
                <w:sz w:val="16"/>
                <w:szCs w:val="16"/>
              </w:rPr>
              <w:t>WOJEWÓDZTWA</w:t>
            </w:r>
          </w:p>
        </w:tc>
        <w:tc>
          <w:tcPr>
            <w:tcW w:w="2410" w:type="dxa"/>
            <w:tcBorders>
              <w:right w:val="single" w:sz="4" w:space="0" w:color="auto"/>
            </w:tcBorders>
            <w:shd w:val="clear" w:color="auto" w:fill="E5DFEC" w:themeFill="accent4" w:themeFillTint="33"/>
          </w:tcPr>
          <w:p w:rsidR="00BE425A" w:rsidRPr="009754EE" w:rsidRDefault="00BE425A" w:rsidP="007D75C7">
            <w:pPr>
              <w:pStyle w:val="Bezodstpw"/>
              <w:jc w:val="center"/>
              <w:rPr>
                <w:rFonts w:ascii="Times New Roman" w:hAnsi="Times New Roman" w:cs="Times New Roman"/>
                <w:sz w:val="20"/>
                <w:szCs w:val="20"/>
              </w:rPr>
            </w:pPr>
            <w:r w:rsidRPr="009754EE">
              <w:rPr>
                <w:rFonts w:ascii="Times New Roman" w:hAnsi="Times New Roman" w:cs="Times New Roman"/>
                <w:sz w:val="20"/>
                <w:szCs w:val="20"/>
              </w:rPr>
              <w:t>liczba podmiotów</w:t>
            </w:r>
          </w:p>
          <w:p w:rsidR="00BE425A" w:rsidRPr="009754EE" w:rsidRDefault="00BE425A" w:rsidP="007D75C7">
            <w:pPr>
              <w:pStyle w:val="Bezodstpw"/>
              <w:jc w:val="center"/>
              <w:rPr>
                <w:rFonts w:ascii="Times New Roman" w:hAnsi="Times New Roman" w:cs="Times New Roman"/>
                <w:sz w:val="20"/>
                <w:szCs w:val="20"/>
              </w:rPr>
            </w:pPr>
            <w:r w:rsidRPr="009754EE">
              <w:rPr>
                <w:rFonts w:ascii="Times New Roman" w:hAnsi="Times New Roman" w:cs="Times New Roman"/>
                <w:sz w:val="20"/>
                <w:szCs w:val="20"/>
              </w:rPr>
              <w:t>na dzień 31 XII 20</w:t>
            </w:r>
            <w:r>
              <w:rPr>
                <w:rFonts w:ascii="Times New Roman" w:hAnsi="Times New Roman" w:cs="Times New Roman"/>
                <w:sz w:val="20"/>
                <w:szCs w:val="20"/>
              </w:rPr>
              <w:t>20</w:t>
            </w:r>
          </w:p>
        </w:tc>
        <w:tc>
          <w:tcPr>
            <w:tcW w:w="2410" w:type="dxa"/>
            <w:tcBorders>
              <w:right w:val="single" w:sz="4" w:space="0" w:color="auto"/>
            </w:tcBorders>
            <w:shd w:val="clear" w:color="auto" w:fill="E5DFEC" w:themeFill="accent4" w:themeFillTint="33"/>
          </w:tcPr>
          <w:p w:rsidR="00BE425A" w:rsidRPr="009754EE" w:rsidRDefault="00BE425A" w:rsidP="007D75C7">
            <w:pPr>
              <w:pStyle w:val="Bezodstpw"/>
              <w:jc w:val="center"/>
              <w:rPr>
                <w:rFonts w:ascii="Times New Roman" w:hAnsi="Times New Roman" w:cs="Times New Roman"/>
                <w:sz w:val="20"/>
                <w:szCs w:val="20"/>
              </w:rPr>
            </w:pPr>
            <w:r w:rsidRPr="009754EE">
              <w:rPr>
                <w:rFonts w:ascii="Times New Roman" w:hAnsi="Times New Roman" w:cs="Times New Roman"/>
                <w:sz w:val="20"/>
                <w:szCs w:val="20"/>
              </w:rPr>
              <w:t>liczba podmiotów</w:t>
            </w:r>
          </w:p>
          <w:p w:rsidR="00BE425A" w:rsidRPr="009754EE" w:rsidRDefault="00BE425A" w:rsidP="00BE425A">
            <w:pPr>
              <w:pStyle w:val="Bezodstpw"/>
              <w:jc w:val="center"/>
              <w:rPr>
                <w:rFonts w:ascii="Times New Roman" w:hAnsi="Times New Roman" w:cs="Times New Roman"/>
                <w:sz w:val="20"/>
                <w:szCs w:val="20"/>
              </w:rPr>
            </w:pPr>
            <w:r w:rsidRPr="009754EE">
              <w:rPr>
                <w:rFonts w:ascii="Times New Roman" w:hAnsi="Times New Roman" w:cs="Times New Roman"/>
                <w:sz w:val="20"/>
                <w:szCs w:val="20"/>
              </w:rPr>
              <w:t>na dzień 3</w:t>
            </w:r>
            <w:r>
              <w:rPr>
                <w:rFonts w:ascii="Times New Roman" w:hAnsi="Times New Roman" w:cs="Times New Roman"/>
                <w:sz w:val="20"/>
                <w:szCs w:val="20"/>
              </w:rPr>
              <w:t>0</w:t>
            </w:r>
            <w:r w:rsidRPr="009754EE">
              <w:rPr>
                <w:rFonts w:ascii="Times New Roman" w:hAnsi="Times New Roman" w:cs="Times New Roman"/>
                <w:sz w:val="20"/>
                <w:szCs w:val="20"/>
              </w:rPr>
              <w:t xml:space="preserve"> </w:t>
            </w:r>
            <w:r>
              <w:rPr>
                <w:rFonts w:ascii="Times New Roman" w:hAnsi="Times New Roman" w:cs="Times New Roman"/>
                <w:sz w:val="20"/>
                <w:szCs w:val="20"/>
              </w:rPr>
              <w:t>VI</w:t>
            </w:r>
            <w:r w:rsidRPr="009754EE">
              <w:rPr>
                <w:rFonts w:ascii="Times New Roman" w:hAnsi="Times New Roman" w:cs="Times New Roman"/>
                <w:sz w:val="20"/>
                <w:szCs w:val="20"/>
              </w:rPr>
              <w:t xml:space="preserve"> 20</w:t>
            </w:r>
            <w:r>
              <w:rPr>
                <w:rFonts w:ascii="Times New Roman" w:hAnsi="Times New Roman" w:cs="Times New Roman"/>
                <w:sz w:val="20"/>
                <w:szCs w:val="20"/>
              </w:rPr>
              <w:t>21</w:t>
            </w:r>
          </w:p>
        </w:tc>
      </w:tr>
      <w:tr w:rsidR="00BE425A" w:rsidRPr="00CA6E66" w:rsidTr="00BE425A">
        <w:trPr>
          <w:trHeight w:val="109"/>
          <w:jc w:val="center"/>
        </w:trPr>
        <w:tc>
          <w:tcPr>
            <w:tcW w:w="2693" w:type="dxa"/>
            <w:tcBorders>
              <w:right w:val="single" w:sz="4" w:space="0" w:color="auto"/>
            </w:tcBorders>
            <w:shd w:val="clear" w:color="auto" w:fill="E5DFEC" w:themeFill="accent4" w:themeFillTint="33"/>
            <w:noWrap/>
          </w:tcPr>
          <w:p w:rsidR="00BE425A" w:rsidRPr="0060565A" w:rsidRDefault="00BE425A" w:rsidP="00977C90">
            <w:pPr>
              <w:pStyle w:val="Bezodstpw"/>
              <w:spacing w:line="200" w:lineRule="exact"/>
              <w:jc w:val="both"/>
              <w:rPr>
                <w:rFonts w:ascii="Arial" w:hAnsi="Arial" w:cs="Arial"/>
                <w:b/>
                <w:sz w:val="16"/>
                <w:szCs w:val="16"/>
              </w:rPr>
            </w:pPr>
            <w:r w:rsidRPr="0060565A">
              <w:rPr>
                <w:rFonts w:ascii="Arial" w:hAnsi="Arial" w:cs="Arial"/>
                <w:b/>
                <w:sz w:val="16"/>
                <w:szCs w:val="16"/>
              </w:rPr>
              <w:t>POLSKA</w:t>
            </w:r>
          </w:p>
        </w:tc>
        <w:tc>
          <w:tcPr>
            <w:tcW w:w="2410" w:type="dxa"/>
            <w:tcBorders>
              <w:right w:val="single" w:sz="4" w:space="0" w:color="auto"/>
            </w:tcBorders>
            <w:shd w:val="clear" w:color="auto" w:fill="E5DFEC" w:themeFill="accent4" w:themeFillTint="33"/>
            <w:vAlign w:val="center"/>
          </w:tcPr>
          <w:p w:rsidR="00BE425A" w:rsidRPr="00E42C54" w:rsidRDefault="00BE425A" w:rsidP="00BE425A">
            <w:pPr>
              <w:jc w:val="center"/>
              <w:rPr>
                <w:rFonts w:ascii="Arial" w:hAnsi="Arial" w:cs="Arial"/>
                <w:b/>
                <w:color w:val="000000"/>
                <w:sz w:val="16"/>
                <w:szCs w:val="16"/>
              </w:rPr>
            </w:pPr>
            <w:r w:rsidRPr="00E42C54">
              <w:rPr>
                <w:rFonts w:ascii="Arial" w:hAnsi="Arial" w:cs="Arial"/>
                <w:b/>
                <w:color w:val="000000"/>
                <w:sz w:val="16"/>
                <w:szCs w:val="16"/>
              </w:rPr>
              <w:t>4663378</w:t>
            </w:r>
          </w:p>
        </w:tc>
        <w:tc>
          <w:tcPr>
            <w:tcW w:w="2410" w:type="dxa"/>
            <w:tcBorders>
              <w:right w:val="single" w:sz="4" w:space="0" w:color="auto"/>
            </w:tcBorders>
            <w:shd w:val="clear" w:color="auto" w:fill="E5DFEC" w:themeFill="accent4" w:themeFillTint="33"/>
            <w:vAlign w:val="center"/>
          </w:tcPr>
          <w:p w:rsidR="00BE425A" w:rsidRPr="00E42C54" w:rsidRDefault="00BE425A" w:rsidP="00BE425A">
            <w:pPr>
              <w:jc w:val="center"/>
              <w:rPr>
                <w:rFonts w:ascii="Arial" w:hAnsi="Arial" w:cs="Arial"/>
                <w:b/>
                <w:color w:val="000000"/>
                <w:sz w:val="16"/>
                <w:szCs w:val="16"/>
              </w:rPr>
            </w:pPr>
            <w:r>
              <w:rPr>
                <w:rFonts w:ascii="Arial" w:hAnsi="Arial" w:cs="Arial"/>
                <w:b/>
                <w:color w:val="000000"/>
                <w:sz w:val="16"/>
                <w:szCs w:val="16"/>
              </w:rPr>
              <w:t>4747966</w:t>
            </w:r>
          </w:p>
        </w:tc>
      </w:tr>
      <w:tr w:rsidR="00BE425A" w:rsidRPr="00CA6E66" w:rsidTr="00BE425A">
        <w:trPr>
          <w:trHeight w:val="109"/>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MAZOWIECKIE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887329</w:t>
            </w:r>
          </w:p>
        </w:tc>
        <w:tc>
          <w:tcPr>
            <w:tcW w:w="2410" w:type="dxa"/>
            <w:tcBorders>
              <w:right w:val="single" w:sz="4" w:space="0" w:color="auto"/>
            </w:tcBorders>
            <w:vAlign w:val="center"/>
          </w:tcPr>
          <w:p w:rsidR="00BE425A" w:rsidRPr="00E42C54" w:rsidRDefault="007C25DF" w:rsidP="007D75C7">
            <w:pPr>
              <w:jc w:val="center"/>
              <w:rPr>
                <w:rFonts w:ascii="Arial" w:hAnsi="Arial" w:cs="Arial"/>
                <w:color w:val="000000"/>
                <w:sz w:val="16"/>
                <w:szCs w:val="16"/>
              </w:rPr>
            </w:pPr>
            <w:r>
              <w:rPr>
                <w:rFonts w:ascii="Arial" w:hAnsi="Arial" w:cs="Arial"/>
                <w:color w:val="000000"/>
                <w:sz w:val="16"/>
                <w:szCs w:val="16"/>
              </w:rPr>
              <w:t>907151</w:t>
            </w:r>
          </w:p>
        </w:tc>
      </w:tr>
      <w:tr w:rsidR="00BE425A" w:rsidRPr="00CA6E66" w:rsidTr="00BE425A">
        <w:trPr>
          <w:trHeight w:val="144"/>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ŚLĄSKIE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494282</w:t>
            </w:r>
          </w:p>
        </w:tc>
        <w:tc>
          <w:tcPr>
            <w:tcW w:w="2410" w:type="dxa"/>
            <w:tcBorders>
              <w:right w:val="single" w:sz="4" w:space="0" w:color="auto"/>
            </w:tcBorders>
            <w:vAlign w:val="center"/>
          </w:tcPr>
          <w:p w:rsidR="00BE425A" w:rsidRPr="00E42C54" w:rsidRDefault="007C25DF" w:rsidP="007D75C7">
            <w:pPr>
              <w:jc w:val="center"/>
              <w:rPr>
                <w:rFonts w:ascii="Arial" w:hAnsi="Arial" w:cs="Arial"/>
                <w:color w:val="000000"/>
                <w:sz w:val="16"/>
                <w:szCs w:val="16"/>
              </w:rPr>
            </w:pPr>
            <w:r>
              <w:rPr>
                <w:rFonts w:ascii="Arial" w:hAnsi="Arial" w:cs="Arial"/>
                <w:color w:val="000000"/>
                <w:sz w:val="16"/>
                <w:szCs w:val="16"/>
              </w:rPr>
              <w:t>501024</w:t>
            </w:r>
          </w:p>
        </w:tc>
      </w:tr>
      <w:tr w:rsidR="00BE425A" w:rsidRPr="00CA6E66" w:rsidTr="00BE425A">
        <w:trPr>
          <w:trHeight w:val="62"/>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WIELKOPOLSKIE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461225</w:t>
            </w:r>
          </w:p>
        </w:tc>
        <w:tc>
          <w:tcPr>
            <w:tcW w:w="2410" w:type="dxa"/>
            <w:tcBorders>
              <w:right w:val="single" w:sz="4" w:space="0" w:color="auto"/>
            </w:tcBorders>
            <w:vAlign w:val="center"/>
          </w:tcPr>
          <w:p w:rsidR="00BE425A" w:rsidRPr="00E42C54" w:rsidRDefault="007C25DF" w:rsidP="007D75C7">
            <w:pPr>
              <w:jc w:val="center"/>
              <w:rPr>
                <w:rFonts w:ascii="Arial" w:hAnsi="Arial" w:cs="Arial"/>
                <w:color w:val="000000"/>
                <w:sz w:val="16"/>
                <w:szCs w:val="16"/>
              </w:rPr>
            </w:pPr>
            <w:r>
              <w:rPr>
                <w:rFonts w:ascii="Arial" w:hAnsi="Arial" w:cs="Arial"/>
                <w:color w:val="000000"/>
                <w:sz w:val="16"/>
                <w:szCs w:val="16"/>
              </w:rPr>
              <w:t>469239</w:t>
            </w:r>
          </w:p>
        </w:tc>
      </w:tr>
      <w:tr w:rsidR="00BE425A" w:rsidRPr="00CA6E66" w:rsidTr="00BE425A">
        <w:trPr>
          <w:trHeight w:val="149"/>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MAŁOPOLSKIE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426306</w:t>
            </w:r>
          </w:p>
        </w:tc>
        <w:tc>
          <w:tcPr>
            <w:tcW w:w="2410" w:type="dxa"/>
            <w:tcBorders>
              <w:right w:val="single" w:sz="4" w:space="0" w:color="auto"/>
            </w:tcBorders>
            <w:vAlign w:val="center"/>
          </w:tcPr>
          <w:p w:rsidR="00BE425A" w:rsidRPr="00E42C54" w:rsidRDefault="007C25DF" w:rsidP="007D75C7">
            <w:pPr>
              <w:jc w:val="center"/>
              <w:rPr>
                <w:rFonts w:ascii="Arial" w:hAnsi="Arial" w:cs="Arial"/>
                <w:color w:val="000000"/>
                <w:sz w:val="16"/>
                <w:szCs w:val="16"/>
              </w:rPr>
            </w:pPr>
            <w:r>
              <w:rPr>
                <w:rFonts w:ascii="Arial" w:hAnsi="Arial" w:cs="Arial"/>
                <w:color w:val="000000"/>
                <w:sz w:val="16"/>
                <w:szCs w:val="16"/>
              </w:rPr>
              <w:t>435722</w:t>
            </w:r>
          </w:p>
        </w:tc>
      </w:tr>
      <w:tr w:rsidR="00BE425A" w:rsidRPr="00CA6E66" w:rsidTr="00BE425A">
        <w:trPr>
          <w:trHeight w:val="209"/>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DOLNOŚLĄSKIE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396046</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Pr>
                <w:rFonts w:ascii="Arial" w:hAnsi="Arial" w:cs="Arial"/>
                <w:color w:val="000000"/>
                <w:sz w:val="16"/>
                <w:szCs w:val="16"/>
              </w:rPr>
              <w:t>402887</w:t>
            </w:r>
          </w:p>
        </w:tc>
      </w:tr>
      <w:tr w:rsidR="00BE425A" w:rsidRPr="00CA6E66" w:rsidTr="00BE425A">
        <w:trPr>
          <w:trHeight w:val="142"/>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POMORSKIE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318518</w:t>
            </w:r>
          </w:p>
        </w:tc>
        <w:tc>
          <w:tcPr>
            <w:tcW w:w="2410" w:type="dxa"/>
            <w:tcBorders>
              <w:right w:val="single" w:sz="4" w:space="0" w:color="auto"/>
            </w:tcBorders>
            <w:vAlign w:val="center"/>
          </w:tcPr>
          <w:p w:rsidR="00BE425A" w:rsidRPr="00E42C54" w:rsidRDefault="007C25DF" w:rsidP="007C25DF">
            <w:pPr>
              <w:jc w:val="center"/>
              <w:rPr>
                <w:rFonts w:ascii="Arial" w:hAnsi="Arial" w:cs="Arial"/>
                <w:color w:val="000000"/>
                <w:sz w:val="16"/>
                <w:szCs w:val="16"/>
              </w:rPr>
            </w:pPr>
            <w:r>
              <w:rPr>
                <w:rFonts w:ascii="Arial" w:hAnsi="Arial" w:cs="Arial"/>
                <w:color w:val="000000"/>
                <w:sz w:val="16"/>
                <w:szCs w:val="16"/>
              </w:rPr>
              <w:t>325210</w:t>
            </w:r>
          </w:p>
        </w:tc>
      </w:tr>
      <w:tr w:rsidR="00BE425A" w:rsidRPr="00CA6E66" w:rsidTr="00BE425A">
        <w:trPr>
          <w:trHeight w:val="73"/>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ŁÓDZKIE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261498</w:t>
            </w:r>
          </w:p>
        </w:tc>
        <w:tc>
          <w:tcPr>
            <w:tcW w:w="2410" w:type="dxa"/>
            <w:tcBorders>
              <w:right w:val="single" w:sz="4" w:space="0" w:color="auto"/>
            </w:tcBorders>
            <w:vAlign w:val="center"/>
          </w:tcPr>
          <w:p w:rsidR="00BE425A" w:rsidRPr="00E42C54" w:rsidRDefault="007C25DF" w:rsidP="007D75C7">
            <w:pPr>
              <w:jc w:val="center"/>
              <w:rPr>
                <w:rFonts w:ascii="Arial" w:hAnsi="Arial" w:cs="Arial"/>
                <w:color w:val="000000"/>
                <w:sz w:val="16"/>
                <w:szCs w:val="16"/>
              </w:rPr>
            </w:pPr>
            <w:r>
              <w:rPr>
                <w:rFonts w:ascii="Arial" w:hAnsi="Arial" w:cs="Arial"/>
                <w:color w:val="000000"/>
                <w:sz w:val="16"/>
                <w:szCs w:val="16"/>
              </w:rPr>
              <w:t>265204</w:t>
            </w:r>
          </w:p>
        </w:tc>
      </w:tr>
      <w:tr w:rsidR="00BE425A" w:rsidRPr="00CA6E66" w:rsidTr="00BE425A">
        <w:trPr>
          <w:trHeight w:val="134"/>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ZACHODNIOPOMORSKIE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234131</w:t>
            </w:r>
          </w:p>
        </w:tc>
        <w:tc>
          <w:tcPr>
            <w:tcW w:w="2410" w:type="dxa"/>
            <w:tcBorders>
              <w:right w:val="single" w:sz="4" w:space="0" w:color="auto"/>
            </w:tcBorders>
            <w:vAlign w:val="center"/>
          </w:tcPr>
          <w:p w:rsidR="00BE425A" w:rsidRPr="00E42C54" w:rsidRDefault="007C25DF" w:rsidP="007D75C7">
            <w:pPr>
              <w:jc w:val="center"/>
              <w:rPr>
                <w:rFonts w:ascii="Arial" w:hAnsi="Arial" w:cs="Arial"/>
                <w:color w:val="000000"/>
                <w:sz w:val="16"/>
                <w:szCs w:val="16"/>
              </w:rPr>
            </w:pPr>
            <w:r>
              <w:rPr>
                <w:rFonts w:ascii="Arial" w:hAnsi="Arial" w:cs="Arial"/>
                <w:color w:val="000000"/>
                <w:sz w:val="16"/>
                <w:szCs w:val="16"/>
              </w:rPr>
              <w:t>237090</w:t>
            </w:r>
          </w:p>
        </w:tc>
      </w:tr>
      <w:tr w:rsidR="00BE425A" w:rsidRPr="00CA6E66" w:rsidTr="00BE425A">
        <w:trPr>
          <w:trHeight w:val="79"/>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KUJAWSKO-POMORSKIE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209750</w:t>
            </w:r>
          </w:p>
        </w:tc>
        <w:tc>
          <w:tcPr>
            <w:tcW w:w="2410" w:type="dxa"/>
            <w:tcBorders>
              <w:right w:val="single" w:sz="4" w:space="0" w:color="auto"/>
            </w:tcBorders>
            <w:vAlign w:val="center"/>
          </w:tcPr>
          <w:p w:rsidR="00BE425A" w:rsidRPr="00E42C54" w:rsidRDefault="00BE425A" w:rsidP="007D75C7">
            <w:pPr>
              <w:jc w:val="center"/>
              <w:rPr>
                <w:rFonts w:ascii="Arial" w:hAnsi="Arial" w:cs="Arial"/>
                <w:color w:val="000000"/>
                <w:sz w:val="16"/>
                <w:szCs w:val="16"/>
              </w:rPr>
            </w:pPr>
            <w:r>
              <w:rPr>
                <w:rFonts w:ascii="Arial" w:hAnsi="Arial" w:cs="Arial"/>
                <w:color w:val="000000"/>
                <w:sz w:val="16"/>
                <w:szCs w:val="16"/>
              </w:rPr>
              <w:t>212671</w:t>
            </w:r>
          </w:p>
        </w:tc>
      </w:tr>
      <w:tr w:rsidR="00BE425A" w:rsidRPr="00CA6E66" w:rsidTr="00BE425A">
        <w:trPr>
          <w:trHeight w:val="153"/>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LUBELSKIE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192737</w:t>
            </w:r>
          </w:p>
        </w:tc>
        <w:tc>
          <w:tcPr>
            <w:tcW w:w="2410" w:type="dxa"/>
            <w:tcBorders>
              <w:right w:val="single" w:sz="4" w:space="0" w:color="auto"/>
            </w:tcBorders>
            <w:vAlign w:val="center"/>
          </w:tcPr>
          <w:p w:rsidR="00BE425A" w:rsidRPr="00E42C54" w:rsidRDefault="00BE425A" w:rsidP="007D75C7">
            <w:pPr>
              <w:jc w:val="center"/>
              <w:rPr>
                <w:rFonts w:ascii="Arial" w:hAnsi="Arial" w:cs="Arial"/>
                <w:color w:val="000000"/>
                <w:sz w:val="16"/>
                <w:szCs w:val="16"/>
              </w:rPr>
            </w:pPr>
            <w:r>
              <w:rPr>
                <w:rFonts w:ascii="Arial" w:hAnsi="Arial" w:cs="Arial"/>
                <w:color w:val="000000"/>
                <w:sz w:val="16"/>
                <w:szCs w:val="16"/>
              </w:rPr>
              <w:t>196367</w:t>
            </w:r>
          </w:p>
        </w:tc>
      </w:tr>
      <w:tr w:rsidR="00BE425A" w:rsidRPr="00CA6E66" w:rsidTr="00BE425A">
        <w:trPr>
          <w:trHeight w:val="228"/>
          <w:jc w:val="center"/>
        </w:trPr>
        <w:tc>
          <w:tcPr>
            <w:tcW w:w="2693" w:type="dxa"/>
            <w:tcBorders>
              <w:right w:val="single" w:sz="4" w:space="0" w:color="auto"/>
            </w:tcBorders>
            <w:shd w:val="clear" w:color="auto" w:fill="E5DFEC" w:themeFill="accent4" w:themeFillTint="33"/>
            <w:noWrap/>
            <w:hideMark/>
          </w:tcPr>
          <w:p w:rsidR="00BE425A" w:rsidRPr="0060565A" w:rsidRDefault="00BE425A" w:rsidP="00977C90">
            <w:pPr>
              <w:pStyle w:val="Bezodstpw"/>
              <w:spacing w:line="200" w:lineRule="exact"/>
              <w:jc w:val="both"/>
              <w:rPr>
                <w:rFonts w:ascii="Arial" w:hAnsi="Arial" w:cs="Arial"/>
                <w:b/>
                <w:sz w:val="16"/>
                <w:szCs w:val="16"/>
              </w:rPr>
            </w:pPr>
            <w:r w:rsidRPr="0060565A">
              <w:rPr>
                <w:rFonts w:ascii="Arial" w:hAnsi="Arial" w:cs="Arial"/>
                <w:b/>
                <w:sz w:val="16"/>
                <w:szCs w:val="16"/>
              </w:rPr>
              <w:t xml:space="preserve">PODKARPACKIE (LOKATA </w:t>
            </w:r>
            <w:r>
              <w:rPr>
                <w:rFonts w:ascii="Arial" w:hAnsi="Arial" w:cs="Arial"/>
                <w:b/>
                <w:sz w:val="16"/>
                <w:szCs w:val="16"/>
              </w:rPr>
              <w:t>11</w:t>
            </w:r>
            <w:r w:rsidRPr="0060565A">
              <w:rPr>
                <w:rFonts w:ascii="Arial" w:hAnsi="Arial" w:cs="Arial"/>
                <w:b/>
                <w:sz w:val="16"/>
                <w:szCs w:val="16"/>
              </w:rPr>
              <w:t>)</w:t>
            </w:r>
          </w:p>
        </w:tc>
        <w:tc>
          <w:tcPr>
            <w:tcW w:w="2410" w:type="dxa"/>
            <w:tcBorders>
              <w:right w:val="single" w:sz="4" w:space="0" w:color="auto"/>
            </w:tcBorders>
            <w:shd w:val="clear" w:color="auto" w:fill="E5DFEC" w:themeFill="accent4" w:themeFillTint="33"/>
            <w:vAlign w:val="center"/>
          </w:tcPr>
          <w:p w:rsidR="00BE425A" w:rsidRPr="00E42C54" w:rsidRDefault="00BE425A" w:rsidP="00BE425A">
            <w:pPr>
              <w:jc w:val="center"/>
              <w:rPr>
                <w:rFonts w:ascii="Arial" w:hAnsi="Arial" w:cs="Arial"/>
                <w:b/>
                <w:color w:val="000000"/>
                <w:sz w:val="16"/>
                <w:szCs w:val="16"/>
              </w:rPr>
            </w:pPr>
            <w:r w:rsidRPr="00E42C54">
              <w:rPr>
                <w:rFonts w:ascii="Arial" w:hAnsi="Arial" w:cs="Arial"/>
                <w:b/>
                <w:color w:val="000000"/>
                <w:sz w:val="16"/>
                <w:szCs w:val="16"/>
              </w:rPr>
              <w:t>188360</w:t>
            </w:r>
          </w:p>
        </w:tc>
        <w:tc>
          <w:tcPr>
            <w:tcW w:w="2410" w:type="dxa"/>
            <w:tcBorders>
              <w:right w:val="single" w:sz="4" w:space="0" w:color="auto"/>
            </w:tcBorders>
            <w:shd w:val="clear" w:color="auto" w:fill="E5DFEC" w:themeFill="accent4" w:themeFillTint="33"/>
            <w:vAlign w:val="center"/>
          </w:tcPr>
          <w:p w:rsidR="00BE425A" w:rsidRPr="00E42C54" w:rsidRDefault="007C25DF" w:rsidP="007D75C7">
            <w:pPr>
              <w:jc w:val="center"/>
              <w:rPr>
                <w:rFonts w:ascii="Arial" w:hAnsi="Arial" w:cs="Arial"/>
                <w:b/>
                <w:color w:val="000000"/>
                <w:sz w:val="16"/>
                <w:szCs w:val="16"/>
              </w:rPr>
            </w:pPr>
            <w:r>
              <w:rPr>
                <w:rFonts w:ascii="Arial" w:hAnsi="Arial" w:cs="Arial"/>
                <w:b/>
                <w:color w:val="000000"/>
                <w:sz w:val="16"/>
                <w:szCs w:val="16"/>
              </w:rPr>
              <w:t>192671</w:t>
            </w:r>
          </w:p>
        </w:tc>
      </w:tr>
      <w:tr w:rsidR="00BE425A" w:rsidRPr="00CA6E66" w:rsidTr="00BE425A">
        <w:trPr>
          <w:trHeight w:val="131"/>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WARMIŃSKO-MAZURSKIE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136403</w:t>
            </w:r>
          </w:p>
        </w:tc>
        <w:tc>
          <w:tcPr>
            <w:tcW w:w="2410" w:type="dxa"/>
            <w:tcBorders>
              <w:right w:val="single" w:sz="4" w:space="0" w:color="auto"/>
            </w:tcBorders>
            <w:vAlign w:val="center"/>
          </w:tcPr>
          <w:p w:rsidR="00BE425A" w:rsidRPr="00E42C54" w:rsidRDefault="007C25DF" w:rsidP="007D75C7">
            <w:pPr>
              <w:jc w:val="center"/>
              <w:rPr>
                <w:rFonts w:ascii="Arial" w:hAnsi="Arial" w:cs="Arial"/>
                <w:color w:val="000000"/>
                <w:sz w:val="16"/>
                <w:szCs w:val="16"/>
              </w:rPr>
            </w:pPr>
            <w:r>
              <w:rPr>
                <w:rFonts w:ascii="Arial" w:hAnsi="Arial" w:cs="Arial"/>
                <w:color w:val="000000"/>
                <w:sz w:val="16"/>
                <w:szCs w:val="16"/>
              </w:rPr>
              <w:t>138669</w:t>
            </w:r>
          </w:p>
        </w:tc>
      </w:tr>
      <w:tr w:rsidR="00BE425A" w:rsidRPr="00CA6E66" w:rsidTr="00BE425A">
        <w:trPr>
          <w:trHeight w:val="63"/>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LUBUSKIE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120839</w:t>
            </w:r>
          </w:p>
        </w:tc>
        <w:tc>
          <w:tcPr>
            <w:tcW w:w="2410" w:type="dxa"/>
            <w:tcBorders>
              <w:right w:val="single" w:sz="4" w:space="0" w:color="auto"/>
            </w:tcBorders>
            <w:vAlign w:val="center"/>
          </w:tcPr>
          <w:p w:rsidR="00BE425A" w:rsidRPr="00E42C54" w:rsidRDefault="007C25DF" w:rsidP="007D75C7">
            <w:pPr>
              <w:jc w:val="center"/>
              <w:rPr>
                <w:rFonts w:ascii="Arial" w:hAnsi="Arial" w:cs="Arial"/>
                <w:color w:val="000000"/>
                <w:sz w:val="16"/>
                <w:szCs w:val="16"/>
              </w:rPr>
            </w:pPr>
            <w:r>
              <w:rPr>
                <w:rFonts w:ascii="Arial" w:hAnsi="Arial" w:cs="Arial"/>
                <w:color w:val="000000"/>
                <w:sz w:val="16"/>
                <w:szCs w:val="16"/>
              </w:rPr>
              <w:t>122703</w:t>
            </w:r>
          </w:p>
        </w:tc>
      </w:tr>
      <w:tr w:rsidR="00BE425A" w:rsidRPr="00CA6E66" w:rsidTr="00BE425A">
        <w:trPr>
          <w:trHeight w:val="137"/>
          <w:jc w:val="center"/>
        </w:trPr>
        <w:tc>
          <w:tcPr>
            <w:tcW w:w="2693" w:type="dxa"/>
            <w:tcBorders>
              <w:right w:val="single" w:sz="4" w:space="0" w:color="auto"/>
            </w:tcBorders>
            <w:shd w:val="clear" w:color="auto" w:fill="FFFFFF" w:themeFill="background1"/>
            <w:noWrap/>
            <w:hideMark/>
          </w:tcPr>
          <w:p w:rsidR="00BE425A" w:rsidRPr="0060565A" w:rsidRDefault="00BE425A" w:rsidP="00977C90">
            <w:pPr>
              <w:pStyle w:val="Bezodstpw"/>
              <w:spacing w:line="200" w:lineRule="exact"/>
              <w:jc w:val="both"/>
              <w:rPr>
                <w:rFonts w:ascii="Arial" w:hAnsi="Arial" w:cs="Arial"/>
                <w:sz w:val="16"/>
                <w:szCs w:val="16"/>
              </w:rPr>
            </w:pPr>
            <w:r w:rsidRPr="0060565A">
              <w:rPr>
                <w:rFonts w:ascii="Arial" w:hAnsi="Arial" w:cs="Arial"/>
                <w:sz w:val="16"/>
                <w:szCs w:val="16"/>
              </w:rPr>
              <w:t>ŚWIĘTOKRZYSKIE</w:t>
            </w:r>
          </w:p>
        </w:tc>
        <w:tc>
          <w:tcPr>
            <w:tcW w:w="2410" w:type="dxa"/>
            <w:tcBorders>
              <w:right w:val="single" w:sz="4" w:space="0" w:color="auto"/>
            </w:tcBorders>
            <w:vAlign w:val="center"/>
          </w:tcPr>
          <w:p w:rsidR="00BE425A" w:rsidRPr="00E42C54" w:rsidRDefault="00BE425A" w:rsidP="00BE425A">
            <w:pPr>
              <w:jc w:val="center"/>
              <w:rPr>
                <w:rFonts w:ascii="Arial" w:hAnsi="Arial" w:cs="Arial"/>
                <w:color w:val="000000"/>
                <w:sz w:val="16"/>
                <w:szCs w:val="16"/>
              </w:rPr>
            </w:pPr>
            <w:r w:rsidRPr="00E42C54">
              <w:rPr>
                <w:rFonts w:ascii="Arial" w:hAnsi="Arial" w:cs="Arial"/>
                <w:color w:val="000000"/>
                <w:sz w:val="16"/>
                <w:szCs w:val="16"/>
              </w:rPr>
              <w:t>120062</w:t>
            </w:r>
          </w:p>
        </w:tc>
        <w:tc>
          <w:tcPr>
            <w:tcW w:w="2410" w:type="dxa"/>
            <w:tcBorders>
              <w:right w:val="single" w:sz="4" w:space="0" w:color="auto"/>
            </w:tcBorders>
            <w:vAlign w:val="center"/>
          </w:tcPr>
          <w:p w:rsidR="00BE425A" w:rsidRPr="00E42C54" w:rsidRDefault="007C25DF" w:rsidP="007D75C7">
            <w:pPr>
              <w:jc w:val="center"/>
              <w:rPr>
                <w:rFonts w:ascii="Arial" w:hAnsi="Arial" w:cs="Arial"/>
                <w:color w:val="000000"/>
                <w:sz w:val="16"/>
                <w:szCs w:val="16"/>
              </w:rPr>
            </w:pPr>
            <w:r>
              <w:rPr>
                <w:rFonts w:ascii="Arial" w:hAnsi="Arial" w:cs="Arial"/>
                <w:color w:val="000000"/>
                <w:sz w:val="16"/>
                <w:szCs w:val="16"/>
              </w:rPr>
              <w:t>122276</w:t>
            </w:r>
          </w:p>
        </w:tc>
      </w:tr>
      <w:tr w:rsidR="007C25DF" w:rsidRPr="00CA6E66" w:rsidTr="00BE425A">
        <w:trPr>
          <w:trHeight w:val="69"/>
          <w:jc w:val="center"/>
        </w:trPr>
        <w:tc>
          <w:tcPr>
            <w:tcW w:w="2693" w:type="dxa"/>
            <w:tcBorders>
              <w:right w:val="single" w:sz="4" w:space="0" w:color="auto"/>
            </w:tcBorders>
            <w:shd w:val="clear" w:color="auto" w:fill="FFFFFF" w:themeFill="background1"/>
            <w:noWrap/>
          </w:tcPr>
          <w:p w:rsidR="007C25DF" w:rsidRPr="0060565A" w:rsidRDefault="007C25DF" w:rsidP="007D75C7">
            <w:pPr>
              <w:pStyle w:val="Bezodstpw"/>
              <w:spacing w:line="200" w:lineRule="exact"/>
              <w:jc w:val="both"/>
              <w:rPr>
                <w:rFonts w:ascii="Arial" w:hAnsi="Arial" w:cs="Arial"/>
                <w:sz w:val="16"/>
                <w:szCs w:val="16"/>
              </w:rPr>
            </w:pPr>
            <w:r w:rsidRPr="0060565A">
              <w:rPr>
                <w:rFonts w:ascii="Arial" w:hAnsi="Arial" w:cs="Arial"/>
                <w:sz w:val="16"/>
                <w:szCs w:val="16"/>
              </w:rPr>
              <w:t>PODLASKIE</w:t>
            </w:r>
          </w:p>
        </w:tc>
        <w:tc>
          <w:tcPr>
            <w:tcW w:w="2410" w:type="dxa"/>
            <w:tcBorders>
              <w:right w:val="single" w:sz="4" w:space="0" w:color="auto"/>
            </w:tcBorders>
            <w:vAlign w:val="center"/>
          </w:tcPr>
          <w:p w:rsidR="007C25DF" w:rsidRPr="00E42C54" w:rsidRDefault="007C25DF" w:rsidP="007D75C7">
            <w:pPr>
              <w:jc w:val="center"/>
              <w:rPr>
                <w:rFonts w:ascii="Arial" w:hAnsi="Arial" w:cs="Arial"/>
                <w:color w:val="000000"/>
                <w:sz w:val="16"/>
                <w:szCs w:val="16"/>
              </w:rPr>
            </w:pPr>
            <w:r w:rsidRPr="00E42C54">
              <w:rPr>
                <w:rFonts w:ascii="Arial" w:hAnsi="Arial" w:cs="Arial"/>
                <w:color w:val="000000"/>
                <w:sz w:val="16"/>
                <w:szCs w:val="16"/>
              </w:rPr>
              <w:t>109492</w:t>
            </w:r>
          </w:p>
        </w:tc>
        <w:tc>
          <w:tcPr>
            <w:tcW w:w="2410" w:type="dxa"/>
            <w:tcBorders>
              <w:right w:val="single" w:sz="4" w:space="0" w:color="auto"/>
            </w:tcBorders>
            <w:vAlign w:val="center"/>
          </w:tcPr>
          <w:p w:rsidR="007C25DF" w:rsidRPr="00E42C54" w:rsidRDefault="007C25DF" w:rsidP="007D75C7">
            <w:pPr>
              <w:jc w:val="center"/>
              <w:rPr>
                <w:rFonts w:ascii="Arial" w:hAnsi="Arial" w:cs="Arial"/>
                <w:color w:val="000000"/>
                <w:sz w:val="16"/>
                <w:szCs w:val="16"/>
              </w:rPr>
            </w:pPr>
            <w:r>
              <w:rPr>
                <w:rFonts w:ascii="Arial" w:hAnsi="Arial" w:cs="Arial"/>
                <w:color w:val="000000"/>
                <w:sz w:val="16"/>
                <w:szCs w:val="16"/>
              </w:rPr>
              <w:t>111388</w:t>
            </w:r>
          </w:p>
        </w:tc>
      </w:tr>
      <w:tr w:rsidR="007C25DF" w:rsidRPr="00CA6E66" w:rsidTr="00BE425A">
        <w:trPr>
          <w:trHeight w:val="69"/>
          <w:jc w:val="center"/>
        </w:trPr>
        <w:tc>
          <w:tcPr>
            <w:tcW w:w="2693" w:type="dxa"/>
            <w:tcBorders>
              <w:right w:val="single" w:sz="4" w:space="0" w:color="auto"/>
            </w:tcBorders>
            <w:shd w:val="clear" w:color="auto" w:fill="FFFFFF" w:themeFill="background1"/>
            <w:noWrap/>
            <w:hideMark/>
          </w:tcPr>
          <w:p w:rsidR="007C25DF" w:rsidRPr="0060565A" w:rsidRDefault="007C25DF" w:rsidP="00977C90">
            <w:pPr>
              <w:pStyle w:val="Bezodstpw"/>
              <w:spacing w:line="200" w:lineRule="exact"/>
              <w:jc w:val="both"/>
              <w:rPr>
                <w:rFonts w:ascii="Arial" w:hAnsi="Arial" w:cs="Arial"/>
                <w:sz w:val="16"/>
                <w:szCs w:val="16"/>
              </w:rPr>
            </w:pPr>
            <w:r w:rsidRPr="0060565A">
              <w:rPr>
                <w:rFonts w:ascii="Arial" w:hAnsi="Arial" w:cs="Arial"/>
                <w:sz w:val="16"/>
                <w:szCs w:val="16"/>
              </w:rPr>
              <w:t>OPOLSKIE</w:t>
            </w:r>
          </w:p>
        </w:tc>
        <w:tc>
          <w:tcPr>
            <w:tcW w:w="2410" w:type="dxa"/>
            <w:tcBorders>
              <w:right w:val="single" w:sz="4" w:space="0" w:color="auto"/>
            </w:tcBorders>
            <w:vAlign w:val="center"/>
          </w:tcPr>
          <w:p w:rsidR="007C25DF" w:rsidRPr="00E42C54" w:rsidRDefault="007C25DF" w:rsidP="00BE425A">
            <w:pPr>
              <w:jc w:val="center"/>
              <w:rPr>
                <w:rFonts w:ascii="Arial" w:hAnsi="Arial" w:cs="Arial"/>
                <w:color w:val="000000"/>
                <w:sz w:val="16"/>
                <w:szCs w:val="16"/>
              </w:rPr>
            </w:pPr>
            <w:r w:rsidRPr="00E42C54">
              <w:rPr>
                <w:rFonts w:ascii="Arial" w:hAnsi="Arial" w:cs="Arial"/>
                <w:color w:val="000000"/>
                <w:sz w:val="16"/>
                <w:szCs w:val="16"/>
              </w:rPr>
              <w:t>105694</w:t>
            </w:r>
          </w:p>
        </w:tc>
        <w:tc>
          <w:tcPr>
            <w:tcW w:w="2410" w:type="dxa"/>
            <w:tcBorders>
              <w:right w:val="single" w:sz="4" w:space="0" w:color="auto"/>
            </w:tcBorders>
            <w:vAlign w:val="center"/>
          </w:tcPr>
          <w:p w:rsidR="007C25DF" w:rsidRPr="00E42C54" w:rsidRDefault="007C25DF" w:rsidP="007D75C7">
            <w:pPr>
              <w:jc w:val="center"/>
              <w:rPr>
                <w:rFonts w:ascii="Arial" w:hAnsi="Arial" w:cs="Arial"/>
                <w:color w:val="000000"/>
                <w:sz w:val="16"/>
                <w:szCs w:val="16"/>
              </w:rPr>
            </w:pPr>
            <w:r>
              <w:rPr>
                <w:rFonts w:ascii="Arial" w:hAnsi="Arial" w:cs="Arial"/>
                <w:color w:val="000000"/>
                <w:sz w:val="16"/>
                <w:szCs w:val="16"/>
              </w:rPr>
              <w:t>106916</w:t>
            </w:r>
          </w:p>
        </w:tc>
      </w:tr>
    </w:tbl>
    <w:p w:rsidR="005B0288" w:rsidRPr="00CA6E66" w:rsidRDefault="005B0288" w:rsidP="005B0288">
      <w:pPr>
        <w:spacing w:after="0" w:line="240" w:lineRule="auto"/>
        <w:rPr>
          <w:rFonts w:ascii="Times New Roman" w:hAnsi="Times New Roman" w:cs="Times New Roman"/>
          <w:sz w:val="16"/>
          <w:szCs w:val="16"/>
          <w:highlight w:val="yellow"/>
        </w:rPr>
      </w:pPr>
    </w:p>
    <w:p w:rsidR="005B0288" w:rsidRPr="00CA6E66" w:rsidRDefault="005B0288" w:rsidP="005B0288">
      <w:pPr>
        <w:spacing w:after="0" w:line="240" w:lineRule="auto"/>
        <w:rPr>
          <w:rFonts w:ascii="Times New Roman" w:hAnsi="Times New Roman" w:cs="Times New Roman"/>
          <w:sz w:val="16"/>
          <w:szCs w:val="16"/>
          <w:highlight w:val="yellow"/>
        </w:rPr>
      </w:pPr>
    </w:p>
    <w:p w:rsidR="005B0288" w:rsidRPr="00E42C54" w:rsidRDefault="005B0288" w:rsidP="005B0288">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2C5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przedsiębiorczości,  stan na 31 XII 20</w:t>
      </w:r>
      <w:r w:rsidR="0003552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Pr="00E42C5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rok</w:t>
      </w:r>
    </w:p>
    <w:tbl>
      <w:tblPr>
        <w:tblStyle w:val="Tabela-Siatka"/>
        <w:tblW w:w="3009" w:type="pct"/>
        <w:jc w:val="center"/>
        <w:tblLayout w:type="fixed"/>
        <w:tblLook w:val="04A0" w:firstRow="1" w:lastRow="0" w:firstColumn="1" w:lastColumn="0" w:noHBand="0" w:noVBand="1"/>
      </w:tblPr>
      <w:tblGrid>
        <w:gridCol w:w="2327"/>
        <w:gridCol w:w="3261"/>
      </w:tblGrid>
      <w:tr w:rsidR="005B0288" w:rsidRPr="00CA6E66" w:rsidTr="00977C90">
        <w:trPr>
          <w:trHeight w:val="1327"/>
          <w:jc w:val="center"/>
        </w:trPr>
        <w:tc>
          <w:tcPr>
            <w:tcW w:w="2082" w:type="pct"/>
            <w:tcBorders>
              <w:bottom w:val="single" w:sz="4" w:space="0" w:color="auto"/>
            </w:tcBorders>
            <w:shd w:val="clear" w:color="auto" w:fill="E5DFEC" w:themeFill="accent4" w:themeFillTint="33"/>
            <w:noWrap/>
            <w:vAlign w:val="center"/>
            <w:hideMark/>
          </w:tcPr>
          <w:p w:rsidR="005B0288" w:rsidRPr="00E42C54" w:rsidRDefault="005B0288" w:rsidP="00977C90">
            <w:pPr>
              <w:pStyle w:val="Bezodstpw"/>
              <w:jc w:val="center"/>
              <w:rPr>
                <w:rFonts w:ascii="Times New Roman" w:hAnsi="Times New Roman" w:cs="Times New Roman"/>
                <w:sz w:val="20"/>
                <w:szCs w:val="20"/>
              </w:rPr>
            </w:pPr>
            <w:r w:rsidRPr="00E42C54">
              <w:rPr>
                <w:rFonts w:ascii="Times New Roman" w:hAnsi="Times New Roman" w:cs="Times New Roman"/>
                <w:sz w:val="20"/>
                <w:szCs w:val="20"/>
              </w:rPr>
              <w:t>województwa</w:t>
            </w:r>
          </w:p>
        </w:tc>
        <w:tc>
          <w:tcPr>
            <w:tcW w:w="2918" w:type="pct"/>
            <w:tcBorders>
              <w:bottom w:val="single" w:sz="4" w:space="0" w:color="auto"/>
            </w:tcBorders>
            <w:shd w:val="clear" w:color="auto" w:fill="E5DFEC" w:themeFill="accent4" w:themeFillTint="33"/>
            <w:vAlign w:val="center"/>
          </w:tcPr>
          <w:p w:rsidR="005B0288" w:rsidRPr="00E42C54" w:rsidRDefault="005B0288" w:rsidP="00977C90">
            <w:pPr>
              <w:pStyle w:val="Bezodstpw"/>
              <w:jc w:val="center"/>
              <w:rPr>
                <w:rFonts w:ascii="Times New Roman" w:hAnsi="Times New Roman" w:cs="Times New Roman"/>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2C54">
              <w:rPr>
                <w:rFonts w:ascii="Times New Roman" w:hAnsi="Times New Roman" w:cs="Times New Roman"/>
                <w:caps/>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wskaźnik przedsiębiorczości</w:t>
            </w:r>
          </w:p>
          <w:p w:rsidR="005B0288" w:rsidRPr="00E42C54" w:rsidRDefault="005B0288" w:rsidP="00977C90">
            <w:pPr>
              <w:pStyle w:val="Bezodstpw"/>
              <w:pBdr>
                <w:top w:val="single" w:sz="4" w:space="1" w:color="auto"/>
              </w:pBdr>
              <w:jc w:val="center"/>
              <w:rPr>
                <w:rFonts w:ascii="Times New Roman" w:hAnsi="Times New Roman" w:cs="Times New Roman"/>
                <w:sz w:val="18"/>
                <w:szCs w:val="18"/>
              </w:rPr>
            </w:pPr>
            <w:r w:rsidRPr="00E42C54">
              <w:rPr>
                <w:rFonts w:ascii="Times New Roman" w:hAnsi="Times New Roman" w:cs="Times New Roman"/>
                <w:sz w:val="18"/>
                <w:szCs w:val="18"/>
              </w:rPr>
              <w:t>(liczba podmiotów gospodarczych przypadająca na 1000</w:t>
            </w:r>
          </w:p>
          <w:p w:rsidR="005B0288" w:rsidRPr="00E42C54" w:rsidRDefault="005B0288" w:rsidP="00977C90">
            <w:pPr>
              <w:pStyle w:val="Bezodstpw"/>
              <w:pBdr>
                <w:top w:val="single" w:sz="4" w:space="1" w:color="auto"/>
              </w:pBdr>
              <w:jc w:val="center"/>
              <w:rPr>
                <w:rFonts w:ascii="Times New Roman" w:hAnsi="Times New Roman" w:cs="Times New Roman"/>
                <w:sz w:val="20"/>
                <w:szCs w:val="20"/>
              </w:rPr>
            </w:pPr>
            <w:r w:rsidRPr="00E42C54">
              <w:rPr>
                <w:rFonts w:ascii="Times New Roman" w:hAnsi="Times New Roman" w:cs="Times New Roman"/>
                <w:sz w:val="18"/>
                <w:szCs w:val="18"/>
              </w:rPr>
              <w:t xml:space="preserve">ludności) </w:t>
            </w:r>
          </w:p>
        </w:tc>
      </w:tr>
      <w:tr w:rsidR="0003552D" w:rsidRPr="00CA6E66" w:rsidTr="007D75C7">
        <w:trPr>
          <w:trHeight w:val="47"/>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MAZOWIECKIE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164</w:t>
            </w:r>
          </w:p>
        </w:tc>
      </w:tr>
      <w:tr w:rsidR="0003552D" w:rsidRPr="00CA6E66" w:rsidTr="007D75C7">
        <w:trPr>
          <w:trHeight w:val="47"/>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ZACHODNIOPOMORSKIE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139</w:t>
            </w:r>
          </w:p>
        </w:tc>
      </w:tr>
      <w:tr w:rsidR="0003552D" w:rsidRPr="00CA6E66" w:rsidTr="007D75C7">
        <w:trPr>
          <w:trHeight w:val="134"/>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DOLNOŚLĄSKIE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137</w:t>
            </w:r>
          </w:p>
        </w:tc>
      </w:tr>
      <w:tr w:rsidR="0003552D" w:rsidRPr="00CA6E66" w:rsidTr="007D75C7">
        <w:trPr>
          <w:trHeight w:val="193"/>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POMORSKIE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136</w:t>
            </w:r>
          </w:p>
        </w:tc>
      </w:tr>
      <w:tr w:rsidR="0003552D" w:rsidRPr="00CA6E66" w:rsidTr="007D75C7">
        <w:trPr>
          <w:trHeight w:val="167"/>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WIELKOPOLSKIE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132</w:t>
            </w:r>
          </w:p>
        </w:tc>
      </w:tr>
      <w:tr w:rsidR="0003552D" w:rsidRPr="00CA6E66" w:rsidTr="007D75C7">
        <w:trPr>
          <w:trHeight w:val="86"/>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MAŁOPOLSKIE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125</w:t>
            </w:r>
          </w:p>
        </w:tc>
      </w:tr>
      <w:tr w:rsidR="0003552D" w:rsidRPr="00CA6E66" w:rsidTr="007D75C7">
        <w:trPr>
          <w:trHeight w:val="145"/>
          <w:jc w:val="center"/>
        </w:trPr>
        <w:tc>
          <w:tcPr>
            <w:tcW w:w="2082" w:type="pct"/>
            <w:shd w:val="clear" w:color="auto" w:fill="E5DFEC" w:themeFill="accent4" w:themeFillTint="33"/>
            <w:noWrap/>
            <w:vAlign w:val="bottom"/>
          </w:tcPr>
          <w:p w:rsidR="0003552D" w:rsidRPr="0003552D" w:rsidRDefault="0003552D">
            <w:pPr>
              <w:rPr>
                <w:rFonts w:ascii="Arial" w:hAnsi="Arial" w:cs="Arial"/>
                <w:sz w:val="16"/>
                <w:szCs w:val="16"/>
              </w:rPr>
            </w:pPr>
            <w:r w:rsidRPr="0003552D">
              <w:rPr>
                <w:rFonts w:ascii="Arial" w:hAnsi="Arial" w:cs="Arial"/>
                <w:sz w:val="16"/>
                <w:szCs w:val="16"/>
              </w:rPr>
              <w:t>POLSKA</w:t>
            </w:r>
          </w:p>
        </w:tc>
        <w:tc>
          <w:tcPr>
            <w:tcW w:w="2918" w:type="pct"/>
            <w:shd w:val="clear" w:color="auto" w:fill="E5DFEC" w:themeFill="accent4" w:themeFillTint="33"/>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122</w:t>
            </w:r>
          </w:p>
        </w:tc>
      </w:tr>
      <w:tr w:rsidR="0003552D" w:rsidRPr="00CA6E66" w:rsidTr="007D75C7">
        <w:trPr>
          <w:trHeight w:val="219"/>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LUBUSKIE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120</w:t>
            </w:r>
          </w:p>
        </w:tc>
      </w:tr>
      <w:tr w:rsidR="0003552D" w:rsidRPr="00CA6E66" w:rsidTr="007D75C7">
        <w:trPr>
          <w:trHeight w:val="138"/>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ŚLĄSKIE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110</w:t>
            </w:r>
          </w:p>
        </w:tc>
      </w:tr>
      <w:tr w:rsidR="0003552D" w:rsidRPr="00CA6E66" w:rsidTr="007D75C7">
        <w:trPr>
          <w:trHeight w:val="197"/>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OPOLSKIE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108</w:t>
            </w:r>
          </w:p>
        </w:tc>
      </w:tr>
      <w:tr w:rsidR="0003552D" w:rsidRPr="00CA6E66" w:rsidTr="007D75C7">
        <w:trPr>
          <w:trHeight w:val="116"/>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ŁÓDZKIE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107</w:t>
            </w:r>
          </w:p>
        </w:tc>
      </w:tr>
      <w:tr w:rsidR="0003552D" w:rsidRPr="00CA6E66" w:rsidTr="007D75C7">
        <w:trPr>
          <w:trHeight w:val="47"/>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KUJAWSKO-POMORSKIE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102</w:t>
            </w:r>
          </w:p>
        </w:tc>
      </w:tr>
      <w:tr w:rsidR="0003552D" w:rsidRPr="00CA6E66" w:rsidTr="007D75C7">
        <w:trPr>
          <w:trHeight w:val="121"/>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ŚWIĘTOKRZYSKIE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98</w:t>
            </w:r>
          </w:p>
        </w:tc>
      </w:tr>
      <w:tr w:rsidR="0003552D" w:rsidRPr="00CA6E66" w:rsidTr="007D75C7">
        <w:trPr>
          <w:trHeight w:val="47"/>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WARMIŃSKO-MAZURSKIE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96</w:t>
            </w:r>
          </w:p>
        </w:tc>
      </w:tr>
      <w:tr w:rsidR="0003552D" w:rsidRPr="00CA6E66" w:rsidTr="007D75C7">
        <w:trPr>
          <w:trHeight w:val="113"/>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PODLASKIE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93</w:t>
            </w:r>
          </w:p>
        </w:tc>
      </w:tr>
      <w:tr w:rsidR="0003552D" w:rsidRPr="00CA6E66" w:rsidTr="007D75C7">
        <w:trPr>
          <w:trHeight w:val="47"/>
          <w:jc w:val="center"/>
        </w:trPr>
        <w:tc>
          <w:tcPr>
            <w:tcW w:w="2082" w:type="pct"/>
            <w:shd w:val="clear" w:color="auto" w:fill="FFFFFF" w:themeFill="background1"/>
            <w:noWrap/>
            <w:vAlign w:val="bottom"/>
          </w:tcPr>
          <w:p w:rsidR="0003552D" w:rsidRPr="0003552D" w:rsidRDefault="0003552D">
            <w:pPr>
              <w:rPr>
                <w:rFonts w:ascii="Arial" w:hAnsi="Arial" w:cs="Arial"/>
                <w:sz w:val="16"/>
                <w:szCs w:val="16"/>
              </w:rPr>
            </w:pPr>
            <w:r w:rsidRPr="0003552D">
              <w:rPr>
                <w:rFonts w:ascii="Arial" w:hAnsi="Arial" w:cs="Arial"/>
                <w:sz w:val="16"/>
                <w:szCs w:val="16"/>
              </w:rPr>
              <w:t>LUBELSKIE</w:t>
            </w:r>
          </w:p>
        </w:tc>
        <w:tc>
          <w:tcPr>
            <w:tcW w:w="2918" w:type="pct"/>
            <w:shd w:val="clear" w:color="auto" w:fill="FFFFFF" w:themeFill="background1"/>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92</w:t>
            </w:r>
          </w:p>
        </w:tc>
      </w:tr>
      <w:tr w:rsidR="0003552D" w:rsidRPr="00CA6E66" w:rsidTr="007D75C7">
        <w:trPr>
          <w:trHeight w:val="105"/>
          <w:jc w:val="center"/>
        </w:trPr>
        <w:tc>
          <w:tcPr>
            <w:tcW w:w="2082" w:type="pct"/>
            <w:shd w:val="clear" w:color="auto" w:fill="E5DFEC" w:themeFill="accent4" w:themeFillTint="33"/>
            <w:noWrap/>
            <w:vAlign w:val="bottom"/>
          </w:tcPr>
          <w:p w:rsidR="0003552D" w:rsidRPr="0003552D" w:rsidRDefault="0003552D">
            <w:pPr>
              <w:rPr>
                <w:rFonts w:ascii="Arial" w:hAnsi="Arial" w:cs="Arial"/>
                <w:sz w:val="16"/>
                <w:szCs w:val="16"/>
              </w:rPr>
            </w:pPr>
            <w:r w:rsidRPr="0003552D">
              <w:rPr>
                <w:rFonts w:ascii="Arial" w:hAnsi="Arial" w:cs="Arial"/>
                <w:sz w:val="16"/>
                <w:szCs w:val="16"/>
              </w:rPr>
              <w:t>PODKARPACKIE</w:t>
            </w:r>
          </w:p>
        </w:tc>
        <w:tc>
          <w:tcPr>
            <w:tcW w:w="2918" w:type="pct"/>
            <w:shd w:val="clear" w:color="auto" w:fill="E5DFEC" w:themeFill="accent4" w:themeFillTint="33"/>
            <w:vAlign w:val="bottom"/>
          </w:tcPr>
          <w:p w:rsidR="0003552D" w:rsidRPr="0003552D" w:rsidRDefault="0003552D" w:rsidP="0003552D">
            <w:pPr>
              <w:jc w:val="center"/>
              <w:rPr>
                <w:rFonts w:ascii="Arial" w:hAnsi="Arial" w:cs="Arial"/>
                <w:sz w:val="16"/>
                <w:szCs w:val="16"/>
              </w:rPr>
            </w:pPr>
            <w:r w:rsidRPr="0003552D">
              <w:rPr>
                <w:rFonts w:ascii="Arial" w:hAnsi="Arial" w:cs="Arial"/>
                <w:sz w:val="16"/>
                <w:szCs w:val="16"/>
              </w:rPr>
              <w:t>89</w:t>
            </w:r>
          </w:p>
        </w:tc>
      </w:tr>
    </w:tbl>
    <w:p w:rsidR="005B0288" w:rsidRDefault="00746B0B" w:rsidP="005B0288">
      <w:pPr>
        <w:spacing w:after="0" w:line="240" w:lineRule="auto"/>
        <w:rPr>
          <w:rFonts w:ascii="Times New Roman" w:hAnsi="Times New Roman" w:cs="Times New Roman"/>
          <w:color w:val="000000"/>
          <w:sz w:val="14"/>
          <w:szCs w:val="14"/>
        </w:rPr>
      </w:pPr>
      <w:r w:rsidRPr="00CA6E66">
        <w:rPr>
          <w:rFonts w:ascii="Times New Roman" w:hAnsi="Times New Roman" w:cs="Times New Roman"/>
          <w:b/>
          <w:caps/>
          <w:noProof/>
          <w:color w:val="000000"/>
          <w:sz w:val="16"/>
          <w:szCs w:val="16"/>
          <w:highlight w:val="yellow"/>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68160" behindDoc="1" locked="0" layoutInCell="1" allowOverlap="1" wp14:anchorId="476D38F7" wp14:editId="442F4887">
                <wp:simplePos x="0" y="0"/>
                <wp:positionH relativeFrom="column">
                  <wp:posOffset>320675</wp:posOffset>
                </wp:positionH>
                <wp:positionV relativeFrom="paragraph">
                  <wp:posOffset>31115</wp:posOffset>
                </wp:positionV>
                <wp:extent cx="5001895" cy="1403985"/>
                <wp:effectExtent l="0" t="0" r="0" b="0"/>
                <wp:wrapTight wrapText="bothSides">
                  <wp:wrapPolygon edited="0">
                    <wp:start x="247" y="0"/>
                    <wp:lineTo x="247" y="19059"/>
                    <wp:lineTo x="21307" y="19059"/>
                    <wp:lineTo x="21307" y="0"/>
                    <wp:lineTo x="247" y="0"/>
                  </wp:wrapPolygon>
                </wp:wrapTight>
                <wp:docPr id="67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1403985"/>
                        </a:xfrm>
                        <a:prstGeom prst="rect">
                          <a:avLst/>
                        </a:prstGeom>
                        <a:noFill/>
                        <a:ln w="9525">
                          <a:noFill/>
                          <a:miter lim="800000"/>
                          <a:headEnd/>
                          <a:tailEnd/>
                        </a:ln>
                      </wps:spPr>
                      <wps:txbx>
                        <w:txbxContent>
                          <w:p w:rsidR="00077ACD" w:rsidRDefault="00077ACD" w:rsidP="00E20912">
                            <w:pPr>
                              <w:pStyle w:val="Bezodstpw"/>
                              <w:jc w:val="cente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2C54">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LICZBA PODMIOTÓW GOSPODARCZYCH  PRZYPADAJĄCA NA 1000 MIESZKAŃCÓW 2002 – 20</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5.25pt;margin-top:2.45pt;width:393.85pt;height:110.55pt;z-index:-251448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dk9FgIAAAEEAAAOAAAAZHJzL2Uyb0RvYy54bWysU8GO2yAQvVfqPyDuje003iRWnNV2t6kq&#10;bduVtv0AgnGMFhgKJHb69TvgJI3aW1UfEHiYN/PePFa3g1bkIJyXYGpaTHJKhOHQSLOr6Y/vm3cL&#10;SnxgpmEKjKjpUXh6u377ZtXbSkyhA9UIRxDE+Kq3Ne1CsFWWed4JzfwErDAYbMFpFvDodlnjWI/o&#10;WmXTPL/JenCNdcCF9/j3YQzSdcJvW8HDt7b1IhBVU+wtpNWldRvXbL1i1c4x20l+aoP9QxeaSYNF&#10;L1APLDCyd/IvKC25Aw9tmHDQGbSt5CJxQDZF/geb545ZkbigON5eZPL/D5Z/PTw5Ipua3sznlBim&#10;cUhPoAQJ4sUH6AWZRpF66yu8+2zxdhg+wIDDToS9fQT+4omB+46ZnbhzDvpOsAabLGJmdpU64vgI&#10;su2/QIO12D5AAhpap6OCqAlBdBzW8TIgMQTC8WeZ58ViWVLCMVbM8vfLRZlqsOqcbp0PnwRoEjc1&#10;deiABM8Ojz7Edlh1vhKrGdhIpZILlCF9TZfltEwJVxEtA5pUSV3TRR6/0TaR5UfTpOTApBr3WECZ&#10;E+3IdOQchu0wynxWcwvNEXVwMHoS3xBuOnC/KOnRjzX1P/fMCUrUZ4NaLovZLBo4HWblfIoHdx3Z&#10;XkeY4QhV00DJuL0PyfSRsrd3qPlGJjXicMZOTi2jz5JIpzcRjXx9Trd+v9z1KwAAAP//AwBQSwME&#10;FAAGAAgAAAAhAL8MW+/dAAAACAEAAA8AAABkcnMvZG93bnJldi54bWxMj8FOwzAQRO9I/IO1SNyo&#10;jaElhGyqCrXlWGijnt14SSJiO7LdNPw95gTH0Yxm3hTLyfRsJB86ZxHuZwIY2drpzjYI1WFzlwEL&#10;UVmtemcJ4ZsCLMvrq0Ll2l3sB4372LBUYkOuENoYh5zzULdkVJi5gWzyPp03KibpG669uqRy03Mp&#10;xIIb1dm00KqBXluqv/ZngzDEYfv05nfvq/VmFNVxW8muWSPe3kyrF2CRpvgXhl/8hA5lYjq5s9WB&#10;9QhzMU9JhMdnYMnOHjIJ7IQg5UIALwv+/0D5AwAA//8DAFBLAQItABQABgAIAAAAIQC2gziS/gAA&#10;AOEBAAATAAAAAAAAAAAAAAAAAAAAAABbQ29udGVudF9UeXBlc10ueG1sUEsBAi0AFAAGAAgAAAAh&#10;ADj9If/WAAAAlAEAAAsAAAAAAAAAAAAAAAAALwEAAF9yZWxzLy5yZWxzUEsBAi0AFAAGAAgAAAAh&#10;AFuR2T0WAgAAAQQAAA4AAAAAAAAAAAAAAAAALgIAAGRycy9lMm9Eb2MueG1sUEsBAi0AFAAGAAgA&#10;AAAhAL8MW+/dAAAACAEAAA8AAAAAAAAAAAAAAAAAcAQAAGRycy9kb3ducmV2LnhtbFBLBQYAAAAA&#10;BAAEAPMAAAB6BQAAAAA=&#10;" filled="f" stroked="f">
                <v:textbox style="mso-fit-shape-to-text:t">
                  <w:txbxContent>
                    <w:p w:rsidR="00077ACD" w:rsidRDefault="00077ACD" w:rsidP="00E20912">
                      <w:pPr>
                        <w:pStyle w:val="Bezodstpw"/>
                        <w:jc w:val="cente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42C54">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LICZBA PODMIOTÓW GOSPODARCZYCH  PRZYPADAJĄCA NA 1000 MIESZKAŃCÓW 2002 – 20</w:t>
                      </w:r>
                      <w:r>
                        <w:rPr>
                          <w:rFonts w:ascii="Times New Roman" w:hAnsi="Times New Roman" w:cs="Times New Roman"/>
                          <w:b/>
                          <w:caps/>
                          <w:color w:val="00000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p>
                  </w:txbxContent>
                </v:textbox>
                <w10:wrap type="tight"/>
              </v:shape>
            </w:pict>
          </mc:Fallback>
        </mc:AlternateContent>
      </w:r>
    </w:p>
    <w:p w:rsidR="005B0288" w:rsidRPr="00CA6E66" w:rsidRDefault="005B0288" w:rsidP="005B0288">
      <w:pPr>
        <w:spacing w:after="0" w:line="240" w:lineRule="auto"/>
        <w:rPr>
          <w:rFonts w:ascii="Times New Roman" w:hAnsi="Times New Roman" w:cs="Times New Roman"/>
          <w:sz w:val="16"/>
          <w:szCs w:val="16"/>
          <w:highlight w:val="yellow"/>
        </w:rPr>
      </w:pPr>
    </w:p>
    <w:p w:rsidR="005B0288" w:rsidRPr="00CA6E66" w:rsidRDefault="0003552D" w:rsidP="005B0288">
      <w:pPr>
        <w:spacing w:after="0" w:line="240" w:lineRule="auto"/>
        <w:rPr>
          <w:rFonts w:ascii="Times New Roman" w:hAnsi="Times New Roman" w:cs="Times New Roman"/>
          <w:sz w:val="16"/>
          <w:szCs w:val="16"/>
          <w:highlight w:val="yellow"/>
        </w:rPr>
      </w:pPr>
      <w:r>
        <w:rPr>
          <w:noProof/>
          <w:lang w:eastAsia="pl-PL"/>
        </w:rPr>
        <w:drawing>
          <wp:inline distT="0" distB="0" distL="0" distR="0" wp14:anchorId="04434CEA" wp14:editId="4E73077E">
            <wp:extent cx="5899150" cy="129540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C6BF0" w:rsidRDefault="0003552D" w:rsidP="0003552D">
      <w:pPr>
        <w:spacing w:after="0" w:line="240" w:lineRule="auto"/>
        <w:rPr>
          <w:rFonts w:ascii="Times New Roman" w:hAnsi="Times New Roman" w:cs="Times New Roman"/>
          <w:sz w:val="16"/>
          <w:szCs w:val="16"/>
          <w:highlight w:val="yellow"/>
        </w:rPr>
      </w:pPr>
      <w:r w:rsidRPr="00CA6E66">
        <w:rPr>
          <w:rFonts w:ascii="Times New Roman" w:hAnsi="Times New Roman" w:cs="Times New Roman"/>
          <w:b/>
          <w:caps/>
          <w:noProof/>
          <w:color w:val="000000"/>
          <w:sz w:val="16"/>
          <w:szCs w:val="16"/>
          <w:highlight w:val="yellow"/>
          <w:lang w:eastAsia="pl-P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114300" distR="114300" simplePos="0" relativeHeight="251869184" behindDoc="1" locked="0" layoutInCell="1" allowOverlap="1" wp14:anchorId="4BDE6ADD" wp14:editId="2EB67614">
                <wp:simplePos x="0" y="0"/>
                <wp:positionH relativeFrom="column">
                  <wp:posOffset>185420</wp:posOffset>
                </wp:positionH>
                <wp:positionV relativeFrom="paragraph">
                  <wp:posOffset>73025</wp:posOffset>
                </wp:positionV>
                <wp:extent cx="1079500" cy="1403985"/>
                <wp:effectExtent l="0" t="0" r="0" b="0"/>
                <wp:wrapTight wrapText="bothSides">
                  <wp:wrapPolygon edited="0">
                    <wp:start x="1144" y="0"/>
                    <wp:lineTo x="1144" y="18282"/>
                    <wp:lineTo x="20202" y="18282"/>
                    <wp:lineTo x="20202" y="0"/>
                    <wp:lineTo x="1144" y="0"/>
                  </wp:wrapPolygon>
                </wp:wrapTight>
                <wp:docPr id="2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03985"/>
                        </a:xfrm>
                        <a:prstGeom prst="rect">
                          <a:avLst/>
                        </a:prstGeom>
                        <a:noFill/>
                        <a:ln w="9525">
                          <a:noFill/>
                          <a:miter lim="800000"/>
                          <a:headEnd/>
                          <a:tailEnd/>
                        </a:ln>
                      </wps:spPr>
                      <wps:txbx>
                        <w:txbxContent>
                          <w:p w:rsidR="00077ACD" w:rsidRPr="004C466F" w:rsidRDefault="00077ACD" w:rsidP="005B0288">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sz w:val="14"/>
                                <w:szCs w:val="14"/>
                                <w:shd w:val="clear" w:color="auto" w:fill="FFFFFF" w:themeFill="background1"/>
                              </w:rPr>
                              <w:t>Źródło: BDL.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4.6pt;margin-top:5.75pt;width:85pt;height:110.55pt;z-index:-251447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QwEwIAAAAEAAAOAAAAZHJzL2Uyb0RvYy54bWysU8GO0zAQvSPxD5bvNGlo2Taqu1p2KUJa&#10;YKWFD3Adp7HW9hjbbVK+nrHTlgpuiBwsO+N5M+/N8+p2MJocpA8KLKPTSUmJtAIaZXeMfv+2ebOg&#10;JERuG67BSkaPMtDb9etXq97VsoIOdCM9QRAb6t4x2sXo6qIIopOGhwk4aTHYgjc84tHvisbzHtGN&#10;LqqyfFf04BvnQcgQ8O/DGKTrjN+2UsSvbRtkJJpR7C3m1ed1m9ZiveL1znPXKXFqg/9DF4Yri0Uv&#10;UA88crL36i8oo4SHAG2cCDAFtK0SMnNANtPyDzbPHXcyc0FxgrvIFP4frPhyePJENYxWFSWWG5zR&#10;E2hJonwJEXpJqqRR70KNV58dXo7Dexhw1plvcI8gXgKxcN9xu5N33kPfSd5gj9OUWVyljjghgWz7&#10;z9BgLb6PkIGG1pskIEpCEB1ndbzMRw6RiFSyvFnOSwwJjE1n5dvlYp5r8Pqc7nyIHyUYkjaMejRA&#10;hueHxxBTO7w+X0nVLGyU1tkE2pKe0eW8mueEq4hRET2qlWF0UaZvdE1i+cE2OTlypcc9FtD2RDsx&#10;HTnHYTtklW/Oam6hOaIOHkZL4hPCTQf+JyU92pHR8GPPvaREf7Ko5XI6myX/5sNsflPhwV9HttcR&#10;bgVCMRopGbf3MXs+UQ7uDjXfqKxGGs7YyalltFkW6fQkko+vz/nW74e7/gUAAP//AwBQSwMEFAAG&#10;AAgAAAAhADdjpCPcAAAACQEAAA8AAABkcnMvZG93bnJldi54bWxMj81OwzAQhO9IvIO1SNyoUyMK&#10;TeNUFWrLkVKint14SSLiH9luGt6ezQmOO99odqZYj6ZnA4bYOSthPsuAoa2d7mwjofrcPbwAi0lZ&#10;rXpnUcIPRliXtzeFyrW72g8cjqlhFGJjriS0Kfmc81i3aFScOY+W2JcLRiU6Q8N1UFcKNz0XWbbg&#10;RnWWPrTK42uL9ffxYiT45PfPb+H9sNnuhqw67SvRNVsp7+/GzQpYwjH9mWGqT9WhpE5nd7E6sl6C&#10;WApykj5/Ajbx5SScCTyKBfCy4P8XlL8AAAD//wMAUEsBAi0AFAAGAAgAAAAhALaDOJL+AAAA4QEA&#10;ABMAAAAAAAAAAAAAAAAAAAAAAFtDb250ZW50X1R5cGVzXS54bWxQSwECLQAUAAYACAAAACEAOP0h&#10;/9YAAACUAQAACwAAAAAAAAAAAAAAAAAvAQAAX3JlbHMvLnJlbHNQSwECLQAUAAYACAAAACEAesHU&#10;MBMCAAAABAAADgAAAAAAAAAAAAAAAAAuAgAAZHJzL2Uyb0RvYy54bWxQSwECLQAUAAYACAAAACEA&#10;N2OkI9wAAAAJAQAADwAAAAAAAAAAAAAAAABtBAAAZHJzL2Rvd25yZXYueG1sUEsFBgAAAAAEAAQA&#10;8wAAAHYFAAAAAA==&#10;" filled="f" stroked="f">
                <v:textbox style="mso-fit-shape-to-text:t">
                  <w:txbxContent>
                    <w:p w:rsidR="00077ACD" w:rsidRPr="004C466F" w:rsidRDefault="00077ACD" w:rsidP="005B0288">
                      <w:pPr>
                        <w:autoSpaceDE w:val="0"/>
                        <w:autoSpaceDN w:val="0"/>
                        <w:adjustRightInd w:val="0"/>
                        <w:spacing w:after="0" w:line="240" w:lineRule="auto"/>
                        <w:ind w:left="1410" w:hanging="141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sz w:val="14"/>
                          <w:szCs w:val="14"/>
                          <w:shd w:val="clear" w:color="auto" w:fill="FFFFFF" w:themeFill="background1"/>
                        </w:rPr>
                        <w:t>Źródło: BDL.</w:t>
                      </w:r>
                    </w:p>
                  </w:txbxContent>
                </v:textbox>
                <w10:wrap type="tight"/>
              </v:shape>
            </w:pict>
          </mc:Fallback>
        </mc:AlternateContent>
      </w:r>
      <w:r w:rsidR="003C6BF0">
        <w:rPr>
          <w:rFonts w:ascii="Times New Roman" w:hAnsi="Times New Roman" w:cs="Times New Roman"/>
          <w:sz w:val="16"/>
          <w:szCs w:val="16"/>
          <w:highlight w:val="yellow"/>
        </w:rPr>
        <w:br w:type="page"/>
      </w:r>
    </w:p>
    <w:p w:rsidR="005B0288" w:rsidRPr="00E42C54" w:rsidRDefault="005B0288" w:rsidP="005B0288">
      <w:pPr>
        <w:pStyle w:val="Tekstpodstawowywcity"/>
        <w:pBdr>
          <w:bottom w:val="single" w:sz="4" w:space="1" w:color="auto"/>
        </w:pBdr>
        <w:spacing w:after="0" w:line="240" w:lineRule="auto"/>
        <w:ind w:left="0"/>
        <w:jc w:val="both"/>
        <w:rPr>
          <w:rFonts w:ascii="Times New Roman" w:hAnsi="Times New Roman" w:cs="Times New Roman"/>
          <w:sz w:val="24"/>
          <w:szCs w:val="24"/>
        </w:rPr>
      </w:pPr>
      <w:r w:rsidRPr="00E42C54">
        <w:rPr>
          <w:rFonts w:ascii="Times New Roman" w:hAnsi="Times New Roman" w:cs="Times New Roman"/>
          <w:sz w:val="24"/>
          <w:szCs w:val="24"/>
        </w:rPr>
        <w:lastRenderedPageBreak/>
        <w:t>Wnioski:</w:t>
      </w:r>
    </w:p>
    <w:p w:rsidR="005B0288" w:rsidRPr="00E42C54" w:rsidRDefault="005B0288" w:rsidP="005B0288">
      <w:pPr>
        <w:spacing w:after="0" w:line="240" w:lineRule="auto"/>
        <w:rPr>
          <w:rFonts w:ascii="Times New Roman" w:hAnsi="Times New Roman" w:cs="Times New Roman"/>
          <w:sz w:val="16"/>
          <w:szCs w:val="16"/>
        </w:rPr>
      </w:pPr>
      <w:r w:rsidRPr="00E42C54">
        <w:rPr>
          <w:rFonts w:ascii="Times New Roman" w:hAnsi="Times New Roman" w:cs="Times New Roman"/>
          <w:sz w:val="18"/>
          <w:szCs w:val="18"/>
        </w:rPr>
        <w:t>(na podstawie danych z tabel</w:t>
      </w:r>
      <w:r w:rsidR="00D7041B">
        <w:rPr>
          <w:rFonts w:ascii="Times New Roman" w:hAnsi="Times New Roman" w:cs="Times New Roman"/>
          <w:sz w:val="18"/>
          <w:szCs w:val="18"/>
        </w:rPr>
        <w:t xml:space="preserve"> i </w:t>
      </w:r>
      <w:r w:rsidRPr="00E42C54">
        <w:rPr>
          <w:rFonts w:ascii="Times New Roman" w:hAnsi="Times New Roman" w:cs="Times New Roman"/>
          <w:sz w:val="18"/>
          <w:szCs w:val="18"/>
        </w:rPr>
        <w:t>wykres</w:t>
      </w:r>
      <w:r w:rsidR="00D7041B">
        <w:rPr>
          <w:rFonts w:ascii="Times New Roman" w:hAnsi="Times New Roman" w:cs="Times New Roman"/>
          <w:sz w:val="18"/>
          <w:szCs w:val="18"/>
        </w:rPr>
        <w:t>ów</w:t>
      </w:r>
      <w:r w:rsidRPr="00E42C54">
        <w:rPr>
          <w:rFonts w:ascii="Times New Roman" w:hAnsi="Times New Roman" w:cs="Times New Roman"/>
          <w:sz w:val="18"/>
          <w:szCs w:val="18"/>
        </w:rPr>
        <w:t>)</w:t>
      </w:r>
    </w:p>
    <w:p w:rsidR="005B0288" w:rsidRPr="00CA6E66" w:rsidRDefault="005B0288" w:rsidP="005B0288">
      <w:pPr>
        <w:spacing w:after="0" w:line="240" w:lineRule="auto"/>
        <w:rPr>
          <w:rFonts w:ascii="Times New Roman" w:hAnsi="Times New Roman" w:cs="Times New Roman"/>
          <w:sz w:val="16"/>
          <w:szCs w:val="16"/>
          <w:highlight w:val="yellow"/>
        </w:rPr>
      </w:pPr>
    </w:p>
    <w:p w:rsidR="005B0288" w:rsidRPr="001D4A5F" w:rsidRDefault="005B0288" w:rsidP="005B0288">
      <w:pPr>
        <w:pStyle w:val="Akapitzlist"/>
        <w:numPr>
          <w:ilvl w:val="0"/>
          <w:numId w:val="16"/>
        </w:numPr>
        <w:spacing w:after="0" w:line="360" w:lineRule="auto"/>
        <w:jc w:val="both"/>
        <w:rPr>
          <w:rFonts w:ascii="Times New Roman" w:hAnsi="Times New Roman" w:cs="Times New Roman"/>
          <w:color w:val="000000" w:themeColor="text1"/>
          <w:sz w:val="24"/>
          <w:szCs w:val="24"/>
        </w:rPr>
      </w:pPr>
      <w:r w:rsidRPr="001D4A5F">
        <w:rPr>
          <w:rFonts w:ascii="Times New Roman" w:hAnsi="Times New Roman" w:cs="Times New Roman"/>
          <w:sz w:val="24"/>
          <w:szCs w:val="24"/>
        </w:rPr>
        <w:t xml:space="preserve">Liczba podmiotów w województwie podkarpackim wg stanu na </w:t>
      </w:r>
      <w:r w:rsidR="000D0098">
        <w:rPr>
          <w:rFonts w:ascii="Times New Roman" w:hAnsi="Times New Roman" w:cs="Times New Roman"/>
          <w:sz w:val="24"/>
          <w:szCs w:val="24"/>
        </w:rPr>
        <w:t xml:space="preserve">dzień </w:t>
      </w:r>
      <w:r w:rsidRPr="001D4A5F">
        <w:rPr>
          <w:rFonts w:ascii="Times New Roman" w:hAnsi="Times New Roman" w:cs="Times New Roman"/>
          <w:sz w:val="24"/>
          <w:szCs w:val="24"/>
        </w:rPr>
        <w:t>31</w:t>
      </w:r>
      <w:r w:rsidR="000D0098">
        <w:rPr>
          <w:rFonts w:ascii="Times New Roman" w:hAnsi="Times New Roman" w:cs="Times New Roman"/>
          <w:sz w:val="24"/>
          <w:szCs w:val="24"/>
        </w:rPr>
        <w:t>.</w:t>
      </w:r>
      <w:r w:rsidRPr="001D4A5F">
        <w:rPr>
          <w:rFonts w:ascii="Times New Roman" w:hAnsi="Times New Roman" w:cs="Times New Roman"/>
          <w:sz w:val="24"/>
          <w:szCs w:val="24"/>
        </w:rPr>
        <w:t xml:space="preserve"> XII</w:t>
      </w:r>
      <w:r w:rsidR="000D0098">
        <w:rPr>
          <w:rFonts w:ascii="Times New Roman" w:hAnsi="Times New Roman" w:cs="Times New Roman"/>
          <w:sz w:val="24"/>
          <w:szCs w:val="24"/>
        </w:rPr>
        <w:t>.</w:t>
      </w:r>
      <w:r w:rsidRPr="001D4A5F">
        <w:rPr>
          <w:rFonts w:ascii="Times New Roman" w:hAnsi="Times New Roman" w:cs="Times New Roman"/>
          <w:sz w:val="24"/>
          <w:szCs w:val="24"/>
        </w:rPr>
        <w:t xml:space="preserve"> 2020 roku przyjmuje (tak jak w 2019 roku) lokatę 11 na 16 województw, licząc od najwyższej wartości dla województwa mazowieckiego. Jest to jedna z niskich lokat, ale nie najniższa. </w:t>
      </w:r>
    </w:p>
    <w:p w:rsidR="005B0288" w:rsidRPr="001D4A5F" w:rsidRDefault="005B0288" w:rsidP="005B0288">
      <w:pPr>
        <w:spacing w:after="0" w:line="240" w:lineRule="auto"/>
        <w:jc w:val="both"/>
        <w:rPr>
          <w:rFonts w:ascii="Times New Roman" w:hAnsi="Times New Roman" w:cs="Times New Roman"/>
          <w:color w:val="000000" w:themeColor="text1"/>
          <w:sz w:val="16"/>
          <w:szCs w:val="16"/>
          <w:highlight w:val="yellow"/>
        </w:rPr>
      </w:pPr>
    </w:p>
    <w:p w:rsidR="005B0288" w:rsidRPr="00567610" w:rsidRDefault="00567610" w:rsidP="005B0288">
      <w:pPr>
        <w:pStyle w:val="Akapitzlist"/>
        <w:numPr>
          <w:ilvl w:val="0"/>
          <w:numId w:val="16"/>
        </w:numPr>
        <w:spacing w:after="0" w:line="360" w:lineRule="auto"/>
        <w:jc w:val="both"/>
        <w:rPr>
          <w:rFonts w:ascii="Times New Roman" w:hAnsi="Times New Roman" w:cs="Times New Roman"/>
          <w:color w:val="000000" w:themeColor="text1"/>
          <w:sz w:val="24"/>
          <w:szCs w:val="24"/>
        </w:rPr>
      </w:pPr>
      <w:r w:rsidRPr="00567610">
        <w:rPr>
          <w:rFonts w:ascii="Times New Roman" w:hAnsi="Times New Roman" w:cs="Times New Roman"/>
          <w:color w:val="000000" w:themeColor="text1"/>
          <w:sz w:val="24"/>
          <w:szCs w:val="24"/>
        </w:rPr>
        <w:t>W</w:t>
      </w:r>
      <w:r w:rsidR="005B0288" w:rsidRPr="00567610">
        <w:rPr>
          <w:rFonts w:ascii="Times New Roman" w:hAnsi="Times New Roman" w:cs="Times New Roman"/>
          <w:color w:val="000000" w:themeColor="text1"/>
          <w:sz w:val="24"/>
          <w:szCs w:val="24"/>
        </w:rPr>
        <w:t xml:space="preserve"> stosunku do liczby ludności w regionie, po przeliczeniu podmiotów przypadających na 1 000 osób pozycja Podkarpacia okazuje się najniższa w kraju tj. 8</w:t>
      </w:r>
      <w:r w:rsidRPr="00567610">
        <w:rPr>
          <w:rFonts w:ascii="Times New Roman" w:hAnsi="Times New Roman" w:cs="Times New Roman"/>
          <w:color w:val="000000" w:themeColor="text1"/>
          <w:sz w:val="24"/>
          <w:szCs w:val="24"/>
        </w:rPr>
        <w:t>9</w:t>
      </w:r>
      <w:r w:rsidR="005B0288" w:rsidRPr="00567610">
        <w:rPr>
          <w:rFonts w:ascii="Times New Roman" w:hAnsi="Times New Roman" w:cs="Times New Roman"/>
          <w:color w:val="000000" w:themeColor="text1"/>
          <w:sz w:val="24"/>
          <w:szCs w:val="24"/>
        </w:rPr>
        <w:t xml:space="preserve"> podmiotów przypadało na 1 000 osób </w:t>
      </w:r>
      <w:r w:rsidRPr="00567610">
        <w:rPr>
          <w:rFonts w:ascii="Times New Roman" w:hAnsi="Times New Roman" w:cs="Times New Roman"/>
          <w:color w:val="000000" w:themeColor="text1"/>
          <w:sz w:val="24"/>
          <w:szCs w:val="24"/>
        </w:rPr>
        <w:t xml:space="preserve">(średnia </w:t>
      </w:r>
      <w:r w:rsidR="005B0288" w:rsidRPr="00567610">
        <w:rPr>
          <w:rFonts w:ascii="Times New Roman" w:hAnsi="Times New Roman" w:cs="Times New Roman"/>
          <w:color w:val="000000" w:themeColor="text1"/>
          <w:sz w:val="24"/>
          <w:szCs w:val="24"/>
        </w:rPr>
        <w:t>dla Polski</w:t>
      </w:r>
      <w:r>
        <w:rPr>
          <w:rFonts w:ascii="Times New Roman" w:hAnsi="Times New Roman" w:cs="Times New Roman"/>
          <w:color w:val="000000" w:themeColor="text1"/>
          <w:sz w:val="24"/>
          <w:szCs w:val="24"/>
        </w:rPr>
        <w:t xml:space="preserve"> </w:t>
      </w:r>
      <w:r w:rsidRPr="005676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122)</w:t>
      </w:r>
      <w:r w:rsidR="005B0288" w:rsidRPr="00567610">
        <w:rPr>
          <w:rFonts w:ascii="Times New Roman" w:hAnsi="Times New Roman" w:cs="Times New Roman"/>
          <w:color w:val="000000" w:themeColor="text1"/>
          <w:sz w:val="24"/>
          <w:szCs w:val="24"/>
        </w:rPr>
        <w:t>.</w:t>
      </w:r>
    </w:p>
    <w:p w:rsidR="00175AAF" w:rsidRDefault="00175AAF" w:rsidP="005B0288">
      <w:pPr>
        <w:spacing w:after="0" w:line="240" w:lineRule="auto"/>
        <w:rPr>
          <w:rFonts w:ascii="Times New Roman" w:hAnsi="Times New Roman" w:cs="Times New Roman"/>
          <w:sz w:val="16"/>
          <w:szCs w:val="16"/>
          <w:highlight w:val="yellow"/>
        </w:rPr>
      </w:pPr>
    </w:p>
    <w:p w:rsidR="00175AAF" w:rsidRPr="00CA6E66" w:rsidRDefault="00175AAF" w:rsidP="005B0288">
      <w:pPr>
        <w:spacing w:after="0" w:line="240" w:lineRule="auto"/>
        <w:rPr>
          <w:rFonts w:ascii="Times New Roman" w:hAnsi="Times New Roman" w:cs="Times New Roman"/>
          <w:sz w:val="16"/>
          <w:szCs w:val="16"/>
          <w:highlight w:val="yellow"/>
        </w:rPr>
      </w:pPr>
    </w:p>
    <w:p w:rsidR="005B0288" w:rsidRPr="00154BDF" w:rsidRDefault="005B0288" w:rsidP="00E20912">
      <w:pPr>
        <w:pStyle w:val="Bezodstpw"/>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4BD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Podmioty gospodarki narodowej w województwie podkarpackim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154BDF">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ogółem</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1"/>
      </w:r>
    </w:p>
    <w:tbl>
      <w:tblPr>
        <w:tblStyle w:val="Tabela-Siatka"/>
        <w:tblW w:w="9288" w:type="dxa"/>
        <w:tblLayout w:type="fixed"/>
        <w:tblLook w:val="04A0" w:firstRow="1" w:lastRow="0" w:firstColumn="1" w:lastColumn="0" w:noHBand="0" w:noVBand="1"/>
      </w:tblPr>
      <w:tblGrid>
        <w:gridCol w:w="1809"/>
        <w:gridCol w:w="1129"/>
        <w:gridCol w:w="1270"/>
        <w:gridCol w:w="1270"/>
        <w:gridCol w:w="1270"/>
        <w:gridCol w:w="1270"/>
        <w:gridCol w:w="1270"/>
      </w:tblGrid>
      <w:tr w:rsidR="005B0288" w:rsidRPr="00CA6E66" w:rsidTr="00977C90">
        <w:trPr>
          <w:trHeight w:val="285"/>
        </w:trPr>
        <w:tc>
          <w:tcPr>
            <w:tcW w:w="1809" w:type="dxa"/>
            <w:vMerge w:val="restart"/>
            <w:shd w:val="clear" w:color="auto" w:fill="E5DFEC" w:themeFill="accent4" w:themeFillTint="33"/>
            <w:noWrap/>
            <w:vAlign w:val="center"/>
            <w:hideMark/>
          </w:tcPr>
          <w:p w:rsidR="005B0288" w:rsidRPr="00154BDF" w:rsidRDefault="005B0288" w:rsidP="00977C90">
            <w:pPr>
              <w:spacing w:line="240" w:lineRule="exact"/>
              <w:jc w:val="center"/>
              <w:rPr>
                <w:rFonts w:ascii="Times New Roman" w:hAnsi="Times New Roman" w:cs="Times New Roman"/>
                <w:sz w:val="16"/>
                <w:szCs w:val="16"/>
              </w:rPr>
            </w:pPr>
            <w:r w:rsidRPr="00154BDF">
              <w:rPr>
                <w:rFonts w:ascii="Times New Roman" w:hAnsi="Times New Roman" w:cs="Times New Roman"/>
                <w:sz w:val="16"/>
                <w:szCs w:val="16"/>
              </w:rPr>
              <w:t>STAN  NA</w:t>
            </w:r>
          </w:p>
        </w:tc>
        <w:tc>
          <w:tcPr>
            <w:tcW w:w="7479" w:type="dxa"/>
            <w:gridSpan w:val="6"/>
            <w:shd w:val="clear" w:color="auto" w:fill="E5DFEC" w:themeFill="accent4" w:themeFillTint="33"/>
            <w:noWrap/>
            <w:hideMark/>
          </w:tcPr>
          <w:p w:rsidR="005B0288" w:rsidRPr="001B54E4" w:rsidRDefault="005B0288" w:rsidP="00977C90">
            <w:pPr>
              <w:spacing w:line="240" w:lineRule="exact"/>
              <w:jc w:val="center"/>
              <w:rPr>
                <w:rFonts w:ascii="Arial" w:hAnsi="Arial" w:cs="Arial"/>
                <w:sz w:val="16"/>
                <w:szCs w:val="16"/>
              </w:rPr>
            </w:pPr>
            <w:r w:rsidRPr="001B54E4">
              <w:rPr>
                <w:rFonts w:ascii="Arial" w:hAnsi="Arial" w:cs="Arial"/>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OGÓŁEM</w:t>
            </w:r>
          </w:p>
        </w:tc>
      </w:tr>
      <w:tr w:rsidR="005B0288" w:rsidRPr="00CA6E66" w:rsidTr="00977C90">
        <w:trPr>
          <w:trHeight w:val="160"/>
        </w:trPr>
        <w:tc>
          <w:tcPr>
            <w:tcW w:w="1809" w:type="dxa"/>
            <w:vMerge/>
            <w:shd w:val="clear" w:color="auto" w:fill="E5DFEC" w:themeFill="accent4" w:themeFillTint="33"/>
            <w:noWrap/>
            <w:hideMark/>
          </w:tcPr>
          <w:p w:rsidR="005B0288" w:rsidRPr="00154BDF" w:rsidRDefault="005B0288" w:rsidP="00977C90">
            <w:pPr>
              <w:spacing w:line="240" w:lineRule="exact"/>
              <w:jc w:val="center"/>
              <w:rPr>
                <w:rFonts w:ascii="Times New Roman" w:hAnsi="Times New Roman" w:cs="Times New Roman"/>
                <w:sz w:val="16"/>
                <w:szCs w:val="16"/>
              </w:rPr>
            </w:pPr>
          </w:p>
        </w:tc>
        <w:tc>
          <w:tcPr>
            <w:tcW w:w="1129" w:type="dxa"/>
            <w:shd w:val="clear" w:color="auto" w:fill="E5DFEC" w:themeFill="accent4" w:themeFillTint="33"/>
            <w:noWrap/>
            <w:vAlign w:val="center"/>
            <w:hideMark/>
          </w:tcPr>
          <w:p w:rsidR="005B0288" w:rsidRPr="00154BDF" w:rsidRDefault="005B0288" w:rsidP="00977C90">
            <w:pPr>
              <w:spacing w:line="240" w:lineRule="exact"/>
              <w:jc w:val="center"/>
              <w:rPr>
                <w:rFonts w:ascii="Times New Roman" w:hAnsi="Times New Roman" w:cs="Times New Roman"/>
                <w:sz w:val="16"/>
                <w:szCs w:val="16"/>
              </w:rPr>
            </w:pPr>
            <w:r w:rsidRPr="00154BDF">
              <w:rPr>
                <w:rFonts w:ascii="Times New Roman" w:hAnsi="Times New Roman" w:cs="Times New Roman"/>
                <w:sz w:val="16"/>
                <w:szCs w:val="16"/>
              </w:rPr>
              <w:t>razem</w:t>
            </w:r>
          </w:p>
        </w:tc>
        <w:tc>
          <w:tcPr>
            <w:tcW w:w="1270" w:type="dxa"/>
            <w:shd w:val="clear" w:color="auto" w:fill="E5DFEC" w:themeFill="accent4" w:themeFillTint="33"/>
            <w:noWrap/>
            <w:vAlign w:val="center"/>
            <w:hideMark/>
          </w:tcPr>
          <w:p w:rsidR="005B0288" w:rsidRPr="00154BDF" w:rsidRDefault="005B0288" w:rsidP="00977C90">
            <w:pPr>
              <w:spacing w:line="240" w:lineRule="exact"/>
              <w:jc w:val="center"/>
              <w:rPr>
                <w:rFonts w:ascii="Times New Roman" w:hAnsi="Times New Roman" w:cs="Times New Roman"/>
                <w:sz w:val="16"/>
                <w:szCs w:val="16"/>
              </w:rPr>
            </w:pPr>
            <w:r w:rsidRPr="00154BDF">
              <w:rPr>
                <w:rFonts w:ascii="Times New Roman" w:hAnsi="Times New Roman" w:cs="Times New Roman"/>
                <w:sz w:val="16"/>
                <w:szCs w:val="16"/>
              </w:rPr>
              <w:t>0 - 9</w:t>
            </w:r>
          </w:p>
        </w:tc>
        <w:tc>
          <w:tcPr>
            <w:tcW w:w="1270" w:type="dxa"/>
            <w:shd w:val="clear" w:color="auto" w:fill="E5DFEC" w:themeFill="accent4" w:themeFillTint="33"/>
            <w:noWrap/>
            <w:vAlign w:val="center"/>
            <w:hideMark/>
          </w:tcPr>
          <w:p w:rsidR="005B0288" w:rsidRPr="00154BDF" w:rsidRDefault="005B0288" w:rsidP="00977C90">
            <w:pPr>
              <w:spacing w:line="240" w:lineRule="exact"/>
              <w:jc w:val="center"/>
              <w:rPr>
                <w:rFonts w:ascii="Times New Roman" w:hAnsi="Times New Roman" w:cs="Times New Roman"/>
                <w:sz w:val="16"/>
                <w:szCs w:val="16"/>
              </w:rPr>
            </w:pPr>
            <w:r w:rsidRPr="00154BDF">
              <w:rPr>
                <w:rFonts w:ascii="Times New Roman" w:hAnsi="Times New Roman" w:cs="Times New Roman"/>
                <w:sz w:val="16"/>
                <w:szCs w:val="16"/>
              </w:rPr>
              <w:t>10 - 49</w:t>
            </w:r>
          </w:p>
        </w:tc>
        <w:tc>
          <w:tcPr>
            <w:tcW w:w="1270" w:type="dxa"/>
            <w:shd w:val="clear" w:color="auto" w:fill="E5DFEC" w:themeFill="accent4" w:themeFillTint="33"/>
            <w:noWrap/>
            <w:vAlign w:val="center"/>
            <w:hideMark/>
          </w:tcPr>
          <w:p w:rsidR="005B0288" w:rsidRPr="00154BDF" w:rsidRDefault="005B0288" w:rsidP="00977C90">
            <w:pPr>
              <w:spacing w:line="240" w:lineRule="exact"/>
              <w:jc w:val="center"/>
              <w:rPr>
                <w:rFonts w:ascii="Times New Roman" w:hAnsi="Times New Roman" w:cs="Times New Roman"/>
                <w:sz w:val="16"/>
                <w:szCs w:val="16"/>
              </w:rPr>
            </w:pPr>
            <w:r w:rsidRPr="00154BDF">
              <w:rPr>
                <w:rFonts w:ascii="Times New Roman" w:hAnsi="Times New Roman" w:cs="Times New Roman"/>
                <w:sz w:val="16"/>
                <w:szCs w:val="16"/>
              </w:rPr>
              <w:t>50 - 249</w:t>
            </w:r>
          </w:p>
        </w:tc>
        <w:tc>
          <w:tcPr>
            <w:tcW w:w="1270" w:type="dxa"/>
            <w:shd w:val="clear" w:color="auto" w:fill="E5DFEC" w:themeFill="accent4" w:themeFillTint="33"/>
            <w:noWrap/>
            <w:vAlign w:val="center"/>
            <w:hideMark/>
          </w:tcPr>
          <w:p w:rsidR="005B0288" w:rsidRPr="00154BDF" w:rsidRDefault="005B0288" w:rsidP="00977C90">
            <w:pPr>
              <w:spacing w:line="240" w:lineRule="exact"/>
              <w:jc w:val="center"/>
              <w:rPr>
                <w:rFonts w:ascii="Times New Roman" w:hAnsi="Times New Roman" w:cs="Times New Roman"/>
                <w:sz w:val="16"/>
                <w:szCs w:val="16"/>
              </w:rPr>
            </w:pPr>
            <w:r w:rsidRPr="00154BDF">
              <w:rPr>
                <w:rFonts w:ascii="Times New Roman" w:hAnsi="Times New Roman" w:cs="Times New Roman"/>
                <w:sz w:val="16"/>
                <w:szCs w:val="16"/>
              </w:rPr>
              <w:t>250 - 999</w:t>
            </w:r>
          </w:p>
        </w:tc>
        <w:tc>
          <w:tcPr>
            <w:tcW w:w="1270" w:type="dxa"/>
            <w:shd w:val="clear" w:color="auto" w:fill="E5DFEC" w:themeFill="accent4" w:themeFillTint="33"/>
            <w:noWrap/>
            <w:vAlign w:val="center"/>
            <w:hideMark/>
          </w:tcPr>
          <w:p w:rsidR="005B0288" w:rsidRPr="00154BDF" w:rsidRDefault="005B0288" w:rsidP="00977C90">
            <w:pPr>
              <w:spacing w:line="240" w:lineRule="exact"/>
              <w:jc w:val="center"/>
              <w:rPr>
                <w:rFonts w:ascii="Times New Roman" w:hAnsi="Times New Roman" w:cs="Times New Roman"/>
                <w:sz w:val="16"/>
                <w:szCs w:val="16"/>
              </w:rPr>
            </w:pPr>
            <w:r w:rsidRPr="00154BDF">
              <w:rPr>
                <w:rFonts w:ascii="Times New Roman" w:hAnsi="Times New Roman" w:cs="Times New Roman"/>
                <w:sz w:val="16"/>
                <w:szCs w:val="16"/>
              </w:rPr>
              <w:t>1000</w:t>
            </w:r>
          </w:p>
          <w:p w:rsidR="005B0288" w:rsidRPr="00154BDF" w:rsidRDefault="005B0288" w:rsidP="00977C90">
            <w:pPr>
              <w:spacing w:line="240" w:lineRule="exact"/>
              <w:jc w:val="center"/>
              <w:rPr>
                <w:rFonts w:ascii="Times New Roman" w:hAnsi="Times New Roman" w:cs="Times New Roman"/>
                <w:sz w:val="16"/>
                <w:szCs w:val="16"/>
              </w:rPr>
            </w:pPr>
            <w:r w:rsidRPr="00154BDF">
              <w:rPr>
                <w:rFonts w:ascii="Times New Roman" w:hAnsi="Times New Roman" w:cs="Times New Roman"/>
                <w:sz w:val="16"/>
                <w:szCs w:val="16"/>
              </w:rPr>
              <w:t>i więcej</w:t>
            </w:r>
          </w:p>
        </w:tc>
      </w:tr>
      <w:tr w:rsidR="005B0288" w:rsidRPr="00CA6E66" w:rsidTr="00977C90">
        <w:trPr>
          <w:trHeight w:val="73"/>
        </w:trPr>
        <w:tc>
          <w:tcPr>
            <w:tcW w:w="1809" w:type="dxa"/>
            <w:shd w:val="clear" w:color="auto" w:fill="FFFFFF" w:themeFill="background1"/>
            <w:noWrap/>
            <w:vAlign w:val="center"/>
          </w:tcPr>
          <w:p w:rsidR="005B0288" w:rsidRPr="00154BDF" w:rsidRDefault="005B0288" w:rsidP="00977C90">
            <w:pPr>
              <w:rPr>
                <w:rFonts w:ascii="Times New Roman" w:hAnsi="Times New Roman" w:cs="Times New Roman"/>
                <w:sz w:val="18"/>
                <w:szCs w:val="18"/>
              </w:rPr>
            </w:pPr>
            <w:r w:rsidRPr="00154BDF">
              <w:rPr>
                <w:rFonts w:ascii="Times New Roman" w:hAnsi="Times New Roman" w:cs="Times New Roman"/>
                <w:sz w:val="18"/>
                <w:szCs w:val="18"/>
              </w:rPr>
              <w:t xml:space="preserve">31 XII </w:t>
            </w:r>
            <w:r>
              <w:rPr>
                <w:rFonts w:ascii="Times New Roman" w:hAnsi="Times New Roman" w:cs="Times New Roman"/>
                <w:sz w:val="18"/>
                <w:szCs w:val="18"/>
              </w:rPr>
              <w:t>20</w:t>
            </w:r>
            <w:r w:rsidRPr="00154BDF">
              <w:rPr>
                <w:rFonts w:ascii="Times New Roman" w:hAnsi="Times New Roman" w:cs="Times New Roman"/>
                <w:sz w:val="18"/>
                <w:szCs w:val="18"/>
              </w:rPr>
              <w:t>1</w:t>
            </w:r>
            <w:r>
              <w:rPr>
                <w:rFonts w:ascii="Times New Roman" w:hAnsi="Times New Roman" w:cs="Times New Roman"/>
                <w:sz w:val="18"/>
                <w:szCs w:val="18"/>
              </w:rPr>
              <w:t>9</w:t>
            </w:r>
          </w:p>
        </w:tc>
        <w:tc>
          <w:tcPr>
            <w:tcW w:w="1129" w:type="dxa"/>
            <w:shd w:val="clear" w:color="auto" w:fill="FFFFFF" w:themeFill="background1"/>
            <w:noWrap/>
            <w:vAlign w:val="center"/>
          </w:tcPr>
          <w:p w:rsidR="005B0288" w:rsidRPr="009D3871" w:rsidRDefault="005B0288" w:rsidP="00050228">
            <w:pPr>
              <w:jc w:val="center"/>
              <w:rPr>
                <w:rFonts w:ascii="Times New Roman" w:hAnsi="Times New Roman" w:cs="Times New Roman"/>
                <w:sz w:val="16"/>
                <w:szCs w:val="16"/>
              </w:rPr>
            </w:pPr>
            <w:r w:rsidRPr="009D3871">
              <w:rPr>
                <w:rFonts w:ascii="Times New Roman" w:hAnsi="Times New Roman" w:cs="Times New Roman"/>
                <w:sz w:val="16"/>
                <w:szCs w:val="16"/>
              </w:rPr>
              <w:t>181</w:t>
            </w:r>
            <w:r w:rsidR="00050228">
              <w:rPr>
                <w:rFonts w:ascii="Times New Roman" w:hAnsi="Times New Roman" w:cs="Times New Roman"/>
                <w:sz w:val="16"/>
                <w:szCs w:val="16"/>
              </w:rPr>
              <w:t xml:space="preserve"> </w:t>
            </w:r>
            <w:r w:rsidRPr="009D3871">
              <w:rPr>
                <w:rFonts w:ascii="Times New Roman" w:hAnsi="Times New Roman" w:cs="Times New Roman"/>
                <w:sz w:val="16"/>
                <w:szCs w:val="16"/>
              </w:rPr>
              <w:t>107</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173 965</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5 707</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1 253</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152</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30</w:t>
            </w:r>
          </w:p>
        </w:tc>
      </w:tr>
      <w:tr w:rsidR="005B0288" w:rsidRPr="00CA6E66" w:rsidTr="00977C90">
        <w:trPr>
          <w:trHeight w:val="133"/>
        </w:trPr>
        <w:tc>
          <w:tcPr>
            <w:tcW w:w="1809" w:type="dxa"/>
            <w:shd w:val="clear" w:color="auto" w:fill="FFFFFF" w:themeFill="background1"/>
            <w:noWrap/>
            <w:vAlign w:val="center"/>
            <w:hideMark/>
          </w:tcPr>
          <w:p w:rsidR="005B0288" w:rsidRPr="00154BDF" w:rsidRDefault="005B0288" w:rsidP="00977C90">
            <w:pPr>
              <w:rPr>
                <w:rFonts w:ascii="Times New Roman" w:hAnsi="Times New Roman" w:cs="Times New Roman"/>
                <w:sz w:val="18"/>
                <w:szCs w:val="18"/>
              </w:rPr>
            </w:pPr>
            <w:r w:rsidRPr="00154BDF">
              <w:rPr>
                <w:rFonts w:ascii="Times New Roman" w:hAnsi="Times New Roman" w:cs="Times New Roman"/>
                <w:sz w:val="18"/>
                <w:szCs w:val="18"/>
              </w:rPr>
              <w:t xml:space="preserve">31 XII </w:t>
            </w:r>
            <w:r>
              <w:rPr>
                <w:rFonts w:ascii="Times New Roman" w:hAnsi="Times New Roman" w:cs="Times New Roman"/>
                <w:sz w:val="18"/>
                <w:szCs w:val="18"/>
              </w:rPr>
              <w:t>2020</w:t>
            </w:r>
          </w:p>
        </w:tc>
        <w:tc>
          <w:tcPr>
            <w:tcW w:w="1129" w:type="dxa"/>
            <w:tcBorders>
              <w:bottom w:val="single" w:sz="4" w:space="0" w:color="auto"/>
            </w:tcBorders>
            <w:shd w:val="clear" w:color="auto" w:fill="FFFFFF" w:themeFill="background1"/>
            <w:noWrap/>
            <w:vAlign w:val="center"/>
          </w:tcPr>
          <w:p w:rsidR="005B0288" w:rsidRPr="009D3871" w:rsidRDefault="005B0288" w:rsidP="00050228">
            <w:pPr>
              <w:jc w:val="center"/>
              <w:rPr>
                <w:rFonts w:ascii="Times New Roman" w:hAnsi="Times New Roman" w:cs="Times New Roman"/>
                <w:sz w:val="16"/>
                <w:szCs w:val="16"/>
              </w:rPr>
            </w:pPr>
            <w:r w:rsidRPr="009D3871">
              <w:rPr>
                <w:rFonts w:ascii="Times New Roman" w:hAnsi="Times New Roman" w:cs="Times New Roman"/>
                <w:sz w:val="16"/>
                <w:szCs w:val="16"/>
              </w:rPr>
              <w:t>188</w:t>
            </w:r>
            <w:r w:rsidR="00050228">
              <w:rPr>
                <w:rFonts w:ascii="Times New Roman" w:hAnsi="Times New Roman" w:cs="Times New Roman"/>
                <w:sz w:val="16"/>
                <w:szCs w:val="16"/>
              </w:rPr>
              <w:t xml:space="preserve"> </w:t>
            </w:r>
            <w:r w:rsidRPr="009D3871">
              <w:rPr>
                <w:rFonts w:ascii="Times New Roman" w:hAnsi="Times New Roman" w:cs="Times New Roman"/>
                <w:sz w:val="16"/>
                <w:szCs w:val="16"/>
              </w:rPr>
              <w:t>360</w:t>
            </w:r>
          </w:p>
        </w:tc>
        <w:tc>
          <w:tcPr>
            <w:tcW w:w="1270" w:type="dxa"/>
            <w:tcBorders>
              <w:bottom w:val="single" w:sz="4" w:space="0" w:color="auto"/>
            </w:tcBorders>
            <w:shd w:val="clear" w:color="auto" w:fill="FFFFFF" w:themeFill="background1"/>
            <w:noWrap/>
            <w:vAlign w:val="center"/>
          </w:tcPr>
          <w:p w:rsidR="005B0288" w:rsidRPr="009D3871" w:rsidRDefault="005B0288" w:rsidP="00977C90">
            <w:pPr>
              <w:jc w:val="center"/>
              <w:rPr>
                <w:rFonts w:ascii="Times New Roman" w:hAnsi="Times New Roman" w:cs="Times New Roman"/>
                <w:bCs/>
                <w:color w:val="000000"/>
                <w:sz w:val="16"/>
                <w:szCs w:val="16"/>
              </w:rPr>
            </w:pPr>
            <w:r w:rsidRPr="009D3871">
              <w:rPr>
                <w:rFonts w:ascii="Times New Roman" w:hAnsi="Times New Roman" w:cs="Times New Roman"/>
                <w:bCs/>
                <w:color w:val="000000"/>
                <w:sz w:val="16"/>
                <w:szCs w:val="16"/>
              </w:rPr>
              <w:t>181 349</w:t>
            </w:r>
          </w:p>
        </w:tc>
        <w:tc>
          <w:tcPr>
            <w:tcW w:w="1270" w:type="dxa"/>
            <w:tcBorders>
              <w:bottom w:val="single" w:sz="4" w:space="0" w:color="auto"/>
            </w:tcBorders>
            <w:shd w:val="clear" w:color="auto" w:fill="FFFFFF" w:themeFill="background1"/>
            <w:noWrap/>
            <w:vAlign w:val="center"/>
          </w:tcPr>
          <w:p w:rsidR="005B0288" w:rsidRPr="009D3871" w:rsidRDefault="005B0288" w:rsidP="00977C90">
            <w:pPr>
              <w:jc w:val="center"/>
              <w:rPr>
                <w:rFonts w:ascii="Times New Roman" w:hAnsi="Times New Roman" w:cs="Times New Roman"/>
                <w:bCs/>
                <w:color w:val="000000"/>
                <w:sz w:val="16"/>
                <w:szCs w:val="16"/>
              </w:rPr>
            </w:pPr>
            <w:r w:rsidRPr="009D3871">
              <w:rPr>
                <w:rFonts w:ascii="Times New Roman" w:hAnsi="Times New Roman" w:cs="Times New Roman"/>
                <w:bCs/>
                <w:color w:val="000000"/>
                <w:sz w:val="16"/>
                <w:szCs w:val="16"/>
              </w:rPr>
              <w:t>5 590</w:t>
            </w:r>
          </w:p>
        </w:tc>
        <w:tc>
          <w:tcPr>
            <w:tcW w:w="1270" w:type="dxa"/>
            <w:tcBorders>
              <w:bottom w:val="single" w:sz="4" w:space="0" w:color="auto"/>
            </w:tcBorders>
            <w:shd w:val="clear" w:color="auto" w:fill="FFFFFF" w:themeFill="background1"/>
            <w:noWrap/>
            <w:vAlign w:val="center"/>
          </w:tcPr>
          <w:p w:rsidR="005B0288" w:rsidRPr="009D3871" w:rsidRDefault="005B0288" w:rsidP="00977C90">
            <w:pPr>
              <w:jc w:val="center"/>
              <w:rPr>
                <w:rFonts w:ascii="Times New Roman" w:hAnsi="Times New Roman" w:cs="Times New Roman"/>
                <w:bCs/>
                <w:color w:val="000000"/>
                <w:sz w:val="16"/>
                <w:szCs w:val="16"/>
              </w:rPr>
            </w:pPr>
            <w:r w:rsidRPr="009D3871">
              <w:rPr>
                <w:rFonts w:ascii="Times New Roman" w:hAnsi="Times New Roman" w:cs="Times New Roman"/>
                <w:bCs/>
                <w:color w:val="000000"/>
                <w:sz w:val="16"/>
                <w:szCs w:val="16"/>
              </w:rPr>
              <w:t>1 241</w:t>
            </w:r>
          </w:p>
        </w:tc>
        <w:tc>
          <w:tcPr>
            <w:tcW w:w="1270" w:type="dxa"/>
            <w:tcBorders>
              <w:bottom w:val="single" w:sz="4" w:space="0" w:color="auto"/>
            </w:tcBorders>
            <w:shd w:val="clear" w:color="auto" w:fill="FFFFFF" w:themeFill="background1"/>
            <w:noWrap/>
            <w:vAlign w:val="center"/>
          </w:tcPr>
          <w:p w:rsidR="005B0288" w:rsidRPr="009D3871" w:rsidRDefault="005B0288" w:rsidP="00977C90">
            <w:pPr>
              <w:jc w:val="center"/>
              <w:rPr>
                <w:rFonts w:ascii="Times New Roman" w:hAnsi="Times New Roman" w:cs="Times New Roman"/>
                <w:bCs/>
                <w:color w:val="000000"/>
                <w:sz w:val="16"/>
                <w:szCs w:val="16"/>
              </w:rPr>
            </w:pPr>
            <w:r w:rsidRPr="009D3871">
              <w:rPr>
                <w:rFonts w:ascii="Times New Roman" w:hAnsi="Times New Roman" w:cs="Times New Roman"/>
                <w:bCs/>
                <w:color w:val="000000"/>
                <w:sz w:val="16"/>
                <w:szCs w:val="16"/>
              </w:rPr>
              <w:t>150</w:t>
            </w:r>
          </w:p>
        </w:tc>
        <w:tc>
          <w:tcPr>
            <w:tcW w:w="1270" w:type="dxa"/>
            <w:tcBorders>
              <w:bottom w:val="single" w:sz="4" w:space="0" w:color="auto"/>
            </w:tcBorders>
            <w:shd w:val="clear" w:color="auto" w:fill="FFFFFF" w:themeFill="background1"/>
            <w:noWrap/>
            <w:vAlign w:val="center"/>
          </w:tcPr>
          <w:p w:rsidR="005B0288" w:rsidRPr="009D3871" w:rsidRDefault="005B0288" w:rsidP="00977C90">
            <w:pPr>
              <w:jc w:val="center"/>
              <w:rPr>
                <w:rFonts w:ascii="Times New Roman" w:hAnsi="Times New Roman" w:cs="Times New Roman"/>
                <w:bCs/>
                <w:color w:val="000000"/>
                <w:sz w:val="16"/>
                <w:szCs w:val="16"/>
              </w:rPr>
            </w:pPr>
            <w:r w:rsidRPr="009D3871">
              <w:rPr>
                <w:rFonts w:ascii="Times New Roman" w:hAnsi="Times New Roman" w:cs="Times New Roman"/>
                <w:bCs/>
                <w:color w:val="000000"/>
                <w:sz w:val="16"/>
                <w:szCs w:val="16"/>
              </w:rPr>
              <w:t>30</w:t>
            </w:r>
          </w:p>
        </w:tc>
      </w:tr>
      <w:tr w:rsidR="005B0288" w:rsidRPr="00CA6E66" w:rsidTr="00977C90">
        <w:trPr>
          <w:trHeight w:val="65"/>
        </w:trPr>
        <w:tc>
          <w:tcPr>
            <w:tcW w:w="1809" w:type="dxa"/>
            <w:shd w:val="clear" w:color="auto" w:fill="auto"/>
            <w:noWrap/>
            <w:vAlign w:val="center"/>
            <w:hideMark/>
          </w:tcPr>
          <w:p w:rsidR="005B0288" w:rsidRPr="00154BDF" w:rsidRDefault="005B0288" w:rsidP="00977C90">
            <w:pPr>
              <w:rPr>
                <w:rFonts w:ascii="Times New Roman" w:hAnsi="Times New Roman" w:cs="Times New Roman"/>
                <w:sz w:val="18"/>
                <w:szCs w:val="18"/>
              </w:rPr>
            </w:pPr>
            <w:r w:rsidRPr="00154BDF">
              <w:rPr>
                <w:rFonts w:ascii="Times New Roman" w:hAnsi="Times New Roman" w:cs="Times New Roman"/>
                <w:sz w:val="18"/>
                <w:szCs w:val="18"/>
              </w:rPr>
              <w:t>WZROST / SPADEK</w:t>
            </w:r>
          </w:p>
        </w:tc>
        <w:tc>
          <w:tcPr>
            <w:tcW w:w="1129"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7 253</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7 384</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-117</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-12</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-2</w:t>
            </w:r>
          </w:p>
        </w:tc>
        <w:tc>
          <w:tcPr>
            <w:tcW w:w="1270" w:type="dxa"/>
            <w:shd w:val="clear" w:color="auto" w:fill="FFFFFF" w:themeFill="background1"/>
            <w:noWrap/>
            <w:vAlign w:val="center"/>
          </w:tcPr>
          <w:p w:rsidR="005B0288" w:rsidRPr="009D3871" w:rsidRDefault="005B0288" w:rsidP="00977C90">
            <w:pPr>
              <w:jc w:val="center"/>
              <w:rPr>
                <w:rFonts w:ascii="Times New Roman" w:hAnsi="Times New Roman" w:cs="Times New Roman"/>
                <w:sz w:val="16"/>
                <w:szCs w:val="16"/>
              </w:rPr>
            </w:pPr>
            <w:r w:rsidRPr="009D3871">
              <w:rPr>
                <w:rFonts w:ascii="Times New Roman" w:hAnsi="Times New Roman" w:cs="Times New Roman"/>
                <w:sz w:val="16"/>
                <w:szCs w:val="16"/>
              </w:rPr>
              <w:t>0</w:t>
            </w:r>
          </w:p>
        </w:tc>
      </w:tr>
    </w:tbl>
    <w:p w:rsidR="005B0288" w:rsidRDefault="005B0288" w:rsidP="005B0288">
      <w:pPr>
        <w:rPr>
          <w:rFonts w:ascii="Times New Roman" w:hAnsi="Times New Roman" w:cs="Times New Roman"/>
          <w:sz w:val="16"/>
          <w:szCs w:val="16"/>
          <w:highlight w:val="yellow"/>
        </w:rPr>
      </w:pPr>
    </w:p>
    <w:p w:rsidR="00257AA7" w:rsidRDefault="00257AA7" w:rsidP="00E42AF6">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drawing>
          <wp:anchor distT="0" distB="0" distL="114300" distR="114300" simplePos="0" relativeHeight="251871232" behindDoc="0" locked="0" layoutInCell="1" allowOverlap="1" wp14:anchorId="2832B969" wp14:editId="3CFFA871">
            <wp:simplePos x="0" y="0"/>
            <wp:positionH relativeFrom="column">
              <wp:posOffset>-13335</wp:posOffset>
            </wp:positionH>
            <wp:positionV relativeFrom="paragraph">
              <wp:posOffset>311785</wp:posOffset>
            </wp:positionV>
            <wp:extent cx="5758815" cy="1446530"/>
            <wp:effectExtent l="0" t="0" r="0" b="1270"/>
            <wp:wrapSquare wrapText="bothSides"/>
            <wp:docPr id="21" name="Wykres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5B0288"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Podmioty  gospodarki  narodowej  </w:t>
      </w:r>
      <w:r w:rsidR="005B0288">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(ogółem)</w:t>
      </w:r>
    </w:p>
    <w:p w:rsidR="005B0288" w:rsidRPr="005E7709" w:rsidRDefault="005B0288" w:rsidP="00E42AF6">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województwie  podkarpackim</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w:t>
      </w:r>
      <w:r w:rsidR="00E42AF6">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257AA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rejestru </w:t>
      </w:r>
      <w:r w:rsidR="00E42AF6">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EGON</w:t>
      </w:r>
    </w:p>
    <w:p w:rsidR="00257AA7" w:rsidRDefault="00257AA7" w:rsidP="005B0288">
      <w:pPr>
        <w:pBdr>
          <w:bottom w:val="single" w:sz="4" w:space="1" w:color="auto"/>
        </w:pBdr>
        <w:spacing w:after="0" w:line="240" w:lineRule="auto"/>
        <w:jc w:val="both"/>
        <w:rPr>
          <w:rFonts w:ascii="Times New Roman" w:hAnsi="Times New Roman" w:cs="Times New Roman"/>
          <w:sz w:val="24"/>
          <w:szCs w:val="24"/>
        </w:rPr>
      </w:pPr>
    </w:p>
    <w:p w:rsidR="005B0288" w:rsidRPr="00CD3712" w:rsidRDefault="005B0288" w:rsidP="005B0288">
      <w:pPr>
        <w:pBdr>
          <w:bottom w:val="single" w:sz="4" w:space="1" w:color="auto"/>
        </w:pBdr>
        <w:spacing w:after="0" w:line="240" w:lineRule="auto"/>
        <w:jc w:val="both"/>
        <w:rPr>
          <w:rFonts w:ascii="Times New Roman" w:hAnsi="Times New Roman" w:cs="Times New Roman"/>
          <w:sz w:val="24"/>
          <w:szCs w:val="24"/>
        </w:rPr>
      </w:pPr>
      <w:r w:rsidRPr="00CD3712">
        <w:rPr>
          <w:rFonts w:ascii="Times New Roman" w:hAnsi="Times New Roman" w:cs="Times New Roman"/>
          <w:sz w:val="24"/>
          <w:szCs w:val="24"/>
        </w:rPr>
        <w:t>Wnioski:</w:t>
      </w:r>
    </w:p>
    <w:p w:rsidR="005B0288" w:rsidRPr="00CD3712" w:rsidRDefault="005B0288" w:rsidP="005B0288">
      <w:pPr>
        <w:spacing w:after="0" w:line="360" w:lineRule="auto"/>
        <w:jc w:val="both"/>
        <w:rPr>
          <w:rFonts w:ascii="Times New Roman" w:hAnsi="Times New Roman" w:cs="Times New Roman"/>
          <w:sz w:val="18"/>
          <w:szCs w:val="18"/>
        </w:rPr>
      </w:pPr>
      <w:r w:rsidRPr="00CD3712">
        <w:rPr>
          <w:rFonts w:ascii="Times New Roman" w:hAnsi="Times New Roman" w:cs="Times New Roman"/>
          <w:sz w:val="18"/>
          <w:szCs w:val="18"/>
        </w:rPr>
        <w:t xml:space="preserve">(na podstawie </w:t>
      </w:r>
      <w:r w:rsidR="00E217E1">
        <w:rPr>
          <w:rFonts w:ascii="Times New Roman" w:hAnsi="Times New Roman" w:cs="Times New Roman"/>
          <w:sz w:val="18"/>
          <w:szCs w:val="18"/>
        </w:rPr>
        <w:t>danych z tabel</w:t>
      </w:r>
      <w:r w:rsidRPr="00CD3712">
        <w:rPr>
          <w:rFonts w:ascii="Times New Roman" w:hAnsi="Times New Roman" w:cs="Times New Roman"/>
          <w:sz w:val="18"/>
          <w:szCs w:val="18"/>
        </w:rPr>
        <w:t>)</w:t>
      </w:r>
    </w:p>
    <w:p w:rsidR="005B0288" w:rsidRPr="008F2B2F" w:rsidRDefault="005B0288" w:rsidP="005B0288">
      <w:pPr>
        <w:spacing w:after="0" w:line="240" w:lineRule="auto"/>
        <w:jc w:val="both"/>
        <w:rPr>
          <w:rFonts w:ascii="Times New Roman" w:hAnsi="Times New Roman" w:cs="Times New Roman"/>
          <w:sz w:val="16"/>
          <w:szCs w:val="16"/>
        </w:rPr>
      </w:pPr>
    </w:p>
    <w:p w:rsidR="005B0288" w:rsidRPr="00B61BE3" w:rsidRDefault="005B0288" w:rsidP="005B0288">
      <w:pPr>
        <w:pStyle w:val="Akapitzlist"/>
        <w:numPr>
          <w:ilvl w:val="0"/>
          <w:numId w:val="37"/>
        </w:numPr>
        <w:spacing w:after="0" w:line="360" w:lineRule="auto"/>
        <w:jc w:val="both"/>
        <w:rPr>
          <w:rFonts w:ascii="Times New Roman" w:hAnsi="Times New Roman" w:cs="Times New Roman"/>
          <w:sz w:val="24"/>
          <w:szCs w:val="24"/>
        </w:rPr>
      </w:pPr>
      <w:r w:rsidRPr="009A6497">
        <w:rPr>
          <w:rFonts w:ascii="Times New Roman" w:hAnsi="Times New Roman" w:cs="Times New Roman"/>
          <w:b/>
          <w:sz w:val="24"/>
          <w:szCs w:val="24"/>
        </w:rPr>
        <w:t>Struktura występujących w regionie podmiotów gospodarczych</w:t>
      </w:r>
      <w:r w:rsidRPr="00B61BE3">
        <w:rPr>
          <w:rFonts w:ascii="Times New Roman" w:hAnsi="Times New Roman" w:cs="Times New Roman"/>
          <w:sz w:val="24"/>
          <w:szCs w:val="24"/>
        </w:rPr>
        <w:t xml:space="preserve">. </w:t>
      </w:r>
      <w:r w:rsidRPr="00B61BE3">
        <w:rPr>
          <w:rFonts w:ascii="Times New Roman" w:hAnsi="Times New Roman" w:cs="Times New Roman"/>
          <w:i/>
          <w:sz w:val="24"/>
          <w:szCs w:val="24"/>
        </w:rPr>
        <w:t>Gros</w:t>
      </w:r>
      <w:r w:rsidRPr="00B61BE3">
        <w:rPr>
          <w:rFonts w:ascii="Times New Roman" w:hAnsi="Times New Roman" w:cs="Times New Roman"/>
          <w:sz w:val="24"/>
          <w:szCs w:val="24"/>
        </w:rPr>
        <w:t xml:space="preserve"> podmiotów to mikroprzedsiębiorstwa. Łącznie przedsiębiorstwa </w:t>
      </w:r>
      <w:r>
        <w:rPr>
          <w:rFonts w:ascii="Times New Roman" w:hAnsi="Times New Roman" w:cs="Times New Roman"/>
          <w:sz w:val="24"/>
          <w:szCs w:val="24"/>
        </w:rPr>
        <w:t xml:space="preserve">zatrudniające </w:t>
      </w:r>
      <w:r w:rsidRPr="00B61BE3">
        <w:rPr>
          <w:rFonts w:ascii="Times New Roman" w:hAnsi="Times New Roman" w:cs="Times New Roman"/>
          <w:sz w:val="24"/>
          <w:szCs w:val="24"/>
        </w:rPr>
        <w:t xml:space="preserve">do 9 pracowników </w:t>
      </w:r>
      <w:r>
        <w:rPr>
          <w:rFonts w:ascii="Times New Roman" w:hAnsi="Times New Roman" w:cs="Times New Roman"/>
          <w:sz w:val="24"/>
          <w:szCs w:val="24"/>
        </w:rPr>
        <w:t>obejmowały</w:t>
      </w:r>
      <w:r w:rsidRPr="00B61BE3">
        <w:rPr>
          <w:rFonts w:ascii="Times New Roman" w:hAnsi="Times New Roman" w:cs="Times New Roman"/>
          <w:sz w:val="24"/>
          <w:szCs w:val="24"/>
        </w:rPr>
        <w:t xml:space="preserve"> 96,3</w:t>
      </w:r>
      <w:r w:rsidR="00836EA1">
        <w:rPr>
          <w:rFonts w:ascii="Times New Roman" w:hAnsi="Times New Roman" w:cs="Times New Roman"/>
          <w:sz w:val="24"/>
          <w:szCs w:val="24"/>
        </w:rPr>
        <w:t xml:space="preserve"> proc.</w:t>
      </w:r>
      <w:r w:rsidRPr="00B61BE3">
        <w:rPr>
          <w:rFonts w:ascii="Times New Roman" w:hAnsi="Times New Roman" w:cs="Times New Roman"/>
          <w:sz w:val="24"/>
          <w:szCs w:val="24"/>
        </w:rPr>
        <w:t xml:space="preserve"> wszystkich podmiotów</w:t>
      </w:r>
      <w:r>
        <w:rPr>
          <w:rFonts w:ascii="Times New Roman" w:hAnsi="Times New Roman" w:cs="Times New Roman"/>
          <w:sz w:val="24"/>
          <w:szCs w:val="24"/>
        </w:rPr>
        <w:t xml:space="preserve"> w rejestrze REGON </w:t>
      </w:r>
      <w:r w:rsidRPr="00B61BE3">
        <w:rPr>
          <w:rStyle w:val="Odwoanieprzypisudolnego"/>
          <w:rFonts w:ascii="Times New Roman" w:hAnsi="Times New Roman" w:cs="Times New Roman"/>
          <w:sz w:val="24"/>
          <w:szCs w:val="24"/>
        </w:rPr>
        <w:footnoteReference w:id="12"/>
      </w:r>
      <w:r w:rsidRPr="00B61BE3">
        <w:rPr>
          <w:rFonts w:ascii="Times New Roman" w:hAnsi="Times New Roman" w:cs="Times New Roman"/>
          <w:sz w:val="24"/>
          <w:szCs w:val="24"/>
        </w:rPr>
        <w:t>.</w:t>
      </w:r>
    </w:p>
    <w:p w:rsidR="005B0288" w:rsidRDefault="005B0288" w:rsidP="005B0288">
      <w:pPr>
        <w:pStyle w:val="Akapitzlist"/>
        <w:numPr>
          <w:ilvl w:val="0"/>
          <w:numId w:val="20"/>
        </w:numPr>
        <w:spacing w:after="0" w:line="360" w:lineRule="auto"/>
        <w:jc w:val="both"/>
        <w:rPr>
          <w:rFonts w:ascii="Times New Roman" w:hAnsi="Times New Roman" w:cs="Times New Roman"/>
          <w:sz w:val="24"/>
          <w:szCs w:val="24"/>
        </w:rPr>
      </w:pPr>
      <w:r w:rsidRPr="004E74BD">
        <w:rPr>
          <w:rFonts w:ascii="Times New Roman" w:hAnsi="Times New Roman" w:cs="Times New Roman"/>
          <w:sz w:val="24"/>
          <w:szCs w:val="24"/>
        </w:rPr>
        <w:t>Sektor małych i średnich zakładów tj. podmiot</w:t>
      </w:r>
      <w:r w:rsidR="00D34EAB">
        <w:rPr>
          <w:rFonts w:ascii="Times New Roman" w:hAnsi="Times New Roman" w:cs="Times New Roman"/>
          <w:sz w:val="24"/>
          <w:szCs w:val="24"/>
        </w:rPr>
        <w:t xml:space="preserve">y, które zatrudniają </w:t>
      </w:r>
      <w:r w:rsidRPr="004E74BD">
        <w:rPr>
          <w:rFonts w:ascii="Times New Roman" w:hAnsi="Times New Roman" w:cs="Times New Roman"/>
          <w:sz w:val="24"/>
          <w:szCs w:val="24"/>
        </w:rPr>
        <w:t>od 10 do 49 pracowników to 3</w:t>
      </w:r>
      <w:r w:rsidR="00836EA1">
        <w:rPr>
          <w:rFonts w:ascii="Times New Roman" w:hAnsi="Times New Roman" w:cs="Times New Roman"/>
          <w:sz w:val="24"/>
          <w:szCs w:val="24"/>
        </w:rPr>
        <w:t xml:space="preserve"> proc.</w:t>
      </w:r>
      <w:r w:rsidRPr="004E74BD">
        <w:rPr>
          <w:rFonts w:ascii="Times New Roman" w:hAnsi="Times New Roman" w:cs="Times New Roman"/>
          <w:sz w:val="24"/>
          <w:szCs w:val="24"/>
        </w:rPr>
        <w:t xml:space="preserve"> ogółu firm (średnia dla kraju to 2,9 </w:t>
      </w:r>
      <w:r w:rsidR="00836EA1">
        <w:rPr>
          <w:rFonts w:ascii="Times New Roman" w:hAnsi="Times New Roman" w:cs="Times New Roman"/>
          <w:sz w:val="24"/>
          <w:szCs w:val="24"/>
        </w:rPr>
        <w:t>proc.</w:t>
      </w:r>
      <w:r w:rsidRPr="004E74BD">
        <w:rPr>
          <w:rFonts w:ascii="Times New Roman" w:hAnsi="Times New Roman" w:cs="Times New Roman"/>
          <w:sz w:val="24"/>
          <w:szCs w:val="24"/>
        </w:rPr>
        <w:t>).</w:t>
      </w:r>
    </w:p>
    <w:p w:rsidR="005B0288" w:rsidRPr="004E74BD" w:rsidRDefault="005B0288" w:rsidP="005B0288">
      <w:pPr>
        <w:pStyle w:val="Akapitzlist"/>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Mikroprzedsiębiorstwa oraz podmioty małe i średnie stanowią łącznie 99,2</w:t>
      </w:r>
      <w:r w:rsidR="00836EA1">
        <w:rPr>
          <w:rFonts w:ascii="Times New Roman" w:hAnsi="Times New Roman" w:cs="Times New Roman"/>
          <w:sz w:val="24"/>
          <w:szCs w:val="24"/>
        </w:rPr>
        <w:t xml:space="preserve"> proc.</w:t>
      </w:r>
      <w:r>
        <w:rPr>
          <w:rFonts w:ascii="Times New Roman" w:hAnsi="Times New Roman" w:cs="Times New Roman"/>
          <w:sz w:val="24"/>
          <w:szCs w:val="24"/>
        </w:rPr>
        <w:t xml:space="preserve"> ogółu zarejestrowanych podmiotów gospodarki narodowej (REGON).  </w:t>
      </w:r>
    </w:p>
    <w:p w:rsidR="005B0288" w:rsidRPr="004E74BD" w:rsidRDefault="005B0288" w:rsidP="005B0288">
      <w:pPr>
        <w:pStyle w:val="Akapitzlist"/>
        <w:numPr>
          <w:ilvl w:val="0"/>
          <w:numId w:val="37"/>
        </w:numPr>
        <w:spacing w:after="0" w:line="360" w:lineRule="auto"/>
        <w:jc w:val="both"/>
        <w:rPr>
          <w:rFonts w:ascii="Times New Roman" w:hAnsi="Times New Roman" w:cs="Times New Roman"/>
          <w:sz w:val="16"/>
          <w:szCs w:val="16"/>
          <w:shd w:val="clear" w:color="auto" w:fill="FFFFFF" w:themeFill="background1"/>
        </w:rPr>
      </w:pPr>
      <w:r w:rsidRPr="004E74BD">
        <w:rPr>
          <w:rFonts w:ascii="Times New Roman" w:hAnsi="Times New Roman" w:cs="Times New Roman"/>
          <w:sz w:val="24"/>
          <w:szCs w:val="24"/>
        </w:rPr>
        <w:lastRenderedPageBreak/>
        <w:t>Wzrost ilości podmiotów gospodarczych odnotowano w firmach zatrudniających do 9 pracowników. W pozostałych przedziałach odnotowano spadki.</w:t>
      </w:r>
    </w:p>
    <w:p w:rsidR="005B0288" w:rsidRDefault="005B0288" w:rsidP="005B0288">
      <w:pPr>
        <w:spacing w:after="0" w:line="240" w:lineRule="auto"/>
        <w:rPr>
          <w:rFonts w:ascii="Times New Roman" w:hAnsi="Times New Roman" w:cs="Times New Roman"/>
          <w:sz w:val="16"/>
          <w:szCs w:val="16"/>
          <w:highlight w:val="yellow"/>
          <w:shd w:val="clear" w:color="auto" w:fill="FFFFFF" w:themeFill="background1"/>
        </w:rPr>
      </w:pPr>
    </w:p>
    <w:p w:rsidR="005B0288" w:rsidRDefault="005B0288" w:rsidP="005B0288">
      <w:pPr>
        <w:spacing w:after="0" w:line="240" w:lineRule="auto"/>
        <w:rPr>
          <w:rFonts w:ascii="Times New Roman" w:hAnsi="Times New Roman" w:cs="Times New Roman"/>
          <w:sz w:val="16"/>
          <w:szCs w:val="16"/>
          <w:highlight w:val="yellow"/>
          <w:shd w:val="clear" w:color="auto" w:fill="FFFFFF" w:themeFill="background1"/>
        </w:rPr>
      </w:pPr>
    </w:p>
    <w:p w:rsidR="005B0288" w:rsidRDefault="005B0288" w:rsidP="005B0288">
      <w:pPr>
        <w:spacing w:after="0" w:line="240" w:lineRule="auto"/>
        <w:rPr>
          <w:rFonts w:ascii="Times New Roman" w:hAnsi="Times New Roman" w:cs="Times New Roman"/>
          <w:sz w:val="16"/>
          <w:szCs w:val="16"/>
          <w:highlight w:val="yellow"/>
          <w:shd w:val="clear" w:color="auto" w:fill="FFFFFF" w:themeFill="background1"/>
        </w:rPr>
      </w:pPr>
    </w:p>
    <w:p w:rsidR="005B0288" w:rsidRDefault="005B0288" w:rsidP="005B0288">
      <w:pPr>
        <w:pStyle w:val="Bezodstpw"/>
        <w:ind w:left="1410" w:hanging="1410"/>
        <w:jc w:val="center"/>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B54E4">
        <w:rPr>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 w  województwie podkarpackim  wG sektorów </w:t>
      </w:r>
      <w:r w:rsidRPr="001B54E4">
        <w:rPr>
          <w:rStyle w:val="Odwoanieprzypisudolnego"/>
          <w:rFonts w:ascii="Times New Roman" w:hAnsi="Times New Roman" w:cs="Times New Roman"/>
          <w:b/>
          <w:caps/>
          <w:sz w:val="16"/>
          <w:szCs w:val="16"/>
          <w:shd w:val="clear" w:color="auto" w:fill="FFFFFF" w:themeFill="background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13"/>
      </w:r>
    </w:p>
    <w:tbl>
      <w:tblPr>
        <w:tblStyle w:val="Tabela-Siatka"/>
        <w:tblW w:w="5000" w:type="pct"/>
        <w:tblLayout w:type="fixed"/>
        <w:tblLook w:val="04A0" w:firstRow="1" w:lastRow="0" w:firstColumn="1" w:lastColumn="0" w:noHBand="0" w:noVBand="1"/>
      </w:tblPr>
      <w:tblGrid>
        <w:gridCol w:w="1815"/>
        <w:gridCol w:w="1126"/>
        <w:gridCol w:w="1270"/>
        <w:gridCol w:w="1270"/>
        <w:gridCol w:w="1270"/>
        <w:gridCol w:w="1270"/>
        <w:gridCol w:w="1265"/>
      </w:tblGrid>
      <w:tr w:rsidR="005B0288" w:rsidRPr="00CA6E66" w:rsidTr="00977C90">
        <w:trPr>
          <w:trHeight w:val="285"/>
        </w:trPr>
        <w:tc>
          <w:tcPr>
            <w:tcW w:w="977" w:type="pct"/>
            <w:vMerge w:val="restart"/>
            <w:shd w:val="clear" w:color="auto" w:fill="F0ECF4"/>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STAN  NA</w:t>
            </w:r>
          </w:p>
        </w:tc>
        <w:tc>
          <w:tcPr>
            <w:tcW w:w="4023" w:type="pct"/>
            <w:gridSpan w:val="6"/>
            <w:shd w:val="clear" w:color="auto" w:fill="F0ECF4"/>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b/>
                <w:caps/>
                <w:color w:val="403152" w:themeColor="accent4" w:themeShade="80"/>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 publiczny</w:t>
            </w:r>
          </w:p>
        </w:tc>
      </w:tr>
      <w:tr w:rsidR="005B0288" w:rsidRPr="00CA6E66" w:rsidTr="00977C90">
        <w:trPr>
          <w:trHeight w:val="285"/>
        </w:trPr>
        <w:tc>
          <w:tcPr>
            <w:tcW w:w="977" w:type="pct"/>
            <w:vMerge/>
            <w:tcBorders>
              <w:bottom w:val="single" w:sz="4" w:space="0" w:color="auto"/>
            </w:tcBorders>
            <w:shd w:val="clear" w:color="auto" w:fill="F0ECF4"/>
            <w:noWrap/>
            <w:hideMark/>
          </w:tcPr>
          <w:p w:rsidR="005B0288" w:rsidRPr="00CD3712" w:rsidRDefault="005B0288" w:rsidP="00977C90">
            <w:pPr>
              <w:jc w:val="center"/>
              <w:rPr>
                <w:rFonts w:ascii="Times New Roman" w:hAnsi="Times New Roman" w:cs="Times New Roman"/>
                <w:b/>
                <w:sz w:val="16"/>
                <w:szCs w:val="16"/>
              </w:rPr>
            </w:pPr>
          </w:p>
        </w:tc>
        <w:tc>
          <w:tcPr>
            <w:tcW w:w="606" w:type="pct"/>
            <w:tcBorders>
              <w:bottom w:val="single" w:sz="4" w:space="0" w:color="auto"/>
            </w:tcBorders>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razem</w:t>
            </w:r>
          </w:p>
        </w:tc>
        <w:tc>
          <w:tcPr>
            <w:tcW w:w="684" w:type="pct"/>
            <w:tcBorders>
              <w:bottom w:val="single" w:sz="4" w:space="0" w:color="auto"/>
            </w:tcBorders>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0-9</w:t>
            </w:r>
          </w:p>
        </w:tc>
        <w:tc>
          <w:tcPr>
            <w:tcW w:w="684" w:type="pct"/>
            <w:tcBorders>
              <w:bottom w:val="single" w:sz="4" w:space="0" w:color="auto"/>
            </w:tcBorders>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10-49</w:t>
            </w:r>
          </w:p>
        </w:tc>
        <w:tc>
          <w:tcPr>
            <w:tcW w:w="684" w:type="pct"/>
            <w:tcBorders>
              <w:bottom w:val="single" w:sz="4" w:space="0" w:color="auto"/>
            </w:tcBorders>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50-249</w:t>
            </w:r>
          </w:p>
        </w:tc>
        <w:tc>
          <w:tcPr>
            <w:tcW w:w="684" w:type="pct"/>
            <w:tcBorders>
              <w:bottom w:val="single" w:sz="4" w:space="0" w:color="auto"/>
            </w:tcBorders>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250-999</w:t>
            </w:r>
          </w:p>
        </w:tc>
        <w:tc>
          <w:tcPr>
            <w:tcW w:w="681" w:type="pct"/>
            <w:tcBorders>
              <w:bottom w:val="single" w:sz="4" w:space="0" w:color="auto"/>
            </w:tcBorders>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1000</w:t>
            </w:r>
          </w:p>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i więcej</w:t>
            </w:r>
          </w:p>
        </w:tc>
      </w:tr>
      <w:tr w:rsidR="005B0288" w:rsidRPr="00CA6E66" w:rsidTr="00977C90">
        <w:trPr>
          <w:trHeight w:val="135"/>
        </w:trPr>
        <w:tc>
          <w:tcPr>
            <w:tcW w:w="977" w:type="pct"/>
            <w:tcBorders>
              <w:top w:val="single" w:sz="4" w:space="0" w:color="auto"/>
            </w:tcBorders>
            <w:shd w:val="clear" w:color="auto" w:fill="auto"/>
            <w:noWrap/>
            <w:vAlign w:val="center"/>
            <w:hideMark/>
          </w:tcPr>
          <w:p w:rsidR="005B0288" w:rsidRPr="00CD3712" w:rsidRDefault="005B0288" w:rsidP="00977C90">
            <w:pPr>
              <w:rPr>
                <w:rFonts w:ascii="Times New Roman" w:hAnsi="Times New Roman" w:cs="Times New Roman"/>
                <w:sz w:val="18"/>
                <w:szCs w:val="18"/>
              </w:rPr>
            </w:pPr>
            <w:r w:rsidRPr="00CD3712">
              <w:rPr>
                <w:rFonts w:ascii="Times New Roman" w:hAnsi="Times New Roman" w:cs="Times New Roman"/>
                <w:sz w:val="18"/>
                <w:szCs w:val="18"/>
              </w:rPr>
              <w:t xml:space="preserve">31 XII </w:t>
            </w:r>
            <w:r>
              <w:rPr>
                <w:rFonts w:ascii="Times New Roman" w:hAnsi="Times New Roman" w:cs="Times New Roman"/>
                <w:sz w:val="18"/>
                <w:szCs w:val="18"/>
              </w:rPr>
              <w:t>20</w:t>
            </w:r>
            <w:r w:rsidRPr="00CD3712">
              <w:rPr>
                <w:rFonts w:ascii="Times New Roman" w:hAnsi="Times New Roman" w:cs="Times New Roman"/>
                <w:sz w:val="18"/>
                <w:szCs w:val="18"/>
              </w:rPr>
              <w:t>19</w:t>
            </w:r>
          </w:p>
        </w:tc>
        <w:tc>
          <w:tcPr>
            <w:tcW w:w="606" w:type="pct"/>
            <w:tcBorders>
              <w:top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5 291</w:t>
            </w:r>
          </w:p>
        </w:tc>
        <w:tc>
          <w:tcPr>
            <w:tcW w:w="684" w:type="pct"/>
            <w:tcBorders>
              <w:top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2 789</w:t>
            </w:r>
          </w:p>
        </w:tc>
        <w:tc>
          <w:tcPr>
            <w:tcW w:w="684" w:type="pct"/>
            <w:tcBorders>
              <w:top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1 841</w:t>
            </w:r>
          </w:p>
        </w:tc>
        <w:tc>
          <w:tcPr>
            <w:tcW w:w="684" w:type="pct"/>
            <w:tcBorders>
              <w:top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596</w:t>
            </w:r>
          </w:p>
        </w:tc>
        <w:tc>
          <w:tcPr>
            <w:tcW w:w="684" w:type="pct"/>
            <w:tcBorders>
              <w:top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53</w:t>
            </w:r>
          </w:p>
        </w:tc>
        <w:tc>
          <w:tcPr>
            <w:tcW w:w="681" w:type="pct"/>
            <w:tcBorders>
              <w:top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12</w:t>
            </w:r>
          </w:p>
        </w:tc>
      </w:tr>
      <w:tr w:rsidR="005B0288" w:rsidRPr="00CA6E66" w:rsidTr="00977C90">
        <w:trPr>
          <w:trHeight w:val="126"/>
        </w:trPr>
        <w:tc>
          <w:tcPr>
            <w:tcW w:w="977" w:type="pct"/>
            <w:shd w:val="clear" w:color="auto" w:fill="auto"/>
            <w:noWrap/>
            <w:vAlign w:val="center"/>
            <w:hideMark/>
          </w:tcPr>
          <w:p w:rsidR="005B0288" w:rsidRPr="00CD3712" w:rsidRDefault="005B0288" w:rsidP="00977C90">
            <w:pPr>
              <w:rPr>
                <w:rFonts w:ascii="Times New Roman" w:hAnsi="Times New Roman" w:cs="Times New Roman"/>
                <w:sz w:val="18"/>
                <w:szCs w:val="18"/>
              </w:rPr>
            </w:pPr>
            <w:r w:rsidRPr="00CD3712">
              <w:rPr>
                <w:rFonts w:ascii="Times New Roman" w:hAnsi="Times New Roman" w:cs="Times New Roman"/>
                <w:sz w:val="18"/>
                <w:szCs w:val="18"/>
              </w:rPr>
              <w:t xml:space="preserve">31 XII </w:t>
            </w:r>
            <w:r>
              <w:rPr>
                <w:rFonts w:ascii="Times New Roman" w:hAnsi="Times New Roman" w:cs="Times New Roman"/>
                <w:sz w:val="18"/>
                <w:szCs w:val="18"/>
              </w:rPr>
              <w:t>20</w:t>
            </w:r>
            <w:r w:rsidRPr="00CD3712">
              <w:rPr>
                <w:rFonts w:ascii="Times New Roman" w:hAnsi="Times New Roman" w:cs="Times New Roman"/>
                <w:sz w:val="18"/>
                <w:szCs w:val="18"/>
              </w:rPr>
              <w:t>20</w:t>
            </w:r>
          </w:p>
        </w:tc>
        <w:tc>
          <w:tcPr>
            <w:tcW w:w="606" w:type="pct"/>
            <w:tcBorders>
              <w:bottom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5</w:t>
            </w:r>
            <w:r>
              <w:rPr>
                <w:rFonts w:ascii="Times New Roman" w:hAnsi="Times New Roman" w:cs="Times New Roman"/>
                <w:bCs/>
                <w:color w:val="000000"/>
                <w:sz w:val="16"/>
                <w:szCs w:val="16"/>
              </w:rPr>
              <w:t xml:space="preserve"> </w:t>
            </w:r>
            <w:r w:rsidRPr="004827B3">
              <w:rPr>
                <w:rFonts w:ascii="Times New Roman" w:hAnsi="Times New Roman" w:cs="Times New Roman"/>
                <w:bCs/>
                <w:color w:val="000000"/>
                <w:sz w:val="16"/>
                <w:szCs w:val="16"/>
              </w:rPr>
              <w:t>292</w:t>
            </w:r>
          </w:p>
        </w:tc>
        <w:tc>
          <w:tcPr>
            <w:tcW w:w="684" w:type="pct"/>
            <w:tcBorders>
              <w:bottom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2</w:t>
            </w:r>
            <w:r>
              <w:rPr>
                <w:rFonts w:ascii="Times New Roman" w:hAnsi="Times New Roman" w:cs="Times New Roman"/>
                <w:bCs/>
                <w:color w:val="000000"/>
                <w:sz w:val="16"/>
                <w:szCs w:val="16"/>
              </w:rPr>
              <w:t xml:space="preserve"> </w:t>
            </w:r>
            <w:r w:rsidRPr="004827B3">
              <w:rPr>
                <w:rFonts w:ascii="Times New Roman" w:hAnsi="Times New Roman" w:cs="Times New Roman"/>
                <w:bCs/>
                <w:color w:val="000000"/>
                <w:sz w:val="16"/>
                <w:szCs w:val="16"/>
              </w:rPr>
              <w:t>851</w:t>
            </w:r>
          </w:p>
        </w:tc>
        <w:tc>
          <w:tcPr>
            <w:tcW w:w="684" w:type="pct"/>
            <w:tcBorders>
              <w:bottom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1</w:t>
            </w:r>
            <w:r>
              <w:rPr>
                <w:rFonts w:ascii="Times New Roman" w:hAnsi="Times New Roman" w:cs="Times New Roman"/>
                <w:bCs/>
                <w:color w:val="000000"/>
                <w:sz w:val="16"/>
                <w:szCs w:val="16"/>
              </w:rPr>
              <w:t xml:space="preserve"> </w:t>
            </w:r>
            <w:r w:rsidRPr="004827B3">
              <w:rPr>
                <w:rFonts w:ascii="Times New Roman" w:hAnsi="Times New Roman" w:cs="Times New Roman"/>
                <w:bCs/>
                <w:color w:val="000000"/>
                <w:sz w:val="16"/>
                <w:szCs w:val="16"/>
              </w:rPr>
              <w:t>787</w:t>
            </w:r>
          </w:p>
        </w:tc>
        <w:tc>
          <w:tcPr>
            <w:tcW w:w="684" w:type="pct"/>
            <w:tcBorders>
              <w:bottom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590</w:t>
            </w:r>
          </w:p>
        </w:tc>
        <w:tc>
          <w:tcPr>
            <w:tcW w:w="684" w:type="pct"/>
            <w:tcBorders>
              <w:bottom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52</w:t>
            </w:r>
          </w:p>
        </w:tc>
        <w:tc>
          <w:tcPr>
            <w:tcW w:w="681" w:type="pct"/>
            <w:tcBorders>
              <w:bottom w:val="single" w:sz="4" w:space="0" w:color="auto"/>
            </w:tcBorders>
            <w:shd w:val="clear" w:color="auto" w:fill="auto"/>
            <w:noWrap/>
            <w:vAlign w:val="center"/>
          </w:tcPr>
          <w:p w:rsidR="005B0288" w:rsidRPr="004827B3" w:rsidRDefault="005B0288" w:rsidP="00977C90">
            <w:pPr>
              <w:jc w:val="center"/>
              <w:rPr>
                <w:rFonts w:ascii="Times New Roman" w:hAnsi="Times New Roman" w:cs="Times New Roman"/>
                <w:bCs/>
                <w:color w:val="000000"/>
                <w:sz w:val="16"/>
                <w:szCs w:val="16"/>
              </w:rPr>
            </w:pPr>
            <w:r w:rsidRPr="004827B3">
              <w:rPr>
                <w:rFonts w:ascii="Times New Roman" w:hAnsi="Times New Roman" w:cs="Times New Roman"/>
                <w:bCs/>
                <w:color w:val="000000"/>
                <w:sz w:val="16"/>
                <w:szCs w:val="16"/>
              </w:rPr>
              <w:t>12</w:t>
            </w:r>
          </w:p>
        </w:tc>
      </w:tr>
      <w:tr w:rsidR="005B0288" w:rsidRPr="00CA6E66" w:rsidTr="00977C90">
        <w:trPr>
          <w:trHeight w:val="200"/>
        </w:trPr>
        <w:tc>
          <w:tcPr>
            <w:tcW w:w="977" w:type="pct"/>
            <w:shd w:val="clear" w:color="auto" w:fill="auto"/>
            <w:noWrap/>
            <w:vAlign w:val="center"/>
          </w:tcPr>
          <w:p w:rsidR="005B0288" w:rsidRPr="00CD3712" w:rsidRDefault="005B0288" w:rsidP="00977C90">
            <w:pPr>
              <w:rPr>
                <w:rFonts w:ascii="Times New Roman" w:hAnsi="Times New Roman" w:cs="Times New Roman"/>
                <w:sz w:val="18"/>
                <w:szCs w:val="18"/>
              </w:rPr>
            </w:pPr>
            <w:r w:rsidRPr="00CD3712">
              <w:rPr>
                <w:rFonts w:ascii="Times New Roman" w:hAnsi="Times New Roman" w:cs="Times New Roman"/>
                <w:sz w:val="18"/>
                <w:szCs w:val="18"/>
              </w:rPr>
              <w:t>WZROST / SPADEK</w:t>
            </w:r>
          </w:p>
        </w:tc>
        <w:tc>
          <w:tcPr>
            <w:tcW w:w="606" w:type="pct"/>
            <w:shd w:val="clear" w:color="auto" w:fill="FFFFFF" w:themeFill="background1"/>
            <w:noWrap/>
            <w:vAlign w:val="center"/>
          </w:tcPr>
          <w:p w:rsidR="005B0288" w:rsidRPr="00810821" w:rsidRDefault="005B0288" w:rsidP="00977C90">
            <w:pPr>
              <w:jc w:val="center"/>
              <w:rPr>
                <w:rFonts w:ascii="Times New Roman" w:hAnsi="Times New Roman" w:cs="Times New Roman"/>
                <w:sz w:val="16"/>
                <w:szCs w:val="16"/>
              </w:rPr>
            </w:pPr>
            <w:r w:rsidRPr="00810821">
              <w:rPr>
                <w:rFonts w:ascii="Times New Roman" w:hAnsi="Times New Roman" w:cs="Times New Roman"/>
                <w:sz w:val="16"/>
                <w:szCs w:val="16"/>
              </w:rPr>
              <w:t>1</w:t>
            </w:r>
          </w:p>
        </w:tc>
        <w:tc>
          <w:tcPr>
            <w:tcW w:w="684" w:type="pct"/>
            <w:shd w:val="clear" w:color="auto" w:fill="FFFFFF" w:themeFill="background1"/>
            <w:noWrap/>
            <w:vAlign w:val="center"/>
          </w:tcPr>
          <w:p w:rsidR="005B0288" w:rsidRPr="00810821" w:rsidRDefault="005B0288" w:rsidP="00977C90">
            <w:pPr>
              <w:jc w:val="center"/>
              <w:rPr>
                <w:rFonts w:ascii="Times New Roman" w:hAnsi="Times New Roman" w:cs="Times New Roman"/>
                <w:sz w:val="16"/>
                <w:szCs w:val="16"/>
              </w:rPr>
            </w:pPr>
            <w:r w:rsidRPr="00810821">
              <w:rPr>
                <w:rFonts w:ascii="Times New Roman" w:hAnsi="Times New Roman" w:cs="Times New Roman"/>
                <w:sz w:val="16"/>
                <w:szCs w:val="16"/>
              </w:rPr>
              <w:t>62</w:t>
            </w:r>
          </w:p>
        </w:tc>
        <w:tc>
          <w:tcPr>
            <w:tcW w:w="684" w:type="pct"/>
            <w:shd w:val="clear" w:color="auto" w:fill="FFFFFF" w:themeFill="background1"/>
            <w:noWrap/>
            <w:vAlign w:val="center"/>
          </w:tcPr>
          <w:p w:rsidR="005B0288" w:rsidRPr="00810821" w:rsidRDefault="005B0288" w:rsidP="00977C90">
            <w:pPr>
              <w:jc w:val="center"/>
              <w:rPr>
                <w:rFonts w:ascii="Times New Roman" w:hAnsi="Times New Roman" w:cs="Times New Roman"/>
                <w:sz w:val="16"/>
                <w:szCs w:val="16"/>
              </w:rPr>
            </w:pPr>
            <w:r w:rsidRPr="00810821">
              <w:rPr>
                <w:rFonts w:ascii="Times New Roman" w:hAnsi="Times New Roman" w:cs="Times New Roman"/>
                <w:sz w:val="16"/>
                <w:szCs w:val="16"/>
              </w:rPr>
              <w:t>-</w:t>
            </w:r>
            <w:r>
              <w:rPr>
                <w:rFonts w:ascii="Times New Roman" w:hAnsi="Times New Roman" w:cs="Times New Roman"/>
                <w:sz w:val="16"/>
                <w:szCs w:val="16"/>
              </w:rPr>
              <w:t xml:space="preserve"> </w:t>
            </w:r>
            <w:r w:rsidRPr="00810821">
              <w:rPr>
                <w:rFonts w:ascii="Times New Roman" w:hAnsi="Times New Roman" w:cs="Times New Roman"/>
                <w:sz w:val="16"/>
                <w:szCs w:val="16"/>
              </w:rPr>
              <w:t>54</w:t>
            </w:r>
          </w:p>
        </w:tc>
        <w:tc>
          <w:tcPr>
            <w:tcW w:w="684" w:type="pct"/>
            <w:shd w:val="clear" w:color="auto" w:fill="FFFFFF" w:themeFill="background1"/>
            <w:noWrap/>
            <w:vAlign w:val="center"/>
          </w:tcPr>
          <w:p w:rsidR="005B0288" w:rsidRPr="00810821" w:rsidRDefault="005B0288" w:rsidP="00977C90">
            <w:pPr>
              <w:jc w:val="center"/>
              <w:rPr>
                <w:rFonts w:ascii="Times New Roman" w:hAnsi="Times New Roman" w:cs="Times New Roman"/>
                <w:sz w:val="16"/>
                <w:szCs w:val="16"/>
              </w:rPr>
            </w:pPr>
            <w:r w:rsidRPr="00810821">
              <w:rPr>
                <w:rFonts w:ascii="Times New Roman" w:hAnsi="Times New Roman" w:cs="Times New Roman"/>
                <w:sz w:val="16"/>
                <w:szCs w:val="16"/>
              </w:rPr>
              <w:t>-6</w:t>
            </w:r>
          </w:p>
        </w:tc>
        <w:tc>
          <w:tcPr>
            <w:tcW w:w="684" w:type="pct"/>
            <w:shd w:val="clear" w:color="auto" w:fill="FFFFFF" w:themeFill="background1"/>
            <w:noWrap/>
            <w:vAlign w:val="center"/>
          </w:tcPr>
          <w:p w:rsidR="005B0288" w:rsidRPr="00810821" w:rsidRDefault="005B0288" w:rsidP="00977C90">
            <w:pPr>
              <w:jc w:val="center"/>
              <w:rPr>
                <w:rFonts w:ascii="Times New Roman" w:hAnsi="Times New Roman" w:cs="Times New Roman"/>
                <w:sz w:val="16"/>
                <w:szCs w:val="16"/>
              </w:rPr>
            </w:pPr>
            <w:r w:rsidRPr="00810821">
              <w:rPr>
                <w:rFonts w:ascii="Times New Roman" w:hAnsi="Times New Roman" w:cs="Times New Roman"/>
                <w:sz w:val="16"/>
                <w:szCs w:val="16"/>
              </w:rPr>
              <w:t>-</w:t>
            </w:r>
            <w:r>
              <w:rPr>
                <w:rFonts w:ascii="Times New Roman" w:hAnsi="Times New Roman" w:cs="Times New Roman"/>
                <w:sz w:val="16"/>
                <w:szCs w:val="16"/>
              </w:rPr>
              <w:t xml:space="preserve"> </w:t>
            </w:r>
            <w:r w:rsidRPr="00810821">
              <w:rPr>
                <w:rFonts w:ascii="Times New Roman" w:hAnsi="Times New Roman" w:cs="Times New Roman"/>
                <w:sz w:val="16"/>
                <w:szCs w:val="16"/>
              </w:rPr>
              <w:t>1</w:t>
            </w:r>
          </w:p>
        </w:tc>
        <w:tc>
          <w:tcPr>
            <w:tcW w:w="681" w:type="pct"/>
            <w:shd w:val="clear" w:color="auto" w:fill="FFFFFF" w:themeFill="background1"/>
            <w:noWrap/>
            <w:vAlign w:val="center"/>
          </w:tcPr>
          <w:p w:rsidR="005B0288" w:rsidRPr="00810821" w:rsidRDefault="005B0288" w:rsidP="00977C90">
            <w:pPr>
              <w:jc w:val="center"/>
              <w:rPr>
                <w:rFonts w:ascii="Times New Roman" w:hAnsi="Times New Roman" w:cs="Times New Roman"/>
                <w:sz w:val="16"/>
                <w:szCs w:val="16"/>
              </w:rPr>
            </w:pPr>
            <w:r w:rsidRPr="00810821">
              <w:rPr>
                <w:rFonts w:ascii="Times New Roman" w:hAnsi="Times New Roman" w:cs="Times New Roman"/>
                <w:sz w:val="16"/>
                <w:szCs w:val="16"/>
              </w:rPr>
              <w:t>0</w:t>
            </w:r>
          </w:p>
        </w:tc>
      </w:tr>
    </w:tbl>
    <w:p w:rsidR="005B0288" w:rsidRDefault="005B0288" w:rsidP="005B0288">
      <w:pPr>
        <w:spacing w:after="0" w:line="240" w:lineRule="auto"/>
        <w:rPr>
          <w:rFonts w:ascii="Times New Roman" w:hAnsi="Times New Roman" w:cs="Times New Roman"/>
          <w:sz w:val="16"/>
          <w:szCs w:val="16"/>
          <w:highlight w:val="yellow"/>
          <w:shd w:val="clear" w:color="auto" w:fill="FFFFFF" w:themeFill="background1"/>
        </w:rPr>
      </w:pPr>
    </w:p>
    <w:p w:rsidR="005B0288" w:rsidRDefault="005B0288" w:rsidP="005B0288">
      <w:pPr>
        <w:spacing w:after="0" w:line="240" w:lineRule="auto"/>
        <w:rPr>
          <w:rFonts w:ascii="Times New Roman" w:hAnsi="Times New Roman" w:cs="Times New Roman"/>
          <w:sz w:val="16"/>
          <w:szCs w:val="16"/>
          <w:highlight w:val="yellow"/>
          <w:shd w:val="clear" w:color="auto" w:fill="FFFFFF" w:themeFill="background1"/>
        </w:rPr>
      </w:pPr>
    </w:p>
    <w:p w:rsidR="005B0288" w:rsidRDefault="005B0288" w:rsidP="005B0288">
      <w:pPr>
        <w:pStyle w:val="Bezodstpw"/>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 w województwie podkarpackim wG sektorów</w:t>
      </w:r>
    </w:p>
    <w:tbl>
      <w:tblPr>
        <w:tblStyle w:val="Tabela-Siatka"/>
        <w:tblW w:w="5000" w:type="pct"/>
        <w:tblLayout w:type="fixed"/>
        <w:tblLook w:val="04A0" w:firstRow="1" w:lastRow="0" w:firstColumn="1" w:lastColumn="0" w:noHBand="0" w:noVBand="1"/>
      </w:tblPr>
      <w:tblGrid>
        <w:gridCol w:w="1815"/>
        <w:gridCol w:w="1126"/>
        <w:gridCol w:w="1270"/>
        <w:gridCol w:w="1270"/>
        <w:gridCol w:w="1270"/>
        <w:gridCol w:w="1270"/>
        <w:gridCol w:w="1265"/>
      </w:tblGrid>
      <w:tr w:rsidR="005B0288" w:rsidRPr="00CD3712" w:rsidTr="00977C90">
        <w:trPr>
          <w:trHeight w:val="285"/>
        </w:trPr>
        <w:tc>
          <w:tcPr>
            <w:tcW w:w="977" w:type="pct"/>
            <w:vMerge w:val="restart"/>
            <w:shd w:val="clear" w:color="auto" w:fill="F0ECF4"/>
            <w:noWrap/>
            <w:vAlign w:val="center"/>
            <w:hideMark/>
          </w:tcPr>
          <w:p w:rsidR="005B0288" w:rsidRPr="00CD3712" w:rsidRDefault="005B0288" w:rsidP="00977C90">
            <w:pPr>
              <w:jc w:val="center"/>
              <w:rPr>
                <w:rFonts w:ascii="Times New Roman" w:hAnsi="Times New Roman" w:cs="Times New Roman"/>
                <w:b/>
                <w:sz w:val="16"/>
                <w:szCs w:val="16"/>
              </w:rPr>
            </w:pPr>
            <w:r w:rsidRPr="00CD3712">
              <w:rPr>
                <w:rFonts w:ascii="Times New Roman" w:hAnsi="Times New Roman" w:cs="Times New Roman"/>
                <w:sz w:val="16"/>
                <w:szCs w:val="16"/>
              </w:rPr>
              <w:t>STAN  NA</w:t>
            </w:r>
          </w:p>
        </w:tc>
        <w:tc>
          <w:tcPr>
            <w:tcW w:w="4023" w:type="pct"/>
            <w:gridSpan w:val="6"/>
            <w:shd w:val="clear" w:color="auto" w:fill="F0ECF4"/>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sektor prywatny</w:t>
            </w:r>
          </w:p>
        </w:tc>
      </w:tr>
      <w:tr w:rsidR="005B0288" w:rsidRPr="00CD3712" w:rsidTr="00977C90">
        <w:trPr>
          <w:trHeight w:val="285"/>
        </w:trPr>
        <w:tc>
          <w:tcPr>
            <w:tcW w:w="977" w:type="pct"/>
            <w:vMerge/>
            <w:shd w:val="clear" w:color="auto" w:fill="F0ECF4"/>
            <w:noWrap/>
            <w:hideMark/>
          </w:tcPr>
          <w:p w:rsidR="005B0288" w:rsidRPr="00CD3712" w:rsidRDefault="005B0288" w:rsidP="00977C90">
            <w:pPr>
              <w:jc w:val="center"/>
              <w:rPr>
                <w:rFonts w:ascii="Times New Roman" w:hAnsi="Times New Roman" w:cs="Times New Roman"/>
                <w:b/>
                <w:sz w:val="16"/>
                <w:szCs w:val="16"/>
              </w:rPr>
            </w:pPr>
          </w:p>
        </w:tc>
        <w:tc>
          <w:tcPr>
            <w:tcW w:w="606"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razem</w:t>
            </w:r>
          </w:p>
        </w:tc>
        <w:tc>
          <w:tcPr>
            <w:tcW w:w="684"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0-9</w:t>
            </w:r>
          </w:p>
        </w:tc>
        <w:tc>
          <w:tcPr>
            <w:tcW w:w="684"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10-49</w:t>
            </w:r>
          </w:p>
        </w:tc>
        <w:tc>
          <w:tcPr>
            <w:tcW w:w="684"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50-249</w:t>
            </w:r>
          </w:p>
        </w:tc>
        <w:tc>
          <w:tcPr>
            <w:tcW w:w="684"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250-999</w:t>
            </w:r>
          </w:p>
        </w:tc>
        <w:tc>
          <w:tcPr>
            <w:tcW w:w="681"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1000</w:t>
            </w:r>
          </w:p>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i więcej</w:t>
            </w:r>
          </w:p>
        </w:tc>
      </w:tr>
      <w:tr w:rsidR="005B0288" w:rsidRPr="00CD3712" w:rsidTr="00977C90">
        <w:trPr>
          <w:trHeight w:val="47"/>
        </w:trPr>
        <w:tc>
          <w:tcPr>
            <w:tcW w:w="977" w:type="pct"/>
            <w:shd w:val="clear" w:color="auto" w:fill="FFFFFF" w:themeFill="background1"/>
            <w:noWrap/>
            <w:vAlign w:val="center"/>
          </w:tcPr>
          <w:p w:rsidR="005B0288" w:rsidRPr="00CD3712" w:rsidRDefault="005B0288" w:rsidP="00977C90">
            <w:pPr>
              <w:rPr>
                <w:rFonts w:ascii="Times New Roman" w:hAnsi="Times New Roman" w:cs="Times New Roman"/>
                <w:sz w:val="18"/>
                <w:szCs w:val="18"/>
              </w:rPr>
            </w:pPr>
            <w:r w:rsidRPr="00CD3712">
              <w:rPr>
                <w:rFonts w:ascii="Times New Roman" w:hAnsi="Times New Roman" w:cs="Times New Roman"/>
                <w:sz w:val="18"/>
                <w:szCs w:val="18"/>
              </w:rPr>
              <w:t xml:space="preserve">31 XII </w:t>
            </w:r>
            <w:r>
              <w:rPr>
                <w:rFonts w:ascii="Times New Roman" w:hAnsi="Times New Roman" w:cs="Times New Roman"/>
                <w:sz w:val="18"/>
                <w:szCs w:val="18"/>
              </w:rPr>
              <w:t>20</w:t>
            </w:r>
            <w:r w:rsidRPr="00CD3712">
              <w:rPr>
                <w:rFonts w:ascii="Times New Roman" w:hAnsi="Times New Roman" w:cs="Times New Roman"/>
                <w:sz w:val="18"/>
                <w:szCs w:val="18"/>
              </w:rPr>
              <w:t>19</w:t>
            </w:r>
          </w:p>
        </w:tc>
        <w:tc>
          <w:tcPr>
            <w:tcW w:w="606"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173 894</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169 258</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3 862</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657</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99</w:t>
            </w:r>
          </w:p>
        </w:tc>
        <w:tc>
          <w:tcPr>
            <w:tcW w:w="681"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18</w:t>
            </w:r>
          </w:p>
        </w:tc>
      </w:tr>
      <w:tr w:rsidR="005B0288" w:rsidRPr="00CD3712" w:rsidTr="00977C90">
        <w:trPr>
          <w:trHeight w:val="122"/>
        </w:trPr>
        <w:tc>
          <w:tcPr>
            <w:tcW w:w="977" w:type="pct"/>
            <w:shd w:val="clear" w:color="auto" w:fill="auto"/>
            <w:noWrap/>
            <w:vAlign w:val="center"/>
            <w:hideMark/>
          </w:tcPr>
          <w:p w:rsidR="005B0288" w:rsidRPr="00CD3712" w:rsidRDefault="005B0288" w:rsidP="00977C90">
            <w:pPr>
              <w:rPr>
                <w:rFonts w:ascii="Times New Roman" w:hAnsi="Times New Roman" w:cs="Times New Roman"/>
                <w:sz w:val="18"/>
                <w:szCs w:val="18"/>
              </w:rPr>
            </w:pPr>
            <w:r w:rsidRPr="00CD3712">
              <w:rPr>
                <w:rFonts w:ascii="Times New Roman" w:hAnsi="Times New Roman" w:cs="Times New Roman"/>
                <w:sz w:val="18"/>
                <w:szCs w:val="18"/>
              </w:rPr>
              <w:t xml:space="preserve">31 XII </w:t>
            </w:r>
            <w:r>
              <w:rPr>
                <w:rFonts w:ascii="Times New Roman" w:hAnsi="Times New Roman" w:cs="Times New Roman"/>
                <w:sz w:val="18"/>
                <w:szCs w:val="18"/>
              </w:rPr>
              <w:t>20</w:t>
            </w:r>
            <w:r w:rsidRPr="00CD3712">
              <w:rPr>
                <w:rFonts w:ascii="Times New Roman" w:hAnsi="Times New Roman" w:cs="Times New Roman"/>
                <w:sz w:val="18"/>
                <w:szCs w:val="18"/>
              </w:rPr>
              <w:t>20</w:t>
            </w:r>
          </w:p>
        </w:tc>
        <w:tc>
          <w:tcPr>
            <w:tcW w:w="606" w:type="pct"/>
            <w:tcBorders>
              <w:bottom w:val="single" w:sz="4" w:space="0" w:color="auto"/>
            </w:tcBorders>
            <w:shd w:val="clear" w:color="auto" w:fill="auto"/>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180 857</w:t>
            </w:r>
          </w:p>
        </w:tc>
        <w:tc>
          <w:tcPr>
            <w:tcW w:w="684" w:type="pct"/>
            <w:tcBorders>
              <w:bottom w:val="single" w:sz="4" w:space="0" w:color="auto"/>
            </w:tcBorders>
            <w:shd w:val="clear" w:color="auto" w:fill="auto"/>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176 292</w:t>
            </w:r>
          </w:p>
        </w:tc>
        <w:tc>
          <w:tcPr>
            <w:tcW w:w="684" w:type="pct"/>
            <w:tcBorders>
              <w:bottom w:val="single" w:sz="4" w:space="0" w:color="auto"/>
            </w:tcBorders>
            <w:shd w:val="clear" w:color="auto" w:fill="auto"/>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3 798</w:t>
            </w:r>
          </w:p>
        </w:tc>
        <w:tc>
          <w:tcPr>
            <w:tcW w:w="684" w:type="pct"/>
            <w:tcBorders>
              <w:bottom w:val="single" w:sz="4" w:space="0" w:color="auto"/>
            </w:tcBorders>
            <w:shd w:val="clear" w:color="auto" w:fill="auto"/>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651</w:t>
            </w:r>
          </w:p>
        </w:tc>
        <w:tc>
          <w:tcPr>
            <w:tcW w:w="684" w:type="pct"/>
            <w:tcBorders>
              <w:bottom w:val="single" w:sz="4" w:space="0" w:color="auto"/>
            </w:tcBorders>
            <w:shd w:val="clear" w:color="auto" w:fill="auto"/>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98</w:t>
            </w:r>
          </w:p>
        </w:tc>
        <w:tc>
          <w:tcPr>
            <w:tcW w:w="681" w:type="pct"/>
            <w:tcBorders>
              <w:bottom w:val="single" w:sz="4" w:space="0" w:color="auto"/>
            </w:tcBorders>
            <w:shd w:val="clear" w:color="auto" w:fill="auto"/>
            <w:noWrap/>
            <w:vAlign w:val="center"/>
          </w:tcPr>
          <w:p w:rsidR="005B0288" w:rsidRPr="00B61BE3" w:rsidRDefault="005B0288" w:rsidP="00977C90">
            <w:pPr>
              <w:jc w:val="center"/>
              <w:rPr>
                <w:rFonts w:ascii="Times New Roman" w:hAnsi="Times New Roman" w:cs="Times New Roman"/>
                <w:bCs/>
                <w:color w:val="000000"/>
                <w:sz w:val="16"/>
                <w:szCs w:val="16"/>
              </w:rPr>
            </w:pPr>
            <w:r w:rsidRPr="00B61BE3">
              <w:rPr>
                <w:rFonts w:ascii="Times New Roman" w:hAnsi="Times New Roman" w:cs="Times New Roman"/>
                <w:bCs/>
                <w:color w:val="000000"/>
                <w:sz w:val="16"/>
                <w:szCs w:val="16"/>
              </w:rPr>
              <w:t>18</w:t>
            </w:r>
          </w:p>
        </w:tc>
      </w:tr>
      <w:tr w:rsidR="005B0288" w:rsidRPr="00CD3712" w:rsidTr="00977C90">
        <w:trPr>
          <w:trHeight w:val="47"/>
        </w:trPr>
        <w:tc>
          <w:tcPr>
            <w:tcW w:w="977" w:type="pct"/>
            <w:shd w:val="clear" w:color="auto" w:fill="auto"/>
            <w:noWrap/>
            <w:vAlign w:val="center"/>
            <w:hideMark/>
          </w:tcPr>
          <w:p w:rsidR="005B0288" w:rsidRPr="00CD3712" w:rsidRDefault="005B0288" w:rsidP="00977C90">
            <w:pPr>
              <w:rPr>
                <w:rFonts w:ascii="Times New Roman" w:hAnsi="Times New Roman" w:cs="Times New Roman"/>
                <w:sz w:val="18"/>
                <w:szCs w:val="18"/>
              </w:rPr>
            </w:pPr>
            <w:r w:rsidRPr="00CD3712">
              <w:rPr>
                <w:rFonts w:ascii="Times New Roman" w:hAnsi="Times New Roman" w:cs="Times New Roman"/>
                <w:sz w:val="18"/>
                <w:szCs w:val="18"/>
              </w:rPr>
              <w:t>WZROST / SPADEK</w:t>
            </w:r>
          </w:p>
        </w:tc>
        <w:tc>
          <w:tcPr>
            <w:tcW w:w="606"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6"/>
                <w:szCs w:val="16"/>
              </w:rPr>
            </w:pPr>
            <w:r w:rsidRPr="00B61BE3">
              <w:rPr>
                <w:rFonts w:ascii="Times New Roman" w:hAnsi="Times New Roman" w:cs="Times New Roman"/>
                <w:sz w:val="16"/>
                <w:szCs w:val="16"/>
              </w:rPr>
              <w:t>6 963</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6"/>
                <w:szCs w:val="16"/>
              </w:rPr>
            </w:pPr>
            <w:r w:rsidRPr="00B61BE3">
              <w:rPr>
                <w:rFonts w:ascii="Times New Roman" w:hAnsi="Times New Roman" w:cs="Times New Roman"/>
                <w:sz w:val="16"/>
                <w:szCs w:val="16"/>
              </w:rPr>
              <w:t>7</w:t>
            </w:r>
            <w:r>
              <w:rPr>
                <w:rFonts w:ascii="Times New Roman" w:hAnsi="Times New Roman" w:cs="Times New Roman"/>
                <w:sz w:val="16"/>
                <w:szCs w:val="16"/>
              </w:rPr>
              <w:t xml:space="preserve"> </w:t>
            </w:r>
            <w:r w:rsidRPr="00B61BE3">
              <w:rPr>
                <w:rFonts w:ascii="Times New Roman" w:hAnsi="Times New Roman" w:cs="Times New Roman"/>
                <w:sz w:val="16"/>
                <w:szCs w:val="16"/>
              </w:rPr>
              <w:t>034</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6"/>
                <w:szCs w:val="16"/>
              </w:rPr>
            </w:pPr>
            <w:r w:rsidRPr="00B61BE3">
              <w:rPr>
                <w:rFonts w:ascii="Times New Roman" w:hAnsi="Times New Roman" w:cs="Times New Roman"/>
                <w:sz w:val="16"/>
                <w:szCs w:val="16"/>
              </w:rPr>
              <w:t>-</w:t>
            </w:r>
            <w:r>
              <w:rPr>
                <w:rFonts w:ascii="Times New Roman" w:hAnsi="Times New Roman" w:cs="Times New Roman"/>
                <w:sz w:val="16"/>
                <w:szCs w:val="16"/>
              </w:rPr>
              <w:t xml:space="preserve"> </w:t>
            </w:r>
            <w:r w:rsidRPr="00B61BE3">
              <w:rPr>
                <w:rFonts w:ascii="Times New Roman" w:hAnsi="Times New Roman" w:cs="Times New Roman"/>
                <w:sz w:val="16"/>
                <w:szCs w:val="16"/>
              </w:rPr>
              <w:t>64</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6"/>
                <w:szCs w:val="16"/>
              </w:rPr>
            </w:pPr>
            <w:r w:rsidRPr="00B61BE3">
              <w:rPr>
                <w:rFonts w:ascii="Times New Roman" w:hAnsi="Times New Roman" w:cs="Times New Roman"/>
                <w:sz w:val="16"/>
                <w:szCs w:val="16"/>
              </w:rPr>
              <w:t>-</w:t>
            </w:r>
            <w:r>
              <w:rPr>
                <w:rFonts w:ascii="Times New Roman" w:hAnsi="Times New Roman" w:cs="Times New Roman"/>
                <w:sz w:val="16"/>
                <w:szCs w:val="16"/>
              </w:rPr>
              <w:t xml:space="preserve"> </w:t>
            </w:r>
            <w:r w:rsidRPr="00B61BE3">
              <w:rPr>
                <w:rFonts w:ascii="Times New Roman" w:hAnsi="Times New Roman" w:cs="Times New Roman"/>
                <w:sz w:val="16"/>
                <w:szCs w:val="16"/>
              </w:rPr>
              <w:t>6</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6"/>
                <w:szCs w:val="16"/>
              </w:rPr>
            </w:pPr>
            <w:r w:rsidRPr="00B61BE3">
              <w:rPr>
                <w:rFonts w:ascii="Times New Roman" w:hAnsi="Times New Roman" w:cs="Times New Roman"/>
                <w:sz w:val="16"/>
                <w:szCs w:val="16"/>
              </w:rPr>
              <w:t>-</w:t>
            </w:r>
            <w:r>
              <w:rPr>
                <w:rFonts w:ascii="Times New Roman" w:hAnsi="Times New Roman" w:cs="Times New Roman"/>
                <w:sz w:val="16"/>
                <w:szCs w:val="16"/>
              </w:rPr>
              <w:t xml:space="preserve"> </w:t>
            </w:r>
            <w:r w:rsidRPr="00B61BE3">
              <w:rPr>
                <w:rFonts w:ascii="Times New Roman" w:hAnsi="Times New Roman" w:cs="Times New Roman"/>
                <w:sz w:val="16"/>
                <w:szCs w:val="16"/>
              </w:rPr>
              <w:t>1</w:t>
            </w:r>
          </w:p>
        </w:tc>
        <w:tc>
          <w:tcPr>
            <w:tcW w:w="681"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6"/>
                <w:szCs w:val="16"/>
              </w:rPr>
            </w:pPr>
            <w:r w:rsidRPr="00B61BE3">
              <w:rPr>
                <w:rFonts w:ascii="Times New Roman" w:hAnsi="Times New Roman" w:cs="Times New Roman"/>
                <w:sz w:val="16"/>
                <w:szCs w:val="16"/>
              </w:rPr>
              <w:t>0</w:t>
            </w:r>
          </w:p>
        </w:tc>
      </w:tr>
    </w:tbl>
    <w:p w:rsidR="005B0288" w:rsidRDefault="005B0288" w:rsidP="005B0288">
      <w:pPr>
        <w:rPr>
          <w:rFonts w:ascii="Times New Roman" w:hAnsi="Times New Roman" w:cs="Times New Roman"/>
          <w:sz w:val="18"/>
          <w:szCs w:val="18"/>
        </w:rPr>
      </w:pPr>
    </w:p>
    <w:p w:rsidR="005B0288" w:rsidRDefault="005B0288" w:rsidP="005B0288">
      <w:pPr>
        <w:pStyle w:val="Bezodstpw"/>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Z  sktora prywatnego – </w:t>
      </w: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Osoby fizyczne prowadzące działalność gospodarczą</w:t>
      </w:r>
    </w:p>
    <w:tbl>
      <w:tblPr>
        <w:tblStyle w:val="Tabela-Siatka"/>
        <w:tblW w:w="5000" w:type="pct"/>
        <w:tblLayout w:type="fixed"/>
        <w:tblLook w:val="04A0" w:firstRow="1" w:lastRow="0" w:firstColumn="1" w:lastColumn="0" w:noHBand="0" w:noVBand="1"/>
      </w:tblPr>
      <w:tblGrid>
        <w:gridCol w:w="1815"/>
        <w:gridCol w:w="1128"/>
        <w:gridCol w:w="1270"/>
        <w:gridCol w:w="1270"/>
        <w:gridCol w:w="1270"/>
        <w:gridCol w:w="1270"/>
        <w:gridCol w:w="1263"/>
      </w:tblGrid>
      <w:tr w:rsidR="005B0288" w:rsidRPr="00CD3712" w:rsidTr="00977C90">
        <w:trPr>
          <w:trHeight w:val="285"/>
        </w:trPr>
        <w:tc>
          <w:tcPr>
            <w:tcW w:w="977" w:type="pct"/>
            <w:vMerge w:val="restart"/>
            <w:shd w:val="clear" w:color="auto" w:fill="F0ECF4"/>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STAN NA</w:t>
            </w:r>
          </w:p>
        </w:tc>
        <w:tc>
          <w:tcPr>
            <w:tcW w:w="4023" w:type="pct"/>
            <w:gridSpan w:val="6"/>
            <w:shd w:val="clear" w:color="auto" w:fill="F0ECF4"/>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osoby fizyczne w sektorze prywatnym</w:t>
            </w:r>
          </w:p>
        </w:tc>
      </w:tr>
      <w:tr w:rsidR="005B0288" w:rsidRPr="00CD3712" w:rsidTr="00977C90">
        <w:trPr>
          <w:trHeight w:val="285"/>
        </w:trPr>
        <w:tc>
          <w:tcPr>
            <w:tcW w:w="977" w:type="pct"/>
            <w:vMerge/>
            <w:shd w:val="clear" w:color="auto" w:fill="F0ECF4"/>
            <w:noWrap/>
            <w:hideMark/>
          </w:tcPr>
          <w:p w:rsidR="005B0288" w:rsidRPr="00CD3712" w:rsidRDefault="005B0288" w:rsidP="00977C90">
            <w:pPr>
              <w:jc w:val="center"/>
              <w:rPr>
                <w:rFonts w:ascii="Times New Roman" w:hAnsi="Times New Roman" w:cs="Times New Roman"/>
                <w:b/>
                <w:sz w:val="16"/>
                <w:szCs w:val="16"/>
              </w:rPr>
            </w:pPr>
          </w:p>
        </w:tc>
        <w:tc>
          <w:tcPr>
            <w:tcW w:w="607"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razem</w:t>
            </w:r>
          </w:p>
        </w:tc>
        <w:tc>
          <w:tcPr>
            <w:tcW w:w="684"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0-9</w:t>
            </w:r>
          </w:p>
        </w:tc>
        <w:tc>
          <w:tcPr>
            <w:tcW w:w="684"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10-49</w:t>
            </w:r>
          </w:p>
        </w:tc>
        <w:tc>
          <w:tcPr>
            <w:tcW w:w="684"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50-249</w:t>
            </w:r>
          </w:p>
        </w:tc>
        <w:tc>
          <w:tcPr>
            <w:tcW w:w="684"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250-999</w:t>
            </w:r>
          </w:p>
        </w:tc>
        <w:tc>
          <w:tcPr>
            <w:tcW w:w="680" w:type="pct"/>
            <w:shd w:val="clear" w:color="auto" w:fill="E5DFEC" w:themeFill="accent4" w:themeFillTint="33"/>
            <w:noWrap/>
            <w:vAlign w:val="center"/>
            <w:hideMark/>
          </w:tcPr>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1000</w:t>
            </w:r>
          </w:p>
          <w:p w:rsidR="005B0288" w:rsidRPr="00CD3712" w:rsidRDefault="005B0288" w:rsidP="00977C90">
            <w:pPr>
              <w:jc w:val="center"/>
              <w:rPr>
                <w:rFonts w:ascii="Times New Roman" w:hAnsi="Times New Roman" w:cs="Times New Roman"/>
                <w:sz w:val="16"/>
                <w:szCs w:val="16"/>
              </w:rPr>
            </w:pPr>
            <w:r w:rsidRPr="00CD3712">
              <w:rPr>
                <w:rFonts w:ascii="Times New Roman" w:hAnsi="Times New Roman" w:cs="Times New Roman"/>
                <w:sz w:val="16"/>
                <w:szCs w:val="16"/>
              </w:rPr>
              <w:t>i więcej</w:t>
            </w:r>
          </w:p>
        </w:tc>
      </w:tr>
      <w:tr w:rsidR="005B0288" w:rsidRPr="00CD3712" w:rsidTr="00977C90">
        <w:trPr>
          <w:trHeight w:val="119"/>
        </w:trPr>
        <w:tc>
          <w:tcPr>
            <w:tcW w:w="977" w:type="pct"/>
            <w:shd w:val="clear" w:color="auto" w:fill="FFFFFF" w:themeFill="background1"/>
            <w:noWrap/>
            <w:vAlign w:val="center"/>
            <w:hideMark/>
          </w:tcPr>
          <w:p w:rsidR="005B0288" w:rsidRPr="00CD3712" w:rsidRDefault="005B0288" w:rsidP="00977C90">
            <w:pPr>
              <w:rPr>
                <w:rFonts w:ascii="Times New Roman" w:hAnsi="Times New Roman" w:cs="Times New Roman"/>
                <w:sz w:val="18"/>
                <w:szCs w:val="18"/>
              </w:rPr>
            </w:pPr>
            <w:r w:rsidRPr="00CD3712">
              <w:rPr>
                <w:rFonts w:ascii="Times New Roman" w:hAnsi="Times New Roman" w:cs="Times New Roman"/>
                <w:sz w:val="18"/>
                <w:szCs w:val="18"/>
              </w:rPr>
              <w:t xml:space="preserve">31 XII </w:t>
            </w:r>
            <w:r>
              <w:rPr>
                <w:rFonts w:ascii="Times New Roman" w:hAnsi="Times New Roman" w:cs="Times New Roman"/>
                <w:sz w:val="18"/>
                <w:szCs w:val="18"/>
              </w:rPr>
              <w:t>20</w:t>
            </w:r>
            <w:r w:rsidRPr="00CD3712">
              <w:rPr>
                <w:rFonts w:ascii="Times New Roman" w:hAnsi="Times New Roman" w:cs="Times New Roman"/>
                <w:sz w:val="18"/>
                <w:szCs w:val="18"/>
              </w:rPr>
              <w:t>19</w:t>
            </w:r>
          </w:p>
        </w:tc>
        <w:tc>
          <w:tcPr>
            <w:tcW w:w="607"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134 752</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133 588</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1 127</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35</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2</w:t>
            </w:r>
          </w:p>
        </w:tc>
        <w:tc>
          <w:tcPr>
            <w:tcW w:w="680" w:type="pct"/>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0</w:t>
            </w:r>
          </w:p>
        </w:tc>
      </w:tr>
      <w:tr w:rsidR="005B0288" w:rsidRPr="00CD3712" w:rsidTr="00977C90">
        <w:trPr>
          <w:trHeight w:val="179"/>
        </w:trPr>
        <w:tc>
          <w:tcPr>
            <w:tcW w:w="977" w:type="pct"/>
            <w:shd w:val="clear" w:color="auto" w:fill="FFFFFF" w:themeFill="background1"/>
            <w:noWrap/>
            <w:vAlign w:val="center"/>
            <w:hideMark/>
          </w:tcPr>
          <w:p w:rsidR="005B0288" w:rsidRPr="00CD3712" w:rsidRDefault="005B0288" w:rsidP="00977C90">
            <w:pPr>
              <w:rPr>
                <w:rFonts w:ascii="Times New Roman" w:hAnsi="Times New Roman" w:cs="Times New Roman"/>
                <w:sz w:val="18"/>
                <w:szCs w:val="18"/>
              </w:rPr>
            </w:pPr>
            <w:r w:rsidRPr="00CD3712">
              <w:rPr>
                <w:rFonts w:ascii="Times New Roman" w:hAnsi="Times New Roman" w:cs="Times New Roman"/>
                <w:sz w:val="18"/>
                <w:szCs w:val="18"/>
              </w:rPr>
              <w:t xml:space="preserve">31 XII </w:t>
            </w:r>
            <w:r>
              <w:rPr>
                <w:rFonts w:ascii="Times New Roman" w:hAnsi="Times New Roman" w:cs="Times New Roman"/>
                <w:sz w:val="18"/>
                <w:szCs w:val="18"/>
              </w:rPr>
              <w:t>20</w:t>
            </w:r>
            <w:r w:rsidRPr="00CD3712">
              <w:rPr>
                <w:rFonts w:ascii="Times New Roman" w:hAnsi="Times New Roman" w:cs="Times New Roman"/>
                <w:sz w:val="18"/>
                <w:szCs w:val="18"/>
              </w:rPr>
              <w:t>20</w:t>
            </w:r>
          </w:p>
        </w:tc>
        <w:tc>
          <w:tcPr>
            <w:tcW w:w="607" w:type="pct"/>
            <w:tcBorders>
              <w:bottom w:val="single" w:sz="4" w:space="0" w:color="auto"/>
            </w:tcBorders>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140 707</w:t>
            </w:r>
          </w:p>
        </w:tc>
        <w:tc>
          <w:tcPr>
            <w:tcW w:w="684" w:type="pct"/>
            <w:tcBorders>
              <w:bottom w:val="single" w:sz="4" w:space="0" w:color="auto"/>
            </w:tcBorders>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139 553</w:t>
            </w:r>
          </w:p>
        </w:tc>
        <w:tc>
          <w:tcPr>
            <w:tcW w:w="684" w:type="pct"/>
            <w:tcBorders>
              <w:bottom w:val="single" w:sz="4" w:space="0" w:color="auto"/>
            </w:tcBorders>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1 119</w:t>
            </w:r>
          </w:p>
        </w:tc>
        <w:tc>
          <w:tcPr>
            <w:tcW w:w="684" w:type="pct"/>
            <w:tcBorders>
              <w:bottom w:val="single" w:sz="4" w:space="0" w:color="auto"/>
            </w:tcBorders>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33</w:t>
            </w:r>
          </w:p>
        </w:tc>
        <w:tc>
          <w:tcPr>
            <w:tcW w:w="684" w:type="pct"/>
            <w:tcBorders>
              <w:bottom w:val="single" w:sz="4" w:space="0" w:color="auto"/>
            </w:tcBorders>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2</w:t>
            </w:r>
          </w:p>
        </w:tc>
        <w:tc>
          <w:tcPr>
            <w:tcW w:w="680" w:type="pct"/>
            <w:tcBorders>
              <w:bottom w:val="single" w:sz="4" w:space="0" w:color="auto"/>
            </w:tcBorders>
            <w:shd w:val="clear" w:color="auto" w:fill="FFFFFF" w:themeFill="background1"/>
            <w:noWrap/>
            <w:vAlign w:val="center"/>
          </w:tcPr>
          <w:p w:rsidR="005B0288" w:rsidRPr="00B61BE3" w:rsidRDefault="005B0288" w:rsidP="00977C90">
            <w:pPr>
              <w:jc w:val="center"/>
              <w:rPr>
                <w:rFonts w:ascii="Times New Roman" w:hAnsi="Times New Roman" w:cs="Times New Roman"/>
                <w:bCs/>
                <w:color w:val="000000"/>
                <w:sz w:val="18"/>
                <w:szCs w:val="18"/>
              </w:rPr>
            </w:pPr>
            <w:r w:rsidRPr="00B61BE3">
              <w:rPr>
                <w:rFonts w:ascii="Times New Roman" w:hAnsi="Times New Roman" w:cs="Times New Roman"/>
                <w:bCs/>
                <w:color w:val="000000"/>
                <w:sz w:val="18"/>
                <w:szCs w:val="18"/>
              </w:rPr>
              <w:t>0</w:t>
            </w:r>
          </w:p>
        </w:tc>
      </w:tr>
      <w:tr w:rsidR="005B0288" w:rsidRPr="00CD3712" w:rsidTr="00977C90">
        <w:trPr>
          <w:trHeight w:val="112"/>
        </w:trPr>
        <w:tc>
          <w:tcPr>
            <w:tcW w:w="977" w:type="pct"/>
            <w:shd w:val="clear" w:color="auto" w:fill="FFFFFF" w:themeFill="background1"/>
            <w:noWrap/>
            <w:vAlign w:val="center"/>
          </w:tcPr>
          <w:p w:rsidR="005B0288" w:rsidRPr="00CD3712" w:rsidRDefault="005B0288" w:rsidP="00977C90">
            <w:pPr>
              <w:rPr>
                <w:rFonts w:ascii="Times New Roman" w:hAnsi="Times New Roman" w:cs="Times New Roman"/>
                <w:sz w:val="18"/>
                <w:szCs w:val="18"/>
              </w:rPr>
            </w:pPr>
            <w:r w:rsidRPr="00CD3712">
              <w:rPr>
                <w:rFonts w:ascii="Times New Roman" w:hAnsi="Times New Roman" w:cs="Times New Roman"/>
                <w:sz w:val="18"/>
                <w:szCs w:val="18"/>
              </w:rPr>
              <w:t>WZROST / SPADEK</w:t>
            </w:r>
          </w:p>
        </w:tc>
        <w:tc>
          <w:tcPr>
            <w:tcW w:w="607"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8"/>
                <w:szCs w:val="18"/>
              </w:rPr>
            </w:pPr>
            <w:r w:rsidRPr="00B61BE3">
              <w:rPr>
                <w:rFonts w:ascii="Times New Roman" w:hAnsi="Times New Roman" w:cs="Times New Roman"/>
                <w:sz w:val="18"/>
                <w:szCs w:val="18"/>
              </w:rPr>
              <w:t>5</w:t>
            </w:r>
            <w:r>
              <w:rPr>
                <w:rFonts w:ascii="Times New Roman" w:hAnsi="Times New Roman" w:cs="Times New Roman"/>
                <w:sz w:val="18"/>
                <w:szCs w:val="18"/>
              </w:rPr>
              <w:t xml:space="preserve"> </w:t>
            </w:r>
            <w:r w:rsidRPr="00B61BE3">
              <w:rPr>
                <w:rFonts w:ascii="Times New Roman" w:hAnsi="Times New Roman" w:cs="Times New Roman"/>
                <w:sz w:val="18"/>
                <w:szCs w:val="18"/>
              </w:rPr>
              <w:t>955</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8"/>
                <w:szCs w:val="18"/>
              </w:rPr>
            </w:pPr>
            <w:r w:rsidRPr="00B61BE3">
              <w:rPr>
                <w:rFonts w:ascii="Times New Roman" w:hAnsi="Times New Roman" w:cs="Times New Roman"/>
                <w:sz w:val="18"/>
                <w:szCs w:val="18"/>
              </w:rPr>
              <w:t>5</w:t>
            </w:r>
            <w:r>
              <w:rPr>
                <w:rFonts w:ascii="Times New Roman" w:hAnsi="Times New Roman" w:cs="Times New Roman"/>
                <w:sz w:val="18"/>
                <w:szCs w:val="18"/>
              </w:rPr>
              <w:t xml:space="preserve"> </w:t>
            </w:r>
            <w:r w:rsidRPr="00B61BE3">
              <w:rPr>
                <w:rFonts w:ascii="Times New Roman" w:hAnsi="Times New Roman" w:cs="Times New Roman"/>
                <w:sz w:val="18"/>
                <w:szCs w:val="18"/>
              </w:rPr>
              <w:t>965</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8"/>
                <w:szCs w:val="18"/>
              </w:rPr>
            </w:pPr>
            <w:r w:rsidRPr="00B61BE3">
              <w:rPr>
                <w:rFonts w:ascii="Times New Roman" w:hAnsi="Times New Roman" w:cs="Times New Roman"/>
                <w:sz w:val="18"/>
                <w:szCs w:val="18"/>
              </w:rPr>
              <w:t>-</w:t>
            </w:r>
            <w:r>
              <w:rPr>
                <w:rFonts w:ascii="Times New Roman" w:hAnsi="Times New Roman" w:cs="Times New Roman"/>
                <w:sz w:val="18"/>
                <w:szCs w:val="18"/>
              </w:rPr>
              <w:t xml:space="preserve"> </w:t>
            </w:r>
            <w:r w:rsidRPr="00B61BE3">
              <w:rPr>
                <w:rFonts w:ascii="Times New Roman" w:hAnsi="Times New Roman" w:cs="Times New Roman"/>
                <w:sz w:val="18"/>
                <w:szCs w:val="18"/>
              </w:rPr>
              <w:t>8</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8"/>
                <w:szCs w:val="18"/>
              </w:rPr>
            </w:pPr>
            <w:r w:rsidRPr="00B61BE3">
              <w:rPr>
                <w:rFonts w:ascii="Times New Roman" w:hAnsi="Times New Roman" w:cs="Times New Roman"/>
                <w:sz w:val="18"/>
                <w:szCs w:val="18"/>
              </w:rPr>
              <w:t>-</w:t>
            </w:r>
            <w:r>
              <w:rPr>
                <w:rFonts w:ascii="Times New Roman" w:hAnsi="Times New Roman" w:cs="Times New Roman"/>
                <w:sz w:val="18"/>
                <w:szCs w:val="18"/>
              </w:rPr>
              <w:t xml:space="preserve"> </w:t>
            </w:r>
            <w:r w:rsidRPr="00B61BE3">
              <w:rPr>
                <w:rFonts w:ascii="Times New Roman" w:hAnsi="Times New Roman" w:cs="Times New Roman"/>
                <w:sz w:val="18"/>
                <w:szCs w:val="18"/>
              </w:rPr>
              <w:t>2</w:t>
            </w:r>
          </w:p>
        </w:tc>
        <w:tc>
          <w:tcPr>
            <w:tcW w:w="684"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8"/>
                <w:szCs w:val="18"/>
              </w:rPr>
            </w:pPr>
            <w:r w:rsidRPr="00B61BE3">
              <w:rPr>
                <w:rFonts w:ascii="Times New Roman" w:hAnsi="Times New Roman" w:cs="Times New Roman"/>
                <w:sz w:val="18"/>
                <w:szCs w:val="18"/>
              </w:rPr>
              <w:t>0</w:t>
            </w:r>
          </w:p>
        </w:tc>
        <w:tc>
          <w:tcPr>
            <w:tcW w:w="680" w:type="pct"/>
            <w:shd w:val="clear" w:color="auto" w:fill="FFFFFF" w:themeFill="background1"/>
            <w:noWrap/>
            <w:vAlign w:val="center"/>
          </w:tcPr>
          <w:p w:rsidR="005B0288" w:rsidRPr="00B61BE3" w:rsidRDefault="005B0288" w:rsidP="00977C90">
            <w:pPr>
              <w:jc w:val="center"/>
              <w:rPr>
                <w:rFonts w:ascii="Times New Roman" w:hAnsi="Times New Roman" w:cs="Times New Roman"/>
                <w:sz w:val="18"/>
                <w:szCs w:val="18"/>
              </w:rPr>
            </w:pPr>
            <w:r w:rsidRPr="00B61BE3">
              <w:rPr>
                <w:rFonts w:ascii="Times New Roman" w:hAnsi="Times New Roman" w:cs="Times New Roman"/>
                <w:sz w:val="18"/>
                <w:szCs w:val="18"/>
              </w:rPr>
              <w:t>0</w:t>
            </w:r>
          </w:p>
        </w:tc>
      </w:tr>
    </w:tbl>
    <w:p w:rsidR="005556E7" w:rsidRDefault="005556E7" w:rsidP="005B0288">
      <w:pPr>
        <w:pBdr>
          <w:bottom w:val="single" w:sz="4" w:space="1" w:color="auto"/>
        </w:pBdr>
        <w:spacing w:after="0" w:line="240" w:lineRule="auto"/>
        <w:rPr>
          <w:rFonts w:ascii="Times New Roman" w:hAnsi="Times New Roman" w:cs="Times New Roman"/>
          <w:sz w:val="16"/>
          <w:szCs w:val="16"/>
        </w:rPr>
      </w:pPr>
    </w:p>
    <w:p w:rsidR="005556E7" w:rsidRPr="005556E7" w:rsidRDefault="005556E7" w:rsidP="005B0288">
      <w:pPr>
        <w:pBdr>
          <w:bottom w:val="single" w:sz="4" w:space="1" w:color="auto"/>
        </w:pBdr>
        <w:spacing w:after="0" w:line="240" w:lineRule="auto"/>
        <w:rPr>
          <w:rFonts w:ascii="Times New Roman" w:hAnsi="Times New Roman" w:cs="Times New Roman"/>
          <w:sz w:val="16"/>
          <w:szCs w:val="16"/>
        </w:rPr>
      </w:pPr>
    </w:p>
    <w:p w:rsidR="005B0288" w:rsidRPr="001B54E4" w:rsidRDefault="005B0288" w:rsidP="005B0288">
      <w:pPr>
        <w:pBdr>
          <w:bottom w:val="single" w:sz="4" w:space="1" w:color="auto"/>
        </w:pBdr>
        <w:spacing w:after="0" w:line="240" w:lineRule="auto"/>
        <w:rPr>
          <w:rFonts w:ascii="Times New Roman" w:hAnsi="Times New Roman" w:cs="Times New Roman"/>
          <w:sz w:val="24"/>
          <w:szCs w:val="24"/>
        </w:rPr>
      </w:pPr>
      <w:r w:rsidRPr="001B54E4">
        <w:rPr>
          <w:rFonts w:ascii="Times New Roman" w:hAnsi="Times New Roman" w:cs="Times New Roman"/>
          <w:sz w:val="24"/>
          <w:szCs w:val="24"/>
        </w:rPr>
        <w:t>Wnioski:</w:t>
      </w:r>
    </w:p>
    <w:p w:rsidR="005B0288" w:rsidRDefault="005B0288" w:rsidP="005B0288">
      <w:pPr>
        <w:spacing w:after="0" w:line="240" w:lineRule="auto"/>
        <w:jc w:val="both"/>
        <w:rPr>
          <w:rFonts w:ascii="Times New Roman" w:hAnsi="Times New Roman" w:cs="Times New Roman"/>
          <w:sz w:val="18"/>
          <w:szCs w:val="18"/>
        </w:rPr>
      </w:pPr>
      <w:r w:rsidRPr="001B54E4">
        <w:rPr>
          <w:rFonts w:ascii="Times New Roman" w:hAnsi="Times New Roman" w:cs="Times New Roman"/>
          <w:sz w:val="18"/>
          <w:szCs w:val="18"/>
        </w:rPr>
        <w:t>(na podstawie danych z </w:t>
      </w:r>
      <w:r w:rsidR="009E70A0">
        <w:rPr>
          <w:rFonts w:ascii="Times New Roman" w:hAnsi="Times New Roman" w:cs="Times New Roman"/>
          <w:sz w:val="18"/>
          <w:szCs w:val="18"/>
        </w:rPr>
        <w:t>t</w:t>
      </w:r>
      <w:r w:rsidRPr="001B54E4">
        <w:rPr>
          <w:rFonts w:ascii="Times New Roman" w:hAnsi="Times New Roman" w:cs="Times New Roman"/>
          <w:sz w:val="18"/>
          <w:szCs w:val="18"/>
        </w:rPr>
        <w:t>abel)</w:t>
      </w:r>
    </w:p>
    <w:p w:rsidR="004D2CDA" w:rsidRPr="001B54E4" w:rsidRDefault="004D2CDA" w:rsidP="005B0288">
      <w:pPr>
        <w:spacing w:after="0" w:line="240" w:lineRule="auto"/>
        <w:jc w:val="both"/>
        <w:rPr>
          <w:rFonts w:ascii="Times New Roman" w:hAnsi="Times New Roman" w:cs="Times New Roman"/>
          <w:sz w:val="18"/>
          <w:szCs w:val="18"/>
        </w:rPr>
      </w:pPr>
    </w:p>
    <w:p w:rsidR="005B0288" w:rsidRDefault="00F57AD9" w:rsidP="005B0288">
      <w:pPr>
        <w:pStyle w:val="Akapitzlist"/>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Podmioty publiczne stanowiły m</w:t>
      </w:r>
      <w:r w:rsidR="005B0288" w:rsidRPr="00F20747">
        <w:rPr>
          <w:rFonts w:ascii="Times New Roman" w:hAnsi="Times New Roman" w:cs="Times New Roman"/>
          <w:sz w:val="24"/>
          <w:szCs w:val="24"/>
        </w:rPr>
        <w:t xml:space="preserve">niejszość </w:t>
      </w:r>
      <w:r>
        <w:rPr>
          <w:rFonts w:ascii="Times New Roman" w:hAnsi="Times New Roman" w:cs="Times New Roman"/>
          <w:sz w:val="24"/>
          <w:szCs w:val="24"/>
        </w:rPr>
        <w:t>jednostek</w:t>
      </w:r>
      <w:r w:rsidR="005B0288" w:rsidRPr="00F20747">
        <w:rPr>
          <w:rFonts w:ascii="Times New Roman" w:hAnsi="Times New Roman" w:cs="Times New Roman"/>
          <w:sz w:val="24"/>
          <w:szCs w:val="24"/>
        </w:rPr>
        <w:t xml:space="preserve"> zarejestrowanych w rejestrze REGON</w:t>
      </w:r>
      <w:r>
        <w:rPr>
          <w:rFonts w:ascii="Times New Roman" w:hAnsi="Times New Roman" w:cs="Times New Roman"/>
          <w:sz w:val="24"/>
          <w:szCs w:val="24"/>
        </w:rPr>
        <w:t xml:space="preserve"> </w:t>
      </w:r>
      <w:r w:rsidR="005B0288" w:rsidRPr="00F20747">
        <w:rPr>
          <w:rFonts w:ascii="Times New Roman" w:hAnsi="Times New Roman" w:cs="Times New Roman"/>
          <w:sz w:val="24"/>
          <w:szCs w:val="24"/>
        </w:rPr>
        <w:t>(2,8</w:t>
      </w:r>
      <w:r w:rsidR="00640239">
        <w:rPr>
          <w:rFonts w:ascii="Times New Roman" w:hAnsi="Times New Roman" w:cs="Times New Roman"/>
          <w:sz w:val="24"/>
          <w:szCs w:val="24"/>
        </w:rPr>
        <w:t xml:space="preserve"> proc.</w:t>
      </w:r>
      <w:r w:rsidR="005B0288" w:rsidRPr="00F20747">
        <w:rPr>
          <w:rFonts w:ascii="Times New Roman" w:hAnsi="Times New Roman" w:cs="Times New Roman"/>
          <w:sz w:val="24"/>
          <w:szCs w:val="24"/>
        </w:rPr>
        <w:t xml:space="preserve"> w ogółem),</w:t>
      </w:r>
    </w:p>
    <w:p w:rsidR="005B0288" w:rsidRPr="00B0021C" w:rsidRDefault="00C6685B" w:rsidP="005B0288">
      <w:pPr>
        <w:pStyle w:val="Akapitzlist"/>
        <w:numPr>
          <w:ilvl w:val="0"/>
          <w:numId w:val="18"/>
        </w:numPr>
        <w:spacing w:after="0" w:line="360" w:lineRule="auto"/>
        <w:jc w:val="both"/>
        <w:rPr>
          <w:rFonts w:ascii="Times New Roman" w:hAnsi="Times New Roman" w:cs="Times New Roman"/>
          <w:sz w:val="24"/>
          <w:szCs w:val="24"/>
        </w:rPr>
      </w:pPr>
      <w:r w:rsidRPr="00B0021C">
        <w:rPr>
          <w:rFonts w:ascii="Times New Roman" w:hAnsi="Times New Roman" w:cs="Times New Roman"/>
          <w:sz w:val="24"/>
          <w:szCs w:val="24"/>
        </w:rPr>
        <w:t xml:space="preserve">Podmioty prywatne stanowiły </w:t>
      </w:r>
      <w:r w:rsidR="00B0021C" w:rsidRPr="00B0021C">
        <w:rPr>
          <w:rFonts w:ascii="Times New Roman" w:hAnsi="Times New Roman" w:cs="Times New Roman"/>
          <w:sz w:val="24"/>
          <w:szCs w:val="24"/>
        </w:rPr>
        <w:t>większość jednostek (96,0</w:t>
      </w:r>
      <w:r w:rsidR="00640239">
        <w:rPr>
          <w:rFonts w:ascii="Times New Roman" w:hAnsi="Times New Roman" w:cs="Times New Roman"/>
          <w:sz w:val="24"/>
          <w:szCs w:val="24"/>
        </w:rPr>
        <w:t xml:space="preserve"> proc.</w:t>
      </w:r>
      <w:r w:rsidR="00B0021C">
        <w:rPr>
          <w:rFonts w:ascii="Times New Roman" w:hAnsi="Times New Roman" w:cs="Times New Roman"/>
          <w:sz w:val="24"/>
          <w:szCs w:val="24"/>
        </w:rPr>
        <w:t xml:space="preserve"> w ogólnej liczbie jednostek w rejestrze REGON</w:t>
      </w:r>
      <w:r w:rsidR="00B0021C" w:rsidRPr="00B0021C">
        <w:rPr>
          <w:rFonts w:ascii="Times New Roman" w:hAnsi="Times New Roman" w:cs="Times New Roman"/>
          <w:sz w:val="24"/>
          <w:szCs w:val="24"/>
        </w:rPr>
        <w:t xml:space="preserve">), wśród których odnotowano </w:t>
      </w:r>
      <w:r w:rsidR="00B0021C">
        <w:rPr>
          <w:rFonts w:ascii="Times New Roman" w:hAnsi="Times New Roman" w:cs="Times New Roman"/>
          <w:sz w:val="24"/>
          <w:szCs w:val="24"/>
        </w:rPr>
        <w:t>z</w:t>
      </w:r>
      <w:r w:rsidR="005B0288" w:rsidRPr="00B0021C">
        <w:rPr>
          <w:rFonts w:ascii="Times New Roman" w:hAnsi="Times New Roman" w:cs="Times New Roman"/>
          <w:sz w:val="24"/>
          <w:szCs w:val="24"/>
        </w:rPr>
        <w:t>naczny udział mikro-</w:t>
      </w:r>
      <w:r w:rsidR="00B0021C">
        <w:rPr>
          <w:rFonts w:ascii="Times New Roman" w:hAnsi="Times New Roman" w:cs="Times New Roman"/>
          <w:sz w:val="24"/>
          <w:szCs w:val="24"/>
        </w:rPr>
        <w:t xml:space="preserve"> </w:t>
      </w:r>
      <w:r w:rsidR="005B0288" w:rsidRPr="00B0021C">
        <w:rPr>
          <w:rFonts w:ascii="Times New Roman" w:hAnsi="Times New Roman" w:cs="Times New Roman"/>
          <w:sz w:val="24"/>
          <w:szCs w:val="24"/>
        </w:rPr>
        <w:t>i</w:t>
      </w:r>
      <w:r w:rsidR="00B0021C">
        <w:rPr>
          <w:rFonts w:ascii="Times New Roman" w:hAnsi="Times New Roman" w:cs="Times New Roman"/>
          <w:sz w:val="24"/>
          <w:szCs w:val="24"/>
        </w:rPr>
        <w:t xml:space="preserve"> </w:t>
      </w:r>
      <w:r w:rsidR="005B0288" w:rsidRPr="00B0021C">
        <w:rPr>
          <w:rFonts w:ascii="Times New Roman" w:hAnsi="Times New Roman" w:cs="Times New Roman"/>
          <w:sz w:val="24"/>
          <w:szCs w:val="24"/>
        </w:rPr>
        <w:t>małych przedsiębior</w:t>
      </w:r>
      <w:r w:rsidR="00B0021C">
        <w:rPr>
          <w:rFonts w:ascii="Times New Roman" w:hAnsi="Times New Roman" w:cs="Times New Roman"/>
          <w:sz w:val="24"/>
          <w:szCs w:val="24"/>
        </w:rPr>
        <w:t>ców</w:t>
      </w:r>
      <w:r w:rsidR="005B0288" w:rsidRPr="00B0021C">
        <w:rPr>
          <w:rFonts w:ascii="Times New Roman" w:hAnsi="Times New Roman" w:cs="Times New Roman"/>
          <w:sz w:val="24"/>
          <w:szCs w:val="24"/>
        </w:rPr>
        <w:t>, czego wskaźnikiem był znaczny udział osób fizycznych prowadzących działalność gospodarczą wśród podmiotów prywatnych (77,8</w:t>
      </w:r>
      <w:r w:rsidR="00836EA1">
        <w:rPr>
          <w:rFonts w:ascii="Times New Roman" w:hAnsi="Times New Roman" w:cs="Times New Roman"/>
          <w:sz w:val="24"/>
          <w:szCs w:val="24"/>
        </w:rPr>
        <w:t xml:space="preserve"> proc.</w:t>
      </w:r>
      <w:r w:rsidR="005B0288" w:rsidRPr="00B0021C">
        <w:rPr>
          <w:rFonts w:ascii="Times New Roman" w:hAnsi="Times New Roman" w:cs="Times New Roman"/>
          <w:sz w:val="24"/>
          <w:szCs w:val="24"/>
        </w:rPr>
        <w:t>).</w:t>
      </w:r>
    </w:p>
    <w:p w:rsidR="005B0288" w:rsidRPr="00CA6E66" w:rsidRDefault="005B0288" w:rsidP="005B0288">
      <w:pPr>
        <w:pStyle w:val="Bezodstpw"/>
        <w:ind w:left="1412" w:hanging="1412"/>
        <w:jc w:val="both"/>
        <w:rPr>
          <w:rFonts w:ascii="Times New Roman" w:hAnsi="Times New Roman" w:cs="Times New Roman"/>
          <w:b/>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B0288" w:rsidRDefault="005B0288" w:rsidP="005B0288">
      <w:pPr>
        <w:pStyle w:val="Bezodstpw"/>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 w rejestrze REGON, woj</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ewództwo </w:t>
      </w: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podkarpackie</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rsidR="005B0288" w:rsidRDefault="005B0288" w:rsidP="005B0288">
      <w:pPr>
        <w:pStyle w:val="Bezodstpw"/>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zrost lub spadek</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r</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ok </w:t>
      </w: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 </w:t>
      </w: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oku</w:t>
      </w:r>
      <w:r w:rsidR="006F495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2002</w:t>
      </w:r>
      <w:r w:rsidR="006F495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Pr="00BE23E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p>
    <w:tbl>
      <w:tblPr>
        <w:tblStyle w:val="Tabela-Siatka"/>
        <w:tblW w:w="3359" w:type="pct"/>
        <w:jc w:val="center"/>
        <w:tblInd w:w="348" w:type="dxa"/>
        <w:tblLayout w:type="fixed"/>
        <w:tblLook w:val="04A0" w:firstRow="1" w:lastRow="0" w:firstColumn="1" w:lastColumn="0" w:noHBand="0" w:noVBand="1"/>
      </w:tblPr>
      <w:tblGrid>
        <w:gridCol w:w="962"/>
        <w:gridCol w:w="1782"/>
        <w:gridCol w:w="1747"/>
        <w:gridCol w:w="1747"/>
      </w:tblGrid>
      <w:tr w:rsidR="005B0288" w:rsidRPr="00CA6E66" w:rsidTr="00977C90">
        <w:trPr>
          <w:trHeight w:val="285"/>
          <w:jc w:val="center"/>
        </w:trPr>
        <w:tc>
          <w:tcPr>
            <w:tcW w:w="771" w:type="pct"/>
            <w:tcBorders>
              <w:bottom w:val="single" w:sz="4" w:space="0" w:color="auto"/>
            </w:tcBorders>
            <w:shd w:val="clear" w:color="auto" w:fill="E5DFEC" w:themeFill="accent4" w:themeFillTint="33"/>
            <w:noWrap/>
            <w:vAlign w:val="center"/>
            <w:hideMark/>
          </w:tcPr>
          <w:p w:rsidR="005B0288" w:rsidRPr="008B244C" w:rsidRDefault="005B0288" w:rsidP="00977C90">
            <w:pPr>
              <w:jc w:val="center"/>
              <w:rPr>
                <w:rFonts w:ascii="Times New Roman" w:hAnsi="Times New Roman" w:cs="Times New Roman"/>
                <w:sz w:val="16"/>
                <w:szCs w:val="16"/>
              </w:rPr>
            </w:pPr>
            <w:r w:rsidRPr="008B244C">
              <w:rPr>
                <w:rFonts w:ascii="Times New Roman" w:hAnsi="Times New Roman" w:cs="Times New Roman"/>
                <w:sz w:val="16"/>
                <w:szCs w:val="16"/>
              </w:rPr>
              <w:t>OKRES</w:t>
            </w:r>
          </w:p>
        </w:tc>
        <w:tc>
          <w:tcPr>
            <w:tcW w:w="1428" w:type="pct"/>
            <w:tcBorders>
              <w:bottom w:val="single" w:sz="4" w:space="0" w:color="auto"/>
            </w:tcBorders>
            <w:shd w:val="clear" w:color="auto" w:fill="E5DFEC" w:themeFill="accent4" w:themeFillTint="33"/>
            <w:noWrap/>
            <w:vAlign w:val="center"/>
          </w:tcPr>
          <w:p w:rsidR="005B0288" w:rsidRPr="008B244C" w:rsidRDefault="005B0288" w:rsidP="00977C90">
            <w:pPr>
              <w:jc w:val="center"/>
              <w:rPr>
                <w:rFonts w:ascii="Times New Roman" w:hAnsi="Times New Roman" w:cs="Times New Roman"/>
                <w:sz w:val="16"/>
                <w:szCs w:val="16"/>
              </w:rPr>
            </w:pPr>
            <w:r w:rsidRPr="008B244C">
              <w:rPr>
                <w:rFonts w:ascii="Times New Roman" w:hAnsi="Times New Roman" w:cs="Times New Roman"/>
                <w:sz w:val="16"/>
                <w:szCs w:val="16"/>
              </w:rPr>
              <w:t>Podmioty</w:t>
            </w:r>
          </w:p>
          <w:p w:rsidR="005B0288" w:rsidRPr="008B244C" w:rsidRDefault="005B0288" w:rsidP="00977C90">
            <w:pPr>
              <w:jc w:val="center"/>
              <w:rPr>
                <w:rFonts w:ascii="Times New Roman" w:hAnsi="Times New Roman" w:cs="Times New Roman"/>
                <w:sz w:val="16"/>
                <w:szCs w:val="16"/>
              </w:rPr>
            </w:pPr>
            <w:r w:rsidRPr="008B244C">
              <w:rPr>
                <w:rFonts w:ascii="Times New Roman" w:hAnsi="Times New Roman" w:cs="Times New Roman"/>
                <w:sz w:val="16"/>
                <w:szCs w:val="16"/>
              </w:rPr>
              <w:t>wg stanu</w:t>
            </w:r>
          </w:p>
          <w:p w:rsidR="005B0288" w:rsidRPr="008B244C" w:rsidRDefault="005B0288" w:rsidP="00977C90">
            <w:pPr>
              <w:jc w:val="center"/>
              <w:rPr>
                <w:rFonts w:ascii="Times New Roman" w:hAnsi="Times New Roman" w:cs="Times New Roman"/>
                <w:sz w:val="16"/>
                <w:szCs w:val="16"/>
              </w:rPr>
            </w:pPr>
            <w:r w:rsidRPr="008B244C">
              <w:rPr>
                <w:rFonts w:ascii="Times New Roman" w:hAnsi="Times New Roman" w:cs="Times New Roman"/>
                <w:sz w:val="16"/>
                <w:szCs w:val="16"/>
              </w:rPr>
              <w:t>na koniec m-ca</w:t>
            </w:r>
          </w:p>
        </w:tc>
        <w:tc>
          <w:tcPr>
            <w:tcW w:w="1400" w:type="pct"/>
            <w:tcBorders>
              <w:bottom w:val="single" w:sz="4" w:space="0" w:color="auto"/>
            </w:tcBorders>
            <w:shd w:val="clear" w:color="auto" w:fill="E5DFEC" w:themeFill="accent4" w:themeFillTint="33"/>
            <w:vAlign w:val="center"/>
          </w:tcPr>
          <w:p w:rsidR="005B0288" w:rsidRPr="008B244C" w:rsidRDefault="005B0288" w:rsidP="00977C90">
            <w:pPr>
              <w:jc w:val="center"/>
              <w:rPr>
                <w:rFonts w:ascii="Times New Roman" w:hAnsi="Times New Roman" w:cs="Times New Roman"/>
                <w:sz w:val="16"/>
                <w:szCs w:val="16"/>
              </w:rPr>
            </w:pPr>
            <w:r w:rsidRPr="008B244C">
              <w:rPr>
                <w:rFonts w:ascii="Times New Roman" w:hAnsi="Times New Roman" w:cs="Times New Roman"/>
                <w:sz w:val="16"/>
                <w:szCs w:val="16"/>
              </w:rPr>
              <w:t>wzrost/spadek</w:t>
            </w:r>
          </w:p>
          <w:p w:rsidR="005B0288" w:rsidRPr="008B244C" w:rsidRDefault="005B0288" w:rsidP="00977C90">
            <w:pPr>
              <w:jc w:val="center"/>
              <w:rPr>
                <w:rFonts w:ascii="Times New Roman" w:hAnsi="Times New Roman" w:cs="Times New Roman"/>
                <w:sz w:val="16"/>
                <w:szCs w:val="16"/>
              </w:rPr>
            </w:pPr>
            <w:r w:rsidRPr="008B244C">
              <w:rPr>
                <w:rFonts w:ascii="Times New Roman" w:hAnsi="Times New Roman" w:cs="Times New Roman"/>
                <w:sz w:val="16"/>
                <w:szCs w:val="16"/>
              </w:rPr>
              <w:t>w stos. do poprzedniego roku</w:t>
            </w:r>
          </w:p>
        </w:tc>
        <w:tc>
          <w:tcPr>
            <w:tcW w:w="1400" w:type="pct"/>
            <w:tcBorders>
              <w:bottom w:val="single" w:sz="4" w:space="0" w:color="auto"/>
            </w:tcBorders>
            <w:shd w:val="clear" w:color="auto" w:fill="E5DFEC" w:themeFill="accent4" w:themeFillTint="33"/>
          </w:tcPr>
          <w:p w:rsidR="005B0288" w:rsidRPr="008B244C" w:rsidRDefault="005B0288" w:rsidP="00977C90">
            <w:pPr>
              <w:jc w:val="center"/>
              <w:rPr>
                <w:rFonts w:ascii="Times New Roman" w:hAnsi="Times New Roman" w:cs="Times New Roman"/>
                <w:sz w:val="16"/>
                <w:szCs w:val="16"/>
              </w:rPr>
            </w:pPr>
            <w:r w:rsidRPr="008B244C">
              <w:rPr>
                <w:rFonts w:ascii="Times New Roman" w:hAnsi="Times New Roman" w:cs="Times New Roman"/>
                <w:sz w:val="16"/>
                <w:szCs w:val="16"/>
              </w:rPr>
              <w:t>wzrost/spadek</w:t>
            </w:r>
          </w:p>
          <w:p w:rsidR="005B0288" w:rsidRPr="008B244C" w:rsidRDefault="005B0288" w:rsidP="00977C90">
            <w:pPr>
              <w:jc w:val="center"/>
              <w:rPr>
                <w:rFonts w:ascii="Times New Roman" w:hAnsi="Times New Roman" w:cs="Times New Roman"/>
                <w:sz w:val="16"/>
                <w:szCs w:val="16"/>
              </w:rPr>
            </w:pPr>
            <w:r w:rsidRPr="008B244C">
              <w:rPr>
                <w:rFonts w:ascii="Times New Roman" w:hAnsi="Times New Roman" w:cs="Times New Roman"/>
                <w:sz w:val="16"/>
                <w:szCs w:val="16"/>
              </w:rPr>
              <w:t>31 XII 2002=</w:t>
            </w:r>
          </w:p>
          <w:p w:rsidR="005B0288" w:rsidRPr="008B244C" w:rsidRDefault="005B0288" w:rsidP="00836EA1">
            <w:pPr>
              <w:jc w:val="center"/>
              <w:rPr>
                <w:rFonts w:ascii="Times New Roman" w:hAnsi="Times New Roman" w:cs="Times New Roman"/>
                <w:sz w:val="16"/>
                <w:szCs w:val="16"/>
              </w:rPr>
            </w:pPr>
            <w:r w:rsidRPr="008B244C">
              <w:rPr>
                <w:rFonts w:ascii="Times New Roman" w:hAnsi="Times New Roman" w:cs="Times New Roman"/>
                <w:sz w:val="16"/>
                <w:szCs w:val="16"/>
              </w:rPr>
              <w:t xml:space="preserve">= 100 </w:t>
            </w:r>
            <w:r w:rsidR="00836EA1">
              <w:rPr>
                <w:rFonts w:ascii="Times New Roman" w:hAnsi="Times New Roman" w:cs="Times New Roman"/>
                <w:sz w:val="16"/>
                <w:szCs w:val="16"/>
              </w:rPr>
              <w:t>proc.</w:t>
            </w:r>
          </w:p>
        </w:tc>
      </w:tr>
      <w:tr w:rsidR="005B0288" w:rsidRPr="008B244C" w:rsidTr="00977C90">
        <w:trPr>
          <w:trHeight w:val="113"/>
          <w:jc w:val="center"/>
        </w:trPr>
        <w:tc>
          <w:tcPr>
            <w:tcW w:w="771" w:type="pct"/>
            <w:shd w:val="clear" w:color="auto" w:fill="E5DFEC" w:themeFill="accent4" w:themeFillTint="33"/>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'02</w:t>
            </w:r>
          </w:p>
        </w:tc>
        <w:tc>
          <w:tcPr>
            <w:tcW w:w="1428" w:type="pct"/>
            <w:shd w:val="clear" w:color="auto" w:fill="E5DFEC" w:themeFill="accent4" w:themeFillTint="33"/>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138 713</w:t>
            </w:r>
          </w:p>
        </w:tc>
        <w:tc>
          <w:tcPr>
            <w:tcW w:w="1400" w:type="pct"/>
            <w:shd w:val="clear" w:color="auto" w:fill="E5DFEC" w:themeFill="accent4" w:themeFillTint="33"/>
            <w:vAlign w:val="center"/>
          </w:tcPr>
          <w:p w:rsidR="005B0288" w:rsidRPr="009D55A9" w:rsidRDefault="005B0288" w:rsidP="00977C90">
            <w:pPr>
              <w:spacing w:line="180" w:lineRule="exact"/>
              <w:jc w:val="center"/>
              <w:rPr>
                <w:rFonts w:ascii="Times New Roman" w:hAnsi="Times New Roman" w:cs="Times New Roman"/>
                <w:color w:val="000000" w:themeColor="text1"/>
                <w:sz w:val="16"/>
                <w:szCs w:val="16"/>
              </w:rPr>
            </w:pPr>
            <w:r w:rsidRPr="009D55A9">
              <w:rPr>
                <w:rFonts w:ascii="Times New Roman" w:hAnsi="Times New Roman" w:cs="Times New Roman"/>
                <w:color w:val="000000" w:themeColor="text1"/>
                <w:sz w:val="16"/>
                <w:szCs w:val="16"/>
              </w:rPr>
              <w:t>---</w:t>
            </w:r>
          </w:p>
        </w:tc>
        <w:tc>
          <w:tcPr>
            <w:tcW w:w="1400" w:type="pct"/>
            <w:shd w:val="clear" w:color="auto" w:fill="E5DFEC" w:themeFill="accent4" w:themeFillTint="33"/>
          </w:tcPr>
          <w:p w:rsidR="005B0288" w:rsidRPr="009D55A9" w:rsidRDefault="005B0288" w:rsidP="00836EA1">
            <w:pPr>
              <w:spacing w:line="180" w:lineRule="exact"/>
              <w:jc w:val="center"/>
              <w:rPr>
                <w:rFonts w:ascii="Times New Roman" w:hAnsi="Times New Roman" w:cs="Times New Roman"/>
                <w:color w:val="000000" w:themeColor="text1"/>
                <w:sz w:val="16"/>
                <w:szCs w:val="16"/>
              </w:rPr>
            </w:pPr>
            <w:r w:rsidRPr="009D55A9">
              <w:rPr>
                <w:rFonts w:ascii="Times New Roman" w:hAnsi="Times New Roman" w:cs="Times New Roman"/>
                <w:color w:val="000000" w:themeColor="text1"/>
                <w:sz w:val="16"/>
                <w:szCs w:val="16"/>
              </w:rPr>
              <w:t xml:space="preserve">100 </w:t>
            </w:r>
            <w:r w:rsidR="00836EA1">
              <w:rPr>
                <w:rFonts w:ascii="Times New Roman" w:hAnsi="Times New Roman" w:cs="Times New Roman"/>
                <w:color w:val="000000" w:themeColor="text1"/>
                <w:sz w:val="16"/>
                <w:szCs w:val="16"/>
              </w:rPr>
              <w:t>proc.</w:t>
            </w:r>
          </w:p>
        </w:tc>
      </w:tr>
      <w:tr w:rsidR="005B0288" w:rsidRPr="008B244C" w:rsidTr="00977C90">
        <w:trPr>
          <w:trHeight w:val="161"/>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'03</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142 682</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2,9</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2,9</w:t>
            </w:r>
          </w:p>
        </w:tc>
      </w:tr>
      <w:tr w:rsidR="005B0288" w:rsidRPr="008B244C" w:rsidTr="00977C90">
        <w:trPr>
          <w:trHeight w:val="93"/>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'04</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139 545</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- 2,2</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0,6</w:t>
            </w:r>
          </w:p>
        </w:tc>
      </w:tr>
      <w:tr w:rsidR="005B0288" w:rsidRPr="008B244C" w:rsidTr="00977C90">
        <w:trPr>
          <w:trHeight w:val="153"/>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'05</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139 059</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- 0,3</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0,2</w:t>
            </w:r>
          </w:p>
        </w:tc>
      </w:tr>
      <w:tr w:rsidR="005B0288" w:rsidRPr="008B244C" w:rsidTr="00977C90">
        <w:trPr>
          <w:trHeight w:val="71"/>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'06</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140 656</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1,1</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1,4</w:t>
            </w:r>
          </w:p>
        </w:tc>
      </w:tr>
      <w:tr w:rsidR="005B0288" w:rsidRPr="008B244C" w:rsidTr="00977C90">
        <w:trPr>
          <w:trHeight w:val="145"/>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'07</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142 056</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1,0</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2,4</w:t>
            </w:r>
          </w:p>
        </w:tc>
      </w:tr>
      <w:tr w:rsidR="005B0288" w:rsidRPr="008B244C" w:rsidTr="00977C90">
        <w:trPr>
          <w:trHeight w:val="63"/>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'08</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144 263</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1,6</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4,0</w:t>
            </w:r>
          </w:p>
        </w:tc>
      </w:tr>
      <w:tr w:rsidR="005B0288" w:rsidRPr="008B244C" w:rsidTr="00977C90">
        <w:trPr>
          <w:trHeight w:val="137"/>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'09</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144 999</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0,5</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4,5</w:t>
            </w:r>
          </w:p>
        </w:tc>
      </w:tr>
      <w:tr w:rsidR="005B0288" w:rsidRPr="008B244C" w:rsidTr="00977C90">
        <w:trPr>
          <w:trHeight w:val="198"/>
          <w:jc w:val="center"/>
        </w:trPr>
        <w:tc>
          <w:tcPr>
            <w:tcW w:w="771" w:type="pct"/>
            <w:shd w:val="clear" w:color="auto" w:fill="auto"/>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lastRenderedPageBreak/>
              <w:t>31 XII '10</w:t>
            </w:r>
          </w:p>
        </w:tc>
        <w:tc>
          <w:tcPr>
            <w:tcW w:w="1428" w:type="pct"/>
            <w:shd w:val="clear" w:color="auto" w:fill="auto"/>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152 618</w:t>
            </w:r>
          </w:p>
        </w:tc>
        <w:tc>
          <w:tcPr>
            <w:tcW w:w="1400" w:type="pct"/>
            <w:shd w:val="clear" w:color="auto" w:fill="auto"/>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5,3</w:t>
            </w:r>
          </w:p>
        </w:tc>
        <w:tc>
          <w:tcPr>
            <w:tcW w:w="1400" w:type="pct"/>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10,0</w:t>
            </w:r>
          </w:p>
        </w:tc>
      </w:tr>
      <w:tr w:rsidR="005B0288" w:rsidRPr="008B244C" w:rsidTr="00977C90">
        <w:trPr>
          <w:trHeight w:val="129"/>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'11</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151 091</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- 1,0</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8,9</w:t>
            </w:r>
          </w:p>
        </w:tc>
      </w:tr>
      <w:tr w:rsidR="005B0288" w:rsidRPr="008B244C" w:rsidTr="00977C90">
        <w:trPr>
          <w:trHeight w:val="47"/>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'12</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155 034</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2,6</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11,8</w:t>
            </w:r>
          </w:p>
        </w:tc>
      </w:tr>
      <w:tr w:rsidR="005B0288" w:rsidRPr="008B244C" w:rsidTr="00977C90">
        <w:trPr>
          <w:trHeight w:val="122"/>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'13</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159 627</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3,0</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15,1</w:t>
            </w:r>
          </w:p>
        </w:tc>
      </w:tr>
      <w:tr w:rsidR="005B0288" w:rsidRPr="008B244C" w:rsidTr="00977C90">
        <w:trPr>
          <w:trHeight w:val="47"/>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'14</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162 556</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1,8</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17,2</w:t>
            </w:r>
          </w:p>
        </w:tc>
      </w:tr>
      <w:tr w:rsidR="005B0288" w:rsidRPr="008B244C" w:rsidTr="00977C90">
        <w:trPr>
          <w:trHeight w:val="47"/>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'15</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165 155</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1,6</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19,1</w:t>
            </w:r>
          </w:p>
        </w:tc>
      </w:tr>
      <w:tr w:rsidR="005B0288" w:rsidRPr="008B244C" w:rsidTr="00977C90">
        <w:trPr>
          <w:trHeight w:val="47"/>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'16</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167 749</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1,6</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20,9</w:t>
            </w:r>
          </w:p>
        </w:tc>
      </w:tr>
      <w:tr w:rsidR="005B0288" w:rsidRPr="008B244C" w:rsidTr="00977C90">
        <w:trPr>
          <w:trHeight w:val="47"/>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'17</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171 070</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2,0</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23,3</w:t>
            </w:r>
          </w:p>
        </w:tc>
      </w:tr>
      <w:tr w:rsidR="005B0288" w:rsidRPr="008B244C" w:rsidTr="00977C90">
        <w:trPr>
          <w:trHeight w:val="47"/>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'18</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174 830</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2,2</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26,0</w:t>
            </w:r>
          </w:p>
        </w:tc>
      </w:tr>
      <w:tr w:rsidR="005B0288" w:rsidRPr="008B244C" w:rsidTr="00977C90">
        <w:trPr>
          <w:trHeight w:val="47"/>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‘19</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181 107</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3,6</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30,6</w:t>
            </w:r>
          </w:p>
        </w:tc>
      </w:tr>
      <w:tr w:rsidR="005B0288" w:rsidRPr="008B244C" w:rsidTr="00977C90">
        <w:trPr>
          <w:trHeight w:val="47"/>
          <w:jc w:val="center"/>
        </w:trPr>
        <w:tc>
          <w:tcPr>
            <w:tcW w:w="771"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31 XII ‘20</w:t>
            </w:r>
          </w:p>
        </w:tc>
        <w:tc>
          <w:tcPr>
            <w:tcW w:w="1428" w:type="pct"/>
            <w:shd w:val="clear" w:color="auto" w:fill="FFFFFF" w:themeFill="background1"/>
            <w:noWrap/>
            <w:vAlign w:val="center"/>
          </w:tcPr>
          <w:p w:rsidR="005B0288" w:rsidRPr="009D55A9" w:rsidRDefault="005B0288" w:rsidP="00977C90">
            <w:pPr>
              <w:jc w:val="center"/>
              <w:rPr>
                <w:rFonts w:ascii="Times New Roman" w:hAnsi="Times New Roman" w:cs="Times New Roman"/>
                <w:color w:val="000000"/>
                <w:sz w:val="16"/>
                <w:szCs w:val="16"/>
              </w:rPr>
            </w:pPr>
            <w:r w:rsidRPr="009D55A9">
              <w:rPr>
                <w:rFonts w:ascii="Times New Roman" w:hAnsi="Times New Roman" w:cs="Times New Roman"/>
                <w:color w:val="000000"/>
                <w:sz w:val="16"/>
                <w:szCs w:val="16"/>
              </w:rPr>
              <w:t>188</w:t>
            </w:r>
            <w:r>
              <w:rPr>
                <w:rFonts w:ascii="Times New Roman" w:hAnsi="Times New Roman" w:cs="Times New Roman"/>
                <w:color w:val="000000"/>
                <w:sz w:val="16"/>
                <w:szCs w:val="16"/>
              </w:rPr>
              <w:t xml:space="preserve"> </w:t>
            </w:r>
            <w:r w:rsidRPr="009D55A9">
              <w:rPr>
                <w:rFonts w:ascii="Times New Roman" w:hAnsi="Times New Roman" w:cs="Times New Roman"/>
                <w:color w:val="000000"/>
                <w:sz w:val="16"/>
                <w:szCs w:val="16"/>
              </w:rPr>
              <w:t>360</w:t>
            </w:r>
          </w:p>
        </w:tc>
        <w:tc>
          <w:tcPr>
            <w:tcW w:w="1400" w:type="pct"/>
            <w:shd w:val="clear" w:color="auto" w:fill="FFFFFF" w:themeFill="background1"/>
            <w:vAlign w:val="center"/>
          </w:tcPr>
          <w:p w:rsidR="005B0288" w:rsidRPr="009D55A9" w:rsidRDefault="005B0288" w:rsidP="00977C90">
            <w:pPr>
              <w:jc w:val="center"/>
              <w:rPr>
                <w:rFonts w:ascii="Times New Roman" w:hAnsi="Times New Roman" w:cs="Times New Roman"/>
                <w:sz w:val="16"/>
                <w:szCs w:val="16"/>
              </w:rPr>
            </w:pPr>
            <w:r w:rsidRPr="009D55A9">
              <w:rPr>
                <w:rFonts w:ascii="Times New Roman" w:hAnsi="Times New Roman" w:cs="Times New Roman"/>
                <w:sz w:val="16"/>
                <w:szCs w:val="16"/>
              </w:rPr>
              <w:t>4,0</w:t>
            </w:r>
          </w:p>
        </w:tc>
        <w:tc>
          <w:tcPr>
            <w:tcW w:w="1400" w:type="pct"/>
            <w:shd w:val="clear" w:color="auto" w:fill="FFFFFF" w:themeFill="background1"/>
            <w:vAlign w:val="bottom"/>
          </w:tcPr>
          <w:p w:rsidR="005B0288" w:rsidRPr="009D55A9" w:rsidRDefault="005B0288" w:rsidP="00977C90">
            <w:pPr>
              <w:jc w:val="center"/>
              <w:rPr>
                <w:rFonts w:ascii="Times New Roman" w:hAnsi="Times New Roman" w:cs="Times New Roman"/>
                <w:sz w:val="16"/>
                <w:szCs w:val="16"/>
              </w:rPr>
            </w:pPr>
            <w:r w:rsidRPr="009D55A9">
              <w:rPr>
                <w:rFonts w:ascii="Times New Roman" w:hAnsi="Times New Roman" w:cs="Times New Roman"/>
                <w:sz w:val="16"/>
                <w:szCs w:val="16"/>
              </w:rPr>
              <w:t>35,8</w:t>
            </w:r>
          </w:p>
        </w:tc>
      </w:tr>
    </w:tbl>
    <w:p w:rsidR="005B0288" w:rsidRDefault="005B0288" w:rsidP="005B0288">
      <w:pPr>
        <w:pStyle w:val="Bezodstpw"/>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87CC6" w:rsidRPr="008B244C" w:rsidRDefault="00387CC6" w:rsidP="005B0288">
      <w:pPr>
        <w:pStyle w:val="Bezodstpw"/>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B0288" w:rsidRDefault="005B0288" w:rsidP="005B0288">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E770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ZMiany liczby Podmiotów gospodarki narodowej w rejestrzE REGON</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 woj. </w:t>
      </w:r>
      <w:r w:rsidRPr="005E770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 </w:t>
      </w:r>
      <w:r w:rsidRPr="005E770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 osób fizycznych Prowadzących wył</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ącznie </w:t>
      </w:r>
      <w:r w:rsidRPr="005E770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indywidualne</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5E770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gospodarstwa rolne) **</w:t>
      </w:r>
    </w:p>
    <w:p w:rsidR="005B0288" w:rsidRDefault="005B0288" w:rsidP="005B0288">
      <w:pPr>
        <w:pStyle w:val="Bezodstpw"/>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drawing>
          <wp:inline distT="0" distB="0" distL="0" distR="0" wp14:anchorId="2A6DAF2B" wp14:editId="4CE5C249">
            <wp:extent cx="5756910" cy="1550670"/>
            <wp:effectExtent l="0" t="0" r="0" b="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B0288" w:rsidRDefault="005B0288" w:rsidP="005B0288">
      <w:pPr>
        <w:pStyle w:val="Bezodstpw"/>
        <w:ind w:left="1410" w:hanging="1410"/>
        <w:jc w:val="both"/>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B0288" w:rsidRDefault="005B0288" w:rsidP="005B0288">
      <w:pPr>
        <w:spacing w:after="0" w:line="240" w:lineRule="auto"/>
        <w:rPr>
          <w:rFonts w:ascii="Times New Roman" w:hAnsi="Times New Roman" w:cs="Times New Roman"/>
          <w:sz w:val="16"/>
          <w:szCs w:val="16"/>
          <w:lang w:val="en-US"/>
        </w:rPr>
      </w:pPr>
      <w:r w:rsidRPr="00A82BC6">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A82BC6">
        <w:rPr>
          <w:rFonts w:ascii="Times New Roman" w:hAnsi="Times New Roman" w:cs="Times New Roman"/>
          <w:sz w:val="16"/>
          <w:szCs w:val="16"/>
          <w:lang w:val="en-US"/>
        </w:rPr>
        <w:t xml:space="preserve">        ** W stosunku do roku poprzedniego.</w:t>
      </w:r>
    </w:p>
    <w:p w:rsidR="00435DDB" w:rsidRDefault="00435DDB" w:rsidP="001024F9">
      <w:pPr>
        <w:spacing w:after="0" w:line="240" w:lineRule="auto"/>
        <w:rPr>
          <w:rFonts w:ascii="Times New Roman" w:hAnsi="Times New Roman" w:cs="Times New Roman"/>
          <w:sz w:val="16"/>
          <w:szCs w:val="16"/>
          <w:highlight w:val="yellow"/>
        </w:rPr>
      </w:pPr>
    </w:p>
    <w:p w:rsidR="00435DDB" w:rsidRDefault="00435DDB" w:rsidP="00435DDB">
      <w:pPr>
        <w:pStyle w:val="Bezodstpw"/>
        <w:pBdr>
          <w:bottom w:val="single" w:sz="4" w:space="1" w:color="auto"/>
        </w:pBdr>
        <w:rPr>
          <w:rFonts w:ascii="Times New Roman" w:hAnsi="Times New Roman" w:cs="Times New Roman"/>
          <w:sz w:val="16"/>
          <w:szCs w:val="16"/>
        </w:rPr>
      </w:pPr>
    </w:p>
    <w:p w:rsidR="005B0288" w:rsidRPr="00A82BC6" w:rsidRDefault="005B0288" w:rsidP="005B0288">
      <w:pPr>
        <w:pStyle w:val="Bezodstpw"/>
        <w:pBdr>
          <w:bottom w:val="single" w:sz="4" w:space="1" w:color="auto"/>
        </w:pBdr>
        <w:rPr>
          <w:rFonts w:ascii="Times New Roman" w:hAnsi="Times New Roman" w:cs="Times New Roman"/>
          <w:sz w:val="24"/>
          <w:szCs w:val="24"/>
        </w:rPr>
      </w:pPr>
      <w:r w:rsidRPr="00A82BC6">
        <w:rPr>
          <w:rFonts w:ascii="Times New Roman" w:hAnsi="Times New Roman" w:cs="Times New Roman"/>
          <w:sz w:val="24"/>
          <w:szCs w:val="24"/>
        </w:rPr>
        <w:t>Wnioski:</w:t>
      </w:r>
    </w:p>
    <w:p w:rsidR="00435DDB" w:rsidRDefault="005B0288" w:rsidP="00435DDB">
      <w:pPr>
        <w:pStyle w:val="Bezodstpw"/>
        <w:pBdr>
          <w:bottom w:val="single" w:sz="4" w:space="1" w:color="auto"/>
        </w:pBdr>
        <w:rPr>
          <w:rFonts w:ascii="Times New Roman" w:hAnsi="Times New Roman" w:cs="Times New Roman"/>
          <w:sz w:val="16"/>
          <w:szCs w:val="16"/>
        </w:rPr>
      </w:pPr>
      <w:r w:rsidRPr="00A82BC6">
        <w:rPr>
          <w:rFonts w:ascii="Times New Roman" w:hAnsi="Times New Roman" w:cs="Times New Roman"/>
          <w:sz w:val="18"/>
          <w:szCs w:val="18"/>
        </w:rPr>
        <w:t xml:space="preserve">(na podstawie tabel </w:t>
      </w:r>
      <w:r w:rsidR="009E70A0">
        <w:rPr>
          <w:rFonts w:ascii="Times New Roman" w:hAnsi="Times New Roman" w:cs="Times New Roman"/>
          <w:sz w:val="18"/>
          <w:szCs w:val="18"/>
        </w:rPr>
        <w:t>i</w:t>
      </w:r>
      <w:r w:rsidRPr="00A82BC6">
        <w:rPr>
          <w:rFonts w:ascii="Times New Roman" w:hAnsi="Times New Roman" w:cs="Times New Roman"/>
          <w:sz w:val="18"/>
          <w:szCs w:val="18"/>
        </w:rPr>
        <w:t xml:space="preserve"> wykres</w:t>
      </w:r>
      <w:r w:rsidR="001024F9">
        <w:rPr>
          <w:rFonts w:ascii="Times New Roman" w:hAnsi="Times New Roman" w:cs="Times New Roman"/>
          <w:sz w:val="18"/>
          <w:szCs w:val="18"/>
        </w:rPr>
        <w:t>u</w:t>
      </w:r>
      <w:r w:rsidRPr="00A82BC6">
        <w:rPr>
          <w:rFonts w:ascii="Times New Roman" w:hAnsi="Times New Roman" w:cs="Times New Roman"/>
          <w:sz w:val="18"/>
          <w:szCs w:val="18"/>
        </w:rPr>
        <w:t>)</w:t>
      </w:r>
    </w:p>
    <w:p w:rsidR="005B0288" w:rsidRPr="00A82BC6" w:rsidRDefault="005B0288" w:rsidP="005B0288">
      <w:pPr>
        <w:pStyle w:val="Bezodstpw"/>
        <w:spacing w:line="360" w:lineRule="auto"/>
        <w:rPr>
          <w:rFonts w:ascii="Times New Roman" w:hAnsi="Times New Roman" w:cs="Times New Roman"/>
          <w:sz w:val="18"/>
          <w:szCs w:val="18"/>
        </w:rPr>
      </w:pPr>
    </w:p>
    <w:p w:rsidR="005B0288" w:rsidRPr="00CB3E9A" w:rsidRDefault="001203FF" w:rsidP="005B0288">
      <w:pPr>
        <w:pStyle w:val="Akapitzlist"/>
        <w:numPr>
          <w:ilvl w:val="0"/>
          <w:numId w:val="22"/>
        </w:numPr>
        <w:spacing w:after="0" w:line="360" w:lineRule="auto"/>
        <w:jc w:val="both"/>
        <w:rPr>
          <w:rFonts w:ascii="Times New Roman" w:hAnsi="Times New Roman" w:cs="Times New Roman"/>
          <w:sz w:val="24"/>
          <w:szCs w:val="24"/>
        </w:rPr>
      </w:pPr>
      <w:r w:rsidRPr="00CB3E9A">
        <w:rPr>
          <w:rFonts w:ascii="Times New Roman" w:hAnsi="Times New Roman" w:cs="Times New Roman"/>
          <w:sz w:val="24"/>
          <w:szCs w:val="24"/>
        </w:rPr>
        <w:t>Poza nielicznymi spadkami przeważały wzrosty liczby podmiotów gospodarczych. Od 2003 roku tylko 3 razy odnotowano spadek liczby podmiotów w rejestrze REGON, w stosunku do roku poprzedniego. Zmiana w liczbie firm w założonym okresie stanowi różnicę pomiędzy stanami na koniec analizowanych lat </w:t>
      </w:r>
      <w:r w:rsidR="005B0288" w:rsidRPr="00CB3E9A">
        <w:rPr>
          <w:rStyle w:val="Odwoanieprzypisudolnego"/>
          <w:rFonts w:ascii="Times New Roman" w:hAnsi="Times New Roman" w:cs="Times New Roman"/>
          <w:sz w:val="24"/>
          <w:szCs w:val="24"/>
        </w:rPr>
        <w:footnoteReference w:id="14"/>
      </w:r>
      <w:r w:rsidR="005B0288" w:rsidRPr="00CB3E9A">
        <w:rPr>
          <w:rFonts w:ascii="Times New Roman" w:hAnsi="Times New Roman" w:cs="Times New Roman"/>
          <w:sz w:val="24"/>
          <w:szCs w:val="24"/>
        </w:rPr>
        <w:t>.</w:t>
      </w:r>
    </w:p>
    <w:p w:rsidR="005B0288" w:rsidRPr="004B6FCD" w:rsidRDefault="005B0288" w:rsidP="005B0288">
      <w:pPr>
        <w:pStyle w:val="Akapitzlist"/>
        <w:numPr>
          <w:ilvl w:val="0"/>
          <w:numId w:val="22"/>
        </w:numPr>
        <w:spacing w:after="0" w:line="360" w:lineRule="auto"/>
        <w:jc w:val="both"/>
        <w:rPr>
          <w:rFonts w:ascii="Times New Roman" w:hAnsi="Times New Roman" w:cs="Times New Roman"/>
          <w:sz w:val="24"/>
          <w:szCs w:val="24"/>
        </w:rPr>
      </w:pPr>
      <w:r w:rsidRPr="004B6FCD">
        <w:rPr>
          <w:rFonts w:ascii="Times New Roman" w:hAnsi="Times New Roman" w:cs="Times New Roman"/>
          <w:sz w:val="24"/>
          <w:szCs w:val="24"/>
        </w:rPr>
        <w:t>W 2020 roku w stosunku do roku poprzedniego nastąpił wzrost o 7 253 podmioty, a w porównaniu do 2002 roku odnotowano wzrost o 49 647 podmiotów.</w:t>
      </w:r>
    </w:p>
    <w:p w:rsidR="005B0288" w:rsidRPr="004B6FCD" w:rsidRDefault="005B0288" w:rsidP="005B0288">
      <w:pPr>
        <w:pStyle w:val="Akapitzlist"/>
        <w:numPr>
          <w:ilvl w:val="0"/>
          <w:numId w:val="22"/>
        </w:numPr>
        <w:spacing w:after="0" w:line="360" w:lineRule="auto"/>
        <w:jc w:val="both"/>
        <w:rPr>
          <w:rFonts w:ascii="Times New Roman" w:hAnsi="Times New Roman" w:cs="Times New Roman"/>
          <w:sz w:val="24"/>
          <w:szCs w:val="24"/>
        </w:rPr>
      </w:pPr>
      <w:r w:rsidRPr="004B6FCD">
        <w:rPr>
          <w:rFonts w:ascii="Times New Roman" w:hAnsi="Times New Roman" w:cs="Times New Roman"/>
          <w:sz w:val="24"/>
          <w:szCs w:val="24"/>
        </w:rPr>
        <w:t xml:space="preserve">Odrębnym zagadnieniem pozostają przyczyny powyższych fluktuacji. Można się domyślać, że pracodawcy w celu uniknięcia poniesienia znacznych strat, kontynuują działalność </w:t>
      </w:r>
      <w:r>
        <w:rPr>
          <w:rFonts w:ascii="Times New Roman" w:hAnsi="Times New Roman" w:cs="Times New Roman"/>
          <w:sz w:val="24"/>
          <w:szCs w:val="24"/>
        </w:rPr>
        <w:t xml:space="preserve">w zmienionej formule lub </w:t>
      </w:r>
      <w:r w:rsidRPr="004B6FCD">
        <w:rPr>
          <w:rFonts w:ascii="Times New Roman" w:hAnsi="Times New Roman" w:cs="Times New Roman"/>
          <w:sz w:val="24"/>
          <w:szCs w:val="24"/>
        </w:rPr>
        <w:t>pod zmienionym szyldem.</w:t>
      </w:r>
    </w:p>
    <w:p w:rsidR="005B0288" w:rsidRPr="004B6FCD" w:rsidRDefault="005B0288" w:rsidP="005B0288">
      <w:pPr>
        <w:pStyle w:val="Akapitzlist"/>
        <w:numPr>
          <w:ilvl w:val="0"/>
          <w:numId w:val="22"/>
        </w:numPr>
        <w:spacing w:after="0" w:line="360" w:lineRule="auto"/>
        <w:jc w:val="both"/>
        <w:rPr>
          <w:rFonts w:ascii="Times New Roman" w:hAnsi="Times New Roman" w:cs="Times New Roman"/>
          <w:sz w:val="24"/>
          <w:szCs w:val="24"/>
        </w:rPr>
      </w:pPr>
      <w:r w:rsidRPr="004B6FCD">
        <w:rPr>
          <w:rFonts w:ascii="Times New Roman" w:hAnsi="Times New Roman" w:cs="Times New Roman"/>
          <w:sz w:val="24"/>
          <w:szCs w:val="24"/>
        </w:rPr>
        <w:t>Pozostałymi powodami wg GUS są decyzja organu państwowego o likwidacji, zmiana formy prawnej działalności na rynku, przekształcenia własnościowe, postanowienie sądu dotyczące postępowania upadłościowego, wyrejestrowanie z ubezpieczeń społecznych ostatniego pracownika, zaprzestanie działalności, zawieszenie działalności czy zgon właściciela firmy lub inna przyczyna wyrejestrowania</w:t>
      </w:r>
      <w:r>
        <w:rPr>
          <w:rFonts w:ascii="Times New Roman" w:hAnsi="Times New Roman" w:cs="Times New Roman"/>
          <w:sz w:val="24"/>
          <w:szCs w:val="24"/>
        </w:rPr>
        <w:t xml:space="preserve"> działalności</w:t>
      </w:r>
      <w:r w:rsidRPr="004B6FCD">
        <w:rPr>
          <w:rFonts w:ascii="Times New Roman" w:hAnsi="Times New Roman" w:cs="Times New Roman"/>
          <w:sz w:val="24"/>
          <w:szCs w:val="24"/>
        </w:rPr>
        <w:t>.</w:t>
      </w:r>
    </w:p>
    <w:p w:rsidR="001024F9" w:rsidRDefault="001024F9">
      <w:pP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type="page"/>
      </w:r>
    </w:p>
    <w:p w:rsidR="00124E47" w:rsidRDefault="00124E47" w:rsidP="005B0288">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5B0288" w:rsidRPr="00CB2777" w:rsidRDefault="005B0288" w:rsidP="005B0288">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B277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Podmioty gospodarki narodowej w województwie podkarpackim w 2020 roku</w:t>
      </w:r>
    </w:p>
    <w:p w:rsidR="005B0288" w:rsidRDefault="005B0288" w:rsidP="005B0288">
      <w:pPr>
        <w:spacing w:after="0" w:line="240" w:lineRule="auto"/>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B277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 sekcji  PKD (bez osób fizycznych prowadzących wył. indywidualne</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CB277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gospodarstwa rolne</w:t>
      </w:r>
    </w:p>
    <w:tbl>
      <w:tblPr>
        <w:tblStyle w:val="Tabela-Siatka"/>
        <w:tblW w:w="8271" w:type="dxa"/>
        <w:jc w:val="center"/>
        <w:tblInd w:w="304" w:type="dxa"/>
        <w:tblLook w:val="04A0" w:firstRow="1" w:lastRow="0" w:firstColumn="1" w:lastColumn="0" w:noHBand="0" w:noVBand="1"/>
      </w:tblPr>
      <w:tblGrid>
        <w:gridCol w:w="501"/>
        <w:gridCol w:w="889"/>
        <w:gridCol w:w="2447"/>
        <w:gridCol w:w="1525"/>
        <w:gridCol w:w="1380"/>
        <w:gridCol w:w="1529"/>
      </w:tblGrid>
      <w:tr w:rsidR="005B0288" w:rsidRPr="00CA6E66" w:rsidTr="00977C90">
        <w:trPr>
          <w:trHeight w:val="312"/>
          <w:jc w:val="center"/>
        </w:trPr>
        <w:tc>
          <w:tcPr>
            <w:tcW w:w="501" w:type="dxa"/>
            <w:shd w:val="clear" w:color="auto" w:fill="CCC0D9" w:themeFill="accent4" w:themeFillTint="66"/>
            <w:vAlign w:val="center"/>
          </w:tcPr>
          <w:p w:rsidR="005B0288" w:rsidRPr="004B6FCD" w:rsidRDefault="005B0288" w:rsidP="00977C90">
            <w:pPr>
              <w:pStyle w:val="Bezodstpw"/>
              <w:jc w:val="center"/>
              <w:rPr>
                <w:rFonts w:ascii="Times New Roman" w:hAnsi="Times New Roman" w:cs="Times New Roman"/>
                <w:b/>
                <w:color w:val="000000" w:themeColor="text1"/>
                <w:sz w:val="16"/>
                <w:szCs w:val="16"/>
              </w:rPr>
            </w:pPr>
            <w:r w:rsidRPr="004B6FCD">
              <w:rPr>
                <w:rFonts w:ascii="Times New Roman" w:hAnsi="Times New Roman" w:cs="Times New Roman"/>
                <w:b/>
                <w:color w:val="000000" w:themeColor="text1"/>
                <w:sz w:val="16"/>
                <w:szCs w:val="16"/>
              </w:rPr>
              <w:t>LP</w:t>
            </w:r>
          </w:p>
        </w:tc>
        <w:tc>
          <w:tcPr>
            <w:tcW w:w="889" w:type="dxa"/>
            <w:shd w:val="clear" w:color="auto" w:fill="CCC0D9" w:themeFill="accent4" w:themeFillTint="66"/>
            <w:vAlign w:val="center"/>
          </w:tcPr>
          <w:p w:rsidR="005B0288" w:rsidRPr="004B6FCD" w:rsidRDefault="005B0288" w:rsidP="00977C90">
            <w:pPr>
              <w:pStyle w:val="Bezodstpw"/>
              <w:jc w:val="center"/>
              <w:rPr>
                <w:rFonts w:ascii="Times New Roman" w:hAnsi="Times New Roman" w:cs="Times New Roman"/>
                <w:b/>
                <w:color w:val="000000" w:themeColor="text1"/>
                <w:sz w:val="16"/>
                <w:szCs w:val="16"/>
              </w:rPr>
            </w:pPr>
            <w:r w:rsidRPr="004B6FCD">
              <w:rPr>
                <w:rFonts w:ascii="Times New Roman" w:hAnsi="Times New Roman" w:cs="Times New Roman"/>
                <w:b/>
                <w:color w:val="000000" w:themeColor="text1"/>
                <w:sz w:val="16"/>
                <w:szCs w:val="16"/>
              </w:rPr>
              <w:t>KOD</w:t>
            </w:r>
          </w:p>
        </w:tc>
        <w:tc>
          <w:tcPr>
            <w:tcW w:w="2447" w:type="dxa"/>
            <w:shd w:val="clear" w:color="auto" w:fill="CCC0D9" w:themeFill="accent4" w:themeFillTint="66"/>
            <w:vAlign w:val="center"/>
          </w:tcPr>
          <w:p w:rsidR="005B0288" w:rsidRDefault="005B0288" w:rsidP="00977C90">
            <w:pPr>
              <w:pStyle w:val="Bezodstpw"/>
              <w:jc w:val="center"/>
              <w:rPr>
                <w:rFonts w:ascii="Times New Roman" w:hAnsi="Times New Roman" w:cs="Times New Roman"/>
                <w:b/>
                <w:color w:val="000000" w:themeColor="text1"/>
                <w:sz w:val="16"/>
                <w:szCs w:val="16"/>
              </w:rPr>
            </w:pPr>
            <w:r w:rsidRPr="004B6FCD">
              <w:rPr>
                <w:rFonts w:ascii="Times New Roman" w:hAnsi="Times New Roman" w:cs="Times New Roman"/>
                <w:b/>
                <w:color w:val="000000" w:themeColor="text1"/>
                <w:sz w:val="16"/>
                <w:szCs w:val="16"/>
              </w:rPr>
              <w:t>SEKCJA</w:t>
            </w:r>
          </w:p>
          <w:p w:rsidR="005B0288" w:rsidRPr="004B6FCD" w:rsidRDefault="005B0288" w:rsidP="00977C90">
            <w:pPr>
              <w:pStyle w:val="Bezodstpw"/>
              <w:jc w:val="center"/>
              <w:rPr>
                <w:rFonts w:ascii="Times New Roman" w:hAnsi="Times New Roman" w:cs="Times New Roman"/>
                <w:b/>
                <w:color w:val="000000" w:themeColor="text1"/>
                <w:sz w:val="16"/>
                <w:szCs w:val="16"/>
              </w:rPr>
            </w:pPr>
            <w:r w:rsidRPr="004B6FCD">
              <w:rPr>
                <w:rFonts w:ascii="Times New Roman" w:hAnsi="Times New Roman" w:cs="Times New Roman"/>
                <w:b/>
                <w:color w:val="000000" w:themeColor="text1"/>
                <w:sz w:val="16"/>
                <w:szCs w:val="16"/>
              </w:rPr>
              <w:t>PKD</w:t>
            </w:r>
          </w:p>
        </w:tc>
        <w:tc>
          <w:tcPr>
            <w:tcW w:w="1525" w:type="dxa"/>
            <w:shd w:val="clear" w:color="auto" w:fill="CCC0D9" w:themeFill="accent4" w:themeFillTint="66"/>
            <w:vAlign w:val="center"/>
          </w:tcPr>
          <w:p w:rsidR="005B0288" w:rsidRDefault="005B0288" w:rsidP="00977C90">
            <w:pPr>
              <w:pStyle w:val="Bezodstpw"/>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stan na </w:t>
            </w:r>
            <w:r w:rsidRPr="004B6FCD">
              <w:rPr>
                <w:rFonts w:ascii="Times New Roman" w:hAnsi="Times New Roman" w:cs="Times New Roman"/>
                <w:b/>
                <w:color w:val="000000" w:themeColor="text1"/>
                <w:sz w:val="16"/>
                <w:szCs w:val="16"/>
              </w:rPr>
              <w:t>31 XII</w:t>
            </w:r>
          </w:p>
          <w:p w:rsidR="005B0288" w:rsidRPr="004B6FCD" w:rsidRDefault="005B0288" w:rsidP="00977C90">
            <w:pPr>
              <w:pStyle w:val="Bezodstpw"/>
              <w:jc w:val="center"/>
              <w:rPr>
                <w:rFonts w:ascii="Times New Roman" w:hAnsi="Times New Roman" w:cs="Times New Roman"/>
                <w:b/>
                <w:color w:val="000000" w:themeColor="text1"/>
                <w:sz w:val="16"/>
                <w:szCs w:val="16"/>
              </w:rPr>
            </w:pPr>
            <w:r w:rsidRPr="004B6FCD">
              <w:rPr>
                <w:rFonts w:ascii="Times New Roman" w:hAnsi="Times New Roman" w:cs="Times New Roman"/>
                <w:b/>
                <w:color w:val="000000" w:themeColor="text1"/>
                <w:sz w:val="16"/>
                <w:szCs w:val="16"/>
              </w:rPr>
              <w:t>2019</w:t>
            </w:r>
            <w:r>
              <w:rPr>
                <w:rFonts w:ascii="Times New Roman" w:hAnsi="Times New Roman" w:cs="Times New Roman"/>
                <w:b/>
                <w:color w:val="000000" w:themeColor="text1"/>
                <w:sz w:val="16"/>
                <w:szCs w:val="16"/>
              </w:rPr>
              <w:t xml:space="preserve"> roku</w:t>
            </w:r>
          </w:p>
        </w:tc>
        <w:tc>
          <w:tcPr>
            <w:tcW w:w="1380" w:type="dxa"/>
            <w:shd w:val="clear" w:color="auto" w:fill="CCC0D9" w:themeFill="accent4" w:themeFillTint="66"/>
            <w:vAlign w:val="center"/>
          </w:tcPr>
          <w:p w:rsidR="005B0288" w:rsidRDefault="005B0288" w:rsidP="00977C90">
            <w:pPr>
              <w:pStyle w:val="Bezodstpw"/>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 xml:space="preserve">stan na </w:t>
            </w:r>
            <w:r w:rsidRPr="004B6FCD">
              <w:rPr>
                <w:rFonts w:ascii="Times New Roman" w:hAnsi="Times New Roman" w:cs="Times New Roman"/>
                <w:b/>
                <w:color w:val="000000" w:themeColor="text1"/>
                <w:sz w:val="16"/>
                <w:szCs w:val="16"/>
              </w:rPr>
              <w:t>31 XII</w:t>
            </w:r>
          </w:p>
          <w:p w:rsidR="005B0288" w:rsidRPr="004B6FCD" w:rsidRDefault="005B0288" w:rsidP="00977C90">
            <w:pPr>
              <w:pStyle w:val="Bezodstpw"/>
              <w:jc w:val="center"/>
              <w:rPr>
                <w:rFonts w:ascii="Times New Roman" w:hAnsi="Times New Roman" w:cs="Times New Roman"/>
                <w:b/>
                <w:color w:val="000000" w:themeColor="text1"/>
                <w:sz w:val="16"/>
                <w:szCs w:val="16"/>
              </w:rPr>
            </w:pPr>
            <w:r w:rsidRPr="004B6FCD">
              <w:rPr>
                <w:rFonts w:ascii="Times New Roman" w:hAnsi="Times New Roman" w:cs="Times New Roman"/>
                <w:b/>
                <w:color w:val="000000" w:themeColor="text1"/>
                <w:sz w:val="16"/>
                <w:szCs w:val="16"/>
              </w:rPr>
              <w:t>2020</w:t>
            </w:r>
            <w:r>
              <w:rPr>
                <w:rFonts w:ascii="Times New Roman" w:hAnsi="Times New Roman" w:cs="Times New Roman"/>
                <w:b/>
                <w:color w:val="000000" w:themeColor="text1"/>
                <w:sz w:val="16"/>
                <w:szCs w:val="16"/>
              </w:rPr>
              <w:t xml:space="preserve"> roku</w:t>
            </w:r>
          </w:p>
        </w:tc>
        <w:tc>
          <w:tcPr>
            <w:tcW w:w="1529" w:type="dxa"/>
            <w:shd w:val="clear" w:color="auto" w:fill="CCC0D9" w:themeFill="accent4" w:themeFillTint="66"/>
            <w:vAlign w:val="center"/>
          </w:tcPr>
          <w:p w:rsidR="005B0288" w:rsidRDefault="005B0288" w:rsidP="00977C90">
            <w:pPr>
              <w:pStyle w:val="Bezodstpw"/>
              <w:jc w:val="center"/>
              <w:rPr>
                <w:rFonts w:ascii="Times New Roman" w:hAnsi="Times New Roman" w:cs="Times New Roman"/>
                <w:b/>
                <w:color w:val="000000" w:themeColor="text1"/>
                <w:sz w:val="16"/>
                <w:szCs w:val="16"/>
              </w:rPr>
            </w:pPr>
            <w:r w:rsidRPr="004B6FCD">
              <w:rPr>
                <w:rFonts w:ascii="Times New Roman" w:hAnsi="Times New Roman" w:cs="Times New Roman"/>
                <w:b/>
                <w:color w:val="000000" w:themeColor="text1"/>
                <w:sz w:val="16"/>
                <w:szCs w:val="16"/>
              </w:rPr>
              <w:t>wzrost /</w:t>
            </w:r>
          </w:p>
          <w:p w:rsidR="005B0288" w:rsidRPr="004B6FCD" w:rsidRDefault="005B0288" w:rsidP="00977C90">
            <w:pPr>
              <w:pStyle w:val="Bezodstpw"/>
              <w:jc w:val="center"/>
              <w:rPr>
                <w:rFonts w:ascii="Times New Roman" w:hAnsi="Times New Roman" w:cs="Times New Roman"/>
                <w:b/>
                <w:color w:val="000000" w:themeColor="text1"/>
                <w:sz w:val="16"/>
                <w:szCs w:val="16"/>
              </w:rPr>
            </w:pPr>
            <w:r w:rsidRPr="004B6FCD">
              <w:rPr>
                <w:rFonts w:ascii="Times New Roman" w:hAnsi="Times New Roman" w:cs="Times New Roman"/>
                <w:b/>
                <w:color w:val="000000" w:themeColor="text1"/>
                <w:sz w:val="16"/>
                <w:szCs w:val="16"/>
              </w:rPr>
              <w:t>spadek</w:t>
            </w:r>
          </w:p>
        </w:tc>
      </w:tr>
      <w:tr w:rsidR="005B0288" w:rsidRPr="00CA6E66" w:rsidTr="00977C90">
        <w:trPr>
          <w:trHeight w:val="206"/>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b/>
                <w:color w:val="000000" w:themeColor="text1"/>
                <w:sz w:val="16"/>
                <w:szCs w:val="16"/>
              </w:rPr>
            </w:pPr>
            <w:r w:rsidRPr="004B6FCD">
              <w:rPr>
                <w:rFonts w:ascii="Arial" w:hAnsi="Arial" w:cs="Arial"/>
                <w:b/>
                <w:color w:val="000000" w:themeColor="text1"/>
                <w:sz w:val="16"/>
                <w:szCs w:val="16"/>
              </w:rPr>
              <w:t>1</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b/>
                <w:color w:val="000000" w:themeColor="text1"/>
                <w:sz w:val="16"/>
                <w:szCs w:val="16"/>
              </w:rPr>
            </w:pPr>
            <w:r w:rsidRPr="004B6FCD">
              <w:rPr>
                <w:rFonts w:ascii="Arial" w:hAnsi="Arial" w:cs="Arial"/>
                <w:b/>
                <w:color w:val="000000" w:themeColor="text1"/>
                <w:sz w:val="16"/>
                <w:szCs w:val="16"/>
              </w:rPr>
              <w:t>ogółem</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b/>
                <w:color w:val="000000" w:themeColor="text1"/>
                <w:sz w:val="16"/>
                <w:szCs w:val="16"/>
              </w:rPr>
            </w:pPr>
            <w:r w:rsidRPr="004B6FCD">
              <w:rPr>
                <w:rFonts w:ascii="Arial" w:hAnsi="Arial" w:cs="Arial"/>
                <w:b/>
                <w:color w:val="000000" w:themeColor="text1"/>
                <w:sz w:val="16"/>
                <w:szCs w:val="16"/>
              </w:rPr>
              <w:t>---</w:t>
            </w:r>
          </w:p>
        </w:tc>
        <w:tc>
          <w:tcPr>
            <w:tcW w:w="1525" w:type="dxa"/>
            <w:shd w:val="clear" w:color="auto" w:fill="FFFFFF" w:themeFill="background1"/>
            <w:vAlign w:val="center"/>
          </w:tcPr>
          <w:p w:rsidR="005B0288" w:rsidRPr="004B6FCD" w:rsidRDefault="005B0288" w:rsidP="00977C90">
            <w:pPr>
              <w:jc w:val="center"/>
              <w:rPr>
                <w:rFonts w:ascii="Arial" w:hAnsi="Arial" w:cs="Arial"/>
                <w:b/>
                <w:bCs/>
                <w:color w:val="000000"/>
                <w:sz w:val="16"/>
                <w:szCs w:val="16"/>
              </w:rPr>
            </w:pPr>
            <w:r w:rsidRPr="004B6FCD">
              <w:rPr>
                <w:rFonts w:ascii="Arial" w:hAnsi="Arial" w:cs="Arial"/>
                <w:b/>
                <w:bCs/>
                <w:color w:val="000000"/>
                <w:sz w:val="16"/>
                <w:szCs w:val="16"/>
              </w:rPr>
              <w:t>181 107</w:t>
            </w:r>
          </w:p>
        </w:tc>
        <w:tc>
          <w:tcPr>
            <w:tcW w:w="1380" w:type="dxa"/>
            <w:shd w:val="clear" w:color="auto" w:fill="FFFFFF" w:themeFill="background1"/>
            <w:vAlign w:val="center"/>
          </w:tcPr>
          <w:p w:rsidR="005B0288" w:rsidRPr="00CA6E66" w:rsidRDefault="005B0288" w:rsidP="00977C90">
            <w:pPr>
              <w:jc w:val="center"/>
              <w:rPr>
                <w:rFonts w:ascii="Arial" w:hAnsi="Arial" w:cs="Arial"/>
                <w:b/>
                <w:bCs/>
                <w:color w:val="000000"/>
                <w:sz w:val="16"/>
                <w:szCs w:val="16"/>
                <w:highlight w:val="yellow"/>
              </w:rPr>
            </w:pPr>
            <w:r w:rsidRPr="00A314A1">
              <w:rPr>
                <w:rFonts w:ascii="Arial" w:hAnsi="Arial" w:cs="Arial"/>
                <w:b/>
                <w:bCs/>
                <w:color w:val="000000"/>
                <w:sz w:val="16"/>
                <w:szCs w:val="16"/>
              </w:rPr>
              <w:t>188 360</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7 253</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2</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A</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rolnictwo, leśnictwo, łowiectwo i rybactwo</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3 118</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3 142</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24</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3</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B</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górnictwo i wydobywanie</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236</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226</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-10</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4</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C</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przetwórstwo przemysłowe</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17 233</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17 728</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495</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5</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D</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wytwarzanie i zaopatrywanie w energię elektryczną, gaz, parę wodną, gorącą wodę i powietrze do układów klimatyzacyjnych</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512</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544</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32</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6</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E</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dostawa wody; gospodarowanie ściekami i odpadami oraz działalność związana z rekultywacją</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505</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517</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12</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7</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F</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budownictwo</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26 501</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28 992</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2491</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8</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G</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handel hurtowy i detaliczny; naprawa pojazdów samochodowych, włączając motocykle</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41 463</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41 917</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454</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9</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H</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transport i gospodarka magazynowa</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12 288</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12 745</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457</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10</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I</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działalność związana z zakwaterowaniem i usługami gastronomicznymi</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4 965</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5 261</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296</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11</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J</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informacja i komunikacja</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6 051</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6 549</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498</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12</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K</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działalność finansowa i ubezpieczeniowa</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4 041</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4 088</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47</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13</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L</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działalność związana z obsługą rynku nieruchomości</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5 331</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5 560</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229</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14</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M</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działalność profesjonalna, naukowa i techniczna</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16 183</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16 988</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805</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15</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N</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działalność w zakresie usług administrowania i działalność wspierając</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4 696</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4 978</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282</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16</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O</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administracja publiczna i obrona narodowa; obowiązkowe zabezpieczenia społeczne</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1 894</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1 895</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1</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17</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P</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edukacja</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6 708</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6 878</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170</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18</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Q</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opieka zdrowotna i pomoc społeczna</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10 913</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11 308</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395</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19</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R</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działalność związana z kulturą, rozrywką i rekreacją</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3 946</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4 110</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164</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20</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S</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pozostała działalność usługowa</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13 847</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14 157</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310</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21</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T</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gospodarstwa domowe zatrudniające pracowników; gospodarstwa domowe produkujące wyroby i świadczące usługi na własne potrzeby</w:t>
            </w:r>
          </w:p>
        </w:tc>
        <w:tc>
          <w:tcPr>
            <w:tcW w:w="1525" w:type="dxa"/>
            <w:shd w:val="clear" w:color="auto" w:fill="FFFFFF" w:themeFill="background1"/>
            <w:vAlign w:val="center"/>
          </w:tcPr>
          <w:p w:rsidR="005B0288" w:rsidRPr="002D0078" w:rsidRDefault="005B0288" w:rsidP="00977C90">
            <w:pPr>
              <w:jc w:val="center"/>
              <w:rPr>
                <w:rFonts w:ascii="Arial" w:hAnsi="Arial" w:cs="Arial"/>
                <w:bCs/>
                <w:color w:val="000000"/>
                <w:sz w:val="16"/>
                <w:szCs w:val="16"/>
              </w:rPr>
            </w:pPr>
            <w:r>
              <w:rPr>
                <w:rFonts w:ascii="Arial" w:hAnsi="Arial" w:cs="Arial"/>
                <w:bCs/>
                <w:color w:val="000000"/>
                <w:sz w:val="16"/>
                <w:szCs w:val="16"/>
              </w:rPr>
              <w:t>672</w:t>
            </w:r>
          </w:p>
        </w:tc>
        <w:tc>
          <w:tcPr>
            <w:tcW w:w="1380" w:type="dxa"/>
            <w:shd w:val="clear" w:color="auto" w:fill="FFFFFF" w:themeFill="background1"/>
            <w:vAlign w:val="center"/>
          </w:tcPr>
          <w:p w:rsidR="005B0288" w:rsidRPr="002D0078" w:rsidRDefault="005B0288" w:rsidP="00977C90">
            <w:pPr>
              <w:jc w:val="center"/>
              <w:rPr>
                <w:rFonts w:ascii="Arial" w:hAnsi="Arial" w:cs="Arial"/>
                <w:sz w:val="16"/>
                <w:szCs w:val="16"/>
              </w:rPr>
            </w:pPr>
            <w:r>
              <w:rPr>
                <w:rFonts w:ascii="Arial" w:hAnsi="Arial" w:cs="Arial"/>
                <w:sz w:val="16"/>
                <w:szCs w:val="16"/>
              </w:rPr>
              <w:t>773</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101</w:t>
            </w:r>
          </w:p>
        </w:tc>
      </w:tr>
      <w:tr w:rsidR="005B0288" w:rsidRPr="00CA6E66" w:rsidTr="00977C90">
        <w:trPr>
          <w:jc w:val="center"/>
        </w:trPr>
        <w:tc>
          <w:tcPr>
            <w:tcW w:w="501"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22</w:t>
            </w:r>
          </w:p>
        </w:tc>
        <w:tc>
          <w:tcPr>
            <w:tcW w:w="889" w:type="dxa"/>
            <w:shd w:val="clear" w:color="auto" w:fill="FFFFFF" w:themeFill="background1"/>
            <w:vAlign w:val="center"/>
          </w:tcPr>
          <w:p w:rsidR="005B0288" w:rsidRPr="004B6FCD" w:rsidRDefault="005B0288" w:rsidP="00977C90">
            <w:pPr>
              <w:pStyle w:val="Bezodstpw"/>
              <w:shd w:val="clear" w:color="auto" w:fill="FFFFFF" w:themeFill="background1"/>
              <w:jc w:val="center"/>
              <w:rPr>
                <w:rFonts w:ascii="Arial" w:hAnsi="Arial" w:cs="Arial"/>
                <w:color w:val="000000" w:themeColor="text1"/>
                <w:sz w:val="16"/>
                <w:szCs w:val="16"/>
              </w:rPr>
            </w:pPr>
            <w:r w:rsidRPr="004B6FCD">
              <w:rPr>
                <w:rFonts w:ascii="Arial" w:hAnsi="Arial" w:cs="Arial"/>
                <w:color w:val="000000" w:themeColor="text1"/>
                <w:sz w:val="16"/>
                <w:szCs w:val="16"/>
              </w:rPr>
              <w:t>U</w:t>
            </w:r>
          </w:p>
        </w:tc>
        <w:tc>
          <w:tcPr>
            <w:tcW w:w="2447" w:type="dxa"/>
            <w:shd w:val="clear" w:color="auto" w:fill="FFFFFF" w:themeFill="background1"/>
            <w:vAlign w:val="center"/>
          </w:tcPr>
          <w:p w:rsidR="005B0288" w:rsidRPr="004B6FCD" w:rsidRDefault="005B0288" w:rsidP="00977C90">
            <w:pPr>
              <w:pStyle w:val="Bezodstpw"/>
              <w:shd w:val="clear" w:color="auto" w:fill="FFFFFF" w:themeFill="background1"/>
              <w:rPr>
                <w:rFonts w:ascii="Arial" w:hAnsi="Arial" w:cs="Arial"/>
                <w:color w:val="000000" w:themeColor="text1"/>
                <w:sz w:val="16"/>
                <w:szCs w:val="16"/>
              </w:rPr>
            </w:pPr>
            <w:r w:rsidRPr="004B6FCD">
              <w:rPr>
                <w:rFonts w:ascii="Arial" w:hAnsi="Arial" w:cs="Arial"/>
                <w:color w:val="000000" w:themeColor="text1"/>
                <w:sz w:val="16"/>
                <w:szCs w:val="16"/>
              </w:rPr>
              <w:t>organizacje i zespoły eksterytorialne</w:t>
            </w:r>
          </w:p>
        </w:tc>
        <w:tc>
          <w:tcPr>
            <w:tcW w:w="1525" w:type="dxa"/>
            <w:shd w:val="clear" w:color="auto" w:fill="FFFFFF" w:themeFill="background1"/>
            <w:vAlign w:val="center"/>
          </w:tcPr>
          <w:p w:rsidR="005B0288" w:rsidRPr="004B6FCD" w:rsidRDefault="005B0288" w:rsidP="00977C90">
            <w:pPr>
              <w:jc w:val="center"/>
              <w:rPr>
                <w:rFonts w:ascii="Arial" w:hAnsi="Arial" w:cs="Arial"/>
                <w:bCs/>
                <w:color w:val="000000"/>
                <w:sz w:val="16"/>
                <w:szCs w:val="16"/>
              </w:rPr>
            </w:pPr>
            <w:r w:rsidRPr="004B6FCD">
              <w:rPr>
                <w:rFonts w:ascii="Arial" w:hAnsi="Arial" w:cs="Arial"/>
                <w:bCs/>
                <w:color w:val="000000"/>
                <w:sz w:val="16"/>
                <w:szCs w:val="16"/>
              </w:rPr>
              <w:t>4</w:t>
            </w:r>
          </w:p>
        </w:tc>
        <w:tc>
          <w:tcPr>
            <w:tcW w:w="1380" w:type="dxa"/>
            <w:shd w:val="clear" w:color="auto" w:fill="FFFFFF" w:themeFill="background1"/>
            <w:vAlign w:val="center"/>
          </w:tcPr>
          <w:p w:rsidR="005B0288" w:rsidRDefault="005B0288" w:rsidP="00977C90">
            <w:pPr>
              <w:jc w:val="center"/>
              <w:rPr>
                <w:rFonts w:ascii="Arial" w:hAnsi="Arial" w:cs="Arial"/>
                <w:color w:val="000000"/>
                <w:sz w:val="16"/>
                <w:szCs w:val="16"/>
              </w:rPr>
            </w:pPr>
            <w:r>
              <w:rPr>
                <w:rFonts w:ascii="Arial" w:hAnsi="Arial" w:cs="Arial"/>
                <w:color w:val="000000"/>
                <w:sz w:val="16"/>
                <w:szCs w:val="16"/>
              </w:rPr>
              <w:t>4</w:t>
            </w:r>
          </w:p>
        </w:tc>
        <w:tc>
          <w:tcPr>
            <w:tcW w:w="1529" w:type="dxa"/>
            <w:shd w:val="clear" w:color="auto" w:fill="FFFFFF" w:themeFill="background1"/>
            <w:vAlign w:val="center"/>
          </w:tcPr>
          <w:p w:rsidR="005B0288" w:rsidRDefault="005B0288" w:rsidP="00977C90">
            <w:pPr>
              <w:jc w:val="center"/>
              <w:rPr>
                <w:rFonts w:ascii="Arial" w:hAnsi="Arial" w:cs="Arial"/>
                <w:sz w:val="16"/>
                <w:szCs w:val="16"/>
              </w:rPr>
            </w:pPr>
            <w:r>
              <w:rPr>
                <w:rFonts w:ascii="Arial" w:hAnsi="Arial" w:cs="Arial"/>
                <w:sz w:val="16"/>
                <w:szCs w:val="16"/>
              </w:rPr>
              <w:t>0</w:t>
            </w:r>
          </w:p>
        </w:tc>
      </w:tr>
    </w:tbl>
    <w:p w:rsidR="005B0288" w:rsidRDefault="005B0288" w:rsidP="00012A4B">
      <w:pPr>
        <w:spacing w:after="0" w:line="240" w:lineRule="auto"/>
        <w:rPr>
          <w:rFonts w:ascii="Times New Roman" w:hAnsi="Times New Roman" w:cs="Times New Roman"/>
          <w:sz w:val="16"/>
          <w:szCs w:val="16"/>
          <w:highlight w:val="yellow"/>
        </w:rPr>
      </w:pPr>
    </w:p>
    <w:p w:rsidR="001024F9" w:rsidRPr="00862929" w:rsidRDefault="001024F9" w:rsidP="001024F9">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6292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LICZBA PODMIOTÓW PRZYJĘTYCH PRZEZ GUS za Sektor kreatywny</w:t>
      </w:r>
    </w:p>
    <w:p w:rsidR="001024F9" w:rsidRDefault="003A4AC9" w:rsidP="001024F9">
      <w:pPr>
        <w:jc w:val="center"/>
        <w:rPr>
          <w:rFonts w:ascii="Times New Roman" w:hAnsi="Times New Roman" w:cs="Times New Roman"/>
          <w:sz w:val="16"/>
          <w:szCs w:val="16"/>
          <w:highlight w:val="yellow"/>
        </w:rPr>
      </w:pPr>
      <w:r>
        <w:rPr>
          <w:noProof/>
          <w:lang w:eastAsia="pl-PL"/>
        </w:rPr>
        <w:drawing>
          <wp:anchor distT="0" distB="0" distL="114300" distR="114300" simplePos="0" relativeHeight="251906048" behindDoc="1" locked="0" layoutInCell="1" allowOverlap="1" wp14:anchorId="7D1EE823" wp14:editId="25BC893E">
            <wp:simplePos x="0" y="0"/>
            <wp:positionH relativeFrom="column">
              <wp:posOffset>255270</wp:posOffset>
            </wp:positionH>
            <wp:positionV relativeFrom="paragraph">
              <wp:posOffset>174625</wp:posOffset>
            </wp:positionV>
            <wp:extent cx="5756910" cy="1477645"/>
            <wp:effectExtent l="0" t="0" r="0" b="8255"/>
            <wp:wrapTight wrapText="bothSides">
              <wp:wrapPolygon edited="0">
                <wp:start x="0" y="0"/>
                <wp:lineTo x="0" y="9190"/>
                <wp:lineTo x="14510" y="9190"/>
                <wp:lineTo x="0" y="10303"/>
                <wp:lineTo x="0" y="13645"/>
                <wp:lineTo x="143" y="18657"/>
                <wp:lineTo x="572" y="21442"/>
                <wp:lineTo x="21371" y="21442"/>
                <wp:lineTo x="21514" y="19771"/>
                <wp:lineTo x="858" y="18101"/>
                <wp:lineTo x="16296" y="16708"/>
                <wp:lineTo x="16296" y="15316"/>
                <wp:lineTo x="858" y="13645"/>
                <wp:lineTo x="3860" y="13645"/>
                <wp:lineTo x="19513" y="10025"/>
                <wp:lineTo x="21300" y="9190"/>
                <wp:lineTo x="21157" y="7797"/>
                <wp:lineTo x="15367" y="4734"/>
                <wp:lineTo x="21300" y="3342"/>
                <wp:lineTo x="21157" y="1114"/>
                <wp:lineTo x="858" y="0"/>
                <wp:lineTo x="0" y="0"/>
              </wp:wrapPolygon>
            </wp:wrapTight>
            <wp:docPr id="674" name="Wykres 6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sidR="001024F9" w:rsidRPr="00862929">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przeliczeniu na 1000 mieszkańców</w:t>
      </w:r>
    </w:p>
    <w:p w:rsidR="00012A4B" w:rsidRDefault="00012A4B" w:rsidP="00012A4B">
      <w:pPr>
        <w:spacing w:after="0" w:line="240" w:lineRule="auto"/>
        <w:rPr>
          <w:rFonts w:ascii="Times New Roman" w:hAnsi="Times New Roman" w:cs="Times New Roman"/>
          <w:sz w:val="16"/>
          <w:szCs w:val="16"/>
          <w:highlight w:val="yellow"/>
        </w:rPr>
      </w:pPr>
    </w:p>
    <w:p w:rsidR="00012A4B" w:rsidRDefault="00012A4B" w:rsidP="00012A4B">
      <w:pPr>
        <w:spacing w:after="0" w:line="240" w:lineRule="auto"/>
        <w:rPr>
          <w:rFonts w:ascii="Times New Roman" w:hAnsi="Times New Roman" w:cs="Times New Roman"/>
          <w:sz w:val="16"/>
          <w:szCs w:val="16"/>
          <w:highlight w:val="yellow"/>
        </w:rPr>
      </w:pPr>
    </w:p>
    <w:p w:rsidR="00012A4B" w:rsidRDefault="00012A4B" w:rsidP="00012A4B">
      <w:pPr>
        <w:spacing w:after="0" w:line="240" w:lineRule="auto"/>
        <w:rPr>
          <w:rFonts w:ascii="Times New Roman" w:hAnsi="Times New Roman" w:cs="Times New Roman"/>
          <w:sz w:val="16"/>
          <w:szCs w:val="16"/>
          <w:highlight w:val="yellow"/>
        </w:rPr>
      </w:pPr>
    </w:p>
    <w:p w:rsidR="00012A4B" w:rsidRDefault="00012A4B" w:rsidP="00012A4B">
      <w:pPr>
        <w:spacing w:after="0" w:line="240" w:lineRule="auto"/>
        <w:rPr>
          <w:rFonts w:ascii="Times New Roman" w:hAnsi="Times New Roman" w:cs="Times New Roman"/>
          <w:sz w:val="16"/>
          <w:szCs w:val="16"/>
          <w:highlight w:val="yellow"/>
        </w:rPr>
      </w:pPr>
    </w:p>
    <w:p w:rsidR="00012A4B" w:rsidRDefault="00012A4B" w:rsidP="00012A4B">
      <w:pPr>
        <w:spacing w:after="0" w:line="240" w:lineRule="auto"/>
        <w:rPr>
          <w:rFonts w:ascii="Times New Roman" w:hAnsi="Times New Roman" w:cs="Times New Roman"/>
          <w:sz w:val="16"/>
          <w:szCs w:val="16"/>
          <w:highlight w:val="yellow"/>
        </w:rPr>
      </w:pPr>
    </w:p>
    <w:p w:rsidR="00012A4B" w:rsidRDefault="00012A4B"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012A4B" w:rsidRDefault="00012A4B" w:rsidP="00012A4B">
      <w:pPr>
        <w:spacing w:after="0" w:line="240" w:lineRule="auto"/>
        <w:rPr>
          <w:rFonts w:ascii="Times New Roman" w:hAnsi="Times New Roman" w:cs="Times New Roman"/>
          <w:sz w:val="16"/>
          <w:szCs w:val="16"/>
          <w:highlight w:val="yellow"/>
        </w:rPr>
      </w:pPr>
    </w:p>
    <w:p w:rsidR="00012A4B" w:rsidRDefault="00012A4B" w:rsidP="00012A4B">
      <w:pPr>
        <w:spacing w:after="0" w:line="240" w:lineRule="auto"/>
        <w:rPr>
          <w:rFonts w:ascii="Times New Roman" w:hAnsi="Times New Roman" w:cs="Times New Roman"/>
          <w:sz w:val="16"/>
          <w:szCs w:val="16"/>
          <w:highlight w:val="yellow"/>
        </w:rPr>
      </w:pPr>
    </w:p>
    <w:p w:rsidR="00012A4B" w:rsidRDefault="00012A4B">
      <w:pPr>
        <w:rPr>
          <w:rFonts w:ascii="Times New Roman" w:hAnsi="Times New Roman" w:cs="Times New Roman"/>
          <w:sz w:val="16"/>
          <w:szCs w:val="16"/>
          <w:highlight w:val="yellow"/>
        </w:rPr>
      </w:pPr>
      <w:r>
        <w:rPr>
          <w:rFonts w:ascii="Times New Roman" w:hAnsi="Times New Roman" w:cs="Times New Roman"/>
          <w:sz w:val="16"/>
          <w:szCs w:val="16"/>
          <w:highlight w:val="yellow"/>
        </w:rPr>
        <w:br w:type="page"/>
      </w:r>
    </w:p>
    <w:p w:rsidR="001024F9" w:rsidRPr="00077ACD" w:rsidRDefault="001024F9" w:rsidP="001024F9">
      <w:pPr>
        <w:pStyle w:val="Bezodstpw"/>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77AC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LICZBA PODMIOTÓW PRZYJĘTYCH ZA przemysł high – teCHnology</w:t>
      </w:r>
    </w:p>
    <w:p w:rsidR="001024F9" w:rsidRPr="00077ACD" w:rsidRDefault="00077ACD" w:rsidP="001024F9">
      <w:pPr>
        <w:jc w:val="center"/>
        <w:rPr>
          <w:rFonts w:ascii="Times New Roman" w:hAnsi="Times New Roman" w:cs="Times New Roman"/>
          <w:sz w:val="16"/>
          <w:szCs w:val="16"/>
        </w:rPr>
      </w:pPr>
      <w:r>
        <w:rPr>
          <w:noProof/>
          <w:lang w:eastAsia="pl-PL"/>
        </w:rPr>
        <w:drawing>
          <wp:anchor distT="0" distB="0" distL="114300" distR="114300" simplePos="0" relativeHeight="251907072" behindDoc="1" locked="0" layoutInCell="1" allowOverlap="1" wp14:anchorId="0B2D1F71" wp14:editId="5D1BEE84">
            <wp:simplePos x="0" y="0"/>
            <wp:positionH relativeFrom="column">
              <wp:posOffset>261620</wp:posOffset>
            </wp:positionH>
            <wp:positionV relativeFrom="paragraph">
              <wp:posOffset>205740</wp:posOffset>
            </wp:positionV>
            <wp:extent cx="5759450" cy="2128520"/>
            <wp:effectExtent l="0" t="0" r="0" b="5080"/>
            <wp:wrapTight wrapText="bothSides">
              <wp:wrapPolygon edited="0">
                <wp:start x="0" y="0"/>
                <wp:lineTo x="0" y="1160"/>
                <wp:lineTo x="8145" y="3286"/>
                <wp:lineTo x="0" y="3673"/>
                <wp:lineTo x="0" y="4640"/>
                <wp:lineTo x="1215" y="6379"/>
                <wp:lineTo x="0" y="7733"/>
                <wp:lineTo x="0" y="8699"/>
                <wp:lineTo x="1215" y="9473"/>
                <wp:lineTo x="0" y="11406"/>
                <wp:lineTo x="0" y="12566"/>
                <wp:lineTo x="5787" y="13146"/>
                <wp:lineTo x="143" y="14885"/>
                <wp:lineTo x="143" y="16239"/>
                <wp:lineTo x="4715" y="18752"/>
                <wp:lineTo x="143" y="18752"/>
                <wp:lineTo x="143" y="21265"/>
                <wp:lineTo x="5573" y="21458"/>
                <wp:lineTo x="21505" y="21458"/>
                <wp:lineTo x="21505" y="13146"/>
                <wp:lineTo x="15861" y="9666"/>
                <wp:lineTo x="21219" y="9279"/>
                <wp:lineTo x="21505" y="7153"/>
                <wp:lineTo x="21005" y="6379"/>
                <wp:lineTo x="21005" y="3286"/>
                <wp:lineTo x="21505" y="2126"/>
                <wp:lineTo x="21148" y="580"/>
                <wp:lineTo x="929" y="0"/>
                <wp:lineTo x="0" y="0"/>
              </wp:wrapPolygon>
            </wp:wrapTight>
            <wp:docPr id="678" name="Wykres 6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001024F9" w:rsidRPr="00077AC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przeliczeniu na 1000  mieszkańcó</w:t>
      </w:r>
      <w:r w:rsidR="003A4AC9" w:rsidRPr="00077AC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p>
    <w:p w:rsidR="00012A4B" w:rsidRDefault="00012A4B"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077ACD" w:rsidRDefault="00077ACD" w:rsidP="00012A4B">
      <w:pPr>
        <w:spacing w:after="0" w:line="240" w:lineRule="auto"/>
        <w:rPr>
          <w:rFonts w:ascii="Times New Roman" w:hAnsi="Times New Roman" w:cs="Times New Roman"/>
          <w:sz w:val="16"/>
          <w:szCs w:val="16"/>
          <w:highlight w:val="yellow"/>
        </w:rPr>
      </w:pPr>
    </w:p>
    <w:p w:rsidR="00077ACD" w:rsidRDefault="00077ACD" w:rsidP="00012A4B">
      <w:pPr>
        <w:spacing w:after="0" w:line="240" w:lineRule="auto"/>
        <w:rPr>
          <w:rFonts w:ascii="Times New Roman" w:hAnsi="Times New Roman" w:cs="Times New Roman"/>
          <w:sz w:val="16"/>
          <w:szCs w:val="16"/>
          <w:highlight w:val="yellow"/>
        </w:rPr>
      </w:pPr>
    </w:p>
    <w:p w:rsidR="00077ACD" w:rsidRDefault="00077ACD"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3A4AC9" w:rsidRDefault="003A4AC9" w:rsidP="00012A4B">
      <w:pPr>
        <w:spacing w:after="0" w:line="240" w:lineRule="auto"/>
        <w:rPr>
          <w:rFonts w:ascii="Times New Roman" w:hAnsi="Times New Roman" w:cs="Times New Roman"/>
          <w:sz w:val="16"/>
          <w:szCs w:val="16"/>
          <w:highlight w:val="yellow"/>
        </w:rPr>
      </w:pPr>
    </w:p>
    <w:p w:rsidR="00012A4B" w:rsidRDefault="00012A4B" w:rsidP="00012A4B">
      <w:pPr>
        <w:spacing w:after="0" w:line="240" w:lineRule="auto"/>
        <w:rPr>
          <w:rFonts w:ascii="Times New Roman" w:hAnsi="Times New Roman" w:cs="Times New Roman"/>
          <w:sz w:val="16"/>
          <w:szCs w:val="16"/>
          <w:highlight w:val="yellow"/>
        </w:rPr>
      </w:pPr>
    </w:p>
    <w:p w:rsidR="005B0288" w:rsidRPr="00A314A1" w:rsidRDefault="005B0288" w:rsidP="005B0288">
      <w:pPr>
        <w:pStyle w:val="Bezodstpw"/>
        <w:pBdr>
          <w:bottom w:val="single" w:sz="4" w:space="1" w:color="auto"/>
        </w:pBdr>
        <w:shd w:val="clear" w:color="auto" w:fill="FFFFFF" w:themeFill="background1"/>
        <w:jc w:val="both"/>
        <w:rPr>
          <w:rFonts w:ascii="Times New Roman" w:hAnsi="Times New Roman" w:cs="Times New Roman"/>
          <w:sz w:val="24"/>
          <w:szCs w:val="24"/>
        </w:rPr>
      </w:pPr>
      <w:r w:rsidRPr="00A314A1">
        <w:rPr>
          <w:rFonts w:ascii="Times New Roman" w:hAnsi="Times New Roman" w:cs="Times New Roman"/>
          <w:sz w:val="24"/>
          <w:szCs w:val="24"/>
        </w:rPr>
        <w:t>Wnioski:</w:t>
      </w:r>
    </w:p>
    <w:p w:rsidR="005B0288" w:rsidRPr="00A314A1" w:rsidRDefault="005B0288" w:rsidP="005B0288">
      <w:pPr>
        <w:spacing w:after="0" w:line="240" w:lineRule="auto"/>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314A1">
        <w:rPr>
          <w:rFonts w:ascii="Times New Roman" w:hAnsi="Times New Roman" w:cs="Times New Roman"/>
          <w:sz w:val="18"/>
          <w:szCs w:val="18"/>
        </w:rPr>
        <w:t>(na podst</w:t>
      </w:r>
      <w:r>
        <w:rPr>
          <w:rFonts w:ascii="Times New Roman" w:hAnsi="Times New Roman" w:cs="Times New Roman"/>
          <w:sz w:val="18"/>
          <w:szCs w:val="18"/>
        </w:rPr>
        <w:t>.</w:t>
      </w:r>
      <w:r w:rsidR="00F37BCF">
        <w:rPr>
          <w:rFonts w:ascii="Times New Roman" w:hAnsi="Times New Roman" w:cs="Times New Roman"/>
          <w:sz w:val="18"/>
          <w:szCs w:val="18"/>
        </w:rPr>
        <w:t xml:space="preserve"> </w:t>
      </w:r>
      <w:r>
        <w:rPr>
          <w:rFonts w:ascii="Times New Roman" w:hAnsi="Times New Roman" w:cs="Times New Roman"/>
          <w:sz w:val="18"/>
          <w:szCs w:val="18"/>
        </w:rPr>
        <w:t>t</w:t>
      </w:r>
      <w:r w:rsidRPr="00A314A1">
        <w:rPr>
          <w:rFonts w:ascii="Times New Roman" w:hAnsi="Times New Roman" w:cs="Times New Roman"/>
          <w:sz w:val="18"/>
          <w:szCs w:val="18"/>
        </w:rPr>
        <w:t>abel</w:t>
      </w:r>
      <w:r w:rsidR="00F37BCF">
        <w:rPr>
          <w:rFonts w:ascii="Times New Roman" w:hAnsi="Times New Roman" w:cs="Times New Roman"/>
          <w:sz w:val="18"/>
          <w:szCs w:val="18"/>
        </w:rPr>
        <w:t>i i wykresów</w:t>
      </w:r>
      <w:r w:rsidRPr="00A314A1">
        <w:rPr>
          <w:rFonts w:ascii="Times New Roman" w:hAnsi="Times New Roman" w:cs="Times New Roman"/>
          <w:sz w:val="18"/>
          <w:szCs w:val="18"/>
        </w:rPr>
        <w:t>)</w:t>
      </w:r>
    </w:p>
    <w:p w:rsidR="005B0288" w:rsidRPr="00CA6E66" w:rsidRDefault="005B0288" w:rsidP="005B0288">
      <w:pPr>
        <w:pStyle w:val="Bezodstpw"/>
        <w:spacing w:line="360" w:lineRule="auto"/>
        <w:jc w:val="both"/>
        <w:rPr>
          <w:rFonts w:ascii="Times New Roman" w:hAnsi="Times New Roman" w:cs="Times New Roman"/>
          <w:sz w:val="18"/>
          <w:szCs w:val="18"/>
          <w:highlight w:val="yellow"/>
        </w:rPr>
      </w:pPr>
    </w:p>
    <w:p w:rsidR="005B0288" w:rsidRDefault="005B0288" w:rsidP="005B0288">
      <w:pPr>
        <w:pStyle w:val="Bezodstpw"/>
        <w:numPr>
          <w:ilvl w:val="0"/>
          <w:numId w:val="30"/>
        </w:numPr>
        <w:spacing w:line="360" w:lineRule="auto"/>
        <w:jc w:val="both"/>
        <w:rPr>
          <w:rFonts w:ascii="Times New Roman" w:hAnsi="Times New Roman" w:cs="Times New Roman"/>
          <w:sz w:val="24"/>
          <w:szCs w:val="24"/>
        </w:rPr>
      </w:pPr>
      <w:r w:rsidRPr="00810685">
        <w:rPr>
          <w:rFonts w:ascii="Times New Roman" w:hAnsi="Times New Roman" w:cs="Times New Roman"/>
          <w:sz w:val="24"/>
          <w:szCs w:val="24"/>
        </w:rPr>
        <w:t xml:space="preserve">Największy przyrost liczby podmiotów gospodarczych w 2020 roku można zauważyć w budownictwie (wzrost o </w:t>
      </w:r>
      <w:r>
        <w:rPr>
          <w:rFonts w:ascii="Times New Roman" w:hAnsi="Times New Roman" w:cs="Times New Roman"/>
          <w:sz w:val="24"/>
          <w:szCs w:val="24"/>
        </w:rPr>
        <w:t>2491 podmiotów</w:t>
      </w:r>
      <w:r w:rsidRPr="00810685">
        <w:rPr>
          <w:rFonts w:ascii="Times New Roman" w:hAnsi="Times New Roman" w:cs="Times New Roman"/>
          <w:sz w:val="24"/>
          <w:szCs w:val="24"/>
        </w:rPr>
        <w:t>), działalności profesjonalnej, naukowej i technicznej (</w:t>
      </w:r>
      <w:r>
        <w:rPr>
          <w:rFonts w:ascii="Times New Roman" w:hAnsi="Times New Roman" w:cs="Times New Roman"/>
          <w:sz w:val="24"/>
          <w:szCs w:val="24"/>
        </w:rPr>
        <w:t>805</w:t>
      </w:r>
      <w:r w:rsidRPr="00810685">
        <w:rPr>
          <w:rFonts w:ascii="Times New Roman" w:hAnsi="Times New Roman" w:cs="Times New Roman"/>
          <w:sz w:val="24"/>
          <w:szCs w:val="24"/>
        </w:rPr>
        <w:t>), informacji i komunikacji (</w:t>
      </w:r>
      <w:r>
        <w:rPr>
          <w:rFonts w:ascii="Times New Roman" w:hAnsi="Times New Roman" w:cs="Times New Roman"/>
          <w:sz w:val="24"/>
          <w:szCs w:val="24"/>
        </w:rPr>
        <w:t>498</w:t>
      </w:r>
      <w:r w:rsidRPr="00810685">
        <w:rPr>
          <w:rFonts w:ascii="Times New Roman" w:hAnsi="Times New Roman" w:cs="Times New Roman"/>
          <w:sz w:val="24"/>
          <w:szCs w:val="24"/>
        </w:rPr>
        <w:t>), przetwórstwie przemysłowym (</w:t>
      </w:r>
      <w:r>
        <w:rPr>
          <w:rFonts w:ascii="Times New Roman" w:hAnsi="Times New Roman" w:cs="Times New Roman"/>
          <w:sz w:val="24"/>
          <w:szCs w:val="24"/>
        </w:rPr>
        <w:t>495</w:t>
      </w:r>
      <w:r w:rsidRPr="00810685">
        <w:rPr>
          <w:rFonts w:ascii="Times New Roman" w:hAnsi="Times New Roman" w:cs="Times New Roman"/>
          <w:sz w:val="24"/>
          <w:szCs w:val="24"/>
        </w:rPr>
        <w:t>), transporcie</w:t>
      </w:r>
      <w:r>
        <w:rPr>
          <w:rFonts w:ascii="Times New Roman" w:hAnsi="Times New Roman" w:cs="Times New Roman"/>
          <w:sz w:val="24"/>
          <w:szCs w:val="24"/>
        </w:rPr>
        <w:t xml:space="preserve"> </w:t>
      </w:r>
      <w:r w:rsidRPr="00810685">
        <w:rPr>
          <w:rFonts w:ascii="Times New Roman" w:hAnsi="Times New Roman" w:cs="Times New Roman"/>
          <w:sz w:val="24"/>
          <w:szCs w:val="24"/>
        </w:rPr>
        <w:t>i</w:t>
      </w:r>
      <w:r>
        <w:rPr>
          <w:rFonts w:ascii="Times New Roman" w:hAnsi="Times New Roman" w:cs="Times New Roman"/>
          <w:sz w:val="24"/>
          <w:szCs w:val="24"/>
        </w:rPr>
        <w:t xml:space="preserve"> </w:t>
      </w:r>
      <w:r w:rsidRPr="00810685">
        <w:rPr>
          <w:rFonts w:ascii="Times New Roman" w:hAnsi="Times New Roman" w:cs="Times New Roman"/>
          <w:sz w:val="24"/>
          <w:szCs w:val="24"/>
        </w:rPr>
        <w:t>gospodarce magazynowej (</w:t>
      </w:r>
      <w:r>
        <w:rPr>
          <w:rFonts w:ascii="Times New Roman" w:hAnsi="Times New Roman" w:cs="Times New Roman"/>
          <w:sz w:val="24"/>
          <w:szCs w:val="24"/>
        </w:rPr>
        <w:t>457</w:t>
      </w:r>
      <w:r w:rsidRPr="00810685">
        <w:rPr>
          <w:rFonts w:ascii="Times New Roman" w:hAnsi="Times New Roman" w:cs="Times New Roman"/>
          <w:sz w:val="24"/>
          <w:szCs w:val="24"/>
        </w:rPr>
        <w:t xml:space="preserve">) </w:t>
      </w:r>
      <w:r>
        <w:rPr>
          <w:rFonts w:ascii="Times New Roman" w:hAnsi="Times New Roman" w:cs="Times New Roman"/>
          <w:sz w:val="24"/>
          <w:szCs w:val="24"/>
        </w:rPr>
        <w:t xml:space="preserve">oraz w </w:t>
      </w:r>
      <w:r w:rsidRPr="00810685">
        <w:rPr>
          <w:rFonts w:ascii="Times New Roman" w:hAnsi="Times New Roman" w:cs="Times New Roman"/>
          <w:sz w:val="24"/>
          <w:szCs w:val="24"/>
        </w:rPr>
        <w:t>handlu (</w:t>
      </w:r>
      <w:r>
        <w:rPr>
          <w:rFonts w:ascii="Times New Roman" w:hAnsi="Times New Roman" w:cs="Times New Roman"/>
          <w:sz w:val="24"/>
          <w:szCs w:val="24"/>
        </w:rPr>
        <w:t>454</w:t>
      </w:r>
      <w:r w:rsidRPr="00810685">
        <w:rPr>
          <w:rFonts w:ascii="Times New Roman" w:hAnsi="Times New Roman" w:cs="Times New Roman"/>
          <w:sz w:val="24"/>
          <w:szCs w:val="24"/>
        </w:rPr>
        <w:t>)</w:t>
      </w:r>
      <w:r>
        <w:rPr>
          <w:rFonts w:ascii="Times New Roman" w:hAnsi="Times New Roman" w:cs="Times New Roman"/>
          <w:sz w:val="24"/>
          <w:szCs w:val="24"/>
        </w:rPr>
        <w:t> </w:t>
      </w:r>
      <w:r>
        <w:rPr>
          <w:rStyle w:val="Odwoanieprzypisudolnego"/>
          <w:rFonts w:ascii="Times New Roman" w:hAnsi="Times New Roman" w:cs="Times New Roman"/>
          <w:sz w:val="24"/>
          <w:szCs w:val="24"/>
        </w:rPr>
        <w:footnoteReference w:id="15"/>
      </w:r>
      <w:r w:rsidRPr="00810685">
        <w:rPr>
          <w:rFonts w:ascii="Times New Roman" w:hAnsi="Times New Roman" w:cs="Times New Roman"/>
          <w:sz w:val="24"/>
          <w:szCs w:val="24"/>
        </w:rPr>
        <w:t>.</w:t>
      </w:r>
    </w:p>
    <w:p w:rsidR="005B0288" w:rsidRPr="003A4AC9" w:rsidRDefault="00077ACD" w:rsidP="005B0288">
      <w:pPr>
        <w:pStyle w:val="Akapitzlist"/>
        <w:numPr>
          <w:ilvl w:val="0"/>
          <w:numId w:val="3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Pr="003A4AC9">
        <w:rPr>
          <w:rFonts w:ascii="Times New Roman" w:hAnsi="Times New Roman" w:cs="Times New Roman"/>
          <w:sz w:val="24"/>
          <w:szCs w:val="24"/>
        </w:rPr>
        <w:t xml:space="preserve"> województwie podkarpackim</w:t>
      </w:r>
      <w:r>
        <w:rPr>
          <w:rFonts w:ascii="Times New Roman" w:hAnsi="Times New Roman" w:cs="Times New Roman"/>
          <w:sz w:val="24"/>
          <w:szCs w:val="24"/>
        </w:rPr>
        <w:t xml:space="preserve"> (t</w:t>
      </w:r>
      <w:r w:rsidR="003A4AC9" w:rsidRPr="003A4AC9">
        <w:rPr>
          <w:rFonts w:ascii="Times New Roman" w:hAnsi="Times New Roman" w:cs="Times New Roman"/>
          <w:sz w:val="24"/>
          <w:szCs w:val="24"/>
        </w:rPr>
        <w:t>ak jak w kraju</w:t>
      </w:r>
      <w:r>
        <w:rPr>
          <w:rFonts w:ascii="Times New Roman" w:hAnsi="Times New Roman" w:cs="Times New Roman"/>
          <w:sz w:val="24"/>
          <w:szCs w:val="24"/>
        </w:rPr>
        <w:t>)</w:t>
      </w:r>
      <w:r w:rsidR="003A4AC9" w:rsidRPr="003A4AC9">
        <w:rPr>
          <w:rFonts w:ascii="Times New Roman" w:hAnsi="Times New Roman" w:cs="Times New Roman"/>
          <w:sz w:val="24"/>
          <w:szCs w:val="24"/>
        </w:rPr>
        <w:t xml:space="preserve"> w</w:t>
      </w:r>
      <w:r w:rsidR="00252257" w:rsidRPr="003A4AC9">
        <w:rPr>
          <w:rFonts w:ascii="Times New Roman" w:hAnsi="Times New Roman" w:cs="Times New Roman"/>
          <w:sz w:val="24"/>
          <w:szCs w:val="24"/>
        </w:rPr>
        <w:t xml:space="preserve">zrasta udział </w:t>
      </w:r>
      <w:r w:rsidR="00792260" w:rsidRPr="003A4AC9">
        <w:rPr>
          <w:rFonts w:ascii="Times New Roman" w:hAnsi="Times New Roman" w:cs="Times New Roman"/>
          <w:sz w:val="24"/>
          <w:szCs w:val="24"/>
        </w:rPr>
        <w:t>firm zaliczonych do</w:t>
      </w:r>
      <w:r w:rsidR="00180AD6">
        <w:rPr>
          <w:rFonts w:ascii="Times New Roman" w:hAnsi="Times New Roman" w:cs="Times New Roman"/>
          <w:sz w:val="24"/>
          <w:szCs w:val="24"/>
        </w:rPr>
        <w:t xml:space="preserve"> </w:t>
      </w:r>
      <w:r w:rsidR="00252257" w:rsidRPr="003A4AC9">
        <w:rPr>
          <w:rFonts w:ascii="Times New Roman" w:hAnsi="Times New Roman" w:cs="Times New Roman"/>
          <w:sz w:val="24"/>
          <w:szCs w:val="24"/>
        </w:rPr>
        <w:t xml:space="preserve">sektora kreatywnego </w:t>
      </w:r>
      <w:r w:rsidR="003A4AC9">
        <w:rPr>
          <w:rFonts w:ascii="Times New Roman" w:hAnsi="Times New Roman" w:cs="Times New Roman"/>
          <w:sz w:val="24"/>
          <w:szCs w:val="24"/>
        </w:rPr>
        <w:t>z 11,9 proc. w</w:t>
      </w:r>
      <w:r w:rsidR="00792260" w:rsidRPr="003A4AC9">
        <w:rPr>
          <w:rFonts w:ascii="Times New Roman" w:hAnsi="Times New Roman" w:cs="Times New Roman"/>
          <w:sz w:val="24"/>
          <w:szCs w:val="24"/>
        </w:rPr>
        <w:t xml:space="preserve"> 2011 </w:t>
      </w:r>
      <w:r w:rsidR="00B54ACA" w:rsidRPr="003A4AC9">
        <w:rPr>
          <w:rFonts w:ascii="Times New Roman" w:hAnsi="Times New Roman" w:cs="Times New Roman"/>
          <w:sz w:val="24"/>
          <w:szCs w:val="24"/>
        </w:rPr>
        <w:t>r</w:t>
      </w:r>
      <w:r w:rsidR="003A4AC9">
        <w:rPr>
          <w:rFonts w:ascii="Times New Roman" w:hAnsi="Times New Roman" w:cs="Times New Roman"/>
          <w:sz w:val="24"/>
          <w:szCs w:val="24"/>
        </w:rPr>
        <w:t xml:space="preserve">.  </w:t>
      </w:r>
      <w:r w:rsidR="00792260" w:rsidRPr="003A4AC9">
        <w:rPr>
          <w:rFonts w:ascii="Times New Roman" w:hAnsi="Times New Roman" w:cs="Times New Roman"/>
          <w:sz w:val="24"/>
          <w:szCs w:val="24"/>
        </w:rPr>
        <w:t>do</w:t>
      </w:r>
      <w:r w:rsidR="003A4AC9">
        <w:rPr>
          <w:rFonts w:ascii="Times New Roman" w:hAnsi="Times New Roman" w:cs="Times New Roman"/>
          <w:sz w:val="24"/>
          <w:szCs w:val="24"/>
        </w:rPr>
        <w:t xml:space="preserve"> </w:t>
      </w:r>
      <w:r w:rsidR="003A4AC9" w:rsidRPr="003A4AC9">
        <w:rPr>
          <w:rFonts w:ascii="Times New Roman" w:hAnsi="Times New Roman" w:cs="Times New Roman"/>
          <w:sz w:val="24"/>
          <w:szCs w:val="24"/>
        </w:rPr>
        <w:t>18</w:t>
      </w:r>
      <w:r w:rsidR="00792260" w:rsidRPr="003A4AC9">
        <w:rPr>
          <w:rFonts w:ascii="Times New Roman" w:hAnsi="Times New Roman" w:cs="Times New Roman"/>
          <w:sz w:val="24"/>
          <w:szCs w:val="24"/>
        </w:rPr>
        <w:t>,</w:t>
      </w:r>
      <w:r w:rsidR="003A4AC9" w:rsidRPr="003A4AC9">
        <w:rPr>
          <w:rFonts w:ascii="Times New Roman" w:hAnsi="Times New Roman" w:cs="Times New Roman"/>
          <w:sz w:val="24"/>
          <w:szCs w:val="24"/>
        </w:rPr>
        <w:t>0</w:t>
      </w:r>
      <w:r w:rsidR="003A4AC9">
        <w:rPr>
          <w:rFonts w:ascii="Times New Roman" w:hAnsi="Times New Roman" w:cs="Times New Roman"/>
          <w:sz w:val="24"/>
          <w:szCs w:val="24"/>
        </w:rPr>
        <w:t xml:space="preserve"> </w:t>
      </w:r>
      <w:r w:rsidR="00B54ACA" w:rsidRPr="003A4AC9">
        <w:rPr>
          <w:rFonts w:ascii="Times New Roman" w:hAnsi="Times New Roman" w:cs="Times New Roman"/>
          <w:sz w:val="24"/>
          <w:szCs w:val="24"/>
        </w:rPr>
        <w:t>proc. w 20</w:t>
      </w:r>
      <w:r w:rsidR="003A4AC9" w:rsidRPr="003A4AC9">
        <w:rPr>
          <w:rFonts w:ascii="Times New Roman" w:hAnsi="Times New Roman" w:cs="Times New Roman"/>
          <w:sz w:val="24"/>
          <w:szCs w:val="24"/>
        </w:rPr>
        <w:t>20</w:t>
      </w:r>
      <w:r w:rsidR="003A4AC9">
        <w:rPr>
          <w:rFonts w:ascii="Times New Roman" w:hAnsi="Times New Roman" w:cs="Times New Roman"/>
          <w:sz w:val="24"/>
          <w:szCs w:val="24"/>
        </w:rPr>
        <w:t xml:space="preserve"> r</w:t>
      </w:r>
      <w:r w:rsidR="00B54ACA" w:rsidRPr="003A4AC9">
        <w:rPr>
          <w:rFonts w:ascii="Times New Roman" w:hAnsi="Times New Roman" w:cs="Times New Roman"/>
          <w:sz w:val="24"/>
          <w:szCs w:val="24"/>
        </w:rPr>
        <w:t xml:space="preserve">. </w:t>
      </w:r>
      <w:r w:rsidR="00C10632" w:rsidRPr="003A4AC9">
        <w:rPr>
          <w:rFonts w:ascii="Times New Roman" w:hAnsi="Times New Roman" w:cs="Times New Roman"/>
          <w:sz w:val="24"/>
          <w:szCs w:val="24"/>
        </w:rPr>
        <w:t xml:space="preserve">Udział sektora </w:t>
      </w:r>
      <w:r w:rsidR="005B0288" w:rsidRPr="003A4AC9">
        <w:rPr>
          <w:rFonts w:ascii="Times New Roman" w:hAnsi="Times New Roman" w:cs="Times New Roman"/>
          <w:sz w:val="24"/>
          <w:szCs w:val="24"/>
        </w:rPr>
        <w:t xml:space="preserve">high-tech </w:t>
      </w:r>
      <w:r>
        <w:rPr>
          <w:rFonts w:ascii="Times New Roman" w:hAnsi="Times New Roman" w:cs="Times New Roman"/>
          <w:sz w:val="24"/>
          <w:szCs w:val="24"/>
        </w:rPr>
        <w:t xml:space="preserve">na 1000 ludności </w:t>
      </w:r>
      <w:r w:rsidR="005B0288" w:rsidRPr="003A4AC9">
        <w:rPr>
          <w:rFonts w:ascii="Times New Roman" w:hAnsi="Times New Roman" w:cs="Times New Roman"/>
          <w:sz w:val="24"/>
          <w:szCs w:val="24"/>
        </w:rPr>
        <w:t xml:space="preserve">również </w:t>
      </w:r>
      <w:r>
        <w:rPr>
          <w:rFonts w:ascii="Times New Roman" w:hAnsi="Times New Roman" w:cs="Times New Roman"/>
          <w:sz w:val="24"/>
          <w:szCs w:val="24"/>
        </w:rPr>
        <w:t>wzrasta</w:t>
      </w:r>
      <w:r w:rsidR="00B54ACA" w:rsidRPr="003A4AC9">
        <w:rPr>
          <w:rFonts w:ascii="Times New Roman" w:hAnsi="Times New Roman" w:cs="Times New Roman"/>
          <w:sz w:val="24"/>
          <w:szCs w:val="24"/>
        </w:rPr>
        <w:t>, co pozostaje dobrym prognostykiem </w:t>
      </w:r>
      <w:r>
        <w:rPr>
          <w:rFonts w:ascii="Times New Roman" w:hAnsi="Times New Roman" w:cs="Times New Roman"/>
          <w:sz w:val="24"/>
          <w:szCs w:val="24"/>
        </w:rPr>
        <w:t xml:space="preserve">na przyszłość </w:t>
      </w:r>
      <w:r w:rsidR="00C10632" w:rsidRPr="003A4AC9">
        <w:rPr>
          <w:rFonts w:ascii="Times New Roman" w:hAnsi="Times New Roman" w:cs="Times New Roman"/>
          <w:sz w:val="24"/>
          <w:szCs w:val="24"/>
        </w:rPr>
        <w:t xml:space="preserve">dla </w:t>
      </w:r>
      <w:r w:rsidR="003A4AC9">
        <w:rPr>
          <w:rFonts w:ascii="Times New Roman" w:hAnsi="Times New Roman" w:cs="Times New Roman"/>
          <w:sz w:val="24"/>
          <w:szCs w:val="24"/>
        </w:rPr>
        <w:t xml:space="preserve">regionalnej </w:t>
      </w:r>
      <w:r w:rsidR="00C10632" w:rsidRPr="003A4AC9">
        <w:rPr>
          <w:rFonts w:ascii="Times New Roman" w:hAnsi="Times New Roman" w:cs="Times New Roman"/>
          <w:sz w:val="24"/>
          <w:szCs w:val="24"/>
        </w:rPr>
        <w:t>gospodarki</w:t>
      </w:r>
      <w:r>
        <w:rPr>
          <w:rFonts w:ascii="Times New Roman" w:hAnsi="Times New Roman" w:cs="Times New Roman"/>
          <w:sz w:val="24"/>
          <w:szCs w:val="24"/>
        </w:rPr>
        <w:t> </w:t>
      </w:r>
      <w:r w:rsidR="005B0288" w:rsidRPr="00B54ACA">
        <w:rPr>
          <w:rStyle w:val="Odwoanieprzypisudolnego"/>
          <w:rFonts w:ascii="Times New Roman" w:hAnsi="Times New Roman" w:cs="Times New Roman"/>
          <w:sz w:val="24"/>
          <w:szCs w:val="24"/>
        </w:rPr>
        <w:footnoteReference w:id="16"/>
      </w:r>
      <w:r w:rsidR="005B0288" w:rsidRPr="003A4AC9">
        <w:rPr>
          <w:rFonts w:ascii="Times New Roman" w:hAnsi="Times New Roman" w:cs="Times New Roman"/>
          <w:sz w:val="24"/>
          <w:szCs w:val="24"/>
        </w:rPr>
        <w:t>.</w:t>
      </w:r>
    </w:p>
    <w:p w:rsidR="00012A4B" w:rsidRDefault="00012A4B" w:rsidP="00175AAF">
      <w:pPr>
        <w:pStyle w:val="Default"/>
        <w:rPr>
          <w:sz w:val="16"/>
          <w:szCs w:val="16"/>
          <w:highlight w:val="yellow"/>
        </w:rPr>
      </w:pPr>
    </w:p>
    <w:p w:rsidR="00124E47" w:rsidRDefault="00124E47" w:rsidP="00175AAF">
      <w:pPr>
        <w:pStyle w:val="Default"/>
        <w:rPr>
          <w:sz w:val="16"/>
          <w:szCs w:val="16"/>
          <w:highlight w:val="yellow"/>
        </w:rPr>
      </w:pPr>
    </w:p>
    <w:p w:rsidR="00077ACD" w:rsidRDefault="00077ACD" w:rsidP="00175AAF">
      <w:pPr>
        <w:pStyle w:val="Default"/>
        <w:rPr>
          <w:sz w:val="16"/>
          <w:szCs w:val="16"/>
          <w:highlight w:val="yellow"/>
        </w:rPr>
      </w:pPr>
    </w:p>
    <w:p w:rsidR="008159AE" w:rsidRPr="005303BD" w:rsidRDefault="008159AE" w:rsidP="00BA0C57">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8" w:name="_Toc81396061"/>
      <w:r w:rsidRPr="00077AC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PRACUJĄC</w:t>
      </w:r>
      <w:r w:rsidR="00BA0C57" w:rsidRPr="00077AC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Y </w:t>
      </w:r>
      <w:r w:rsidR="005303BD" w:rsidRPr="00077AC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sidR="00BA0C57" w:rsidRPr="00077AC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LUDNOŚĆ w WIEKU PRODUKCYJNYM</w:t>
      </w:r>
      <w:bookmarkEnd w:id="8"/>
    </w:p>
    <w:p w:rsidR="00012A4B" w:rsidRDefault="00012A4B" w:rsidP="00983640">
      <w:pPr>
        <w:pStyle w:val="Default"/>
        <w:rPr>
          <w:sz w:val="16"/>
          <w:szCs w:val="16"/>
          <w:highlight w:val="yellow"/>
        </w:rPr>
      </w:pPr>
    </w:p>
    <w:p w:rsidR="00077ACD" w:rsidRDefault="00077ACD" w:rsidP="00983640">
      <w:pPr>
        <w:pStyle w:val="Default"/>
        <w:rPr>
          <w:sz w:val="16"/>
          <w:szCs w:val="16"/>
          <w:highlight w:val="yellow"/>
        </w:rPr>
      </w:pPr>
    </w:p>
    <w:p w:rsidR="00124E47" w:rsidRDefault="00124E47" w:rsidP="00983640">
      <w:pPr>
        <w:pStyle w:val="Default"/>
        <w:rPr>
          <w:sz w:val="16"/>
          <w:szCs w:val="16"/>
          <w:highlight w:val="yellow"/>
        </w:rPr>
      </w:pPr>
    </w:p>
    <w:p w:rsidR="00D74343" w:rsidRPr="00177D3D" w:rsidRDefault="00D74343" w:rsidP="00D74343">
      <w:pPr>
        <w:spacing w:after="0" w:line="360" w:lineRule="auto"/>
        <w:ind w:firstLine="709"/>
        <w:jc w:val="both"/>
        <w:rPr>
          <w:rFonts w:ascii="Times New Roman" w:hAnsi="Times New Roman" w:cs="Times New Roman"/>
          <w:sz w:val="24"/>
          <w:szCs w:val="24"/>
        </w:rPr>
      </w:pPr>
      <w:r w:rsidRPr="00177D3D">
        <w:rPr>
          <w:rFonts w:ascii="Times New Roman" w:hAnsi="Times New Roman" w:cs="Times New Roman"/>
          <w:sz w:val="24"/>
          <w:szCs w:val="24"/>
        </w:rPr>
        <w:t>W 2019 roku w woj</w:t>
      </w:r>
      <w:r>
        <w:rPr>
          <w:rFonts w:ascii="Times New Roman" w:hAnsi="Times New Roman" w:cs="Times New Roman"/>
          <w:sz w:val="24"/>
          <w:szCs w:val="24"/>
        </w:rPr>
        <w:t xml:space="preserve">ewództwie </w:t>
      </w:r>
      <w:r w:rsidRPr="00177D3D">
        <w:rPr>
          <w:rFonts w:ascii="Times New Roman" w:hAnsi="Times New Roman" w:cs="Times New Roman"/>
          <w:sz w:val="24"/>
          <w:szCs w:val="24"/>
        </w:rPr>
        <w:t>podkarpackim pracowało ogółem 874 633 osoby tj. 5,5</w:t>
      </w:r>
      <w:r w:rsidR="00836EA1">
        <w:rPr>
          <w:rFonts w:ascii="Times New Roman" w:hAnsi="Times New Roman" w:cs="Times New Roman"/>
          <w:sz w:val="24"/>
          <w:szCs w:val="24"/>
        </w:rPr>
        <w:t> proc.</w:t>
      </w:r>
      <w:r w:rsidRPr="00177D3D">
        <w:rPr>
          <w:rFonts w:ascii="Times New Roman" w:hAnsi="Times New Roman" w:cs="Times New Roman"/>
          <w:sz w:val="24"/>
          <w:szCs w:val="24"/>
        </w:rPr>
        <w:t xml:space="preserve"> </w:t>
      </w:r>
      <w:r>
        <w:rPr>
          <w:rFonts w:ascii="Times New Roman" w:hAnsi="Times New Roman" w:cs="Times New Roman"/>
          <w:sz w:val="24"/>
          <w:szCs w:val="24"/>
        </w:rPr>
        <w:t xml:space="preserve">ogółu osób </w:t>
      </w:r>
      <w:r w:rsidRPr="00177D3D">
        <w:rPr>
          <w:rFonts w:ascii="Times New Roman" w:hAnsi="Times New Roman" w:cs="Times New Roman"/>
          <w:sz w:val="24"/>
          <w:szCs w:val="24"/>
        </w:rPr>
        <w:t>pracujących w Polsce (w 2018 roku</w:t>
      </w:r>
      <w:r>
        <w:rPr>
          <w:rFonts w:ascii="Times New Roman" w:hAnsi="Times New Roman" w:cs="Times New Roman"/>
          <w:sz w:val="24"/>
          <w:szCs w:val="24"/>
        </w:rPr>
        <w:t> </w:t>
      </w:r>
      <w:r w:rsidRPr="00177D3D">
        <w:rPr>
          <w:rFonts w:ascii="Times New Roman" w:hAnsi="Times New Roman" w:cs="Times New Roman"/>
          <w:sz w:val="24"/>
          <w:szCs w:val="24"/>
        </w:rPr>
        <w:t>–</w:t>
      </w:r>
      <w:r>
        <w:rPr>
          <w:rFonts w:ascii="Times New Roman" w:hAnsi="Times New Roman" w:cs="Times New Roman"/>
          <w:sz w:val="24"/>
          <w:szCs w:val="24"/>
        </w:rPr>
        <w:t> </w:t>
      </w:r>
      <w:r w:rsidRPr="00177D3D">
        <w:rPr>
          <w:rFonts w:ascii="Times New Roman" w:hAnsi="Times New Roman" w:cs="Times New Roman"/>
          <w:sz w:val="24"/>
          <w:szCs w:val="24"/>
        </w:rPr>
        <w:t>5,6</w:t>
      </w:r>
      <w:r w:rsidR="00836EA1">
        <w:rPr>
          <w:rFonts w:ascii="Times New Roman" w:hAnsi="Times New Roman" w:cs="Times New Roman"/>
          <w:sz w:val="24"/>
          <w:szCs w:val="24"/>
        </w:rPr>
        <w:t xml:space="preserve"> proc.</w:t>
      </w:r>
      <w:r w:rsidRPr="00177D3D">
        <w:rPr>
          <w:rFonts w:ascii="Times New Roman" w:hAnsi="Times New Roman" w:cs="Times New Roman"/>
          <w:sz w:val="24"/>
          <w:szCs w:val="24"/>
        </w:rPr>
        <w:t xml:space="preserve">). W ogólnej liczbie pracujących (874,6 tys.) kobiety </w:t>
      </w:r>
      <w:r w:rsidRPr="00F56A8D">
        <w:rPr>
          <w:rFonts w:ascii="Times New Roman" w:hAnsi="Times New Roman" w:cs="Times New Roman"/>
          <w:sz w:val="24"/>
          <w:szCs w:val="24"/>
        </w:rPr>
        <w:t>stanowiły 47,7</w:t>
      </w:r>
      <w:r w:rsidR="00836EA1">
        <w:rPr>
          <w:rFonts w:ascii="Times New Roman" w:hAnsi="Times New Roman" w:cs="Times New Roman"/>
          <w:sz w:val="24"/>
          <w:szCs w:val="24"/>
        </w:rPr>
        <w:t xml:space="preserve"> proc.</w:t>
      </w:r>
      <w:r w:rsidRPr="00F56A8D">
        <w:rPr>
          <w:rFonts w:ascii="Times New Roman" w:hAnsi="Times New Roman" w:cs="Times New Roman"/>
          <w:sz w:val="24"/>
          <w:szCs w:val="24"/>
        </w:rPr>
        <w:t xml:space="preserve"> (</w:t>
      </w:r>
      <w:r w:rsidRPr="00177D3D">
        <w:rPr>
          <w:rFonts w:ascii="Times New Roman" w:hAnsi="Times New Roman" w:cs="Times New Roman"/>
          <w:sz w:val="24"/>
          <w:szCs w:val="24"/>
        </w:rPr>
        <w:t>w 2018 roku – 47,9</w:t>
      </w:r>
      <w:r w:rsidR="00836EA1">
        <w:rPr>
          <w:rFonts w:ascii="Times New Roman" w:hAnsi="Times New Roman" w:cs="Times New Roman"/>
          <w:sz w:val="24"/>
          <w:szCs w:val="24"/>
        </w:rPr>
        <w:t xml:space="preserve"> proc.</w:t>
      </w:r>
      <w:r w:rsidRPr="00177D3D">
        <w:rPr>
          <w:rFonts w:ascii="Times New Roman" w:hAnsi="Times New Roman" w:cs="Times New Roman"/>
          <w:sz w:val="24"/>
          <w:szCs w:val="24"/>
        </w:rPr>
        <w:t xml:space="preserve">). Większość </w:t>
      </w:r>
      <w:r>
        <w:rPr>
          <w:rFonts w:ascii="Times New Roman" w:hAnsi="Times New Roman" w:cs="Times New Roman"/>
          <w:sz w:val="24"/>
          <w:szCs w:val="24"/>
        </w:rPr>
        <w:t xml:space="preserve">osób </w:t>
      </w:r>
      <w:r w:rsidRPr="00177D3D">
        <w:rPr>
          <w:rFonts w:ascii="Times New Roman" w:hAnsi="Times New Roman" w:cs="Times New Roman"/>
          <w:sz w:val="24"/>
          <w:szCs w:val="24"/>
        </w:rPr>
        <w:t xml:space="preserve">pracujących </w:t>
      </w:r>
      <w:r>
        <w:rPr>
          <w:rFonts w:ascii="Times New Roman" w:hAnsi="Times New Roman" w:cs="Times New Roman"/>
          <w:sz w:val="24"/>
          <w:szCs w:val="24"/>
        </w:rPr>
        <w:t xml:space="preserve">zatrudnia </w:t>
      </w:r>
      <w:r w:rsidRPr="00177D3D">
        <w:rPr>
          <w:rFonts w:ascii="Times New Roman" w:hAnsi="Times New Roman" w:cs="Times New Roman"/>
          <w:sz w:val="24"/>
          <w:szCs w:val="24"/>
        </w:rPr>
        <w:t>sektor prywatny.</w:t>
      </w:r>
    </w:p>
    <w:p w:rsidR="00012A4B" w:rsidRDefault="00012A4B" w:rsidP="00012A4B">
      <w:pPr>
        <w:spacing w:after="0" w:line="240" w:lineRule="auto"/>
        <w:rPr>
          <w:rFonts w:ascii="Times New Roman" w:hAnsi="Times New Roman" w:cs="Times New Roman"/>
          <w:sz w:val="16"/>
          <w:szCs w:val="16"/>
          <w:highlight w:val="yellow"/>
        </w:rPr>
      </w:pPr>
    </w:p>
    <w:p w:rsidR="00012A4B" w:rsidRDefault="00012A4B" w:rsidP="00012A4B">
      <w:pPr>
        <w:spacing w:after="0" w:line="240" w:lineRule="auto"/>
        <w:rPr>
          <w:rFonts w:ascii="Times New Roman" w:hAnsi="Times New Roman" w:cs="Times New Roman"/>
          <w:sz w:val="16"/>
          <w:szCs w:val="16"/>
          <w:highlight w:val="yellow"/>
        </w:rPr>
      </w:pPr>
    </w:p>
    <w:p w:rsidR="00D74343" w:rsidRPr="0060565A" w:rsidRDefault="00D74343" w:rsidP="00D74343">
      <w:pPr>
        <w:pStyle w:val="Bezodstpw"/>
        <w:jc w:val="center"/>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0565A">
        <w:rPr>
          <w:rFonts w:ascii="Times New Roman" w:hAnsi="Times New Roman" w:cs="Times New Roman"/>
          <w:b/>
          <w:caps/>
          <w:sz w:val="18"/>
          <w:szCs w:val="1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Pracujący w województwie podkarpackim</w:t>
      </w:r>
    </w:p>
    <w:tbl>
      <w:tblPr>
        <w:tblStyle w:val="Tabela-Siatka"/>
        <w:tblW w:w="8953" w:type="dxa"/>
        <w:jc w:val="center"/>
        <w:tblInd w:w="1802" w:type="dxa"/>
        <w:tblLook w:val="04A0" w:firstRow="1" w:lastRow="0" w:firstColumn="1" w:lastColumn="0" w:noHBand="0" w:noVBand="1"/>
      </w:tblPr>
      <w:tblGrid>
        <w:gridCol w:w="483"/>
        <w:gridCol w:w="992"/>
        <w:gridCol w:w="3320"/>
        <w:gridCol w:w="1543"/>
        <w:gridCol w:w="1543"/>
        <w:gridCol w:w="1072"/>
      </w:tblGrid>
      <w:tr w:rsidR="00D74343" w:rsidRPr="00CA6E66" w:rsidTr="00977C90">
        <w:trPr>
          <w:jc w:val="center"/>
        </w:trPr>
        <w:tc>
          <w:tcPr>
            <w:tcW w:w="483" w:type="dxa"/>
            <w:shd w:val="clear" w:color="auto" w:fill="E5DFEC" w:themeFill="accent4" w:themeFillTint="33"/>
            <w:vAlign w:val="center"/>
          </w:tcPr>
          <w:p w:rsidR="00D74343" w:rsidRPr="0060565A" w:rsidRDefault="00D74343" w:rsidP="00977C90">
            <w:pPr>
              <w:pStyle w:val="Default"/>
              <w:jc w:val="center"/>
              <w:rPr>
                <w:sz w:val="16"/>
                <w:szCs w:val="16"/>
              </w:rPr>
            </w:pPr>
            <w:r w:rsidRPr="0060565A">
              <w:rPr>
                <w:sz w:val="16"/>
                <w:szCs w:val="16"/>
              </w:rPr>
              <w:t>LP</w:t>
            </w:r>
          </w:p>
        </w:tc>
        <w:tc>
          <w:tcPr>
            <w:tcW w:w="992" w:type="dxa"/>
            <w:shd w:val="clear" w:color="auto" w:fill="E5DFEC" w:themeFill="accent4" w:themeFillTint="33"/>
            <w:vAlign w:val="center"/>
          </w:tcPr>
          <w:p w:rsidR="00D74343" w:rsidRPr="0060565A" w:rsidRDefault="00D74343" w:rsidP="00977C90">
            <w:pPr>
              <w:pStyle w:val="Default"/>
              <w:jc w:val="center"/>
              <w:rPr>
                <w:sz w:val="16"/>
                <w:szCs w:val="16"/>
              </w:rPr>
            </w:pPr>
            <w:r w:rsidRPr="0060565A">
              <w:rPr>
                <w:sz w:val="16"/>
                <w:szCs w:val="16"/>
              </w:rPr>
              <w:t>KOD</w:t>
            </w:r>
          </w:p>
        </w:tc>
        <w:tc>
          <w:tcPr>
            <w:tcW w:w="3320" w:type="dxa"/>
            <w:shd w:val="clear" w:color="auto" w:fill="E5DFEC" w:themeFill="accent4" w:themeFillTint="33"/>
            <w:vAlign w:val="center"/>
          </w:tcPr>
          <w:p w:rsidR="00D74343" w:rsidRPr="0060565A" w:rsidRDefault="00D74343" w:rsidP="00977C90">
            <w:pPr>
              <w:pStyle w:val="Default"/>
              <w:jc w:val="center"/>
              <w:rPr>
                <w:sz w:val="16"/>
                <w:szCs w:val="16"/>
              </w:rPr>
            </w:pPr>
            <w:r w:rsidRPr="0060565A">
              <w:rPr>
                <w:sz w:val="16"/>
                <w:szCs w:val="16"/>
              </w:rPr>
              <w:t>Sektory  PKD</w:t>
            </w:r>
          </w:p>
          <w:p w:rsidR="00D74343" w:rsidRPr="0060565A" w:rsidRDefault="00D74343" w:rsidP="00977C90">
            <w:pPr>
              <w:pStyle w:val="Default"/>
              <w:jc w:val="center"/>
              <w:rPr>
                <w:sz w:val="16"/>
                <w:szCs w:val="16"/>
              </w:rPr>
            </w:pPr>
            <w:r w:rsidRPr="0060565A">
              <w:rPr>
                <w:sz w:val="16"/>
                <w:szCs w:val="16"/>
              </w:rPr>
              <w:t>(Polskiej Klasyfikacji Działalności)</w:t>
            </w:r>
          </w:p>
        </w:tc>
        <w:tc>
          <w:tcPr>
            <w:tcW w:w="1543" w:type="dxa"/>
            <w:shd w:val="clear" w:color="auto" w:fill="E5DFEC" w:themeFill="accent4" w:themeFillTint="33"/>
            <w:vAlign w:val="center"/>
          </w:tcPr>
          <w:p w:rsidR="00D74343" w:rsidRPr="0060565A" w:rsidRDefault="00D74343" w:rsidP="00977C90">
            <w:pPr>
              <w:pStyle w:val="Default"/>
              <w:jc w:val="center"/>
              <w:rPr>
                <w:sz w:val="16"/>
                <w:szCs w:val="16"/>
              </w:rPr>
            </w:pPr>
            <w:r w:rsidRPr="0060565A">
              <w:rPr>
                <w:sz w:val="16"/>
                <w:szCs w:val="16"/>
              </w:rPr>
              <w:t>Liczba pracujących</w:t>
            </w:r>
          </w:p>
          <w:p w:rsidR="00D74343" w:rsidRPr="0060565A" w:rsidRDefault="00D74343" w:rsidP="00977C90">
            <w:pPr>
              <w:pStyle w:val="Default"/>
              <w:jc w:val="center"/>
              <w:rPr>
                <w:sz w:val="16"/>
                <w:szCs w:val="16"/>
              </w:rPr>
            </w:pPr>
            <w:r w:rsidRPr="0060565A">
              <w:rPr>
                <w:sz w:val="16"/>
                <w:szCs w:val="16"/>
              </w:rPr>
              <w:t>31 XII 201</w:t>
            </w:r>
            <w:r>
              <w:rPr>
                <w:sz w:val="16"/>
                <w:szCs w:val="16"/>
              </w:rPr>
              <w:t>8</w:t>
            </w:r>
          </w:p>
        </w:tc>
        <w:tc>
          <w:tcPr>
            <w:tcW w:w="1543" w:type="dxa"/>
            <w:shd w:val="clear" w:color="auto" w:fill="E5DFEC" w:themeFill="accent4" w:themeFillTint="33"/>
            <w:vAlign w:val="center"/>
          </w:tcPr>
          <w:p w:rsidR="00D74343" w:rsidRPr="0060565A" w:rsidRDefault="00D74343" w:rsidP="00977C90">
            <w:pPr>
              <w:pStyle w:val="Default"/>
              <w:jc w:val="center"/>
              <w:rPr>
                <w:sz w:val="16"/>
                <w:szCs w:val="16"/>
              </w:rPr>
            </w:pPr>
            <w:r w:rsidRPr="0060565A">
              <w:rPr>
                <w:sz w:val="16"/>
                <w:szCs w:val="16"/>
              </w:rPr>
              <w:t>Liczba pracujących</w:t>
            </w:r>
          </w:p>
          <w:p w:rsidR="00D74343" w:rsidRPr="0060565A" w:rsidRDefault="00D74343" w:rsidP="00977C90">
            <w:pPr>
              <w:pStyle w:val="Default"/>
              <w:jc w:val="center"/>
              <w:rPr>
                <w:sz w:val="16"/>
                <w:szCs w:val="16"/>
              </w:rPr>
            </w:pPr>
            <w:r w:rsidRPr="0060565A">
              <w:rPr>
                <w:sz w:val="16"/>
                <w:szCs w:val="16"/>
              </w:rPr>
              <w:t>31 XII 20</w:t>
            </w:r>
            <w:r>
              <w:rPr>
                <w:sz w:val="16"/>
                <w:szCs w:val="16"/>
              </w:rPr>
              <w:t>19</w:t>
            </w:r>
          </w:p>
        </w:tc>
        <w:tc>
          <w:tcPr>
            <w:tcW w:w="1072" w:type="dxa"/>
            <w:shd w:val="clear" w:color="auto" w:fill="E5DFEC" w:themeFill="accent4" w:themeFillTint="33"/>
            <w:vAlign w:val="center"/>
          </w:tcPr>
          <w:p w:rsidR="00D74343" w:rsidRDefault="00D74343" w:rsidP="00977C90">
            <w:pPr>
              <w:pStyle w:val="Default"/>
              <w:jc w:val="center"/>
              <w:rPr>
                <w:sz w:val="16"/>
                <w:szCs w:val="16"/>
              </w:rPr>
            </w:pPr>
            <w:r>
              <w:rPr>
                <w:sz w:val="16"/>
                <w:szCs w:val="16"/>
              </w:rPr>
              <w:t>wzrost/</w:t>
            </w:r>
          </w:p>
          <w:p w:rsidR="00D74343" w:rsidRPr="0060565A" w:rsidRDefault="00D74343" w:rsidP="00977C90">
            <w:pPr>
              <w:pStyle w:val="Default"/>
              <w:jc w:val="center"/>
              <w:rPr>
                <w:sz w:val="16"/>
                <w:szCs w:val="16"/>
              </w:rPr>
            </w:pPr>
            <w:r>
              <w:rPr>
                <w:sz w:val="16"/>
                <w:szCs w:val="16"/>
              </w:rPr>
              <w:t>spadek</w:t>
            </w:r>
          </w:p>
        </w:tc>
      </w:tr>
      <w:tr w:rsidR="00D74343" w:rsidRPr="00CA6E66" w:rsidTr="000F0F06">
        <w:trPr>
          <w:trHeight w:val="267"/>
          <w:jc w:val="center"/>
        </w:trPr>
        <w:tc>
          <w:tcPr>
            <w:tcW w:w="483" w:type="dxa"/>
            <w:tcBorders>
              <w:bottom w:val="single" w:sz="4" w:space="0" w:color="auto"/>
            </w:tcBorders>
            <w:shd w:val="clear" w:color="auto" w:fill="auto"/>
            <w:vAlign w:val="center"/>
          </w:tcPr>
          <w:p w:rsidR="00D74343" w:rsidRPr="002C702A" w:rsidRDefault="00D74343" w:rsidP="00977C90">
            <w:pPr>
              <w:pStyle w:val="Default"/>
              <w:jc w:val="center"/>
              <w:rPr>
                <w:sz w:val="16"/>
                <w:szCs w:val="16"/>
              </w:rPr>
            </w:pPr>
            <w:r w:rsidRPr="002C702A">
              <w:rPr>
                <w:sz w:val="16"/>
                <w:szCs w:val="16"/>
              </w:rPr>
              <w:t>1</w:t>
            </w:r>
          </w:p>
        </w:tc>
        <w:tc>
          <w:tcPr>
            <w:tcW w:w="992" w:type="dxa"/>
            <w:tcBorders>
              <w:bottom w:val="single" w:sz="4" w:space="0" w:color="auto"/>
            </w:tcBorders>
            <w:shd w:val="clear" w:color="auto" w:fill="auto"/>
            <w:vAlign w:val="center"/>
          </w:tcPr>
          <w:p w:rsidR="00D74343" w:rsidRPr="002C702A" w:rsidRDefault="00D74343" w:rsidP="00977C90">
            <w:pPr>
              <w:pStyle w:val="Default"/>
              <w:jc w:val="center"/>
              <w:rPr>
                <w:sz w:val="16"/>
                <w:szCs w:val="16"/>
              </w:rPr>
            </w:pPr>
            <w:r w:rsidRPr="002C702A">
              <w:rPr>
                <w:sz w:val="16"/>
                <w:szCs w:val="16"/>
              </w:rPr>
              <w:t>OGÓŁEM</w:t>
            </w:r>
          </w:p>
        </w:tc>
        <w:tc>
          <w:tcPr>
            <w:tcW w:w="3320" w:type="dxa"/>
            <w:tcBorders>
              <w:bottom w:val="single" w:sz="4" w:space="0" w:color="auto"/>
            </w:tcBorders>
            <w:shd w:val="clear" w:color="auto" w:fill="auto"/>
            <w:vAlign w:val="center"/>
          </w:tcPr>
          <w:p w:rsidR="00D74343" w:rsidRPr="002C702A" w:rsidRDefault="00D74343" w:rsidP="00977C90">
            <w:pPr>
              <w:pStyle w:val="Default"/>
              <w:jc w:val="center"/>
              <w:rPr>
                <w:sz w:val="16"/>
                <w:szCs w:val="16"/>
              </w:rPr>
            </w:pPr>
            <w:r w:rsidRPr="002C702A">
              <w:rPr>
                <w:sz w:val="16"/>
                <w:szCs w:val="16"/>
              </w:rPr>
              <w:t>Łącznie osób pracujących w województwie </w:t>
            </w:r>
            <w:r w:rsidRPr="002C702A">
              <w:rPr>
                <w:rStyle w:val="Odwoanieprzypisudolnego"/>
                <w:sz w:val="16"/>
                <w:szCs w:val="16"/>
              </w:rPr>
              <w:footnoteReference w:id="17"/>
            </w:r>
          </w:p>
        </w:tc>
        <w:tc>
          <w:tcPr>
            <w:tcW w:w="1543" w:type="dxa"/>
            <w:tcBorders>
              <w:bottom w:val="single" w:sz="4" w:space="0" w:color="auto"/>
            </w:tcBorders>
            <w:shd w:val="clear" w:color="auto" w:fill="auto"/>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866 809</w:t>
            </w:r>
          </w:p>
        </w:tc>
        <w:tc>
          <w:tcPr>
            <w:tcW w:w="1543" w:type="dxa"/>
            <w:tcBorders>
              <w:bottom w:val="single" w:sz="4" w:space="0" w:color="auto"/>
            </w:tcBorders>
            <w:shd w:val="clear" w:color="auto" w:fill="auto"/>
            <w:vAlign w:val="center"/>
          </w:tcPr>
          <w:p w:rsidR="00D74343" w:rsidRPr="002C702A" w:rsidRDefault="00D74343" w:rsidP="00977C90">
            <w:pPr>
              <w:jc w:val="center"/>
              <w:rPr>
                <w:rFonts w:ascii="Times New Roman" w:hAnsi="Times New Roman" w:cs="Times New Roman"/>
                <w:sz w:val="16"/>
                <w:szCs w:val="16"/>
              </w:rPr>
            </w:pPr>
            <w:r>
              <w:rPr>
                <w:rFonts w:ascii="Times New Roman" w:hAnsi="Times New Roman" w:cs="Times New Roman"/>
                <w:sz w:val="16"/>
                <w:szCs w:val="16"/>
              </w:rPr>
              <w:t>874 633</w:t>
            </w:r>
          </w:p>
        </w:tc>
        <w:tc>
          <w:tcPr>
            <w:tcW w:w="1072" w:type="dxa"/>
            <w:tcBorders>
              <w:bottom w:val="single" w:sz="4" w:space="0" w:color="auto"/>
            </w:tcBorders>
            <w:shd w:val="clear" w:color="auto" w:fill="auto"/>
            <w:vAlign w:val="center"/>
          </w:tcPr>
          <w:p w:rsidR="00D74343" w:rsidRPr="00AC497A" w:rsidRDefault="00D74343" w:rsidP="00977C90">
            <w:pPr>
              <w:jc w:val="center"/>
              <w:rPr>
                <w:rFonts w:ascii="Times New Roman" w:hAnsi="Times New Roman" w:cs="Times New Roman"/>
                <w:bCs/>
                <w:sz w:val="16"/>
                <w:szCs w:val="16"/>
              </w:rPr>
            </w:pPr>
            <w:r w:rsidRPr="00AC497A">
              <w:rPr>
                <w:rFonts w:ascii="Times New Roman" w:hAnsi="Times New Roman" w:cs="Times New Roman"/>
                <w:bCs/>
                <w:sz w:val="16"/>
                <w:szCs w:val="16"/>
              </w:rPr>
              <w:t>7 824</w:t>
            </w:r>
          </w:p>
        </w:tc>
      </w:tr>
      <w:tr w:rsidR="00D74343" w:rsidRPr="00CA6E66" w:rsidTr="000F0F06">
        <w:trPr>
          <w:trHeight w:val="130"/>
          <w:jc w:val="center"/>
        </w:trPr>
        <w:tc>
          <w:tcPr>
            <w:tcW w:w="483" w:type="dxa"/>
            <w:shd w:val="clear" w:color="auto" w:fill="auto"/>
            <w:vAlign w:val="center"/>
          </w:tcPr>
          <w:p w:rsidR="00D74343" w:rsidRPr="002C702A" w:rsidRDefault="00D74343" w:rsidP="00977C90">
            <w:pPr>
              <w:pStyle w:val="Default"/>
              <w:jc w:val="center"/>
              <w:rPr>
                <w:b/>
                <w:sz w:val="16"/>
                <w:szCs w:val="16"/>
              </w:rPr>
            </w:pPr>
            <w:r w:rsidRPr="002C702A">
              <w:rPr>
                <w:b/>
                <w:sz w:val="16"/>
                <w:szCs w:val="16"/>
              </w:rPr>
              <w:t>2</w:t>
            </w:r>
          </w:p>
        </w:tc>
        <w:tc>
          <w:tcPr>
            <w:tcW w:w="992" w:type="dxa"/>
            <w:shd w:val="clear" w:color="auto" w:fill="auto"/>
            <w:vAlign w:val="center"/>
          </w:tcPr>
          <w:p w:rsidR="00D74343" w:rsidRPr="002C702A" w:rsidRDefault="00D74343" w:rsidP="00977C90">
            <w:pPr>
              <w:pStyle w:val="Bezodstpw"/>
              <w:shd w:val="clear" w:color="auto" w:fill="FFFFFF" w:themeFill="background1"/>
              <w:jc w:val="center"/>
              <w:rPr>
                <w:rFonts w:ascii="Times New Roman" w:hAnsi="Times New Roman" w:cs="Times New Roman"/>
                <w:b/>
                <w:color w:val="000000" w:themeColor="text1"/>
                <w:sz w:val="16"/>
                <w:szCs w:val="16"/>
              </w:rPr>
            </w:pPr>
            <w:r w:rsidRPr="002C702A">
              <w:rPr>
                <w:rFonts w:ascii="Times New Roman" w:hAnsi="Times New Roman" w:cs="Times New Roman"/>
                <w:b/>
                <w:color w:val="000000" w:themeColor="text1"/>
                <w:sz w:val="16"/>
                <w:szCs w:val="16"/>
              </w:rPr>
              <w:t>A</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b/>
                <w:color w:val="000000" w:themeColor="text1"/>
                <w:sz w:val="16"/>
                <w:szCs w:val="16"/>
              </w:rPr>
            </w:pPr>
            <w:r w:rsidRPr="002C702A">
              <w:rPr>
                <w:rFonts w:ascii="Times New Roman" w:hAnsi="Times New Roman" w:cs="Times New Roman"/>
                <w:b/>
                <w:color w:val="000000" w:themeColor="text1"/>
                <w:sz w:val="16"/>
                <w:szCs w:val="16"/>
              </w:rPr>
              <w:t>Rolnictwo, leśnictwo, łowiectwo i rybactwo</w:t>
            </w:r>
          </w:p>
        </w:tc>
        <w:tc>
          <w:tcPr>
            <w:tcW w:w="1543" w:type="dxa"/>
            <w:vAlign w:val="center"/>
          </w:tcPr>
          <w:p w:rsidR="00D74343" w:rsidRPr="002C702A" w:rsidRDefault="00D74343" w:rsidP="00977C90">
            <w:pPr>
              <w:jc w:val="center"/>
              <w:rPr>
                <w:rFonts w:ascii="Times New Roman" w:hAnsi="Times New Roman" w:cs="Times New Roman"/>
                <w:b/>
                <w:sz w:val="16"/>
                <w:szCs w:val="16"/>
              </w:rPr>
            </w:pPr>
            <w:r w:rsidRPr="002C702A">
              <w:rPr>
                <w:rFonts w:ascii="Times New Roman" w:hAnsi="Times New Roman" w:cs="Times New Roman"/>
                <w:b/>
                <w:sz w:val="16"/>
                <w:szCs w:val="16"/>
              </w:rPr>
              <w:t>259 851</w:t>
            </w:r>
          </w:p>
        </w:tc>
        <w:tc>
          <w:tcPr>
            <w:tcW w:w="1543" w:type="dxa"/>
            <w:shd w:val="clear" w:color="auto" w:fill="auto"/>
            <w:vAlign w:val="center"/>
          </w:tcPr>
          <w:p w:rsidR="00D74343" w:rsidRPr="002C702A" w:rsidRDefault="00D74343" w:rsidP="00977C90">
            <w:pPr>
              <w:jc w:val="center"/>
              <w:rPr>
                <w:rFonts w:ascii="Times New Roman" w:hAnsi="Times New Roman" w:cs="Times New Roman"/>
                <w:b/>
                <w:sz w:val="16"/>
                <w:szCs w:val="16"/>
              </w:rPr>
            </w:pPr>
            <w:r>
              <w:rPr>
                <w:rFonts w:ascii="Times New Roman" w:hAnsi="Times New Roman" w:cs="Times New Roman"/>
                <w:b/>
                <w:sz w:val="16"/>
                <w:szCs w:val="16"/>
              </w:rPr>
              <w:t xml:space="preserve">259 772 </w:t>
            </w:r>
          </w:p>
        </w:tc>
        <w:tc>
          <w:tcPr>
            <w:tcW w:w="1072" w:type="dxa"/>
            <w:shd w:val="clear" w:color="auto" w:fill="auto"/>
            <w:vAlign w:val="center"/>
          </w:tcPr>
          <w:p w:rsidR="00D74343" w:rsidRPr="00AC497A" w:rsidRDefault="00D74343" w:rsidP="00977C90">
            <w:pPr>
              <w:jc w:val="center"/>
              <w:rPr>
                <w:rFonts w:ascii="Times New Roman" w:hAnsi="Times New Roman" w:cs="Times New Roman"/>
                <w:b/>
                <w:bCs/>
                <w:sz w:val="16"/>
                <w:szCs w:val="16"/>
              </w:rPr>
            </w:pPr>
            <w:r w:rsidRPr="00AC497A">
              <w:rPr>
                <w:rFonts w:ascii="Times New Roman" w:hAnsi="Times New Roman" w:cs="Times New Roman"/>
                <w:b/>
                <w:bCs/>
                <w:sz w:val="16"/>
                <w:szCs w:val="16"/>
              </w:rPr>
              <w:t>-79</w:t>
            </w:r>
          </w:p>
        </w:tc>
      </w:tr>
      <w:tr w:rsidR="00D74343" w:rsidRPr="00CA6E66" w:rsidTr="000F0F06">
        <w:trPr>
          <w:trHeight w:val="217"/>
          <w:jc w:val="center"/>
        </w:trPr>
        <w:tc>
          <w:tcPr>
            <w:tcW w:w="483" w:type="dxa"/>
            <w:shd w:val="clear" w:color="auto" w:fill="auto"/>
            <w:vAlign w:val="center"/>
          </w:tcPr>
          <w:p w:rsidR="00D74343" w:rsidRPr="002C702A" w:rsidRDefault="00D74343" w:rsidP="00977C90">
            <w:pPr>
              <w:pStyle w:val="Default"/>
              <w:jc w:val="center"/>
              <w:rPr>
                <w:sz w:val="16"/>
                <w:szCs w:val="16"/>
              </w:rPr>
            </w:pPr>
            <w:r w:rsidRPr="002C702A">
              <w:rPr>
                <w:sz w:val="16"/>
                <w:szCs w:val="16"/>
              </w:rPr>
              <w:t>3</w:t>
            </w:r>
          </w:p>
        </w:tc>
        <w:tc>
          <w:tcPr>
            <w:tcW w:w="992" w:type="dxa"/>
            <w:shd w:val="clear" w:color="auto" w:fill="auto"/>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B</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Górnictwo i wydobywanie</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3 152</w:t>
            </w:r>
          </w:p>
        </w:tc>
        <w:tc>
          <w:tcPr>
            <w:tcW w:w="1543" w:type="dxa"/>
            <w:shd w:val="clear" w:color="auto" w:fill="auto"/>
            <w:vAlign w:val="center"/>
          </w:tcPr>
          <w:p w:rsidR="00D74343" w:rsidRPr="002C702A" w:rsidRDefault="00D74343" w:rsidP="00977C90">
            <w:pPr>
              <w:jc w:val="center"/>
              <w:rPr>
                <w:rFonts w:ascii="Times New Roman" w:hAnsi="Times New Roman" w:cs="Times New Roman"/>
                <w:sz w:val="16"/>
                <w:szCs w:val="16"/>
              </w:rPr>
            </w:pPr>
            <w:r>
              <w:rPr>
                <w:rFonts w:ascii="Times New Roman" w:hAnsi="Times New Roman" w:cs="Times New Roman"/>
                <w:sz w:val="16"/>
                <w:szCs w:val="16"/>
              </w:rPr>
              <w:t>3 296</w:t>
            </w:r>
          </w:p>
        </w:tc>
        <w:tc>
          <w:tcPr>
            <w:tcW w:w="1072" w:type="dxa"/>
            <w:shd w:val="clear" w:color="auto" w:fill="auto"/>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144</w:t>
            </w:r>
          </w:p>
        </w:tc>
      </w:tr>
      <w:tr w:rsidR="00D74343" w:rsidRPr="00CA6E66" w:rsidTr="000F0F06">
        <w:trPr>
          <w:trHeight w:val="135"/>
          <w:jc w:val="center"/>
        </w:trPr>
        <w:tc>
          <w:tcPr>
            <w:tcW w:w="483" w:type="dxa"/>
            <w:shd w:val="clear" w:color="auto" w:fill="auto"/>
            <w:vAlign w:val="center"/>
          </w:tcPr>
          <w:p w:rsidR="00D74343" w:rsidRPr="002C702A" w:rsidRDefault="00D74343" w:rsidP="00977C90">
            <w:pPr>
              <w:jc w:val="center"/>
              <w:rPr>
                <w:rFonts w:ascii="Times New Roman" w:hAnsi="Times New Roman" w:cs="Times New Roman"/>
                <w:b/>
                <w:color w:val="000000"/>
                <w:sz w:val="16"/>
                <w:szCs w:val="16"/>
              </w:rPr>
            </w:pPr>
            <w:r w:rsidRPr="002C702A">
              <w:rPr>
                <w:rFonts w:ascii="Times New Roman" w:hAnsi="Times New Roman" w:cs="Times New Roman"/>
                <w:b/>
                <w:color w:val="000000"/>
                <w:sz w:val="16"/>
                <w:szCs w:val="16"/>
              </w:rPr>
              <w:t>4</w:t>
            </w:r>
          </w:p>
        </w:tc>
        <w:tc>
          <w:tcPr>
            <w:tcW w:w="992" w:type="dxa"/>
            <w:shd w:val="clear" w:color="auto" w:fill="auto"/>
            <w:vAlign w:val="center"/>
          </w:tcPr>
          <w:p w:rsidR="00D74343" w:rsidRPr="002C702A" w:rsidRDefault="00D74343" w:rsidP="00977C90">
            <w:pPr>
              <w:pStyle w:val="Bezodstpw"/>
              <w:shd w:val="clear" w:color="auto" w:fill="FFFFFF" w:themeFill="background1"/>
              <w:jc w:val="center"/>
              <w:rPr>
                <w:rFonts w:ascii="Times New Roman" w:hAnsi="Times New Roman" w:cs="Times New Roman"/>
                <w:b/>
                <w:color w:val="000000" w:themeColor="text1"/>
                <w:sz w:val="16"/>
                <w:szCs w:val="16"/>
              </w:rPr>
            </w:pPr>
            <w:r w:rsidRPr="002C702A">
              <w:rPr>
                <w:rFonts w:ascii="Times New Roman" w:hAnsi="Times New Roman" w:cs="Times New Roman"/>
                <w:b/>
                <w:color w:val="000000" w:themeColor="text1"/>
                <w:sz w:val="16"/>
                <w:szCs w:val="16"/>
              </w:rPr>
              <w:t>C</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b/>
                <w:color w:val="000000" w:themeColor="text1"/>
                <w:sz w:val="16"/>
                <w:szCs w:val="16"/>
              </w:rPr>
            </w:pPr>
            <w:r w:rsidRPr="002C702A">
              <w:rPr>
                <w:rFonts w:ascii="Times New Roman" w:hAnsi="Times New Roman" w:cs="Times New Roman"/>
                <w:b/>
                <w:color w:val="000000" w:themeColor="text1"/>
                <w:sz w:val="16"/>
                <w:szCs w:val="16"/>
              </w:rPr>
              <w:t>Przemysł (w tym przetwórstwo przemysłowe)</w:t>
            </w:r>
          </w:p>
        </w:tc>
        <w:tc>
          <w:tcPr>
            <w:tcW w:w="1543" w:type="dxa"/>
            <w:vAlign w:val="center"/>
          </w:tcPr>
          <w:p w:rsidR="00D74343" w:rsidRPr="002C702A" w:rsidRDefault="00D74343" w:rsidP="00977C90">
            <w:pPr>
              <w:jc w:val="center"/>
              <w:rPr>
                <w:rFonts w:ascii="Times New Roman" w:hAnsi="Times New Roman" w:cs="Times New Roman"/>
                <w:b/>
                <w:sz w:val="16"/>
                <w:szCs w:val="16"/>
              </w:rPr>
            </w:pPr>
            <w:r w:rsidRPr="002C702A">
              <w:rPr>
                <w:rFonts w:ascii="Times New Roman" w:hAnsi="Times New Roman" w:cs="Times New Roman"/>
                <w:b/>
                <w:sz w:val="16"/>
                <w:szCs w:val="16"/>
              </w:rPr>
              <w:t>163 250</w:t>
            </w:r>
          </w:p>
        </w:tc>
        <w:tc>
          <w:tcPr>
            <w:tcW w:w="1543" w:type="dxa"/>
            <w:shd w:val="clear" w:color="auto" w:fill="auto"/>
            <w:vAlign w:val="center"/>
          </w:tcPr>
          <w:p w:rsidR="00D74343" w:rsidRPr="002C702A" w:rsidRDefault="00D74343" w:rsidP="00977C90">
            <w:pPr>
              <w:jc w:val="center"/>
              <w:rPr>
                <w:rFonts w:ascii="Times New Roman" w:hAnsi="Times New Roman" w:cs="Times New Roman"/>
                <w:b/>
                <w:sz w:val="16"/>
                <w:szCs w:val="16"/>
              </w:rPr>
            </w:pPr>
            <w:r>
              <w:rPr>
                <w:rFonts w:ascii="Times New Roman" w:hAnsi="Times New Roman" w:cs="Times New Roman"/>
                <w:b/>
                <w:sz w:val="16"/>
                <w:szCs w:val="16"/>
              </w:rPr>
              <w:t>164 740</w:t>
            </w:r>
          </w:p>
        </w:tc>
        <w:tc>
          <w:tcPr>
            <w:tcW w:w="1072" w:type="dxa"/>
            <w:shd w:val="clear" w:color="auto" w:fill="auto"/>
            <w:vAlign w:val="center"/>
          </w:tcPr>
          <w:p w:rsidR="00D74343" w:rsidRPr="00AC497A" w:rsidRDefault="00D74343" w:rsidP="00977C90">
            <w:pPr>
              <w:jc w:val="center"/>
              <w:rPr>
                <w:rFonts w:ascii="Times New Roman" w:hAnsi="Times New Roman" w:cs="Times New Roman"/>
                <w:b/>
                <w:bCs/>
                <w:sz w:val="16"/>
                <w:szCs w:val="16"/>
              </w:rPr>
            </w:pPr>
            <w:r w:rsidRPr="00AC497A">
              <w:rPr>
                <w:rFonts w:ascii="Times New Roman" w:hAnsi="Times New Roman" w:cs="Times New Roman"/>
                <w:b/>
                <w:bCs/>
                <w:sz w:val="16"/>
                <w:szCs w:val="16"/>
              </w:rPr>
              <w:t>1</w:t>
            </w:r>
            <w:r>
              <w:rPr>
                <w:rFonts w:ascii="Times New Roman" w:hAnsi="Times New Roman" w:cs="Times New Roman"/>
                <w:b/>
                <w:bCs/>
                <w:sz w:val="16"/>
                <w:szCs w:val="16"/>
              </w:rPr>
              <w:t xml:space="preserve"> </w:t>
            </w:r>
            <w:r w:rsidRPr="00AC497A">
              <w:rPr>
                <w:rFonts w:ascii="Times New Roman" w:hAnsi="Times New Roman" w:cs="Times New Roman"/>
                <w:b/>
                <w:bCs/>
                <w:sz w:val="16"/>
                <w:szCs w:val="16"/>
              </w:rPr>
              <w:t>490</w:t>
            </w:r>
          </w:p>
        </w:tc>
      </w:tr>
      <w:tr w:rsidR="00D74343" w:rsidRPr="00CA6E66" w:rsidTr="000F0F06">
        <w:trPr>
          <w:trHeight w:val="224"/>
          <w:jc w:val="center"/>
        </w:trPr>
        <w:tc>
          <w:tcPr>
            <w:tcW w:w="483" w:type="dxa"/>
            <w:shd w:val="clear" w:color="auto" w:fill="auto"/>
            <w:vAlign w:val="center"/>
          </w:tcPr>
          <w:p w:rsidR="00D74343" w:rsidRPr="002C702A" w:rsidRDefault="00D74343" w:rsidP="00977C90">
            <w:pPr>
              <w:jc w:val="center"/>
              <w:rPr>
                <w:rFonts w:ascii="Times New Roman" w:hAnsi="Times New Roman" w:cs="Times New Roman"/>
                <w:bCs/>
                <w:color w:val="000000"/>
                <w:sz w:val="16"/>
                <w:szCs w:val="16"/>
              </w:rPr>
            </w:pPr>
            <w:r w:rsidRPr="002C702A">
              <w:rPr>
                <w:rFonts w:ascii="Times New Roman" w:hAnsi="Times New Roman" w:cs="Times New Roman"/>
                <w:bCs/>
                <w:color w:val="000000"/>
                <w:sz w:val="16"/>
                <w:szCs w:val="16"/>
              </w:rPr>
              <w:t>5</w:t>
            </w:r>
          </w:p>
        </w:tc>
        <w:tc>
          <w:tcPr>
            <w:tcW w:w="992" w:type="dxa"/>
            <w:shd w:val="clear" w:color="auto" w:fill="auto"/>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D</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Wytwarzanie i zaopatrywanie w energię elektryczną, gaz, parę wodną, gorącą wodę i powietrze do układów klimatyzacyjnych</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6 131</w:t>
            </w:r>
          </w:p>
        </w:tc>
        <w:tc>
          <w:tcPr>
            <w:tcW w:w="1543" w:type="dxa"/>
            <w:shd w:val="clear" w:color="auto" w:fill="auto"/>
            <w:vAlign w:val="center"/>
          </w:tcPr>
          <w:p w:rsidR="00D74343" w:rsidRPr="002C702A" w:rsidRDefault="00D74343" w:rsidP="00977C90">
            <w:pPr>
              <w:jc w:val="center"/>
              <w:rPr>
                <w:rFonts w:ascii="Times New Roman" w:hAnsi="Times New Roman" w:cs="Times New Roman"/>
                <w:sz w:val="16"/>
                <w:szCs w:val="16"/>
              </w:rPr>
            </w:pPr>
            <w:r>
              <w:rPr>
                <w:rFonts w:ascii="Times New Roman" w:hAnsi="Times New Roman" w:cs="Times New Roman"/>
                <w:sz w:val="16"/>
                <w:szCs w:val="16"/>
              </w:rPr>
              <w:t>6 193</w:t>
            </w:r>
          </w:p>
        </w:tc>
        <w:tc>
          <w:tcPr>
            <w:tcW w:w="1072" w:type="dxa"/>
            <w:shd w:val="clear" w:color="auto" w:fill="auto"/>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62</w:t>
            </w:r>
          </w:p>
        </w:tc>
      </w:tr>
      <w:tr w:rsidR="00D74343" w:rsidRPr="00CA6E66" w:rsidTr="00977C90">
        <w:trPr>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6</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E</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Dostawa wody; gospodarowanie ściekami i odpadami oraz działalność związana z rekultywacją</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7 536</w:t>
            </w:r>
          </w:p>
        </w:tc>
        <w:tc>
          <w:tcPr>
            <w:tcW w:w="1543" w:type="dxa"/>
            <w:shd w:val="clear" w:color="auto" w:fill="auto"/>
            <w:vAlign w:val="center"/>
          </w:tcPr>
          <w:p w:rsidR="00D74343" w:rsidRPr="002C702A" w:rsidRDefault="00D74343" w:rsidP="00977C90">
            <w:pPr>
              <w:jc w:val="center"/>
              <w:rPr>
                <w:rFonts w:ascii="Times New Roman" w:hAnsi="Times New Roman" w:cs="Times New Roman"/>
                <w:sz w:val="16"/>
                <w:szCs w:val="16"/>
              </w:rPr>
            </w:pPr>
            <w:r>
              <w:rPr>
                <w:rFonts w:ascii="Times New Roman" w:hAnsi="Times New Roman" w:cs="Times New Roman"/>
                <w:sz w:val="16"/>
                <w:szCs w:val="16"/>
              </w:rPr>
              <w:t>7 844</w:t>
            </w:r>
          </w:p>
        </w:tc>
        <w:tc>
          <w:tcPr>
            <w:tcW w:w="1072" w:type="dxa"/>
            <w:shd w:val="clear" w:color="auto" w:fill="auto"/>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308</w:t>
            </w:r>
          </w:p>
        </w:tc>
      </w:tr>
      <w:tr w:rsidR="00D74343" w:rsidRPr="00CA6E66" w:rsidTr="000F0F06">
        <w:trPr>
          <w:trHeight w:val="226"/>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7</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F</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Budownictwo</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43 462</w:t>
            </w:r>
          </w:p>
        </w:tc>
        <w:tc>
          <w:tcPr>
            <w:tcW w:w="1543" w:type="dxa"/>
            <w:shd w:val="clear" w:color="auto" w:fill="FFFFFF" w:themeFill="background1"/>
            <w:vAlign w:val="center"/>
          </w:tcPr>
          <w:p w:rsidR="00D74343" w:rsidRPr="002C702A" w:rsidRDefault="00D74343" w:rsidP="00977C90">
            <w:pPr>
              <w:jc w:val="center"/>
              <w:rPr>
                <w:rFonts w:ascii="Times New Roman" w:hAnsi="Times New Roman" w:cs="Times New Roman"/>
                <w:sz w:val="16"/>
                <w:szCs w:val="16"/>
              </w:rPr>
            </w:pPr>
            <w:r>
              <w:rPr>
                <w:rFonts w:ascii="Times New Roman" w:hAnsi="Times New Roman" w:cs="Times New Roman"/>
                <w:sz w:val="16"/>
                <w:szCs w:val="16"/>
              </w:rPr>
              <w:t>45 715</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2</w:t>
            </w:r>
            <w:r>
              <w:rPr>
                <w:rFonts w:ascii="Times New Roman" w:hAnsi="Times New Roman" w:cs="Times New Roman"/>
                <w:sz w:val="16"/>
                <w:szCs w:val="16"/>
              </w:rPr>
              <w:t xml:space="preserve"> </w:t>
            </w:r>
            <w:r w:rsidRPr="00AC497A">
              <w:rPr>
                <w:rFonts w:ascii="Times New Roman" w:hAnsi="Times New Roman" w:cs="Times New Roman"/>
                <w:sz w:val="16"/>
                <w:szCs w:val="16"/>
              </w:rPr>
              <w:t>253</w:t>
            </w:r>
          </w:p>
        </w:tc>
      </w:tr>
      <w:tr w:rsidR="00D74343" w:rsidRPr="00CA6E66" w:rsidTr="00977C90">
        <w:trPr>
          <w:jc w:val="center"/>
        </w:trPr>
        <w:tc>
          <w:tcPr>
            <w:tcW w:w="483" w:type="dxa"/>
            <w:vAlign w:val="center"/>
          </w:tcPr>
          <w:p w:rsidR="00D74343" w:rsidRPr="002C702A" w:rsidRDefault="00D74343" w:rsidP="00977C90">
            <w:pPr>
              <w:jc w:val="center"/>
              <w:rPr>
                <w:rFonts w:ascii="Times New Roman" w:hAnsi="Times New Roman" w:cs="Times New Roman"/>
                <w:b/>
                <w:color w:val="000000"/>
                <w:sz w:val="16"/>
                <w:szCs w:val="16"/>
              </w:rPr>
            </w:pPr>
            <w:r w:rsidRPr="002C702A">
              <w:rPr>
                <w:rFonts w:ascii="Times New Roman" w:hAnsi="Times New Roman" w:cs="Times New Roman"/>
                <w:b/>
                <w:color w:val="000000"/>
                <w:sz w:val="16"/>
                <w:szCs w:val="16"/>
              </w:rPr>
              <w:t>8</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b/>
                <w:color w:val="000000" w:themeColor="text1"/>
                <w:sz w:val="16"/>
                <w:szCs w:val="16"/>
              </w:rPr>
            </w:pPr>
            <w:r w:rsidRPr="002C702A">
              <w:rPr>
                <w:rFonts w:ascii="Times New Roman" w:hAnsi="Times New Roman" w:cs="Times New Roman"/>
                <w:b/>
                <w:color w:val="000000" w:themeColor="text1"/>
                <w:sz w:val="16"/>
                <w:szCs w:val="16"/>
              </w:rPr>
              <w:t>G</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b/>
                <w:color w:val="000000" w:themeColor="text1"/>
                <w:sz w:val="16"/>
                <w:szCs w:val="16"/>
              </w:rPr>
            </w:pPr>
            <w:r w:rsidRPr="002C702A">
              <w:rPr>
                <w:rFonts w:ascii="Times New Roman" w:hAnsi="Times New Roman" w:cs="Times New Roman"/>
                <w:b/>
                <w:color w:val="000000" w:themeColor="text1"/>
                <w:sz w:val="16"/>
                <w:szCs w:val="16"/>
              </w:rPr>
              <w:t>Handel hurtowy i detaliczny; naprawa pojazdów samochodowych, włączając motocykle</w:t>
            </w:r>
          </w:p>
        </w:tc>
        <w:tc>
          <w:tcPr>
            <w:tcW w:w="1543" w:type="dxa"/>
            <w:vAlign w:val="center"/>
          </w:tcPr>
          <w:p w:rsidR="00D74343" w:rsidRPr="002C702A" w:rsidRDefault="00D74343" w:rsidP="00977C90">
            <w:pPr>
              <w:jc w:val="center"/>
              <w:rPr>
                <w:rFonts w:ascii="Times New Roman" w:hAnsi="Times New Roman" w:cs="Times New Roman"/>
                <w:b/>
                <w:sz w:val="16"/>
                <w:szCs w:val="16"/>
              </w:rPr>
            </w:pPr>
            <w:r w:rsidRPr="002C702A">
              <w:rPr>
                <w:rFonts w:ascii="Times New Roman" w:hAnsi="Times New Roman" w:cs="Times New Roman"/>
                <w:b/>
                <w:sz w:val="16"/>
                <w:szCs w:val="16"/>
              </w:rPr>
              <w:t>104 594</w:t>
            </w:r>
          </w:p>
        </w:tc>
        <w:tc>
          <w:tcPr>
            <w:tcW w:w="1543" w:type="dxa"/>
            <w:shd w:val="clear" w:color="auto" w:fill="FFFFFF" w:themeFill="background1"/>
            <w:vAlign w:val="center"/>
          </w:tcPr>
          <w:p w:rsidR="00D74343" w:rsidRPr="002C702A" w:rsidRDefault="00D74343" w:rsidP="00977C90">
            <w:pPr>
              <w:jc w:val="center"/>
              <w:rPr>
                <w:rFonts w:ascii="Times New Roman" w:hAnsi="Times New Roman" w:cs="Times New Roman"/>
                <w:b/>
                <w:sz w:val="16"/>
                <w:szCs w:val="16"/>
              </w:rPr>
            </w:pPr>
            <w:r>
              <w:rPr>
                <w:rFonts w:ascii="Times New Roman" w:hAnsi="Times New Roman" w:cs="Times New Roman"/>
                <w:b/>
                <w:sz w:val="16"/>
                <w:szCs w:val="16"/>
              </w:rPr>
              <w:t>105 761</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b/>
                <w:bCs/>
                <w:sz w:val="16"/>
                <w:szCs w:val="16"/>
              </w:rPr>
            </w:pPr>
            <w:r w:rsidRPr="00AC497A">
              <w:rPr>
                <w:rFonts w:ascii="Times New Roman" w:hAnsi="Times New Roman" w:cs="Times New Roman"/>
                <w:b/>
                <w:bCs/>
                <w:sz w:val="16"/>
                <w:szCs w:val="16"/>
              </w:rPr>
              <w:t>1</w:t>
            </w:r>
            <w:r>
              <w:rPr>
                <w:rFonts w:ascii="Times New Roman" w:hAnsi="Times New Roman" w:cs="Times New Roman"/>
                <w:b/>
                <w:bCs/>
                <w:sz w:val="16"/>
                <w:szCs w:val="16"/>
              </w:rPr>
              <w:t xml:space="preserve"> </w:t>
            </w:r>
            <w:r w:rsidRPr="00AC497A">
              <w:rPr>
                <w:rFonts w:ascii="Times New Roman" w:hAnsi="Times New Roman" w:cs="Times New Roman"/>
                <w:b/>
                <w:bCs/>
                <w:sz w:val="16"/>
                <w:szCs w:val="16"/>
              </w:rPr>
              <w:t>167</w:t>
            </w:r>
          </w:p>
        </w:tc>
      </w:tr>
      <w:tr w:rsidR="00D74343" w:rsidRPr="00CA6E66" w:rsidTr="00977C90">
        <w:trPr>
          <w:trHeight w:val="416"/>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9</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H</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Transport i gospodarka magazynowa</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32 252</w:t>
            </w:r>
          </w:p>
        </w:tc>
        <w:tc>
          <w:tcPr>
            <w:tcW w:w="1543" w:type="dxa"/>
            <w:shd w:val="clear" w:color="auto" w:fill="FFFFFF" w:themeFill="background1"/>
            <w:vAlign w:val="center"/>
          </w:tcPr>
          <w:p w:rsidR="00D74343" w:rsidRPr="002C702A" w:rsidRDefault="00D74343" w:rsidP="00977C90">
            <w:pPr>
              <w:jc w:val="center"/>
              <w:rPr>
                <w:rFonts w:ascii="Times New Roman" w:hAnsi="Times New Roman" w:cs="Times New Roman"/>
                <w:sz w:val="16"/>
                <w:szCs w:val="16"/>
              </w:rPr>
            </w:pPr>
            <w:r>
              <w:rPr>
                <w:rFonts w:ascii="Times New Roman" w:hAnsi="Times New Roman" w:cs="Times New Roman"/>
                <w:sz w:val="16"/>
                <w:szCs w:val="16"/>
              </w:rPr>
              <w:t>33 741</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1</w:t>
            </w:r>
            <w:r>
              <w:rPr>
                <w:rFonts w:ascii="Times New Roman" w:hAnsi="Times New Roman" w:cs="Times New Roman"/>
                <w:sz w:val="16"/>
                <w:szCs w:val="16"/>
              </w:rPr>
              <w:t xml:space="preserve"> </w:t>
            </w:r>
            <w:r w:rsidRPr="00AC497A">
              <w:rPr>
                <w:rFonts w:ascii="Times New Roman" w:hAnsi="Times New Roman" w:cs="Times New Roman"/>
                <w:sz w:val="16"/>
                <w:szCs w:val="16"/>
              </w:rPr>
              <w:t>489</w:t>
            </w:r>
          </w:p>
        </w:tc>
      </w:tr>
      <w:tr w:rsidR="00D74343" w:rsidRPr="00CA6E66" w:rsidTr="00977C90">
        <w:trPr>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10</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I</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Działalność związana z zakwaterowaniem i usługami gastronomicznymi</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10 922</w:t>
            </w:r>
          </w:p>
        </w:tc>
        <w:tc>
          <w:tcPr>
            <w:tcW w:w="1543" w:type="dxa"/>
            <w:shd w:val="clear" w:color="auto" w:fill="FFFFFF" w:themeFill="background1"/>
            <w:vAlign w:val="center"/>
          </w:tcPr>
          <w:p w:rsidR="00D74343" w:rsidRPr="002C702A" w:rsidRDefault="00D74343" w:rsidP="00977C90">
            <w:pPr>
              <w:jc w:val="center"/>
              <w:rPr>
                <w:rFonts w:ascii="Times New Roman" w:hAnsi="Times New Roman" w:cs="Times New Roman"/>
                <w:sz w:val="16"/>
                <w:szCs w:val="16"/>
              </w:rPr>
            </w:pPr>
            <w:r>
              <w:rPr>
                <w:rFonts w:ascii="Times New Roman" w:hAnsi="Times New Roman" w:cs="Times New Roman"/>
                <w:sz w:val="16"/>
                <w:szCs w:val="16"/>
              </w:rPr>
              <w:t>11 487</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565</w:t>
            </w:r>
          </w:p>
        </w:tc>
      </w:tr>
      <w:tr w:rsidR="00D74343" w:rsidRPr="00CA6E66" w:rsidTr="00977C90">
        <w:trPr>
          <w:trHeight w:val="324"/>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11</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J</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Informacja i komunikacja</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9 109</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9 357</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248</w:t>
            </w:r>
          </w:p>
        </w:tc>
      </w:tr>
      <w:tr w:rsidR="00D74343" w:rsidRPr="00CA6E66" w:rsidTr="00977C90">
        <w:trPr>
          <w:trHeight w:val="410"/>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12</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K</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Działalność finansowa i ubezpieczeniowa</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9 973</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9 777</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-196</w:t>
            </w:r>
          </w:p>
        </w:tc>
      </w:tr>
      <w:tr w:rsidR="00D74343" w:rsidRPr="00CA6E66" w:rsidTr="00977C90">
        <w:trPr>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13</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L</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Działalność związana z obsługą rynku nieruchomości</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6 576</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6 243</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-333</w:t>
            </w:r>
          </w:p>
        </w:tc>
      </w:tr>
      <w:tr w:rsidR="00D74343" w:rsidRPr="00CA6E66" w:rsidTr="00977C90">
        <w:trPr>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14</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M</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Działalność profesjonalna, naukowa i techniczna</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19 125</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19 271</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146</w:t>
            </w:r>
          </w:p>
        </w:tc>
      </w:tr>
      <w:tr w:rsidR="00D74343" w:rsidRPr="00CA6E66" w:rsidTr="00977C90">
        <w:trPr>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15</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N</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Działalność w zakresie usług administrowania i działalność wspierająca*</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23 341</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22 634</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-707</w:t>
            </w:r>
          </w:p>
        </w:tc>
      </w:tr>
      <w:tr w:rsidR="00D74343" w:rsidRPr="00CA6E66" w:rsidTr="00977C90">
        <w:trPr>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16</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O</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Administracja publiczna i obrona narodowa; obowiązkowe zabezpieczenia społeczne</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33 131</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33 181</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50</w:t>
            </w:r>
          </w:p>
        </w:tc>
      </w:tr>
      <w:tr w:rsidR="00D74343" w:rsidRPr="00CA6E66" w:rsidTr="00977C90">
        <w:trPr>
          <w:trHeight w:val="378"/>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17</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P</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Edukacja</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60 842</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61 416</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574</w:t>
            </w:r>
          </w:p>
        </w:tc>
      </w:tr>
      <w:tr w:rsidR="00D74343" w:rsidRPr="00CA6E66" w:rsidTr="00977C90">
        <w:trPr>
          <w:trHeight w:val="410"/>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18</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Q</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Opieka zdrowotna i pomoc społeczna</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51 653</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52 048</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395</w:t>
            </w:r>
          </w:p>
        </w:tc>
      </w:tr>
      <w:tr w:rsidR="00D74343" w:rsidRPr="00CA6E66" w:rsidTr="00977C90">
        <w:trPr>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19</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R</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Działalność związana z kulturą, rozrywką i rekreacją</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7 041</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7 074</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33</w:t>
            </w:r>
          </w:p>
        </w:tc>
      </w:tr>
      <w:tr w:rsidR="00D74343" w:rsidRPr="00CA6E66" w:rsidTr="00977C90">
        <w:trPr>
          <w:trHeight w:val="359"/>
          <w:jc w:val="center"/>
        </w:trPr>
        <w:tc>
          <w:tcPr>
            <w:tcW w:w="483" w:type="dxa"/>
            <w:vAlign w:val="center"/>
          </w:tcPr>
          <w:p w:rsidR="00D74343" w:rsidRPr="002C702A" w:rsidRDefault="00D74343" w:rsidP="00977C90">
            <w:pPr>
              <w:jc w:val="center"/>
              <w:rPr>
                <w:rFonts w:ascii="Times New Roman" w:hAnsi="Times New Roman" w:cs="Times New Roman"/>
                <w:color w:val="000000"/>
                <w:sz w:val="16"/>
                <w:szCs w:val="16"/>
              </w:rPr>
            </w:pPr>
            <w:r w:rsidRPr="002C702A">
              <w:rPr>
                <w:rFonts w:ascii="Times New Roman" w:hAnsi="Times New Roman" w:cs="Times New Roman"/>
                <w:color w:val="000000"/>
                <w:sz w:val="16"/>
                <w:szCs w:val="16"/>
              </w:rPr>
              <w:t>20</w:t>
            </w:r>
          </w:p>
        </w:tc>
        <w:tc>
          <w:tcPr>
            <w:tcW w:w="992" w:type="dxa"/>
            <w:vAlign w:val="center"/>
          </w:tcPr>
          <w:p w:rsidR="00D74343" w:rsidRPr="002C702A" w:rsidRDefault="00D74343" w:rsidP="00977C90">
            <w:pPr>
              <w:pStyle w:val="Bezodstpw"/>
              <w:shd w:val="clear" w:color="auto" w:fill="FFFFFF" w:themeFill="background1"/>
              <w:jc w:val="center"/>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S, T, U</w:t>
            </w:r>
          </w:p>
        </w:tc>
        <w:tc>
          <w:tcPr>
            <w:tcW w:w="3320" w:type="dxa"/>
            <w:shd w:val="clear" w:color="auto" w:fill="auto"/>
            <w:vAlign w:val="center"/>
          </w:tcPr>
          <w:p w:rsidR="00D74343" w:rsidRPr="002C702A" w:rsidRDefault="00D74343" w:rsidP="00977C90">
            <w:pPr>
              <w:pStyle w:val="Bezodstpw"/>
              <w:shd w:val="clear" w:color="auto" w:fill="FFFFFF" w:themeFill="background1"/>
              <w:rPr>
                <w:rFonts w:ascii="Times New Roman" w:hAnsi="Times New Roman" w:cs="Times New Roman"/>
                <w:color w:val="000000" w:themeColor="text1"/>
                <w:sz w:val="16"/>
                <w:szCs w:val="16"/>
              </w:rPr>
            </w:pPr>
            <w:r w:rsidRPr="002C702A">
              <w:rPr>
                <w:rFonts w:ascii="Times New Roman" w:hAnsi="Times New Roman" w:cs="Times New Roman"/>
                <w:color w:val="000000" w:themeColor="text1"/>
                <w:sz w:val="16"/>
                <w:szCs w:val="16"/>
              </w:rPr>
              <w:t>Pozostała działalność usługowa</w:t>
            </w:r>
          </w:p>
        </w:tc>
        <w:tc>
          <w:tcPr>
            <w:tcW w:w="1543" w:type="dxa"/>
            <w:vAlign w:val="center"/>
          </w:tcPr>
          <w:p w:rsidR="00D74343" w:rsidRPr="002C702A" w:rsidRDefault="00D74343" w:rsidP="00977C90">
            <w:pPr>
              <w:jc w:val="center"/>
              <w:rPr>
                <w:rFonts w:ascii="Times New Roman" w:hAnsi="Times New Roman" w:cs="Times New Roman"/>
                <w:sz w:val="16"/>
                <w:szCs w:val="16"/>
              </w:rPr>
            </w:pPr>
            <w:r w:rsidRPr="002C702A">
              <w:rPr>
                <w:rFonts w:ascii="Times New Roman" w:hAnsi="Times New Roman" w:cs="Times New Roman"/>
                <w:sz w:val="16"/>
                <w:szCs w:val="16"/>
              </w:rPr>
              <w:t>14 868</w:t>
            </w:r>
          </w:p>
        </w:tc>
        <w:tc>
          <w:tcPr>
            <w:tcW w:w="1543" w:type="dxa"/>
            <w:shd w:val="clear" w:color="auto" w:fill="FFFFFF" w:themeFill="background1"/>
            <w:vAlign w:val="center"/>
          </w:tcPr>
          <w:p w:rsidR="00D74343" w:rsidRPr="00177D3D" w:rsidRDefault="00D74343" w:rsidP="00977C90">
            <w:pPr>
              <w:jc w:val="center"/>
              <w:rPr>
                <w:rFonts w:ascii="Times New Roman" w:hAnsi="Times New Roman" w:cs="Times New Roman"/>
                <w:sz w:val="16"/>
                <w:szCs w:val="16"/>
              </w:rPr>
            </w:pPr>
            <w:r w:rsidRPr="00177D3D">
              <w:rPr>
                <w:rFonts w:ascii="Times New Roman" w:hAnsi="Times New Roman" w:cs="Times New Roman"/>
                <w:sz w:val="16"/>
                <w:szCs w:val="16"/>
              </w:rPr>
              <w:t>15 083</w:t>
            </w:r>
          </w:p>
        </w:tc>
        <w:tc>
          <w:tcPr>
            <w:tcW w:w="1072" w:type="dxa"/>
            <w:shd w:val="clear" w:color="auto" w:fill="FFFFFF" w:themeFill="background1"/>
            <w:vAlign w:val="center"/>
          </w:tcPr>
          <w:p w:rsidR="00D74343" w:rsidRPr="00AC497A" w:rsidRDefault="00D74343" w:rsidP="00977C90">
            <w:pPr>
              <w:jc w:val="center"/>
              <w:rPr>
                <w:rFonts w:ascii="Times New Roman" w:hAnsi="Times New Roman" w:cs="Times New Roman"/>
                <w:sz w:val="16"/>
                <w:szCs w:val="16"/>
              </w:rPr>
            </w:pPr>
            <w:r w:rsidRPr="00AC497A">
              <w:rPr>
                <w:rFonts w:ascii="Times New Roman" w:hAnsi="Times New Roman" w:cs="Times New Roman"/>
                <w:sz w:val="16"/>
                <w:szCs w:val="16"/>
              </w:rPr>
              <w:t>215</w:t>
            </w:r>
          </w:p>
        </w:tc>
      </w:tr>
    </w:tbl>
    <w:p w:rsidR="00D74343" w:rsidRPr="00177D3D" w:rsidRDefault="00D74343" w:rsidP="00D74343">
      <w:pPr>
        <w:pStyle w:val="Default"/>
        <w:jc w:val="both"/>
        <w:rPr>
          <w:bCs/>
          <w:sz w:val="16"/>
          <w:szCs w:val="16"/>
        </w:rPr>
      </w:pPr>
      <w:r w:rsidRPr="00177D3D">
        <w:rPr>
          <w:bCs/>
          <w:sz w:val="16"/>
          <w:szCs w:val="16"/>
        </w:rPr>
        <w:t xml:space="preserve">  * Dotyczy: wynajmu, dzierżawy, działalności turystycznej, detektywistycznej, ochroniarskiej, utrzymaniu porządku w budynkach,</w:t>
      </w:r>
    </w:p>
    <w:p w:rsidR="00D74343" w:rsidRPr="00177D3D" w:rsidRDefault="00D74343" w:rsidP="00D74343">
      <w:pPr>
        <w:pStyle w:val="Default"/>
        <w:jc w:val="both"/>
        <w:rPr>
          <w:bCs/>
          <w:sz w:val="16"/>
          <w:szCs w:val="16"/>
        </w:rPr>
      </w:pPr>
      <w:r w:rsidRPr="00177D3D">
        <w:rPr>
          <w:bCs/>
          <w:sz w:val="16"/>
          <w:szCs w:val="16"/>
        </w:rPr>
        <w:t xml:space="preserve">      administracyjnej obsłudze biura i pozostałych czynnościach wspomagających prowadzenie działalności gospodarczej. </w:t>
      </w:r>
    </w:p>
    <w:p w:rsidR="005A16D6" w:rsidRDefault="005A16D6" w:rsidP="005A16D6">
      <w:pPr>
        <w:autoSpaceDE w:val="0"/>
        <w:autoSpaceDN w:val="0"/>
        <w:adjustRightInd w:val="0"/>
        <w:spacing w:after="0" w:line="240" w:lineRule="auto"/>
        <w:jc w:val="both"/>
        <w:rPr>
          <w:rFonts w:ascii="Times New Roman" w:hAnsi="Times New Roman" w:cs="Times New Roman"/>
          <w:sz w:val="16"/>
          <w:szCs w:val="16"/>
          <w:highlight w:val="yellow"/>
        </w:rPr>
      </w:pPr>
    </w:p>
    <w:p w:rsidR="00012A4B" w:rsidRDefault="00012A4B" w:rsidP="005A16D6">
      <w:pPr>
        <w:autoSpaceDE w:val="0"/>
        <w:autoSpaceDN w:val="0"/>
        <w:adjustRightInd w:val="0"/>
        <w:spacing w:after="0" w:line="240" w:lineRule="auto"/>
        <w:jc w:val="both"/>
        <w:rPr>
          <w:rFonts w:ascii="Times New Roman" w:hAnsi="Times New Roman" w:cs="Times New Roman"/>
          <w:sz w:val="16"/>
          <w:szCs w:val="16"/>
          <w:highlight w:val="yellow"/>
        </w:rPr>
      </w:pPr>
    </w:p>
    <w:p w:rsidR="00012A4B" w:rsidRDefault="00012A4B" w:rsidP="005A16D6">
      <w:pPr>
        <w:autoSpaceDE w:val="0"/>
        <w:autoSpaceDN w:val="0"/>
        <w:adjustRightInd w:val="0"/>
        <w:spacing w:after="0" w:line="240" w:lineRule="auto"/>
        <w:jc w:val="both"/>
        <w:rPr>
          <w:rFonts w:ascii="Times New Roman" w:hAnsi="Times New Roman" w:cs="Times New Roman"/>
          <w:sz w:val="16"/>
          <w:szCs w:val="16"/>
          <w:highlight w:val="yellow"/>
        </w:rPr>
      </w:pPr>
    </w:p>
    <w:p w:rsidR="00D74343" w:rsidRDefault="00D74343" w:rsidP="00D74343">
      <w:pPr>
        <w:pStyle w:val="Default"/>
        <w:spacing w:line="360" w:lineRule="auto"/>
        <w:ind w:firstLine="709"/>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A5643">
        <w:rPr>
          <w:noProof/>
          <w:lang w:eastAsia="pl-PL"/>
        </w:rPr>
        <w:drawing>
          <wp:anchor distT="0" distB="0" distL="114300" distR="114300" simplePos="0" relativeHeight="251863040" behindDoc="0" locked="0" layoutInCell="1" allowOverlap="1" wp14:anchorId="318B4B80" wp14:editId="47DC4790">
            <wp:simplePos x="0" y="0"/>
            <wp:positionH relativeFrom="column">
              <wp:posOffset>6350</wp:posOffset>
            </wp:positionH>
            <wp:positionV relativeFrom="paragraph">
              <wp:posOffset>208280</wp:posOffset>
            </wp:positionV>
            <wp:extent cx="5756910" cy="2033270"/>
            <wp:effectExtent l="0" t="0" r="0" b="5080"/>
            <wp:wrapSquare wrapText="bothSides"/>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AA5643">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Pracujący  (faktyczne miejsce pracy)</w:t>
      </w:r>
    </w:p>
    <w:p w:rsidR="00012A4B" w:rsidRDefault="00012A4B" w:rsidP="00D74343">
      <w:pPr>
        <w:spacing w:after="0" w:line="240" w:lineRule="auto"/>
        <w:rPr>
          <w:rFonts w:ascii="Times New Roman" w:hAnsi="Times New Roman" w:cs="Times New Roman"/>
          <w:sz w:val="16"/>
          <w:szCs w:val="16"/>
          <w:highlight w:val="yellow"/>
        </w:rPr>
      </w:pPr>
    </w:p>
    <w:p w:rsidR="00D74343" w:rsidRDefault="00D74343" w:rsidP="00D74343">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AC497A">
        <w:rPr>
          <w:rFonts w:ascii="Times New Roman" w:hAnsi="Times New Roman" w:cs="Times New Roman"/>
          <w:sz w:val="16"/>
          <w:szCs w:val="16"/>
        </w:rPr>
        <w:t>Źródło: BDL, pracujący wg faktycznego miejsca pracy. Ludność wg pojedynczych</w:t>
      </w:r>
      <w:r>
        <w:rPr>
          <w:rFonts w:ascii="Times New Roman" w:hAnsi="Times New Roman" w:cs="Times New Roman"/>
          <w:sz w:val="16"/>
          <w:szCs w:val="16"/>
        </w:rPr>
        <w:t xml:space="preserve"> </w:t>
      </w:r>
      <w:r w:rsidRPr="00AC497A">
        <w:rPr>
          <w:rFonts w:ascii="Times New Roman" w:hAnsi="Times New Roman" w:cs="Times New Roman"/>
          <w:sz w:val="16"/>
          <w:szCs w:val="16"/>
        </w:rPr>
        <w:t xml:space="preserve"> roczników wieku i płci – bank danych</w:t>
      </w:r>
    </w:p>
    <w:p w:rsidR="00D74343" w:rsidRDefault="00D74343" w:rsidP="00D74343">
      <w:pPr>
        <w:spacing w:after="0"/>
        <w:rPr>
          <w:rFonts w:ascii="Times New Roman" w:hAnsi="Times New Roman" w:cs="Times New Roman"/>
          <w:sz w:val="16"/>
          <w:szCs w:val="16"/>
        </w:rPr>
      </w:pPr>
      <w:r>
        <w:rPr>
          <w:rFonts w:ascii="Times New Roman" w:hAnsi="Times New Roman" w:cs="Times New Roman"/>
          <w:sz w:val="16"/>
          <w:szCs w:val="16"/>
        </w:rPr>
        <w:t xml:space="preserve">                             </w:t>
      </w:r>
      <w:r w:rsidRPr="00AC497A">
        <w:rPr>
          <w:rFonts w:ascii="Times New Roman" w:hAnsi="Times New Roman" w:cs="Times New Roman"/>
          <w:sz w:val="16"/>
          <w:szCs w:val="16"/>
        </w:rPr>
        <w:t xml:space="preserve"> demograficznych.</w:t>
      </w:r>
    </w:p>
    <w:p w:rsidR="00012A4B" w:rsidRDefault="00012A4B">
      <w:pPr>
        <w:rPr>
          <w:rFonts w:ascii="Times New Roman" w:hAnsi="Times New Roman" w:cs="Times New Roman"/>
          <w:bCs/>
          <w:color w:val="000000"/>
          <w:sz w:val="16"/>
          <w:szCs w:val="16"/>
          <w:highlight w:val="yellow"/>
        </w:rPr>
      </w:pPr>
      <w:r>
        <w:rPr>
          <w:rFonts w:ascii="Times New Roman" w:hAnsi="Times New Roman" w:cs="Times New Roman"/>
          <w:bCs/>
          <w:color w:val="000000"/>
          <w:sz w:val="16"/>
          <w:szCs w:val="16"/>
          <w:highlight w:val="yellow"/>
        </w:rPr>
        <w:br w:type="page"/>
      </w:r>
    </w:p>
    <w:p w:rsidR="00B217D9" w:rsidRDefault="00B217D9" w:rsidP="00B217D9">
      <w:pPr>
        <w:spacing w:after="0"/>
        <w:rPr>
          <w:rFonts w:ascii="Times New Roman" w:hAnsi="Times New Roman" w:cs="Times New Roman"/>
          <w:bCs/>
          <w:color w:val="000000"/>
          <w:sz w:val="16"/>
          <w:szCs w:val="16"/>
          <w:highlight w:val="yellow"/>
        </w:rPr>
      </w:pPr>
    </w:p>
    <w:p w:rsidR="00D74343" w:rsidRDefault="00D74343" w:rsidP="00B217D9">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Pracujacy w przemyśle (sekcje PKD B-F). </w:t>
      </w:r>
      <w:r w:rsidR="00B217D9">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Polska, </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Województwo podkarpackie</w:t>
      </w:r>
    </w:p>
    <w:p w:rsidR="00D74343" w:rsidRDefault="00D74343" w:rsidP="00D74343">
      <w:pPr>
        <w:pStyle w:val="Default"/>
        <w:jc w:val="both"/>
        <w:rPr>
          <w:bCs/>
          <w:sz w:val="16"/>
          <w:szCs w:val="16"/>
          <w:highlight w:val="yellow"/>
        </w:rPr>
      </w:pPr>
      <w:r>
        <w:rPr>
          <w:noProof/>
          <w:lang w:eastAsia="pl-PL"/>
        </w:rPr>
        <w:drawing>
          <wp:inline distT="0" distB="0" distL="0" distR="0" wp14:anchorId="68B245E3" wp14:editId="1A3008DB">
            <wp:extent cx="5759450" cy="18288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217D9" w:rsidRDefault="00D74343" w:rsidP="00D74343">
      <w:pPr>
        <w:spacing w:after="0"/>
        <w:rPr>
          <w:rFonts w:ascii="Times New Roman" w:hAnsi="Times New Roman" w:cs="Times New Roman"/>
          <w:sz w:val="16"/>
          <w:szCs w:val="16"/>
        </w:rPr>
      </w:pPr>
      <w:r>
        <w:rPr>
          <w:rFonts w:ascii="Times New Roman" w:hAnsi="Times New Roman" w:cs="Times New Roman"/>
          <w:sz w:val="16"/>
          <w:szCs w:val="16"/>
        </w:rPr>
        <w:t xml:space="preserve">       </w:t>
      </w:r>
    </w:p>
    <w:p w:rsidR="00387CC6" w:rsidRDefault="00B217D9" w:rsidP="00B217D9">
      <w:pPr>
        <w:spacing w:after="0"/>
        <w:rPr>
          <w:rFonts w:ascii="Times New Roman" w:hAnsi="Times New Roman" w:cs="Times New Roman"/>
          <w:sz w:val="16"/>
          <w:szCs w:val="16"/>
        </w:rPr>
      </w:pPr>
      <w:r>
        <w:rPr>
          <w:rFonts w:ascii="Times New Roman" w:hAnsi="Times New Roman" w:cs="Times New Roman"/>
          <w:sz w:val="16"/>
          <w:szCs w:val="16"/>
        </w:rPr>
        <w:t xml:space="preserve">     </w:t>
      </w:r>
      <w:r w:rsidR="00D74343">
        <w:rPr>
          <w:rFonts w:ascii="Times New Roman" w:hAnsi="Times New Roman" w:cs="Times New Roman"/>
          <w:sz w:val="16"/>
          <w:szCs w:val="16"/>
        </w:rPr>
        <w:t xml:space="preserve">         </w:t>
      </w:r>
      <w:r w:rsidR="00D74343" w:rsidRPr="00AC497A">
        <w:rPr>
          <w:rFonts w:ascii="Times New Roman" w:hAnsi="Times New Roman" w:cs="Times New Roman"/>
          <w:sz w:val="16"/>
          <w:szCs w:val="16"/>
        </w:rPr>
        <w:t>Źródło: BDL, pracujący wg faktycznego miejsca pracy</w:t>
      </w:r>
      <w:r w:rsidR="00D74343">
        <w:rPr>
          <w:rFonts w:ascii="Times New Roman" w:hAnsi="Times New Roman" w:cs="Times New Roman"/>
          <w:sz w:val="16"/>
          <w:szCs w:val="16"/>
        </w:rPr>
        <w:t xml:space="preserve"> i sekcji PKD</w:t>
      </w:r>
      <w:r w:rsidR="00D74343" w:rsidRPr="00AC497A">
        <w:rPr>
          <w:rFonts w:ascii="Times New Roman" w:hAnsi="Times New Roman" w:cs="Times New Roman"/>
          <w:sz w:val="16"/>
          <w:szCs w:val="16"/>
        </w:rPr>
        <w:t>.</w:t>
      </w:r>
    </w:p>
    <w:p w:rsidR="00124E47" w:rsidRDefault="00124E47" w:rsidP="00B217D9">
      <w:pPr>
        <w:spacing w:after="0"/>
        <w:rPr>
          <w:rFonts w:ascii="Times New Roman" w:hAnsi="Times New Roman" w:cs="Times New Roman"/>
          <w:sz w:val="16"/>
          <w:szCs w:val="16"/>
        </w:rPr>
      </w:pPr>
    </w:p>
    <w:p w:rsidR="00124E47" w:rsidRDefault="00124E47" w:rsidP="00B217D9">
      <w:pPr>
        <w:spacing w:after="0"/>
        <w:rPr>
          <w:rFonts w:ascii="Times New Roman" w:hAnsi="Times New Roman" w:cs="Times New Roman"/>
          <w:bCs/>
          <w:color w:val="000000"/>
          <w:sz w:val="16"/>
          <w:szCs w:val="16"/>
          <w:highlight w:val="yellow"/>
        </w:rPr>
      </w:pPr>
    </w:p>
    <w:p w:rsidR="00D74343" w:rsidRPr="00D34A5A" w:rsidRDefault="00D74343" w:rsidP="00D74343">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4A5A">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Pracujący w</w:t>
      </w:r>
      <w:r w:rsidR="003825E1">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edług </w:t>
      </w:r>
      <w:r w:rsidRPr="00D34A5A">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PKD, podkarpackie</w:t>
      </w:r>
    </w:p>
    <w:p w:rsidR="00D74343" w:rsidRDefault="00D74343" w:rsidP="00D74343">
      <w:pPr>
        <w:pStyle w:val="Default"/>
        <w:jc w:val="both"/>
        <w:rPr>
          <w:bCs/>
          <w:sz w:val="16"/>
          <w:szCs w:val="16"/>
        </w:rPr>
      </w:pPr>
      <w:r>
        <w:rPr>
          <w:noProof/>
          <w:lang w:eastAsia="pl-PL"/>
        </w:rPr>
        <w:drawing>
          <wp:anchor distT="0" distB="0" distL="114300" distR="114300" simplePos="0" relativeHeight="251866112" behindDoc="0" locked="0" layoutInCell="1" allowOverlap="1" wp14:anchorId="3FD088E8" wp14:editId="3E2113D5">
            <wp:simplePos x="0" y="0"/>
            <wp:positionH relativeFrom="column">
              <wp:posOffset>2642870</wp:posOffset>
            </wp:positionH>
            <wp:positionV relativeFrom="paragraph">
              <wp:posOffset>143510</wp:posOffset>
            </wp:positionV>
            <wp:extent cx="3382010" cy="1826260"/>
            <wp:effectExtent l="0" t="0" r="0" b="0"/>
            <wp:wrapSquare wrapText="bothSides"/>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865088" behindDoc="0" locked="0" layoutInCell="1" allowOverlap="1" wp14:anchorId="1602AD45" wp14:editId="7FBDF034">
            <wp:simplePos x="0" y="0"/>
            <wp:positionH relativeFrom="column">
              <wp:posOffset>-24130</wp:posOffset>
            </wp:positionH>
            <wp:positionV relativeFrom="paragraph">
              <wp:posOffset>162560</wp:posOffset>
            </wp:positionV>
            <wp:extent cx="3493135" cy="1826260"/>
            <wp:effectExtent l="0" t="0" r="0" b="0"/>
            <wp:wrapSquare wrapText="bothSides"/>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D74343" w:rsidRDefault="00D74343" w:rsidP="00D74343">
      <w:pPr>
        <w:pStyle w:val="Default"/>
        <w:jc w:val="both"/>
        <w:rPr>
          <w:bCs/>
          <w:sz w:val="16"/>
          <w:szCs w:val="16"/>
        </w:rPr>
      </w:pPr>
    </w:p>
    <w:p w:rsidR="00526081" w:rsidRDefault="00526081">
      <w:pPr>
        <w:rPr>
          <w:rFonts w:ascii="Times New Roman" w:hAnsi="Times New Roman" w:cs="Times New Roman"/>
          <w:bCs/>
          <w:color w:val="000000"/>
          <w:sz w:val="16"/>
          <w:szCs w:val="16"/>
        </w:rPr>
      </w:pPr>
    </w:p>
    <w:p w:rsidR="002F3478" w:rsidRDefault="00D74343" w:rsidP="00D74343">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34A5A">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OFERTY PRACY zgłoszone do P</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owiatowych </w:t>
      </w:r>
      <w:r w:rsidRPr="00D34A5A">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rzędów </w:t>
      </w:r>
      <w:r w:rsidRPr="00D34A5A">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racy </w:t>
      </w:r>
      <w:r w:rsidRPr="00D34A5A">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edług</w:t>
      </w:r>
      <w:r w:rsidRPr="00D34A5A">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PKD</w:t>
      </w:r>
    </w:p>
    <w:p w:rsidR="00D74343" w:rsidRPr="00D34A5A" w:rsidRDefault="00D74343" w:rsidP="00D74343">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województwo podkarpackiE,  porównanie lat  </w:t>
      </w:r>
      <w:r w:rsidR="002F3478">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Ip </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002F3478">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w:t>
      </w:r>
      <w:r w:rsidR="002F3478">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Ip 2021</w:t>
      </w: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tbl>
      <w:tblPr>
        <w:tblW w:w="6040" w:type="dxa"/>
        <w:jc w:val="center"/>
        <w:tblInd w:w="55" w:type="dxa"/>
        <w:tblCellMar>
          <w:left w:w="70" w:type="dxa"/>
          <w:right w:w="70" w:type="dxa"/>
        </w:tblCellMar>
        <w:tblLook w:val="04A0" w:firstRow="1" w:lastRow="0" w:firstColumn="1" w:lastColumn="0" w:noHBand="0" w:noVBand="1"/>
      </w:tblPr>
      <w:tblGrid>
        <w:gridCol w:w="1240"/>
        <w:gridCol w:w="960"/>
        <w:gridCol w:w="960"/>
        <w:gridCol w:w="960"/>
        <w:gridCol w:w="960"/>
        <w:gridCol w:w="960"/>
      </w:tblGrid>
      <w:tr w:rsidR="002F3478" w:rsidRPr="004F5314" w:rsidTr="002F3478">
        <w:trPr>
          <w:trHeight w:val="600"/>
          <w:jc w:val="center"/>
        </w:trPr>
        <w:tc>
          <w:tcPr>
            <w:tcW w:w="124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Deklarowany</w:t>
            </w:r>
          </w:p>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rodzaj działalności</w:t>
            </w:r>
          </w:p>
        </w:tc>
        <w:tc>
          <w:tcPr>
            <w:tcW w:w="96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sekcje</w:t>
            </w:r>
          </w:p>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PKD</w:t>
            </w:r>
          </w:p>
        </w:tc>
        <w:tc>
          <w:tcPr>
            <w:tcW w:w="96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I półrocze</w:t>
            </w:r>
          </w:p>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2020 r.</w:t>
            </w:r>
          </w:p>
        </w:tc>
        <w:tc>
          <w:tcPr>
            <w:tcW w:w="96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E42AF6" w:rsidRDefault="00E42AF6" w:rsidP="000F0F06">
            <w:pPr>
              <w:spacing w:after="0" w:line="240" w:lineRule="auto"/>
              <w:jc w:val="center"/>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rozkład</w:t>
            </w:r>
          </w:p>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w proc.</w:t>
            </w:r>
          </w:p>
        </w:tc>
        <w:tc>
          <w:tcPr>
            <w:tcW w:w="960"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I półrocze</w:t>
            </w:r>
          </w:p>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2021 r.</w:t>
            </w:r>
          </w:p>
        </w:tc>
        <w:tc>
          <w:tcPr>
            <w:tcW w:w="960"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E42AF6" w:rsidRDefault="00E42AF6" w:rsidP="000F0F06">
            <w:pPr>
              <w:spacing w:after="0" w:line="240" w:lineRule="auto"/>
              <w:jc w:val="center"/>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rozkład</w:t>
            </w:r>
          </w:p>
          <w:p w:rsidR="002F3478" w:rsidRPr="000F0F06" w:rsidRDefault="002F3478" w:rsidP="000F0F06">
            <w:pPr>
              <w:spacing w:after="0" w:line="240" w:lineRule="auto"/>
              <w:jc w:val="center"/>
              <w:rPr>
                <w:rFonts w:ascii="Times New Roman" w:eastAsia="Times New Roman" w:hAnsi="Times New Roman" w:cs="Times New Roman"/>
                <w:b/>
                <w:sz w:val="16"/>
                <w:szCs w:val="16"/>
                <w:lang w:eastAsia="pl-PL"/>
              </w:rPr>
            </w:pPr>
            <w:r w:rsidRPr="000F0F06">
              <w:rPr>
                <w:rFonts w:ascii="Times New Roman" w:eastAsia="Times New Roman" w:hAnsi="Times New Roman" w:cs="Times New Roman"/>
                <w:b/>
                <w:sz w:val="16"/>
                <w:szCs w:val="16"/>
                <w:lang w:eastAsia="pl-PL"/>
              </w:rPr>
              <w:t>w proc.</w:t>
            </w:r>
          </w:p>
        </w:tc>
      </w:tr>
      <w:tr w:rsidR="000F0F06" w:rsidRPr="004F5314" w:rsidTr="002F3478">
        <w:trPr>
          <w:trHeight w:val="300"/>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0F06" w:rsidRPr="000F0F06" w:rsidRDefault="000F0F06" w:rsidP="000F0F06">
            <w:pPr>
              <w:spacing w:after="0" w:line="240" w:lineRule="auto"/>
              <w:rPr>
                <w:rFonts w:ascii="Times New Roman" w:eastAsia="Times New Roman" w:hAnsi="Times New Roman" w:cs="Times New Roman"/>
                <w:b/>
                <w:bCs/>
                <w:sz w:val="16"/>
                <w:szCs w:val="16"/>
                <w:lang w:eastAsia="pl-PL"/>
              </w:rPr>
            </w:pPr>
            <w:r w:rsidRPr="000F0F06">
              <w:rPr>
                <w:rFonts w:ascii="Times New Roman" w:eastAsia="Times New Roman" w:hAnsi="Times New Roman" w:cs="Times New Roman"/>
                <w:b/>
                <w:bCs/>
                <w:sz w:val="16"/>
                <w:szCs w:val="16"/>
                <w:lang w:eastAsia="pl-PL"/>
              </w:rPr>
              <w:t>Rolnictwo</w:t>
            </w:r>
          </w:p>
        </w:tc>
        <w:tc>
          <w:tcPr>
            <w:tcW w:w="960" w:type="dxa"/>
            <w:tcBorders>
              <w:top w:val="nil"/>
              <w:left w:val="nil"/>
              <w:bottom w:val="single" w:sz="4" w:space="0" w:color="auto"/>
              <w:right w:val="single" w:sz="4" w:space="0" w:color="auto"/>
            </w:tcBorders>
            <w:shd w:val="clear" w:color="auto" w:fill="auto"/>
            <w:noWrap/>
            <w:vAlign w:val="center"/>
            <w:hideMark/>
          </w:tcPr>
          <w:p w:rsidR="000F0F06" w:rsidRPr="000F0F06" w:rsidRDefault="000F0F06" w:rsidP="000F0F06">
            <w:pPr>
              <w:spacing w:after="0" w:line="240" w:lineRule="auto"/>
              <w:jc w:val="center"/>
              <w:rPr>
                <w:rFonts w:ascii="Times New Roman" w:eastAsia="Times New Roman" w:hAnsi="Times New Roman" w:cs="Times New Roman"/>
                <w:sz w:val="16"/>
                <w:szCs w:val="16"/>
                <w:lang w:eastAsia="pl-PL"/>
              </w:rPr>
            </w:pPr>
            <w:r w:rsidRPr="000F0F06">
              <w:rPr>
                <w:rFonts w:ascii="Times New Roman" w:eastAsia="Times New Roman" w:hAnsi="Times New Roman" w:cs="Times New Roman"/>
                <w:sz w:val="16"/>
                <w:szCs w:val="16"/>
                <w:lang w:eastAsia="pl-PL"/>
              </w:rPr>
              <w:t>A</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200</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1,3</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226</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eastAsia="Times New Roman" w:hAnsi="Times New Roman" w:cs="Times New Roman"/>
                <w:sz w:val="16"/>
                <w:szCs w:val="16"/>
                <w:lang w:eastAsia="pl-PL"/>
              </w:rPr>
            </w:pPr>
            <w:r w:rsidRPr="000F0F06">
              <w:rPr>
                <w:rFonts w:ascii="Times New Roman" w:eastAsia="Times New Roman" w:hAnsi="Times New Roman" w:cs="Times New Roman"/>
                <w:sz w:val="16"/>
                <w:szCs w:val="16"/>
                <w:lang w:eastAsia="pl-PL"/>
              </w:rPr>
              <w:t>0,9</w:t>
            </w:r>
          </w:p>
        </w:tc>
      </w:tr>
      <w:tr w:rsidR="000F0F06" w:rsidRPr="004F5314" w:rsidTr="002F3478">
        <w:trPr>
          <w:trHeight w:val="300"/>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0F06" w:rsidRPr="00387CC6" w:rsidRDefault="000F0F06" w:rsidP="000F0F06">
            <w:pPr>
              <w:spacing w:after="0" w:line="240" w:lineRule="auto"/>
              <w:rPr>
                <w:rFonts w:ascii="Times New Roman" w:eastAsia="Times New Roman" w:hAnsi="Times New Roman" w:cs="Times New Roman"/>
                <w:b/>
                <w:bCs/>
                <w:color w:val="000000" w:themeColor="text1"/>
                <w:sz w:val="16"/>
                <w:szCs w:val="16"/>
                <w:lang w:eastAsia="pl-PL"/>
              </w:rPr>
            </w:pPr>
            <w:r w:rsidRPr="00387CC6">
              <w:rPr>
                <w:rFonts w:ascii="Times New Roman" w:eastAsia="Times New Roman" w:hAnsi="Times New Roman" w:cs="Times New Roman"/>
                <w:b/>
                <w:bCs/>
                <w:color w:val="000000" w:themeColor="text1"/>
                <w:sz w:val="16"/>
                <w:szCs w:val="16"/>
                <w:lang w:eastAsia="pl-PL"/>
              </w:rPr>
              <w:t>Produkcja</w:t>
            </w:r>
          </w:p>
        </w:tc>
        <w:tc>
          <w:tcPr>
            <w:tcW w:w="960" w:type="dxa"/>
            <w:tcBorders>
              <w:top w:val="nil"/>
              <w:left w:val="nil"/>
              <w:bottom w:val="single" w:sz="4" w:space="0" w:color="auto"/>
              <w:right w:val="single" w:sz="4" w:space="0" w:color="auto"/>
            </w:tcBorders>
            <w:shd w:val="clear" w:color="auto" w:fill="auto"/>
            <w:noWrap/>
            <w:vAlign w:val="center"/>
            <w:hideMark/>
          </w:tcPr>
          <w:p w:rsidR="000F0F06" w:rsidRPr="00387CC6" w:rsidRDefault="000F0F06" w:rsidP="000F0F06">
            <w:pPr>
              <w:spacing w:after="0" w:line="240" w:lineRule="auto"/>
              <w:jc w:val="center"/>
              <w:rPr>
                <w:rFonts w:ascii="Times New Roman" w:eastAsia="Times New Roman" w:hAnsi="Times New Roman" w:cs="Times New Roman"/>
                <w:color w:val="000000" w:themeColor="text1"/>
                <w:sz w:val="16"/>
                <w:szCs w:val="16"/>
                <w:lang w:eastAsia="pl-PL"/>
              </w:rPr>
            </w:pPr>
            <w:r w:rsidRPr="00387CC6">
              <w:rPr>
                <w:rFonts w:ascii="Times New Roman" w:eastAsia="Times New Roman" w:hAnsi="Times New Roman" w:cs="Times New Roman"/>
                <w:color w:val="000000" w:themeColor="text1"/>
                <w:sz w:val="16"/>
                <w:szCs w:val="16"/>
                <w:lang w:eastAsia="pl-PL"/>
              </w:rPr>
              <w:t>B-F</w:t>
            </w:r>
          </w:p>
        </w:tc>
        <w:tc>
          <w:tcPr>
            <w:tcW w:w="960" w:type="dxa"/>
            <w:tcBorders>
              <w:top w:val="nil"/>
              <w:left w:val="nil"/>
              <w:bottom w:val="single" w:sz="4" w:space="0" w:color="auto"/>
              <w:right w:val="single" w:sz="4" w:space="0" w:color="auto"/>
            </w:tcBorders>
            <w:shd w:val="clear" w:color="auto" w:fill="auto"/>
            <w:noWrap/>
            <w:vAlign w:val="center"/>
          </w:tcPr>
          <w:p w:rsidR="000F0F06" w:rsidRPr="00387CC6" w:rsidRDefault="000F0F06" w:rsidP="000F0F06">
            <w:pPr>
              <w:spacing w:after="0" w:line="240" w:lineRule="auto"/>
              <w:jc w:val="center"/>
              <w:rPr>
                <w:rFonts w:ascii="Times New Roman" w:hAnsi="Times New Roman" w:cs="Times New Roman"/>
                <w:color w:val="000000" w:themeColor="text1"/>
                <w:sz w:val="16"/>
                <w:szCs w:val="16"/>
              </w:rPr>
            </w:pPr>
            <w:r w:rsidRPr="00387CC6">
              <w:rPr>
                <w:rFonts w:ascii="Times New Roman" w:hAnsi="Times New Roman" w:cs="Times New Roman"/>
                <w:color w:val="000000" w:themeColor="text1"/>
                <w:sz w:val="16"/>
                <w:szCs w:val="16"/>
              </w:rPr>
              <w:t>5752</w:t>
            </w:r>
          </w:p>
        </w:tc>
        <w:tc>
          <w:tcPr>
            <w:tcW w:w="960" w:type="dxa"/>
            <w:tcBorders>
              <w:top w:val="nil"/>
              <w:left w:val="nil"/>
              <w:bottom w:val="single" w:sz="4" w:space="0" w:color="auto"/>
              <w:right w:val="single" w:sz="4" w:space="0" w:color="auto"/>
            </w:tcBorders>
            <w:shd w:val="clear" w:color="auto" w:fill="auto"/>
            <w:noWrap/>
            <w:vAlign w:val="center"/>
          </w:tcPr>
          <w:p w:rsidR="000F0F06" w:rsidRPr="00387CC6" w:rsidRDefault="000F0F06" w:rsidP="000F0F06">
            <w:pPr>
              <w:spacing w:after="0" w:line="240" w:lineRule="auto"/>
              <w:jc w:val="center"/>
              <w:rPr>
                <w:rFonts w:ascii="Times New Roman" w:hAnsi="Times New Roman" w:cs="Times New Roman"/>
                <w:color w:val="000000" w:themeColor="text1"/>
                <w:sz w:val="16"/>
                <w:szCs w:val="16"/>
              </w:rPr>
            </w:pPr>
            <w:r w:rsidRPr="00387CC6">
              <w:rPr>
                <w:rFonts w:ascii="Times New Roman" w:hAnsi="Times New Roman" w:cs="Times New Roman"/>
                <w:color w:val="000000" w:themeColor="text1"/>
                <w:sz w:val="16"/>
                <w:szCs w:val="16"/>
              </w:rPr>
              <w:t>36,2</w:t>
            </w:r>
          </w:p>
        </w:tc>
        <w:tc>
          <w:tcPr>
            <w:tcW w:w="960" w:type="dxa"/>
            <w:tcBorders>
              <w:top w:val="nil"/>
              <w:left w:val="nil"/>
              <w:bottom w:val="single" w:sz="4" w:space="0" w:color="auto"/>
              <w:right w:val="single" w:sz="4" w:space="0" w:color="auto"/>
            </w:tcBorders>
            <w:shd w:val="clear" w:color="auto" w:fill="auto"/>
            <w:noWrap/>
            <w:vAlign w:val="center"/>
          </w:tcPr>
          <w:p w:rsidR="000F0F06" w:rsidRPr="00387CC6" w:rsidRDefault="000F0F06" w:rsidP="000F0F06">
            <w:pPr>
              <w:spacing w:after="0" w:line="240" w:lineRule="auto"/>
              <w:jc w:val="center"/>
              <w:rPr>
                <w:rFonts w:ascii="Times New Roman" w:hAnsi="Times New Roman" w:cs="Times New Roman"/>
                <w:color w:val="000000" w:themeColor="text1"/>
                <w:sz w:val="16"/>
                <w:szCs w:val="16"/>
              </w:rPr>
            </w:pPr>
            <w:r w:rsidRPr="00387CC6">
              <w:rPr>
                <w:rFonts w:ascii="Times New Roman" w:hAnsi="Times New Roman" w:cs="Times New Roman"/>
                <w:color w:val="000000" w:themeColor="text1"/>
                <w:sz w:val="16"/>
                <w:szCs w:val="16"/>
              </w:rPr>
              <w:t>10 076</w:t>
            </w:r>
          </w:p>
        </w:tc>
        <w:tc>
          <w:tcPr>
            <w:tcW w:w="960" w:type="dxa"/>
            <w:tcBorders>
              <w:top w:val="nil"/>
              <w:left w:val="nil"/>
              <w:bottom w:val="single" w:sz="4" w:space="0" w:color="auto"/>
              <w:right w:val="single" w:sz="4" w:space="0" w:color="auto"/>
            </w:tcBorders>
            <w:shd w:val="clear" w:color="auto" w:fill="auto"/>
            <w:noWrap/>
            <w:vAlign w:val="center"/>
          </w:tcPr>
          <w:p w:rsidR="000F0F06" w:rsidRPr="00387CC6" w:rsidRDefault="000F0F06" w:rsidP="000F0F06">
            <w:pPr>
              <w:spacing w:after="0" w:line="240" w:lineRule="auto"/>
              <w:jc w:val="center"/>
              <w:rPr>
                <w:rFonts w:ascii="Times New Roman" w:eastAsia="Times New Roman" w:hAnsi="Times New Roman" w:cs="Times New Roman"/>
                <w:color w:val="000000" w:themeColor="text1"/>
                <w:sz w:val="16"/>
                <w:szCs w:val="16"/>
                <w:lang w:eastAsia="pl-PL"/>
              </w:rPr>
            </w:pPr>
            <w:r w:rsidRPr="00387CC6">
              <w:rPr>
                <w:rFonts w:ascii="Times New Roman" w:eastAsia="Times New Roman" w:hAnsi="Times New Roman" w:cs="Times New Roman"/>
                <w:color w:val="000000" w:themeColor="text1"/>
                <w:sz w:val="16"/>
                <w:szCs w:val="16"/>
                <w:lang w:eastAsia="pl-PL"/>
              </w:rPr>
              <w:t>40,1</w:t>
            </w:r>
          </w:p>
        </w:tc>
      </w:tr>
      <w:tr w:rsidR="000F0F06" w:rsidRPr="004F5314" w:rsidTr="002F3478">
        <w:trPr>
          <w:trHeight w:val="300"/>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0F06" w:rsidRPr="000F0F06" w:rsidRDefault="000F0F06" w:rsidP="000F0F06">
            <w:pPr>
              <w:spacing w:after="0" w:line="240" w:lineRule="auto"/>
              <w:rPr>
                <w:rFonts w:ascii="Times New Roman" w:eastAsia="Times New Roman" w:hAnsi="Times New Roman" w:cs="Times New Roman"/>
                <w:b/>
                <w:bCs/>
                <w:sz w:val="16"/>
                <w:szCs w:val="16"/>
                <w:lang w:eastAsia="pl-PL"/>
              </w:rPr>
            </w:pPr>
            <w:r w:rsidRPr="000F0F06">
              <w:rPr>
                <w:rFonts w:ascii="Times New Roman" w:eastAsia="Times New Roman" w:hAnsi="Times New Roman" w:cs="Times New Roman"/>
                <w:b/>
                <w:bCs/>
                <w:sz w:val="16"/>
                <w:szCs w:val="16"/>
                <w:lang w:eastAsia="pl-PL"/>
              </w:rPr>
              <w:t>Handel</w:t>
            </w:r>
          </w:p>
        </w:tc>
        <w:tc>
          <w:tcPr>
            <w:tcW w:w="960" w:type="dxa"/>
            <w:tcBorders>
              <w:top w:val="nil"/>
              <w:left w:val="nil"/>
              <w:bottom w:val="single" w:sz="4" w:space="0" w:color="auto"/>
              <w:right w:val="single" w:sz="4" w:space="0" w:color="auto"/>
            </w:tcBorders>
            <w:shd w:val="clear" w:color="auto" w:fill="auto"/>
            <w:noWrap/>
            <w:vAlign w:val="center"/>
            <w:hideMark/>
          </w:tcPr>
          <w:p w:rsidR="000F0F06" w:rsidRPr="000F0F06" w:rsidRDefault="000F0F06" w:rsidP="000F0F06">
            <w:pPr>
              <w:spacing w:after="0" w:line="240" w:lineRule="auto"/>
              <w:jc w:val="center"/>
              <w:rPr>
                <w:rFonts w:ascii="Times New Roman" w:eastAsia="Times New Roman" w:hAnsi="Times New Roman" w:cs="Times New Roman"/>
                <w:sz w:val="16"/>
                <w:szCs w:val="16"/>
                <w:lang w:eastAsia="pl-PL"/>
              </w:rPr>
            </w:pPr>
            <w:r w:rsidRPr="000F0F06">
              <w:rPr>
                <w:rFonts w:ascii="Times New Roman" w:eastAsia="Times New Roman" w:hAnsi="Times New Roman" w:cs="Times New Roman"/>
                <w:sz w:val="16"/>
                <w:szCs w:val="16"/>
                <w:lang w:eastAsia="pl-PL"/>
              </w:rPr>
              <w:t>G</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2477</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15,6</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3 614</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eastAsia="Times New Roman" w:hAnsi="Times New Roman" w:cs="Times New Roman"/>
                <w:sz w:val="16"/>
                <w:szCs w:val="16"/>
                <w:lang w:eastAsia="pl-PL"/>
              </w:rPr>
            </w:pPr>
            <w:r w:rsidRPr="000F0F06">
              <w:rPr>
                <w:rFonts w:ascii="Times New Roman" w:eastAsia="Times New Roman" w:hAnsi="Times New Roman" w:cs="Times New Roman"/>
                <w:sz w:val="16"/>
                <w:szCs w:val="16"/>
                <w:lang w:eastAsia="pl-PL"/>
              </w:rPr>
              <w:t>14,4</w:t>
            </w:r>
          </w:p>
        </w:tc>
      </w:tr>
      <w:tr w:rsidR="000F0F06" w:rsidRPr="004F5314" w:rsidTr="002F3478">
        <w:trPr>
          <w:trHeight w:val="300"/>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F0F06" w:rsidRPr="000F0F06" w:rsidRDefault="000F0F06" w:rsidP="000F0F06">
            <w:pPr>
              <w:spacing w:after="0" w:line="240" w:lineRule="auto"/>
              <w:rPr>
                <w:rFonts w:ascii="Times New Roman" w:eastAsia="Times New Roman" w:hAnsi="Times New Roman" w:cs="Times New Roman"/>
                <w:b/>
                <w:bCs/>
                <w:sz w:val="16"/>
                <w:szCs w:val="16"/>
                <w:lang w:eastAsia="pl-PL"/>
              </w:rPr>
            </w:pPr>
            <w:r w:rsidRPr="000F0F06">
              <w:rPr>
                <w:rFonts w:ascii="Times New Roman" w:eastAsia="Times New Roman" w:hAnsi="Times New Roman" w:cs="Times New Roman"/>
                <w:b/>
                <w:bCs/>
                <w:sz w:val="16"/>
                <w:szCs w:val="16"/>
                <w:lang w:eastAsia="pl-PL"/>
              </w:rPr>
              <w:t>Usługi</w:t>
            </w:r>
          </w:p>
        </w:tc>
        <w:tc>
          <w:tcPr>
            <w:tcW w:w="960" w:type="dxa"/>
            <w:tcBorders>
              <w:top w:val="nil"/>
              <w:left w:val="nil"/>
              <w:bottom w:val="single" w:sz="4" w:space="0" w:color="auto"/>
              <w:right w:val="single" w:sz="4" w:space="0" w:color="auto"/>
            </w:tcBorders>
            <w:shd w:val="clear" w:color="auto" w:fill="auto"/>
            <w:noWrap/>
            <w:vAlign w:val="center"/>
            <w:hideMark/>
          </w:tcPr>
          <w:p w:rsidR="000F0F06" w:rsidRPr="000F0F06" w:rsidRDefault="000F0F06" w:rsidP="000F0F06">
            <w:pPr>
              <w:spacing w:after="0" w:line="240" w:lineRule="auto"/>
              <w:jc w:val="center"/>
              <w:rPr>
                <w:rFonts w:ascii="Times New Roman" w:eastAsia="Times New Roman" w:hAnsi="Times New Roman" w:cs="Times New Roman"/>
                <w:sz w:val="16"/>
                <w:szCs w:val="16"/>
                <w:lang w:eastAsia="pl-PL"/>
              </w:rPr>
            </w:pPr>
            <w:r w:rsidRPr="000F0F06">
              <w:rPr>
                <w:rFonts w:ascii="Times New Roman" w:eastAsia="Times New Roman" w:hAnsi="Times New Roman" w:cs="Times New Roman"/>
                <w:sz w:val="16"/>
                <w:szCs w:val="16"/>
                <w:lang w:eastAsia="pl-PL"/>
              </w:rPr>
              <w:t>H-U</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7468</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47,0</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11 199</w:t>
            </w:r>
          </w:p>
        </w:tc>
        <w:tc>
          <w:tcPr>
            <w:tcW w:w="960" w:type="dxa"/>
            <w:tcBorders>
              <w:top w:val="nil"/>
              <w:left w:val="nil"/>
              <w:bottom w:val="single" w:sz="4" w:space="0" w:color="auto"/>
              <w:right w:val="single" w:sz="4" w:space="0" w:color="auto"/>
            </w:tcBorders>
            <w:shd w:val="clear" w:color="auto" w:fill="auto"/>
            <w:noWrap/>
            <w:vAlign w:val="center"/>
          </w:tcPr>
          <w:p w:rsidR="000F0F06" w:rsidRPr="000F0F06" w:rsidRDefault="000F0F06" w:rsidP="000F0F06">
            <w:pPr>
              <w:spacing w:after="0" w:line="240" w:lineRule="auto"/>
              <w:jc w:val="center"/>
              <w:rPr>
                <w:rFonts w:ascii="Times New Roman" w:eastAsia="Times New Roman" w:hAnsi="Times New Roman" w:cs="Times New Roman"/>
                <w:sz w:val="16"/>
                <w:szCs w:val="16"/>
                <w:lang w:eastAsia="pl-PL"/>
              </w:rPr>
            </w:pPr>
            <w:r w:rsidRPr="000F0F06">
              <w:rPr>
                <w:rFonts w:ascii="Times New Roman" w:eastAsia="Times New Roman" w:hAnsi="Times New Roman" w:cs="Times New Roman"/>
                <w:sz w:val="16"/>
                <w:szCs w:val="16"/>
                <w:lang w:eastAsia="pl-PL"/>
              </w:rPr>
              <w:t>44,6</w:t>
            </w:r>
          </w:p>
        </w:tc>
      </w:tr>
      <w:tr w:rsidR="000F0F06" w:rsidRPr="004F5314" w:rsidTr="00DA6A70">
        <w:trPr>
          <w:trHeight w:val="300"/>
          <w:jc w:val="center"/>
        </w:trPr>
        <w:tc>
          <w:tcPr>
            <w:tcW w:w="1240"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0F0F06" w:rsidRPr="000F0F06" w:rsidRDefault="000F0F06" w:rsidP="000F0F06">
            <w:pPr>
              <w:spacing w:after="0" w:line="240" w:lineRule="auto"/>
              <w:rPr>
                <w:rFonts w:ascii="Times New Roman" w:eastAsia="Times New Roman" w:hAnsi="Times New Roman" w:cs="Times New Roman"/>
                <w:b/>
                <w:bCs/>
                <w:sz w:val="16"/>
                <w:szCs w:val="16"/>
                <w:lang w:eastAsia="pl-PL"/>
              </w:rPr>
            </w:pPr>
            <w:r w:rsidRPr="000F0F06">
              <w:rPr>
                <w:rFonts w:ascii="Times New Roman" w:eastAsia="Times New Roman" w:hAnsi="Times New Roman" w:cs="Times New Roman"/>
                <w:b/>
                <w:bCs/>
                <w:sz w:val="16"/>
                <w:szCs w:val="16"/>
                <w:lang w:eastAsia="pl-PL"/>
              </w:rPr>
              <w:t>razem</w:t>
            </w:r>
          </w:p>
        </w:tc>
        <w:tc>
          <w:tcPr>
            <w:tcW w:w="960" w:type="dxa"/>
            <w:tcBorders>
              <w:top w:val="nil"/>
              <w:left w:val="nil"/>
              <w:bottom w:val="single" w:sz="4" w:space="0" w:color="auto"/>
              <w:right w:val="single" w:sz="4" w:space="0" w:color="auto"/>
            </w:tcBorders>
            <w:shd w:val="clear" w:color="auto" w:fill="E5DFEC" w:themeFill="accent4" w:themeFillTint="33"/>
            <w:noWrap/>
            <w:vAlign w:val="center"/>
            <w:hideMark/>
          </w:tcPr>
          <w:p w:rsidR="000F0F06" w:rsidRPr="000F0F06" w:rsidRDefault="000F0F06" w:rsidP="000F0F06">
            <w:pPr>
              <w:spacing w:after="0" w:line="240" w:lineRule="auto"/>
              <w:jc w:val="center"/>
              <w:rPr>
                <w:rFonts w:ascii="Times New Roman" w:eastAsia="Times New Roman" w:hAnsi="Times New Roman" w:cs="Times New Roman"/>
                <w:sz w:val="16"/>
                <w:szCs w:val="16"/>
                <w:lang w:eastAsia="pl-PL"/>
              </w:rPr>
            </w:pPr>
            <w:r w:rsidRPr="000F0F06">
              <w:rPr>
                <w:rFonts w:ascii="Times New Roman" w:eastAsia="Times New Roman" w:hAnsi="Times New Roman" w:cs="Times New Roman"/>
                <w:sz w:val="16"/>
                <w:szCs w:val="16"/>
                <w:lang w:eastAsia="pl-PL"/>
              </w:rPr>
              <w:t>---</w:t>
            </w:r>
          </w:p>
        </w:tc>
        <w:tc>
          <w:tcPr>
            <w:tcW w:w="960" w:type="dxa"/>
            <w:tcBorders>
              <w:top w:val="nil"/>
              <w:left w:val="nil"/>
              <w:bottom w:val="single" w:sz="4" w:space="0" w:color="auto"/>
              <w:right w:val="single" w:sz="4" w:space="0" w:color="auto"/>
            </w:tcBorders>
            <w:shd w:val="clear" w:color="auto" w:fill="E5DFEC" w:themeFill="accent4" w:themeFillTint="33"/>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15897</w:t>
            </w:r>
          </w:p>
        </w:tc>
        <w:tc>
          <w:tcPr>
            <w:tcW w:w="960" w:type="dxa"/>
            <w:tcBorders>
              <w:top w:val="nil"/>
              <w:left w:val="nil"/>
              <w:bottom w:val="single" w:sz="4" w:space="0" w:color="auto"/>
              <w:right w:val="single" w:sz="4" w:space="0" w:color="auto"/>
            </w:tcBorders>
            <w:shd w:val="clear" w:color="auto" w:fill="E5DFEC" w:themeFill="accent4" w:themeFillTint="33"/>
            <w:noWrap/>
            <w:vAlign w:val="center"/>
            <w:hideMark/>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100,0</w:t>
            </w:r>
          </w:p>
        </w:tc>
        <w:tc>
          <w:tcPr>
            <w:tcW w:w="960" w:type="dxa"/>
            <w:tcBorders>
              <w:top w:val="nil"/>
              <w:left w:val="nil"/>
              <w:bottom w:val="single" w:sz="4" w:space="0" w:color="auto"/>
              <w:right w:val="single" w:sz="4" w:space="0" w:color="auto"/>
            </w:tcBorders>
            <w:shd w:val="clear" w:color="auto" w:fill="E5DFEC" w:themeFill="accent4" w:themeFillTint="33"/>
            <w:noWrap/>
            <w:vAlign w:val="center"/>
          </w:tcPr>
          <w:p w:rsidR="000F0F06" w:rsidRPr="000F0F06" w:rsidRDefault="000F0F06" w:rsidP="000F0F06">
            <w:pPr>
              <w:spacing w:after="0" w:line="240" w:lineRule="auto"/>
              <w:jc w:val="center"/>
              <w:rPr>
                <w:rFonts w:ascii="Times New Roman" w:hAnsi="Times New Roman" w:cs="Times New Roman"/>
                <w:color w:val="000000"/>
                <w:sz w:val="16"/>
                <w:szCs w:val="16"/>
              </w:rPr>
            </w:pPr>
            <w:r w:rsidRPr="000F0F06">
              <w:rPr>
                <w:rFonts w:ascii="Times New Roman" w:hAnsi="Times New Roman" w:cs="Times New Roman"/>
                <w:color w:val="000000"/>
                <w:sz w:val="16"/>
                <w:szCs w:val="16"/>
              </w:rPr>
              <w:t>25 115</w:t>
            </w:r>
          </w:p>
        </w:tc>
        <w:tc>
          <w:tcPr>
            <w:tcW w:w="960" w:type="dxa"/>
            <w:tcBorders>
              <w:top w:val="nil"/>
              <w:left w:val="nil"/>
              <w:bottom w:val="single" w:sz="4" w:space="0" w:color="auto"/>
              <w:right w:val="single" w:sz="4" w:space="0" w:color="auto"/>
            </w:tcBorders>
            <w:shd w:val="clear" w:color="auto" w:fill="E5DFEC" w:themeFill="accent4" w:themeFillTint="33"/>
            <w:noWrap/>
            <w:vAlign w:val="center"/>
            <w:hideMark/>
          </w:tcPr>
          <w:p w:rsidR="000F0F06" w:rsidRPr="000F0F06" w:rsidRDefault="000F0F06" w:rsidP="000F0F06">
            <w:pPr>
              <w:spacing w:after="0" w:line="240" w:lineRule="auto"/>
              <w:jc w:val="center"/>
              <w:rPr>
                <w:rFonts w:ascii="Times New Roman" w:eastAsia="Times New Roman" w:hAnsi="Times New Roman" w:cs="Times New Roman"/>
                <w:sz w:val="16"/>
                <w:szCs w:val="16"/>
                <w:lang w:eastAsia="pl-PL"/>
              </w:rPr>
            </w:pPr>
            <w:r w:rsidRPr="000F0F06">
              <w:rPr>
                <w:rFonts w:ascii="Times New Roman" w:eastAsia="Times New Roman" w:hAnsi="Times New Roman" w:cs="Times New Roman"/>
                <w:sz w:val="16"/>
                <w:szCs w:val="16"/>
                <w:lang w:eastAsia="pl-PL"/>
              </w:rPr>
              <w:t>100,0</w:t>
            </w:r>
          </w:p>
        </w:tc>
      </w:tr>
    </w:tbl>
    <w:p w:rsidR="00D74343" w:rsidRDefault="00D74343" w:rsidP="00D74343">
      <w:pPr>
        <w:pStyle w:val="Default"/>
        <w:jc w:val="both"/>
        <w:rPr>
          <w:bCs/>
          <w:sz w:val="16"/>
          <w:szCs w:val="16"/>
        </w:rPr>
      </w:pPr>
    </w:p>
    <w:p w:rsidR="009E70A0" w:rsidRDefault="009E70A0" w:rsidP="00D74343">
      <w:pPr>
        <w:pStyle w:val="Default"/>
        <w:jc w:val="both"/>
        <w:rPr>
          <w:bCs/>
          <w:sz w:val="16"/>
          <w:szCs w:val="16"/>
        </w:rPr>
      </w:pPr>
    </w:p>
    <w:p w:rsidR="00D74343" w:rsidRPr="00385141" w:rsidRDefault="00D74343" w:rsidP="00D74343">
      <w:pPr>
        <w:pStyle w:val="Default"/>
        <w:pBdr>
          <w:bottom w:val="single" w:sz="4" w:space="1" w:color="auto"/>
        </w:pBdr>
        <w:jc w:val="both"/>
        <w:rPr>
          <w:bCs/>
        </w:rPr>
      </w:pPr>
      <w:r w:rsidRPr="00385141">
        <w:rPr>
          <w:bCs/>
        </w:rPr>
        <w:t>Wnioski:</w:t>
      </w:r>
    </w:p>
    <w:p w:rsidR="00D74343" w:rsidRPr="00385141" w:rsidRDefault="00D74343" w:rsidP="00D74343">
      <w:pPr>
        <w:pStyle w:val="Default"/>
        <w:spacing w:line="360" w:lineRule="auto"/>
        <w:jc w:val="both"/>
        <w:rPr>
          <w:bCs/>
          <w:sz w:val="18"/>
          <w:szCs w:val="18"/>
        </w:rPr>
      </w:pPr>
      <w:r w:rsidRPr="00385141">
        <w:rPr>
          <w:bCs/>
          <w:sz w:val="18"/>
          <w:szCs w:val="18"/>
        </w:rPr>
        <w:t>(na podstawie tabel</w:t>
      </w:r>
      <w:r>
        <w:rPr>
          <w:bCs/>
          <w:sz w:val="18"/>
          <w:szCs w:val="18"/>
        </w:rPr>
        <w:t xml:space="preserve"> </w:t>
      </w:r>
      <w:r w:rsidRPr="00385141">
        <w:rPr>
          <w:bCs/>
          <w:sz w:val="18"/>
          <w:szCs w:val="18"/>
        </w:rPr>
        <w:t>i wykres</w:t>
      </w:r>
      <w:r>
        <w:rPr>
          <w:bCs/>
          <w:sz w:val="18"/>
          <w:szCs w:val="18"/>
        </w:rPr>
        <w:t>ów</w:t>
      </w:r>
      <w:r w:rsidRPr="00385141">
        <w:rPr>
          <w:bCs/>
          <w:sz w:val="18"/>
          <w:szCs w:val="18"/>
        </w:rPr>
        <w:t>)</w:t>
      </w:r>
    </w:p>
    <w:p w:rsidR="00D74343" w:rsidRPr="00CA6E66" w:rsidRDefault="00D74343" w:rsidP="00D74343">
      <w:pPr>
        <w:pStyle w:val="Default"/>
        <w:spacing w:line="360" w:lineRule="auto"/>
        <w:jc w:val="both"/>
        <w:rPr>
          <w:bCs/>
          <w:sz w:val="16"/>
          <w:szCs w:val="16"/>
          <w:highlight w:val="yellow"/>
        </w:rPr>
      </w:pPr>
    </w:p>
    <w:p w:rsidR="00D74343" w:rsidRPr="004D2827" w:rsidRDefault="00D74343" w:rsidP="00D74343">
      <w:pPr>
        <w:pStyle w:val="Akapitzlist"/>
        <w:numPr>
          <w:ilvl w:val="0"/>
          <w:numId w:val="19"/>
        </w:numPr>
        <w:spacing w:after="0" w:line="360" w:lineRule="auto"/>
        <w:jc w:val="both"/>
        <w:rPr>
          <w:rFonts w:ascii="Times New Roman" w:hAnsi="Times New Roman" w:cs="Times New Roman"/>
          <w:bCs/>
          <w:sz w:val="24"/>
          <w:szCs w:val="24"/>
        </w:rPr>
      </w:pPr>
      <w:r w:rsidRPr="004D2827">
        <w:rPr>
          <w:rFonts w:ascii="Times New Roman" w:hAnsi="Times New Roman" w:cs="Times New Roman"/>
          <w:bCs/>
          <w:sz w:val="24"/>
          <w:szCs w:val="24"/>
        </w:rPr>
        <w:t>Odnotowano wzrost liczby osób pracujących (w porównaniu rdr. o 7 824 tj. 0,9</w:t>
      </w:r>
      <w:r w:rsidR="008F2E68">
        <w:rPr>
          <w:rFonts w:ascii="Times New Roman" w:hAnsi="Times New Roman" w:cs="Times New Roman"/>
          <w:bCs/>
          <w:sz w:val="24"/>
          <w:szCs w:val="24"/>
        </w:rPr>
        <w:t xml:space="preserve"> proc.</w:t>
      </w:r>
      <w:r w:rsidRPr="004D2827">
        <w:rPr>
          <w:rFonts w:ascii="Times New Roman" w:hAnsi="Times New Roman" w:cs="Times New Roman"/>
          <w:bCs/>
          <w:sz w:val="24"/>
          <w:szCs w:val="24"/>
        </w:rPr>
        <w:t>)</w:t>
      </w:r>
      <w:r w:rsidR="004D2827">
        <w:rPr>
          <w:rFonts w:ascii="Times New Roman" w:hAnsi="Times New Roman" w:cs="Times New Roman"/>
          <w:bCs/>
          <w:sz w:val="24"/>
          <w:szCs w:val="24"/>
        </w:rPr>
        <w:t xml:space="preserve">. </w:t>
      </w:r>
      <w:r w:rsidRPr="004D2827">
        <w:rPr>
          <w:rFonts w:ascii="Times New Roman" w:hAnsi="Times New Roman" w:cs="Times New Roman"/>
          <w:bCs/>
          <w:sz w:val="24"/>
          <w:szCs w:val="24"/>
        </w:rPr>
        <w:t xml:space="preserve">Kumulacje osób pracujących według poszczególnych sekcji PKD, analizowanych oddzielnie nastąpiły w: </w:t>
      </w:r>
      <w:r w:rsidRPr="004D2827">
        <w:rPr>
          <w:rFonts w:ascii="Times New Roman" w:hAnsi="Times New Roman" w:cs="Times New Roman"/>
          <w:b/>
          <w:bCs/>
          <w:sz w:val="24"/>
          <w:szCs w:val="24"/>
        </w:rPr>
        <w:t>rolnictwie</w:t>
      </w:r>
      <w:r w:rsidRPr="004D2827">
        <w:rPr>
          <w:rFonts w:ascii="Times New Roman" w:hAnsi="Times New Roman" w:cs="Times New Roman"/>
          <w:bCs/>
          <w:sz w:val="24"/>
          <w:szCs w:val="24"/>
        </w:rPr>
        <w:t xml:space="preserve"> (łącznie z leśnictwem, łowiectwem i rybactwem) oraz w </w:t>
      </w:r>
      <w:r w:rsidRPr="004D2827">
        <w:rPr>
          <w:rFonts w:ascii="Times New Roman" w:hAnsi="Times New Roman" w:cs="Times New Roman"/>
          <w:b/>
          <w:bCs/>
          <w:sz w:val="24"/>
          <w:szCs w:val="24"/>
        </w:rPr>
        <w:t>przemyśle i handlu</w:t>
      </w:r>
      <w:r w:rsidRPr="004D2827">
        <w:rPr>
          <w:rFonts w:ascii="Times New Roman" w:hAnsi="Times New Roman" w:cs="Times New Roman"/>
          <w:bCs/>
          <w:sz w:val="24"/>
          <w:szCs w:val="24"/>
        </w:rPr>
        <w:t>.</w:t>
      </w:r>
    </w:p>
    <w:p w:rsidR="00D74343" w:rsidRPr="003825E1" w:rsidRDefault="00D74343" w:rsidP="00D74343">
      <w:pPr>
        <w:pStyle w:val="Akapitzlist"/>
        <w:numPr>
          <w:ilvl w:val="0"/>
          <w:numId w:val="19"/>
        </w:numPr>
        <w:spacing w:after="0" w:line="360" w:lineRule="auto"/>
        <w:jc w:val="both"/>
        <w:rPr>
          <w:rFonts w:ascii="Times New Roman" w:hAnsi="Times New Roman" w:cs="Times New Roman"/>
          <w:bCs/>
          <w:sz w:val="24"/>
          <w:szCs w:val="24"/>
        </w:rPr>
      </w:pPr>
      <w:r w:rsidRPr="003825E1">
        <w:rPr>
          <w:rFonts w:ascii="Times New Roman" w:hAnsi="Times New Roman" w:cs="Times New Roman"/>
          <w:bCs/>
          <w:sz w:val="24"/>
          <w:szCs w:val="24"/>
        </w:rPr>
        <w:lastRenderedPageBreak/>
        <w:t>Największy wzrost nastąpił w budownictwie (o 2253 osoby), przemyśle (1490) i w transporcie (1489).</w:t>
      </w:r>
      <w:r w:rsidR="003825E1">
        <w:rPr>
          <w:rFonts w:ascii="Times New Roman" w:hAnsi="Times New Roman" w:cs="Times New Roman"/>
          <w:bCs/>
          <w:sz w:val="24"/>
          <w:szCs w:val="24"/>
        </w:rPr>
        <w:t xml:space="preserve"> </w:t>
      </w:r>
      <w:r w:rsidRPr="003825E1">
        <w:rPr>
          <w:rFonts w:ascii="Times New Roman" w:hAnsi="Times New Roman" w:cs="Times New Roman"/>
          <w:bCs/>
          <w:sz w:val="24"/>
          <w:szCs w:val="24"/>
        </w:rPr>
        <w:t>Przemysł (w tym przetwórstwo przemysłowe) i budownictwo skupiają łącznie ponad ¼ pracujących tj. w 2019 roku – 26,0 proc. </w:t>
      </w:r>
      <w:r w:rsidRPr="00E139E4">
        <w:rPr>
          <w:rStyle w:val="Odwoanieprzypisudolnego"/>
          <w:rFonts w:ascii="Times New Roman" w:hAnsi="Times New Roman" w:cs="Times New Roman"/>
          <w:bCs/>
          <w:sz w:val="24"/>
          <w:szCs w:val="24"/>
        </w:rPr>
        <w:footnoteReference w:id="18"/>
      </w:r>
      <w:r w:rsidRPr="003825E1">
        <w:rPr>
          <w:rFonts w:ascii="Times New Roman" w:hAnsi="Times New Roman" w:cs="Times New Roman"/>
          <w:bCs/>
          <w:sz w:val="24"/>
          <w:szCs w:val="24"/>
        </w:rPr>
        <w:t>,</w:t>
      </w:r>
    </w:p>
    <w:p w:rsidR="00D74343" w:rsidRPr="002F1B36" w:rsidRDefault="00D74343" w:rsidP="00D74343">
      <w:pPr>
        <w:pStyle w:val="Akapitzlist"/>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Odnotowano wzrost udziału osób pracujących w przemyśle (sekcje B do F) w ogólnej liczbie osób pracujących (z 24,4 proc. do 26,0 proc.).</w:t>
      </w:r>
    </w:p>
    <w:p w:rsidR="00D74343" w:rsidRPr="002F1B36" w:rsidRDefault="00D74343" w:rsidP="00D74343">
      <w:pPr>
        <w:pStyle w:val="Akapitzlist"/>
        <w:numPr>
          <w:ilvl w:val="0"/>
          <w:numId w:val="19"/>
        </w:numPr>
        <w:spacing w:after="0" w:line="360" w:lineRule="auto"/>
        <w:jc w:val="both"/>
        <w:rPr>
          <w:rFonts w:ascii="Times New Roman" w:hAnsi="Times New Roman" w:cs="Times New Roman"/>
          <w:bCs/>
          <w:sz w:val="24"/>
          <w:szCs w:val="24"/>
        </w:rPr>
      </w:pPr>
      <w:r w:rsidRPr="002F1B36">
        <w:rPr>
          <w:rFonts w:ascii="Times New Roman" w:hAnsi="Times New Roman" w:cs="Times New Roman"/>
          <w:bCs/>
          <w:sz w:val="24"/>
          <w:szCs w:val="24"/>
        </w:rPr>
        <w:t>Różnica pomiędzy liczbą osób w wieku produkcyjnym</w:t>
      </w:r>
      <w:r w:rsidR="00124E47">
        <w:rPr>
          <w:rFonts w:ascii="Times New Roman" w:hAnsi="Times New Roman" w:cs="Times New Roman"/>
          <w:bCs/>
          <w:sz w:val="24"/>
          <w:szCs w:val="24"/>
        </w:rPr>
        <w:t xml:space="preserve"> </w:t>
      </w:r>
      <w:r w:rsidRPr="002F1B36">
        <w:rPr>
          <w:rFonts w:ascii="Times New Roman" w:hAnsi="Times New Roman" w:cs="Times New Roman"/>
          <w:bCs/>
          <w:sz w:val="24"/>
          <w:szCs w:val="24"/>
        </w:rPr>
        <w:t>w przedziale od 26 do 65 lat a</w:t>
      </w:r>
      <w:r w:rsidR="00124E47">
        <w:rPr>
          <w:rFonts w:ascii="Times New Roman" w:hAnsi="Times New Roman" w:cs="Times New Roman"/>
          <w:bCs/>
          <w:sz w:val="24"/>
          <w:szCs w:val="24"/>
        </w:rPr>
        <w:t> </w:t>
      </w:r>
      <w:r w:rsidRPr="002F1B36">
        <w:rPr>
          <w:rFonts w:ascii="Times New Roman" w:hAnsi="Times New Roman" w:cs="Times New Roman"/>
          <w:bCs/>
          <w:sz w:val="24"/>
          <w:szCs w:val="24"/>
        </w:rPr>
        <w:t>osobami aktywnymi zawodowo</w:t>
      </w:r>
      <w:r>
        <w:rPr>
          <w:rFonts w:ascii="Times New Roman" w:hAnsi="Times New Roman" w:cs="Times New Roman"/>
          <w:bCs/>
          <w:sz w:val="24"/>
          <w:szCs w:val="24"/>
        </w:rPr>
        <w:t>,</w:t>
      </w:r>
      <w:r w:rsidRPr="002F1B36">
        <w:rPr>
          <w:rFonts w:ascii="Times New Roman" w:hAnsi="Times New Roman" w:cs="Times New Roman"/>
          <w:bCs/>
          <w:sz w:val="24"/>
          <w:szCs w:val="24"/>
        </w:rPr>
        <w:t xml:space="preserve"> czyli a) pracującymi (874,6 tys. osób) i b) bezrobotnymi (87, 3 tys. osób) wyniosła w 2019 roku 172, 5 tys. osób.</w:t>
      </w:r>
    </w:p>
    <w:p w:rsidR="00D74343" w:rsidRPr="00435DDB" w:rsidRDefault="00D74343" w:rsidP="00D74343">
      <w:pPr>
        <w:pStyle w:val="Akapitzlist"/>
        <w:numPr>
          <w:ilvl w:val="0"/>
          <w:numId w:val="19"/>
        </w:numPr>
        <w:spacing w:after="0" w:line="360" w:lineRule="auto"/>
        <w:jc w:val="both"/>
        <w:rPr>
          <w:rFonts w:ascii="Times New Roman" w:hAnsi="Times New Roman" w:cs="Times New Roman"/>
          <w:bCs/>
          <w:sz w:val="24"/>
          <w:szCs w:val="24"/>
        </w:rPr>
      </w:pPr>
      <w:r w:rsidRPr="003825E1">
        <w:rPr>
          <w:rFonts w:ascii="Times New Roman" w:hAnsi="Times New Roman" w:cs="Times New Roman"/>
          <w:bCs/>
          <w:sz w:val="24"/>
          <w:szCs w:val="24"/>
        </w:rPr>
        <w:t xml:space="preserve">Najwięcej osób pracujących </w:t>
      </w:r>
      <w:r w:rsidR="004D2827" w:rsidRPr="003825E1">
        <w:rPr>
          <w:rFonts w:ascii="Times New Roman" w:hAnsi="Times New Roman" w:cs="Times New Roman"/>
          <w:bCs/>
          <w:sz w:val="24"/>
          <w:szCs w:val="24"/>
        </w:rPr>
        <w:t>(</w:t>
      </w:r>
      <w:r w:rsidRPr="003825E1">
        <w:rPr>
          <w:rFonts w:ascii="Times New Roman" w:hAnsi="Times New Roman" w:cs="Times New Roman"/>
          <w:bCs/>
          <w:sz w:val="24"/>
          <w:szCs w:val="24"/>
        </w:rPr>
        <w:t>sekcje PKD</w:t>
      </w:r>
      <w:r w:rsidR="004D2827" w:rsidRPr="003825E1">
        <w:rPr>
          <w:rFonts w:ascii="Times New Roman" w:hAnsi="Times New Roman" w:cs="Times New Roman"/>
          <w:bCs/>
          <w:sz w:val="24"/>
          <w:szCs w:val="24"/>
        </w:rPr>
        <w:t xml:space="preserve"> łączone)</w:t>
      </w:r>
      <w:r w:rsidRPr="003825E1">
        <w:rPr>
          <w:rFonts w:ascii="Times New Roman" w:hAnsi="Times New Roman" w:cs="Times New Roman"/>
          <w:bCs/>
          <w:sz w:val="24"/>
          <w:szCs w:val="24"/>
        </w:rPr>
        <w:t xml:space="preserve"> odnotowano w usługach (2019 rok – 32,2 proc.), rolnictwie (29,7 proc.) i w produkcji (26,0 proc.) </w:t>
      </w:r>
      <w:r w:rsidRPr="00E139E4">
        <w:rPr>
          <w:rStyle w:val="Odwoanieprzypisudolnego"/>
          <w:rFonts w:ascii="Times New Roman" w:hAnsi="Times New Roman" w:cs="Times New Roman"/>
          <w:bCs/>
          <w:sz w:val="24"/>
          <w:szCs w:val="24"/>
        </w:rPr>
        <w:footnoteReference w:id="19"/>
      </w:r>
      <w:r w:rsidR="003825E1" w:rsidRPr="003825E1">
        <w:rPr>
          <w:rFonts w:ascii="Times New Roman" w:hAnsi="Times New Roman" w:cs="Times New Roman"/>
          <w:bCs/>
          <w:sz w:val="24"/>
          <w:szCs w:val="24"/>
        </w:rPr>
        <w:t xml:space="preserve">. </w:t>
      </w:r>
      <w:r w:rsidR="00124E47" w:rsidRPr="00435DDB">
        <w:rPr>
          <w:rFonts w:ascii="Times New Roman" w:hAnsi="Times New Roman" w:cs="Times New Roman"/>
          <w:bCs/>
          <w:sz w:val="24"/>
          <w:szCs w:val="24"/>
        </w:rPr>
        <w:t>W województwie podkarpackim odnotowano n</w:t>
      </w:r>
      <w:r w:rsidRPr="00435DDB">
        <w:rPr>
          <w:rFonts w:ascii="Times New Roman" w:hAnsi="Times New Roman" w:cs="Times New Roman"/>
          <w:bCs/>
          <w:sz w:val="24"/>
          <w:szCs w:val="24"/>
        </w:rPr>
        <w:t>ajniższy w</w:t>
      </w:r>
      <w:r w:rsidR="003825E1" w:rsidRPr="00435DDB">
        <w:rPr>
          <w:rFonts w:ascii="Times New Roman" w:hAnsi="Times New Roman" w:cs="Times New Roman"/>
          <w:bCs/>
          <w:sz w:val="24"/>
          <w:szCs w:val="24"/>
        </w:rPr>
        <w:t> </w:t>
      </w:r>
      <w:r w:rsidRPr="00435DDB">
        <w:rPr>
          <w:rFonts w:ascii="Times New Roman" w:hAnsi="Times New Roman" w:cs="Times New Roman"/>
          <w:bCs/>
          <w:sz w:val="24"/>
          <w:szCs w:val="24"/>
        </w:rPr>
        <w:t>kraju udział osób zatrudnionych w usługach </w:t>
      </w:r>
      <w:r w:rsidRPr="00435DDB">
        <w:rPr>
          <w:rStyle w:val="Odwoanieprzypisudolnego"/>
          <w:rFonts w:ascii="Times New Roman" w:hAnsi="Times New Roman" w:cs="Times New Roman"/>
          <w:bCs/>
          <w:sz w:val="24"/>
          <w:szCs w:val="24"/>
        </w:rPr>
        <w:footnoteReference w:id="20"/>
      </w:r>
      <w:r w:rsidRPr="00435DDB">
        <w:rPr>
          <w:rFonts w:ascii="Times New Roman" w:hAnsi="Times New Roman" w:cs="Times New Roman"/>
          <w:bCs/>
          <w:sz w:val="24"/>
          <w:szCs w:val="24"/>
        </w:rPr>
        <w:t>.</w:t>
      </w:r>
    </w:p>
    <w:p w:rsidR="003825E1" w:rsidRPr="003825E1" w:rsidRDefault="003825E1" w:rsidP="00D74343">
      <w:pPr>
        <w:pStyle w:val="Akapitzlist"/>
        <w:numPr>
          <w:ilvl w:val="0"/>
          <w:numId w:val="19"/>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Największą liczbę ofert pracy w PUP zgłoszonych przez pracodawców odnotowano w sektorze usług (44,6</w:t>
      </w:r>
      <w:r w:rsidR="008F2E68">
        <w:rPr>
          <w:rFonts w:ascii="Times New Roman" w:hAnsi="Times New Roman" w:cs="Times New Roman"/>
          <w:bCs/>
          <w:sz w:val="24"/>
          <w:szCs w:val="24"/>
        </w:rPr>
        <w:t xml:space="preserve"> proc.</w:t>
      </w:r>
      <w:r>
        <w:rPr>
          <w:rFonts w:ascii="Times New Roman" w:hAnsi="Times New Roman" w:cs="Times New Roman"/>
          <w:bCs/>
          <w:sz w:val="24"/>
          <w:szCs w:val="24"/>
        </w:rPr>
        <w:t>), produkcji</w:t>
      </w:r>
      <w:r w:rsidR="00F31F42">
        <w:rPr>
          <w:rFonts w:ascii="Times New Roman" w:hAnsi="Times New Roman" w:cs="Times New Roman"/>
          <w:bCs/>
          <w:sz w:val="24"/>
          <w:szCs w:val="24"/>
        </w:rPr>
        <w:t>,</w:t>
      </w:r>
      <w:r>
        <w:rPr>
          <w:rFonts w:ascii="Times New Roman" w:hAnsi="Times New Roman" w:cs="Times New Roman"/>
          <w:bCs/>
          <w:sz w:val="24"/>
          <w:szCs w:val="24"/>
        </w:rPr>
        <w:t xml:space="preserve"> gł</w:t>
      </w:r>
      <w:r w:rsidR="00F31F42">
        <w:rPr>
          <w:rFonts w:ascii="Times New Roman" w:hAnsi="Times New Roman" w:cs="Times New Roman"/>
          <w:bCs/>
          <w:sz w:val="24"/>
          <w:szCs w:val="24"/>
        </w:rPr>
        <w:t>ó</w:t>
      </w:r>
      <w:r>
        <w:rPr>
          <w:rFonts w:ascii="Times New Roman" w:hAnsi="Times New Roman" w:cs="Times New Roman"/>
          <w:bCs/>
          <w:sz w:val="24"/>
          <w:szCs w:val="24"/>
        </w:rPr>
        <w:t>wnie przetwórstwo przemysłowe – (40,1</w:t>
      </w:r>
      <w:r w:rsidR="008F2E68">
        <w:rPr>
          <w:rFonts w:ascii="Times New Roman" w:hAnsi="Times New Roman" w:cs="Times New Roman"/>
          <w:bCs/>
          <w:sz w:val="24"/>
          <w:szCs w:val="24"/>
        </w:rPr>
        <w:t> proc.</w:t>
      </w:r>
      <w:r>
        <w:rPr>
          <w:rFonts w:ascii="Times New Roman" w:hAnsi="Times New Roman" w:cs="Times New Roman"/>
          <w:bCs/>
          <w:sz w:val="24"/>
          <w:szCs w:val="24"/>
        </w:rPr>
        <w:t>) i w handlu (14,4</w:t>
      </w:r>
      <w:r w:rsidR="008F2E68">
        <w:rPr>
          <w:rFonts w:ascii="Times New Roman" w:hAnsi="Times New Roman" w:cs="Times New Roman"/>
          <w:bCs/>
          <w:sz w:val="24"/>
          <w:szCs w:val="24"/>
        </w:rPr>
        <w:t xml:space="preserve"> proc.</w:t>
      </w:r>
      <w:r>
        <w:rPr>
          <w:rFonts w:ascii="Times New Roman" w:hAnsi="Times New Roman" w:cs="Times New Roman"/>
          <w:bCs/>
          <w:sz w:val="24"/>
          <w:szCs w:val="24"/>
        </w:rPr>
        <w:t>).</w:t>
      </w:r>
    </w:p>
    <w:p w:rsidR="009E70A0" w:rsidRPr="00D0224E" w:rsidRDefault="009E70A0" w:rsidP="00D74343">
      <w:pPr>
        <w:pStyle w:val="Bezodstpw"/>
        <w:jc w:val="both"/>
        <w:rPr>
          <w:rFonts w:ascii="Times New Roman" w:hAnsi="Times New Roman" w:cs="Times New Roman"/>
          <w:sz w:val="16"/>
          <w:szCs w:val="16"/>
          <w:highlight w:val="yellow"/>
        </w:rPr>
      </w:pPr>
    </w:p>
    <w:p w:rsidR="004A1253" w:rsidRPr="00D0224E" w:rsidRDefault="00D74343" w:rsidP="004A1253">
      <w:pPr>
        <w:pStyle w:val="Bezodstpw"/>
        <w:jc w:val="center"/>
        <w:rPr>
          <w:rFonts w:ascii="Times New Roman" w:hAnsi="Times New Roman" w:cs="Times New Roman"/>
          <w:sz w:val="16"/>
          <w:szCs w:val="16"/>
          <w:highlight w:val="yellow"/>
        </w:rPr>
      </w:pPr>
      <w:r w:rsidRPr="00DA2AB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Liczba osób pracujących w powiatach województwa podkarpackiego </w:t>
      </w:r>
      <w:r w:rsidRPr="00DA2AB0">
        <w:rPr>
          <w:rStyle w:val="Odwoanieprzypisudolnego"/>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footnoteReference w:id="21"/>
      </w:r>
      <w:r w:rsidR="004D2827">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B</w:t>
      </w:r>
      <w:r w:rsidRPr="00DA2AB0">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EZ podmiotów gospodarczych o liczbie pracujących do 9 osób, patrz przypis</w:t>
      </w:r>
    </w:p>
    <w:p w:rsidR="004A1253" w:rsidRPr="00D0224E" w:rsidRDefault="004A1253" w:rsidP="004A1253">
      <w:pPr>
        <w:pStyle w:val="Bezodstpw"/>
        <w:jc w:val="both"/>
        <w:rPr>
          <w:rFonts w:ascii="Times New Roman" w:hAnsi="Times New Roman" w:cs="Times New Roman"/>
          <w:sz w:val="16"/>
          <w:szCs w:val="16"/>
          <w:highlight w:val="yellow"/>
        </w:rPr>
      </w:pPr>
    </w:p>
    <w:tbl>
      <w:tblPr>
        <w:tblStyle w:val="Tabela-Siatka"/>
        <w:tblW w:w="3909" w:type="pct"/>
        <w:jc w:val="center"/>
        <w:tblInd w:w="1493" w:type="dxa"/>
        <w:tblLook w:val="04A0" w:firstRow="1" w:lastRow="0" w:firstColumn="1" w:lastColumn="0" w:noHBand="0" w:noVBand="1"/>
      </w:tblPr>
      <w:tblGrid>
        <w:gridCol w:w="1790"/>
        <w:gridCol w:w="1416"/>
        <w:gridCol w:w="1276"/>
        <w:gridCol w:w="1227"/>
        <w:gridCol w:w="1551"/>
      </w:tblGrid>
      <w:tr w:rsidR="00D74343" w:rsidRPr="00CA6E66" w:rsidTr="00977C90">
        <w:trPr>
          <w:jc w:val="center"/>
        </w:trPr>
        <w:tc>
          <w:tcPr>
            <w:tcW w:w="1233" w:type="pct"/>
            <w:shd w:val="clear" w:color="auto" w:fill="E5DFEC" w:themeFill="accent4" w:themeFillTint="33"/>
            <w:vAlign w:val="center"/>
          </w:tcPr>
          <w:p w:rsidR="00D74343" w:rsidRPr="00DA2AB0" w:rsidRDefault="00D74343" w:rsidP="00977C90">
            <w:pPr>
              <w:jc w:val="center"/>
              <w:rPr>
                <w:rFonts w:ascii="Times New Roman" w:hAnsi="Times New Roman" w:cs="Times New Roman"/>
                <w:sz w:val="16"/>
                <w:szCs w:val="16"/>
              </w:rPr>
            </w:pPr>
          </w:p>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POWIAT</w:t>
            </w:r>
          </w:p>
          <w:p w:rsidR="00D74343" w:rsidRPr="00DA2AB0" w:rsidRDefault="00D74343" w:rsidP="00977C90">
            <w:pPr>
              <w:jc w:val="center"/>
              <w:rPr>
                <w:rFonts w:ascii="Times New Roman" w:hAnsi="Times New Roman" w:cs="Times New Roman"/>
                <w:sz w:val="16"/>
                <w:szCs w:val="16"/>
              </w:rPr>
            </w:pPr>
          </w:p>
        </w:tc>
        <w:tc>
          <w:tcPr>
            <w:tcW w:w="975" w:type="pct"/>
            <w:shd w:val="clear" w:color="auto" w:fill="E5DFEC" w:themeFill="accent4" w:themeFillTint="33"/>
            <w:vAlign w:val="center"/>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NUTS III</w:t>
            </w:r>
          </w:p>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(Subregion)</w:t>
            </w:r>
          </w:p>
        </w:tc>
        <w:tc>
          <w:tcPr>
            <w:tcW w:w="879" w:type="pct"/>
            <w:shd w:val="clear" w:color="auto" w:fill="E5DFEC" w:themeFill="accent4" w:themeFillTint="33"/>
            <w:vAlign w:val="center"/>
          </w:tcPr>
          <w:p w:rsidR="00D74343"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31 XII</w:t>
            </w:r>
          </w:p>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201</w:t>
            </w:r>
            <w:r>
              <w:rPr>
                <w:rFonts w:ascii="Times New Roman" w:hAnsi="Times New Roman" w:cs="Times New Roman"/>
                <w:sz w:val="16"/>
                <w:szCs w:val="16"/>
              </w:rPr>
              <w:t>8 rok</w:t>
            </w:r>
          </w:p>
        </w:tc>
        <w:tc>
          <w:tcPr>
            <w:tcW w:w="845" w:type="pct"/>
            <w:shd w:val="clear" w:color="auto" w:fill="E5DFEC" w:themeFill="accent4" w:themeFillTint="33"/>
            <w:vAlign w:val="center"/>
          </w:tcPr>
          <w:p w:rsidR="00D74343"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31 XII</w:t>
            </w:r>
          </w:p>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 xml:space="preserve"> 201</w:t>
            </w:r>
            <w:r>
              <w:rPr>
                <w:rFonts w:ascii="Times New Roman" w:hAnsi="Times New Roman" w:cs="Times New Roman"/>
                <w:sz w:val="16"/>
                <w:szCs w:val="16"/>
              </w:rPr>
              <w:t>9 rok</w:t>
            </w:r>
          </w:p>
        </w:tc>
        <w:tc>
          <w:tcPr>
            <w:tcW w:w="1068" w:type="pct"/>
            <w:shd w:val="clear" w:color="auto" w:fill="E5DFEC" w:themeFill="accent4" w:themeFillTint="33"/>
            <w:vAlign w:val="center"/>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WZROST /</w:t>
            </w:r>
          </w:p>
          <w:p w:rsidR="00D74343"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SPADEK</w:t>
            </w:r>
          </w:p>
          <w:p w:rsidR="00D74343" w:rsidRPr="00DA2AB0" w:rsidRDefault="00D74343" w:rsidP="00977C90">
            <w:pPr>
              <w:jc w:val="center"/>
              <w:rPr>
                <w:rFonts w:ascii="Times New Roman" w:hAnsi="Times New Roman" w:cs="Times New Roman"/>
                <w:sz w:val="16"/>
                <w:szCs w:val="16"/>
              </w:rPr>
            </w:pPr>
            <w:r>
              <w:rPr>
                <w:rFonts w:ascii="Times New Roman" w:hAnsi="Times New Roman" w:cs="Times New Roman"/>
                <w:sz w:val="16"/>
                <w:szCs w:val="16"/>
              </w:rPr>
              <w:t>(w liczbach bezwzględnych)</w:t>
            </w:r>
          </w:p>
        </w:tc>
      </w:tr>
      <w:tr w:rsidR="00D74343" w:rsidRPr="00CA6E66" w:rsidTr="00977C90">
        <w:trPr>
          <w:jc w:val="center"/>
        </w:trPr>
        <w:tc>
          <w:tcPr>
            <w:tcW w:w="1233" w:type="pct"/>
            <w:shd w:val="clear" w:color="auto" w:fill="E5DFEC" w:themeFill="accent4" w:themeFillTint="33"/>
          </w:tcPr>
          <w:p w:rsidR="00D74343" w:rsidRPr="00DA2AB0" w:rsidRDefault="00D74343" w:rsidP="00977C90">
            <w:pPr>
              <w:rPr>
                <w:rFonts w:ascii="Times New Roman" w:hAnsi="Times New Roman" w:cs="Times New Roman"/>
                <w:b/>
                <w:sz w:val="16"/>
                <w:szCs w:val="16"/>
              </w:rPr>
            </w:pPr>
            <w:r w:rsidRPr="00DA2AB0">
              <w:rPr>
                <w:rFonts w:ascii="Times New Roman" w:hAnsi="Times New Roman" w:cs="Times New Roman"/>
                <w:b/>
                <w:sz w:val="16"/>
                <w:szCs w:val="16"/>
              </w:rPr>
              <w:t>Polska</w:t>
            </w:r>
          </w:p>
        </w:tc>
        <w:tc>
          <w:tcPr>
            <w:tcW w:w="975" w:type="pct"/>
            <w:shd w:val="clear" w:color="auto" w:fill="E5DFEC" w:themeFill="accent4" w:themeFillTint="33"/>
          </w:tcPr>
          <w:p w:rsidR="00D74343" w:rsidRPr="00DA2AB0" w:rsidRDefault="00D74343" w:rsidP="00977C90">
            <w:pPr>
              <w:jc w:val="center"/>
              <w:rPr>
                <w:rFonts w:ascii="Times New Roman" w:hAnsi="Times New Roman" w:cs="Times New Roman"/>
                <w:b/>
                <w:color w:val="000000"/>
                <w:sz w:val="16"/>
                <w:szCs w:val="16"/>
              </w:rPr>
            </w:pPr>
            <w:r w:rsidRPr="00DA2AB0">
              <w:rPr>
                <w:rFonts w:ascii="Times New Roman" w:hAnsi="Times New Roman" w:cs="Times New Roman"/>
                <w:b/>
                <w:color w:val="000000"/>
                <w:sz w:val="16"/>
                <w:szCs w:val="16"/>
              </w:rPr>
              <w:t>---</w:t>
            </w:r>
          </w:p>
        </w:tc>
        <w:tc>
          <w:tcPr>
            <w:tcW w:w="879" w:type="pct"/>
            <w:shd w:val="clear" w:color="auto" w:fill="E5DFEC" w:themeFill="accent4" w:themeFillTint="33"/>
            <w:vAlign w:val="bottom"/>
          </w:tcPr>
          <w:p w:rsidR="00D74343" w:rsidRPr="00DA2AB0" w:rsidRDefault="00D74343" w:rsidP="00977C90">
            <w:pPr>
              <w:jc w:val="center"/>
              <w:rPr>
                <w:rFonts w:ascii="Times New Roman" w:hAnsi="Times New Roman" w:cs="Times New Roman"/>
                <w:b/>
                <w:sz w:val="16"/>
                <w:szCs w:val="16"/>
              </w:rPr>
            </w:pPr>
            <w:r w:rsidRPr="00DA2AB0">
              <w:rPr>
                <w:rFonts w:ascii="Times New Roman" w:hAnsi="Times New Roman" w:cs="Times New Roman"/>
                <w:b/>
                <w:sz w:val="16"/>
                <w:szCs w:val="16"/>
              </w:rPr>
              <w:t>12 005 907</w:t>
            </w:r>
          </w:p>
        </w:tc>
        <w:tc>
          <w:tcPr>
            <w:tcW w:w="845" w:type="pct"/>
            <w:shd w:val="clear" w:color="auto" w:fill="E5DFEC" w:themeFill="accent4" w:themeFillTint="33"/>
            <w:vAlign w:val="bottom"/>
          </w:tcPr>
          <w:p w:rsidR="00D74343" w:rsidRPr="009F396F" w:rsidRDefault="00D74343" w:rsidP="00977C90">
            <w:pPr>
              <w:jc w:val="center"/>
              <w:rPr>
                <w:rFonts w:ascii="Times New Roman" w:hAnsi="Times New Roman" w:cs="Times New Roman"/>
                <w:b/>
                <w:sz w:val="16"/>
                <w:szCs w:val="16"/>
              </w:rPr>
            </w:pPr>
            <w:r w:rsidRPr="009F396F">
              <w:rPr>
                <w:rFonts w:ascii="Times New Roman" w:hAnsi="Times New Roman" w:cs="Times New Roman"/>
                <w:b/>
                <w:sz w:val="16"/>
                <w:szCs w:val="16"/>
              </w:rPr>
              <w:t>12 151 375</w:t>
            </w:r>
          </w:p>
        </w:tc>
        <w:tc>
          <w:tcPr>
            <w:tcW w:w="1068" w:type="pct"/>
            <w:shd w:val="clear" w:color="auto" w:fill="E5DFEC" w:themeFill="accent4" w:themeFillTint="33"/>
            <w:vAlign w:val="center"/>
          </w:tcPr>
          <w:p w:rsidR="00D74343" w:rsidRPr="009F396F" w:rsidRDefault="00D74343" w:rsidP="00977C90">
            <w:pPr>
              <w:jc w:val="center"/>
              <w:rPr>
                <w:rFonts w:ascii="Times New Roman" w:hAnsi="Times New Roman" w:cs="Times New Roman"/>
                <w:b/>
                <w:sz w:val="16"/>
                <w:szCs w:val="16"/>
              </w:rPr>
            </w:pPr>
            <w:r w:rsidRPr="009F396F">
              <w:rPr>
                <w:rFonts w:ascii="Times New Roman" w:hAnsi="Times New Roman" w:cs="Times New Roman"/>
                <w:b/>
                <w:sz w:val="16"/>
                <w:szCs w:val="16"/>
              </w:rPr>
              <w:t>145 468</w:t>
            </w:r>
          </w:p>
        </w:tc>
      </w:tr>
      <w:tr w:rsidR="00D74343" w:rsidRPr="00CA6E66" w:rsidTr="00977C90">
        <w:trPr>
          <w:jc w:val="center"/>
        </w:trPr>
        <w:tc>
          <w:tcPr>
            <w:tcW w:w="1233" w:type="pct"/>
            <w:shd w:val="clear" w:color="auto" w:fill="E5DFEC" w:themeFill="accent4" w:themeFillTint="33"/>
          </w:tcPr>
          <w:p w:rsidR="00D74343" w:rsidRPr="00DA2AB0" w:rsidRDefault="00D74343" w:rsidP="00977C90">
            <w:pPr>
              <w:rPr>
                <w:rFonts w:ascii="Times New Roman" w:hAnsi="Times New Roman" w:cs="Times New Roman"/>
                <w:b/>
                <w:sz w:val="16"/>
                <w:szCs w:val="16"/>
              </w:rPr>
            </w:pPr>
            <w:r w:rsidRPr="00DA2AB0">
              <w:rPr>
                <w:rFonts w:ascii="Times New Roman" w:hAnsi="Times New Roman" w:cs="Times New Roman"/>
                <w:b/>
                <w:sz w:val="16"/>
                <w:szCs w:val="16"/>
              </w:rPr>
              <w:t>woj. podkarpackie</w:t>
            </w:r>
          </w:p>
        </w:tc>
        <w:tc>
          <w:tcPr>
            <w:tcW w:w="975" w:type="pct"/>
            <w:shd w:val="clear" w:color="auto" w:fill="E5DFEC" w:themeFill="accent4" w:themeFillTint="33"/>
          </w:tcPr>
          <w:p w:rsidR="00D74343" w:rsidRPr="00DA2AB0" w:rsidRDefault="00D74343" w:rsidP="00977C90">
            <w:pPr>
              <w:jc w:val="center"/>
              <w:rPr>
                <w:rFonts w:ascii="Times New Roman" w:hAnsi="Times New Roman" w:cs="Times New Roman"/>
                <w:b/>
                <w:color w:val="000000"/>
                <w:sz w:val="16"/>
                <w:szCs w:val="16"/>
              </w:rPr>
            </w:pPr>
            <w:r w:rsidRPr="00DA2AB0">
              <w:rPr>
                <w:rFonts w:ascii="Times New Roman" w:hAnsi="Times New Roman" w:cs="Times New Roman"/>
                <w:b/>
                <w:color w:val="000000"/>
                <w:sz w:val="16"/>
                <w:szCs w:val="16"/>
              </w:rPr>
              <w:t>---</w:t>
            </w:r>
          </w:p>
        </w:tc>
        <w:tc>
          <w:tcPr>
            <w:tcW w:w="879" w:type="pct"/>
            <w:shd w:val="clear" w:color="auto" w:fill="E5DFEC" w:themeFill="accent4" w:themeFillTint="33"/>
            <w:vAlign w:val="bottom"/>
          </w:tcPr>
          <w:p w:rsidR="00D74343" w:rsidRPr="00DA2AB0" w:rsidRDefault="00D74343" w:rsidP="00977C90">
            <w:pPr>
              <w:jc w:val="center"/>
              <w:rPr>
                <w:rFonts w:ascii="Times New Roman" w:hAnsi="Times New Roman" w:cs="Times New Roman"/>
                <w:b/>
                <w:sz w:val="16"/>
                <w:szCs w:val="16"/>
              </w:rPr>
            </w:pPr>
            <w:r w:rsidRPr="00DA2AB0">
              <w:rPr>
                <w:rFonts w:ascii="Times New Roman" w:hAnsi="Times New Roman" w:cs="Times New Roman"/>
                <w:b/>
                <w:sz w:val="16"/>
                <w:szCs w:val="16"/>
              </w:rPr>
              <w:t>722 433</w:t>
            </w:r>
          </w:p>
        </w:tc>
        <w:tc>
          <w:tcPr>
            <w:tcW w:w="845" w:type="pct"/>
            <w:shd w:val="clear" w:color="auto" w:fill="E5DFEC" w:themeFill="accent4" w:themeFillTint="33"/>
            <w:vAlign w:val="bottom"/>
          </w:tcPr>
          <w:p w:rsidR="00D74343" w:rsidRPr="009F396F" w:rsidRDefault="00D74343" w:rsidP="00977C90">
            <w:pPr>
              <w:jc w:val="center"/>
              <w:rPr>
                <w:rFonts w:ascii="Times New Roman" w:hAnsi="Times New Roman" w:cs="Times New Roman"/>
                <w:b/>
                <w:sz w:val="16"/>
                <w:szCs w:val="16"/>
              </w:rPr>
            </w:pPr>
            <w:r w:rsidRPr="009F396F">
              <w:rPr>
                <w:rFonts w:ascii="Times New Roman" w:hAnsi="Times New Roman" w:cs="Times New Roman"/>
                <w:b/>
                <w:sz w:val="16"/>
                <w:szCs w:val="16"/>
              </w:rPr>
              <w:t>728 694</w:t>
            </w:r>
          </w:p>
        </w:tc>
        <w:tc>
          <w:tcPr>
            <w:tcW w:w="1068" w:type="pct"/>
            <w:shd w:val="clear" w:color="auto" w:fill="E5DFEC" w:themeFill="accent4" w:themeFillTint="33"/>
            <w:vAlign w:val="center"/>
          </w:tcPr>
          <w:p w:rsidR="00D74343" w:rsidRPr="009F396F" w:rsidRDefault="00D74343" w:rsidP="00977C90">
            <w:pPr>
              <w:jc w:val="center"/>
              <w:rPr>
                <w:rFonts w:ascii="Times New Roman" w:hAnsi="Times New Roman" w:cs="Times New Roman"/>
                <w:b/>
                <w:sz w:val="16"/>
                <w:szCs w:val="16"/>
              </w:rPr>
            </w:pPr>
            <w:r w:rsidRPr="009F396F">
              <w:rPr>
                <w:rFonts w:ascii="Times New Roman" w:hAnsi="Times New Roman" w:cs="Times New Roman"/>
                <w:b/>
                <w:sz w:val="16"/>
                <w:szCs w:val="16"/>
              </w:rPr>
              <w:t>6 261</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bieszczadzki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i/>
                <w:color w:val="000000"/>
                <w:sz w:val="16"/>
                <w:szCs w:val="16"/>
              </w:rPr>
            </w:pPr>
            <w:r w:rsidRPr="00CC7A41">
              <w:rPr>
                <w:rFonts w:ascii="Times New Roman" w:hAnsi="Times New Roman" w:cs="Times New Roman"/>
                <w:i/>
                <w:color w:val="000000"/>
                <w:sz w:val="16"/>
                <w:szCs w:val="16"/>
              </w:rPr>
              <w:t>krośnieński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5 807</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5 840</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33</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brzozowski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i/>
                <w:color w:val="000000"/>
                <w:sz w:val="16"/>
                <w:szCs w:val="16"/>
              </w:rPr>
            </w:pPr>
            <w:r w:rsidRPr="00CC7A41">
              <w:rPr>
                <w:rFonts w:ascii="Times New Roman" w:hAnsi="Times New Roman" w:cs="Times New Roman"/>
                <w:i/>
                <w:color w:val="000000"/>
                <w:sz w:val="16"/>
                <w:szCs w:val="16"/>
              </w:rPr>
              <w:t>krośnieński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20 788</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20 783</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w:t>
            </w:r>
            <w:r>
              <w:rPr>
                <w:rFonts w:ascii="Times New Roman" w:hAnsi="Times New Roman" w:cs="Times New Roman"/>
                <w:sz w:val="16"/>
                <w:szCs w:val="16"/>
              </w:rPr>
              <w:t xml:space="preserve"> </w:t>
            </w:r>
            <w:r w:rsidRPr="009F396F">
              <w:rPr>
                <w:rFonts w:ascii="Times New Roman" w:hAnsi="Times New Roman" w:cs="Times New Roman"/>
                <w:sz w:val="16"/>
                <w:szCs w:val="16"/>
              </w:rPr>
              <w:t>5</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dębicki</w:t>
            </w:r>
          </w:p>
        </w:tc>
        <w:tc>
          <w:tcPr>
            <w:tcW w:w="975" w:type="pct"/>
            <w:shd w:val="clear" w:color="auto" w:fill="E5DFEC" w:themeFill="accent4" w:themeFillTint="33"/>
          </w:tcPr>
          <w:p w:rsidR="00D74343" w:rsidRPr="00DA2AB0" w:rsidRDefault="00D74343" w:rsidP="00977C90">
            <w:pPr>
              <w:jc w:val="cente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tarnobrzeski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48 410</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49 423</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1</w:t>
            </w:r>
            <w:r>
              <w:rPr>
                <w:rFonts w:ascii="Times New Roman" w:hAnsi="Times New Roman" w:cs="Times New Roman"/>
                <w:sz w:val="16"/>
                <w:szCs w:val="16"/>
              </w:rPr>
              <w:t xml:space="preserve"> </w:t>
            </w:r>
            <w:r w:rsidRPr="009F396F">
              <w:rPr>
                <w:rFonts w:ascii="Times New Roman" w:hAnsi="Times New Roman" w:cs="Times New Roman"/>
                <w:sz w:val="16"/>
                <w:szCs w:val="16"/>
              </w:rPr>
              <w:t>013</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jarosławski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color w:val="808080" w:themeColor="background1" w:themeShade="80"/>
                <w:sz w:val="16"/>
                <w:szCs w:val="16"/>
              </w:rPr>
            </w:pPr>
            <w:r w:rsidRPr="00CC7A41">
              <w:rPr>
                <w:rFonts w:ascii="Times New Roman" w:hAnsi="Times New Roman" w:cs="Times New Roman"/>
                <w:color w:val="808080" w:themeColor="background1" w:themeShade="80"/>
                <w:sz w:val="16"/>
                <w:szCs w:val="16"/>
              </w:rPr>
              <w:t>przemyski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40 429</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39 471</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w:t>
            </w:r>
            <w:r>
              <w:rPr>
                <w:rFonts w:ascii="Times New Roman" w:hAnsi="Times New Roman" w:cs="Times New Roman"/>
                <w:sz w:val="16"/>
                <w:szCs w:val="16"/>
              </w:rPr>
              <w:t xml:space="preserve"> </w:t>
            </w:r>
            <w:r w:rsidRPr="009F396F">
              <w:rPr>
                <w:rFonts w:ascii="Times New Roman" w:hAnsi="Times New Roman" w:cs="Times New Roman"/>
                <w:sz w:val="16"/>
                <w:szCs w:val="16"/>
              </w:rPr>
              <w:t>958</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jasielski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i/>
                <w:color w:val="000000"/>
                <w:sz w:val="16"/>
                <w:szCs w:val="16"/>
              </w:rPr>
            </w:pPr>
            <w:r w:rsidRPr="00CC7A41">
              <w:rPr>
                <w:rFonts w:ascii="Times New Roman" w:hAnsi="Times New Roman" w:cs="Times New Roman"/>
                <w:i/>
                <w:color w:val="000000"/>
                <w:sz w:val="16"/>
                <w:szCs w:val="16"/>
              </w:rPr>
              <w:t>krośnieński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40 381</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40 518</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137</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kolbuszowski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b/>
                <w:color w:val="000000"/>
                <w:sz w:val="16"/>
                <w:szCs w:val="16"/>
              </w:rPr>
            </w:pPr>
            <w:r w:rsidRPr="00CC7A41">
              <w:rPr>
                <w:rFonts w:ascii="Times New Roman" w:hAnsi="Times New Roman" w:cs="Times New Roman"/>
                <w:b/>
                <w:color w:val="000000"/>
                <w:sz w:val="16"/>
                <w:szCs w:val="16"/>
              </w:rPr>
              <w:t>rzeszowski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18 499</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18 734</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235</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krośnieński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i/>
                <w:color w:val="000000"/>
                <w:sz w:val="16"/>
                <w:szCs w:val="16"/>
              </w:rPr>
            </w:pPr>
            <w:r w:rsidRPr="00CC7A41">
              <w:rPr>
                <w:rFonts w:ascii="Times New Roman" w:hAnsi="Times New Roman" w:cs="Times New Roman"/>
                <w:i/>
                <w:color w:val="000000"/>
                <w:sz w:val="16"/>
                <w:szCs w:val="16"/>
              </w:rPr>
              <w:t>krośnieński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27 697</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27 728</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31</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leski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i/>
                <w:color w:val="000000"/>
                <w:sz w:val="16"/>
                <w:szCs w:val="16"/>
              </w:rPr>
            </w:pPr>
            <w:r w:rsidRPr="00CC7A41">
              <w:rPr>
                <w:rFonts w:ascii="Times New Roman" w:hAnsi="Times New Roman" w:cs="Times New Roman"/>
                <w:i/>
                <w:color w:val="000000"/>
                <w:sz w:val="16"/>
                <w:szCs w:val="16"/>
              </w:rPr>
              <w:t>krośnieński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7 638</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7 590</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w:t>
            </w:r>
            <w:r>
              <w:rPr>
                <w:rFonts w:ascii="Times New Roman" w:hAnsi="Times New Roman" w:cs="Times New Roman"/>
                <w:sz w:val="16"/>
                <w:szCs w:val="16"/>
              </w:rPr>
              <w:t xml:space="preserve"> </w:t>
            </w:r>
            <w:r w:rsidRPr="009F396F">
              <w:rPr>
                <w:rFonts w:ascii="Times New Roman" w:hAnsi="Times New Roman" w:cs="Times New Roman"/>
                <w:sz w:val="16"/>
                <w:szCs w:val="16"/>
              </w:rPr>
              <w:t>48</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leżajski</w:t>
            </w:r>
          </w:p>
        </w:tc>
        <w:tc>
          <w:tcPr>
            <w:tcW w:w="975" w:type="pct"/>
            <w:shd w:val="clear" w:color="auto" w:fill="E5DFEC" w:themeFill="accent4" w:themeFillTint="33"/>
          </w:tcPr>
          <w:p w:rsidR="00D74343" w:rsidRPr="00DA2AB0" w:rsidRDefault="00D74343" w:rsidP="00977C90">
            <w:pPr>
              <w:jc w:val="center"/>
              <w:rPr>
                <w:rFonts w:ascii="Times New Roman" w:hAnsi="Times New Roman" w:cs="Times New Roman"/>
                <w:color w:val="000000"/>
                <w:sz w:val="16"/>
                <w:szCs w:val="16"/>
              </w:rPr>
            </w:pPr>
            <w:r w:rsidRPr="00DA2AB0">
              <w:rPr>
                <w:rFonts w:ascii="Times New Roman" w:hAnsi="Times New Roman" w:cs="Times New Roman"/>
                <w:color w:val="000000"/>
                <w:sz w:val="16"/>
                <w:szCs w:val="16"/>
              </w:rPr>
              <w:t>tarnobrzeski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19 888</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20 020</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132</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lubaczowski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color w:val="808080" w:themeColor="background1" w:themeShade="80"/>
                <w:sz w:val="16"/>
                <w:szCs w:val="16"/>
              </w:rPr>
            </w:pPr>
            <w:r w:rsidRPr="00CC7A41">
              <w:rPr>
                <w:rFonts w:ascii="Times New Roman" w:hAnsi="Times New Roman" w:cs="Times New Roman"/>
                <w:color w:val="808080" w:themeColor="background1" w:themeShade="80"/>
                <w:sz w:val="16"/>
                <w:szCs w:val="16"/>
              </w:rPr>
              <w:t>przemyski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18 639</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18 570</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w:t>
            </w:r>
            <w:r>
              <w:rPr>
                <w:rFonts w:ascii="Times New Roman" w:hAnsi="Times New Roman" w:cs="Times New Roman"/>
                <w:sz w:val="16"/>
                <w:szCs w:val="16"/>
              </w:rPr>
              <w:t xml:space="preserve"> </w:t>
            </w:r>
            <w:r w:rsidRPr="009F396F">
              <w:rPr>
                <w:rFonts w:ascii="Times New Roman" w:hAnsi="Times New Roman" w:cs="Times New Roman"/>
                <w:sz w:val="16"/>
                <w:szCs w:val="16"/>
              </w:rPr>
              <w:t>69</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łańcucki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b/>
                <w:color w:val="000000"/>
                <w:sz w:val="16"/>
                <w:szCs w:val="16"/>
              </w:rPr>
            </w:pPr>
            <w:r w:rsidRPr="00CC7A41">
              <w:rPr>
                <w:rFonts w:ascii="Times New Roman" w:hAnsi="Times New Roman" w:cs="Times New Roman"/>
                <w:b/>
                <w:color w:val="000000"/>
                <w:sz w:val="16"/>
                <w:szCs w:val="16"/>
              </w:rPr>
              <w:t>rzeszowski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23 208</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23 479</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271</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mielecki</w:t>
            </w:r>
          </w:p>
        </w:tc>
        <w:tc>
          <w:tcPr>
            <w:tcW w:w="975" w:type="pct"/>
            <w:shd w:val="clear" w:color="auto" w:fill="E5DFEC" w:themeFill="accent4" w:themeFillTint="33"/>
          </w:tcPr>
          <w:p w:rsidR="00D74343" w:rsidRPr="00DA2AB0" w:rsidRDefault="00D74343" w:rsidP="00977C90">
            <w:pPr>
              <w:jc w:val="cente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tarnobrzeski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53 501</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53 605</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104</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niżański</w:t>
            </w:r>
          </w:p>
        </w:tc>
        <w:tc>
          <w:tcPr>
            <w:tcW w:w="975" w:type="pct"/>
            <w:shd w:val="clear" w:color="auto" w:fill="E5DFEC" w:themeFill="accent4" w:themeFillTint="33"/>
          </w:tcPr>
          <w:p w:rsidR="00D74343" w:rsidRPr="00DA2AB0" w:rsidRDefault="00D74343" w:rsidP="00977C90">
            <w:pPr>
              <w:jc w:val="center"/>
              <w:rPr>
                <w:rFonts w:ascii="Times New Roman" w:hAnsi="Times New Roman" w:cs="Times New Roman"/>
                <w:color w:val="000000"/>
                <w:sz w:val="16"/>
                <w:szCs w:val="16"/>
              </w:rPr>
            </w:pPr>
            <w:r w:rsidRPr="00DA2AB0">
              <w:rPr>
                <w:rFonts w:ascii="Times New Roman" w:hAnsi="Times New Roman" w:cs="Times New Roman"/>
                <w:color w:val="000000"/>
                <w:sz w:val="16"/>
                <w:szCs w:val="16"/>
              </w:rPr>
              <w:t>tarnobrzeski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15 763</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15 532</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w:t>
            </w:r>
            <w:r>
              <w:rPr>
                <w:rFonts w:ascii="Times New Roman" w:hAnsi="Times New Roman" w:cs="Times New Roman"/>
                <w:sz w:val="16"/>
                <w:szCs w:val="16"/>
              </w:rPr>
              <w:t xml:space="preserve"> </w:t>
            </w:r>
            <w:r w:rsidRPr="009F396F">
              <w:rPr>
                <w:rFonts w:ascii="Times New Roman" w:hAnsi="Times New Roman" w:cs="Times New Roman"/>
                <w:sz w:val="16"/>
                <w:szCs w:val="16"/>
              </w:rPr>
              <w:t>231</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przemyski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color w:val="808080" w:themeColor="background1" w:themeShade="80"/>
                <w:sz w:val="16"/>
                <w:szCs w:val="16"/>
              </w:rPr>
            </w:pPr>
            <w:r w:rsidRPr="00CC7A41">
              <w:rPr>
                <w:rFonts w:ascii="Times New Roman" w:hAnsi="Times New Roman" w:cs="Times New Roman"/>
                <w:color w:val="808080" w:themeColor="background1" w:themeShade="80"/>
                <w:sz w:val="16"/>
                <w:szCs w:val="16"/>
              </w:rPr>
              <w:t>przemyski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21 078</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21 147</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69</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przeworski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color w:val="808080" w:themeColor="background1" w:themeShade="80"/>
                <w:sz w:val="16"/>
                <w:szCs w:val="16"/>
              </w:rPr>
            </w:pPr>
            <w:r w:rsidRPr="00CC7A41">
              <w:rPr>
                <w:rFonts w:ascii="Times New Roman" w:hAnsi="Times New Roman" w:cs="Times New Roman"/>
                <w:color w:val="808080" w:themeColor="background1" w:themeShade="80"/>
                <w:sz w:val="16"/>
                <w:szCs w:val="16"/>
              </w:rPr>
              <w:t>przemyski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25 239</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25 552</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313</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ropczycko-sędziszowski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b/>
                <w:color w:val="000000"/>
                <w:sz w:val="16"/>
                <w:szCs w:val="16"/>
              </w:rPr>
            </w:pPr>
            <w:r w:rsidRPr="00CC7A41">
              <w:rPr>
                <w:rFonts w:ascii="Times New Roman" w:hAnsi="Times New Roman" w:cs="Times New Roman"/>
                <w:b/>
                <w:color w:val="000000"/>
                <w:sz w:val="16"/>
                <w:szCs w:val="16"/>
              </w:rPr>
              <w:t>rzeszowski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20 831</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21 107</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276</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rzeszowski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b/>
                <w:color w:val="000000" w:themeColor="text1"/>
                <w:sz w:val="16"/>
                <w:szCs w:val="16"/>
              </w:rPr>
            </w:pPr>
            <w:r w:rsidRPr="00CC7A41">
              <w:rPr>
                <w:rFonts w:ascii="Times New Roman" w:hAnsi="Times New Roman" w:cs="Times New Roman"/>
                <w:b/>
                <w:color w:val="000000" w:themeColor="text1"/>
                <w:sz w:val="16"/>
                <w:szCs w:val="16"/>
              </w:rPr>
              <w:t>rzeszowski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56 043</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57 656</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1</w:t>
            </w:r>
            <w:r>
              <w:rPr>
                <w:rFonts w:ascii="Times New Roman" w:hAnsi="Times New Roman" w:cs="Times New Roman"/>
                <w:sz w:val="16"/>
                <w:szCs w:val="16"/>
              </w:rPr>
              <w:t xml:space="preserve"> </w:t>
            </w:r>
            <w:r w:rsidRPr="009F396F">
              <w:rPr>
                <w:rFonts w:ascii="Times New Roman" w:hAnsi="Times New Roman" w:cs="Times New Roman"/>
                <w:sz w:val="16"/>
                <w:szCs w:val="16"/>
              </w:rPr>
              <w:t>613</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sanocki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i/>
                <w:color w:val="000000"/>
                <w:sz w:val="16"/>
                <w:szCs w:val="16"/>
              </w:rPr>
            </w:pPr>
            <w:r w:rsidRPr="00CC7A41">
              <w:rPr>
                <w:rFonts w:ascii="Times New Roman" w:hAnsi="Times New Roman" w:cs="Times New Roman"/>
                <w:i/>
                <w:color w:val="000000"/>
                <w:sz w:val="16"/>
                <w:szCs w:val="16"/>
              </w:rPr>
              <w:t>krośnieński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33 188</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33 233</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45</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stalowowolski</w:t>
            </w:r>
          </w:p>
        </w:tc>
        <w:tc>
          <w:tcPr>
            <w:tcW w:w="975" w:type="pct"/>
            <w:shd w:val="clear" w:color="auto" w:fill="E5DFEC" w:themeFill="accent4" w:themeFillTint="33"/>
          </w:tcPr>
          <w:p w:rsidR="00D74343" w:rsidRPr="00DA2AB0" w:rsidRDefault="00D74343" w:rsidP="00977C90">
            <w:pPr>
              <w:jc w:val="cente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tarnobrzeski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34 880</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35 631</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751</w:t>
            </w:r>
          </w:p>
        </w:tc>
      </w:tr>
      <w:tr w:rsidR="00D74343" w:rsidRPr="00CA6E66" w:rsidTr="00977C90">
        <w:trPr>
          <w:jc w:val="center"/>
        </w:trPr>
        <w:tc>
          <w:tcPr>
            <w:tcW w:w="1233" w:type="pct"/>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strzyżowski</w:t>
            </w:r>
          </w:p>
        </w:tc>
        <w:tc>
          <w:tcPr>
            <w:tcW w:w="975" w:type="pct"/>
            <w:shd w:val="clear" w:color="auto" w:fill="FFFFFF" w:themeFill="background1"/>
          </w:tcPr>
          <w:p w:rsidR="00D74343" w:rsidRPr="00CC7A41" w:rsidRDefault="00D74343" w:rsidP="00977C90">
            <w:pPr>
              <w:jc w:val="center"/>
              <w:rPr>
                <w:rFonts w:ascii="Times New Roman" w:hAnsi="Times New Roman" w:cs="Times New Roman"/>
                <w:b/>
                <w:color w:val="000000"/>
                <w:sz w:val="16"/>
                <w:szCs w:val="16"/>
              </w:rPr>
            </w:pPr>
            <w:r w:rsidRPr="00CC7A41">
              <w:rPr>
                <w:rFonts w:ascii="Times New Roman" w:hAnsi="Times New Roman" w:cs="Times New Roman"/>
                <w:b/>
                <w:color w:val="000000"/>
                <w:sz w:val="16"/>
                <w:szCs w:val="16"/>
              </w:rPr>
              <w:t>rzeszowski</w:t>
            </w:r>
          </w:p>
        </w:tc>
        <w:tc>
          <w:tcPr>
            <w:tcW w:w="879" w:type="pct"/>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19 279</w:t>
            </w:r>
          </w:p>
        </w:tc>
        <w:tc>
          <w:tcPr>
            <w:tcW w:w="845" w:type="pct"/>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19 450</w:t>
            </w:r>
          </w:p>
        </w:tc>
        <w:tc>
          <w:tcPr>
            <w:tcW w:w="1068" w:type="pct"/>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171</w:t>
            </w:r>
          </w:p>
        </w:tc>
      </w:tr>
      <w:tr w:rsidR="00D74343" w:rsidRPr="00CA6E66" w:rsidTr="00977C90">
        <w:trPr>
          <w:jc w:val="center"/>
        </w:trPr>
        <w:tc>
          <w:tcPr>
            <w:tcW w:w="1233" w:type="pct"/>
            <w:tcBorders>
              <w:bottom w:val="single" w:sz="4" w:space="0" w:color="auto"/>
            </w:tcBorders>
            <w:shd w:val="clear" w:color="auto" w:fill="FFFFFF" w:themeFill="background1"/>
          </w:tcPr>
          <w:p w:rsidR="00D74343" w:rsidRPr="00DA2AB0" w:rsidRDefault="00D74343" w:rsidP="00977C90">
            <w:pP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tarnobrzeski</w:t>
            </w:r>
          </w:p>
        </w:tc>
        <w:tc>
          <w:tcPr>
            <w:tcW w:w="975" w:type="pct"/>
            <w:tcBorders>
              <w:bottom w:val="single" w:sz="4" w:space="0" w:color="auto"/>
            </w:tcBorders>
            <w:shd w:val="clear" w:color="auto" w:fill="E5DFEC" w:themeFill="accent4" w:themeFillTint="33"/>
          </w:tcPr>
          <w:p w:rsidR="00D74343" w:rsidRPr="00DA2AB0" w:rsidRDefault="00D74343" w:rsidP="00977C90">
            <w:pPr>
              <w:jc w:val="cente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tarnobrzeski</w:t>
            </w:r>
          </w:p>
        </w:tc>
        <w:tc>
          <w:tcPr>
            <w:tcW w:w="879" w:type="pct"/>
            <w:tcBorders>
              <w:bottom w:val="single" w:sz="4" w:space="0" w:color="auto"/>
            </w:tcBorders>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19 153</w:t>
            </w:r>
          </w:p>
        </w:tc>
        <w:tc>
          <w:tcPr>
            <w:tcW w:w="845" w:type="pct"/>
            <w:tcBorders>
              <w:bottom w:val="single" w:sz="4" w:space="0" w:color="auto"/>
            </w:tcBorders>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19 164</w:t>
            </w:r>
          </w:p>
        </w:tc>
        <w:tc>
          <w:tcPr>
            <w:tcW w:w="1068" w:type="pct"/>
            <w:tcBorders>
              <w:bottom w:val="single" w:sz="4" w:space="0" w:color="auto"/>
            </w:tcBorders>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11</w:t>
            </w:r>
          </w:p>
        </w:tc>
      </w:tr>
      <w:tr w:rsidR="00D74343" w:rsidRPr="00CA6E66" w:rsidTr="00977C90">
        <w:trPr>
          <w:jc w:val="center"/>
        </w:trPr>
        <w:tc>
          <w:tcPr>
            <w:tcW w:w="1233" w:type="pct"/>
            <w:tcBorders>
              <w:bottom w:val="single" w:sz="4" w:space="0" w:color="auto"/>
            </w:tcBorders>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m. Krosno</w:t>
            </w:r>
          </w:p>
        </w:tc>
        <w:tc>
          <w:tcPr>
            <w:tcW w:w="975" w:type="pct"/>
            <w:tcBorders>
              <w:bottom w:val="single" w:sz="4" w:space="0" w:color="auto"/>
            </w:tcBorders>
            <w:shd w:val="clear" w:color="auto" w:fill="FFFFFF" w:themeFill="background1"/>
          </w:tcPr>
          <w:p w:rsidR="00D74343" w:rsidRPr="00CC7A41" w:rsidRDefault="00D74343" w:rsidP="00977C90">
            <w:pPr>
              <w:jc w:val="center"/>
              <w:rPr>
                <w:rFonts w:ascii="Times New Roman" w:hAnsi="Times New Roman" w:cs="Times New Roman"/>
                <w:i/>
                <w:color w:val="000000"/>
                <w:sz w:val="16"/>
                <w:szCs w:val="16"/>
              </w:rPr>
            </w:pPr>
            <w:r w:rsidRPr="00CC7A41">
              <w:rPr>
                <w:rFonts w:ascii="Times New Roman" w:hAnsi="Times New Roman" w:cs="Times New Roman"/>
                <w:i/>
                <w:color w:val="000000"/>
                <w:sz w:val="16"/>
                <w:szCs w:val="16"/>
              </w:rPr>
              <w:t>krośnieński</w:t>
            </w:r>
          </w:p>
        </w:tc>
        <w:tc>
          <w:tcPr>
            <w:tcW w:w="879" w:type="pct"/>
            <w:tcBorders>
              <w:bottom w:val="single" w:sz="4" w:space="0" w:color="auto"/>
            </w:tcBorders>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24 187</w:t>
            </w:r>
          </w:p>
        </w:tc>
        <w:tc>
          <w:tcPr>
            <w:tcW w:w="845" w:type="pct"/>
            <w:tcBorders>
              <w:bottom w:val="single" w:sz="4" w:space="0" w:color="auto"/>
            </w:tcBorders>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23 889</w:t>
            </w:r>
          </w:p>
        </w:tc>
        <w:tc>
          <w:tcPr>
            <w:tcW w:w="1068" w:type="pct"/>
            <w:tcBorders>
              <w:bottom w:val="single" w:sz="4" w:space="0" w:color="auto"/>
            </w:tcBorders>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w:t>
            </w:r>
            <w:r>
              <w:rPr>
                <w:rFonts w:ascii="Times New Roman" w:hAnsi="Times New Roman" w:cs="Times New Roman"/>
                <w:sz w:val="16"/>
                <w:szCs w:val="16"/>
              </w:rPr>
              <w:t xml:space="preserve"> </w:t>
            </w:r>
            <w:r w:rsidRPr="009F396F">
              <w:rPr>
                <w:rFonts w:ascii="Times New Roman" w:hAnsi="Times New Roman" w:cs="Times New Roman"/>
                <w:sz w:val="16"/>
                <w:szCs w:val="16"/>
              </w:rPr>
              <w:t>298</w:t>
            </w:r>
          </w:p>
        </w:tc>
      </w:tr>
      <w:tr w:rsidR="00D74343" w:rsidRPr="00CA6E66" w:rsidTr="00977C90">
        <w:trPr>
          <w:jc w:val="center"/>
        </w:trPr>
        <w:tc>
          <w:tcPr>
            <w:tcW w:w="1233" w:type="pct"/>
            <w:tcBorders>
              <w:top w:val="single" w:sz="4" w:space="0" w:color="auto"/>
              <w:bottom w:val="single" w:sz="4" w:space="0" w:color="auto"/>
            </w:tcBorders>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lastRenderedPageBreak/>
              <w:t>m. Przemyśl</w:t>
            </w:r>
          </w:p>
        </w:tc>
        <w:tc>
          <w:tcPr>
            <w:tcW w:w="975" w:type="pct"/>
            <w:tcBorders>
              <w:top w:val="single" w:sz="4" w:space="0" w:color="auto"/>
              <w:bottom w:val="single" w:sz="4" w:space="0" w:color="auto"/>
            </w:tcBorders>
            <w:shd w:val="clear" w:color="auto" w:fill="FFFFFF" w:themeFill="background1"/>
          </w:tcPr>
          <w:p w:rsidR="00D74343" w:rsidRPr="00CC7A41" w:rsidRDefault="00D74343" w:rsidP="00977C90">
            <w:pPr>
              <w:jc w:val="center"/>
              <w:rPr>
                <w:rFonts w:ascii="Times New Roman" w:hAnsi="Times New Roman" w:cs="Times New Roman"/>
                <w:color w:val="808080" w:themeColor="background1" w:themeShade="80"/>
                <w:sz w:val="16"/>
                <w:szCs w:val="16"/>
              </w:rPr>
            </w:pPr>
            <w:r w:rsidRPr="00CC7A41">
              <w:rPr>
                <w:rFonts w:ascii="Times New Roman" w:hAnsi="Times New Roman" w:cs="Times New Roman"/>
                <w:color w:val="808080" w:themeColor="background1" w:themeShade="80"/>
                <w:sz w:val="16"/>
                <w:szCs w:val="16"/>
              </w:rPr>
              <w:t>przemyski</w:t>
            </w:r>
          </w:p>
        </w:tc>
        <w:tc>
          <w:tcPr>
            <w:tcW w:w="879" w:type="pct"/>
            <w:tcBorders>
              <w:top w:val="single" w:sz="4" w:space="0" w:color="auto"/>
              <w:bottom w:val="single" w:sz="4" w:space="0" w:color="auto"/>
            </w:tcBorders>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19 043</w:t>
            </w:r>
          </w:p>
        </w:tc>
        <w:tc>
          <w:tcPr>
            <w:tcW w:w="845" w:type="pct"/>
            <w:tcBorders>
              <w:top w:val="single" w:sz="4" w:space="0" w:color="auto"/>
              <w:bottom w:val="single" w:sz="4" w:space="0" w:color="auto"/>
            </w:tcBorders>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19 037</w:t>
            </w:r>
          </w:p>
        </w:tc>
        <w:tc>
          <w:tcPr>
            <w:tcW w:w="1068" w:type="pct"/>
            <w:tcBorders>
              <w:top w:val="single" w:sz="4" w:space="0" w:color="auto"/>
              <w:bottom w:val="single" w:sz="4" w:space="0" w:color="auto"/>
            </w:tcBorders>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w:t>
            </w:r>
            <w:r>
              <w:rPr>
                <w:rFonts w:ascii="Times New Roman" w:hAnsi="Times New Roman" w:cs="Times New Roman"/>
                <w:sz w:val="16"/>
                <w:szCs w:val="16"/>
              </w:rPr>
              <w:t xml:space="preserve"> </w:t>
            </w:r>
            <w:r w:rsidRPr="009F396F">
              <w:rPr>
                <w:rFonts w:ascii="Times New Roman" w:hAnsi="Times New Roman" w:cs="Times New Roman"/>
                <w:sz w:val="16"/>
                <w:szCs w:val="16"/>
              </w:rPr>
              <w:t>6</w:t>
            </w:r>
          </w:p>
        </w:tc>
      </w:tr>
      <w:tr w:rsidR="00D74343" w:rsidRPr="00CA6E66" w:rsidTr="00977C90">
        <w:trPr>
          <w:jc w:val="center"/>
        </w:trPr>
        <w:tc>
          <w:tcPr>
            <w:tcW w:w="1233" w:type="pct"/>
            <w:tcBorders>
              <w:top w:val="single" w:sz="4" w:space="0" w:color="auto"/>
              <w:bottom w:val="single" w:sz="4" w:space="0" w:color="auto"/>
            </w:tcBorders>
            <w:shd w:val="clear" w:color="auto" w:fill="FFFFFF" w:themeFill="background1"/>
          </w:tcPr>
          <w:p w:rsidR="00D74343" w:rsidRPr="00DA2AB0" w:rsidRDefault="00D74343" w:rsidP="00977C90">
            <w:pPr>
              <w:rPr>
                <w:rFonts w:ascii="Times New Roman" w:hAnsi="Times New Roman" w:cs="Times New Roman"/>
                <w:color w:val="000000" w:themeColor="text1"/>
                <w:sz w:val="16"/>
                <w:szCs w:val="16"/>
              </w:rPr>
            </w:pPr>
            <w:r w:rsidRPr="00DA2AB0">
              <w:rPr>
                <w:rFonts w:ascii="Times New Roman" w:hAnsi="Times New Roman" w:cs="Times New Roman"/>
                <w:color w:val="000000" w:themeColor="text1"/>
                <w:sz w:val="16"/>
                <w:szCs w:val="16"/>
              </w:rPr>
              <w:t>m. Rzeszów</w:t>
            </w:r>
          </w:p>
        </w:tc>
        <w:tc>
          <w:tcPr>
            <w:tcW w:w="975" w:type="pct"/>
            <w:tcBorders>
              <w:top w:val="single" w:sz="4" w:space="0" w:color="auto"/>
              <w:bottom w:val="single" w:sz="4" w:space="0" w:color="auto"/>
            </w:tcBorders>
            <w:shd w:val="clear" w:color="auto" w:fill="FFFFFF" w:themeFill="background1"/>
          </w:tcPr>
          <w:p w:rsidR="00D74343" w:rsidRPr="00CC7A41" w:rsidRDefault="00D74343" w:rsidP="00977C90">
            <w:pPr>
              <w:jc w:val="center"/>
              <w:rPr>
                <w:rFonts w:ascii="Times New Roman" w:hAnsi="Times New Roman" w:cs="Times New Roman"/>
                <w:b/>
                <w:color w:val="000000" w:themeColor="text1"/>
                <w:sz w:val="16"/>
                <w:szCs w:val="16"/>
              </w:rPr>
            </w:pPr>
            <w:r w:rsidRPr="00CC7A41">
              <w:rPr>
                <w:rFonts w:ascii="Times New Roman" w:hAnsi="Times New Roman" w:cs="Times New Roman"/>
                <w:b/>
                <w:color w:val="000000" w:themeColor="text1"/>
                <w:sz w:val="16"/>
                <w:szCs w:val="16"/>
              </w:rPr>
              <w:t>rzeszowski</w:t>
            </w:r>
          </w:p>
        </w:tc>
        <w:tc>
          <w:tcPr>
            <w:tcW w:w="879" w:type="pct"/>
            <w:tcBorders>
              <w:top w:val="single" w:sz="4" w:space="0" w:color="auto"/>
              <w:bottom w:val="single" w:sz="4" w:space="0" w:color="auto"/>
            </w:tcBorders>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96 652</w:t>
            </w:r>
          </w:p>
        </w:tc>
        <w:tc>
          <w:tcPr>
            <w:tcW w:w="845" w:type="pct"/>
            <w:tcBorders>
              <w:top w:val="single" w:sz="4" w:space="0" w:color="auto"/>
              <w:bottom w:val="single" w:sz="4" w:space="0" w:color="auto"/>
            </w:tcBorders>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99 181</w:t>
            </w:r>
          </w:p>
        </w:tc>
        <w:tc>
          <w:tcPr>
            <w:tcW w:w="1068" w:type="pct"/>
            <w:tcBorders>
              <w:top w:val="single" w:sz="4" w:space="0" w:color="auto"/>
              <w:bottom w:val="single" w:sz="4" w:space="0" w:color="auto"/>
            </w:tcBorders>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2</w:t>
            </w:r>
            <w:r>
              <w:rPr>
                <w:rFonts w:ascii="Times New Roman" w:hAnsi="Times New Roman" w:cs="Times New Roman"/>
                <w:sz w:val="16"/>
                <w:szCs w:val="16"/>
              </w:rPr>
              <w:t xml:space="preserve"> </w:t>
            </w:r>
            <w:r w:rsidRPr="009F396F">
              <w:rPr>
                <w:rFonts w:ascii="Times New Roman" w:hAnsi="Times New Roman" w:cs="Times New Roman"/>
                <w:sz w:val="16"/>
                <w:szCs w:val="16"/>
              </w:rPr>
              <w:t>529</w:t>
            </w:r>
          </w:p>
        </w:tc>
      </w:tr>
      <w:tr w:rsidR="00D74343" w:rsidRPr="00CA6E66" w:rsidTr="00977C90">
        <w:trPr>
          <w:jc w:val="center"/>
        </w:trPr>
        <w:tc>
          <w:tcPr>
            <w:tcW w:w="1233" w:type="pct"/>
            <w:tcBorders>
              <w:top w:val="single" w:sz="4" w:space="0" w:color="auto"/>
            </w:tcBorders>
            <w:shd w:val="clear" w:color="auto" w:fill="FFFFFF" w:themeFill="background1"/>
          </w:tcPr>
          <w:p w:rsidR="00D74343" w:rsidRPr="00DA2AB0" w:rsidRDefault="00D74343" w:rsidP="00977C90">
            <w:pPr>
              <w:rPr>
                <w:rFonts w:ascii="Times New Roman" w:hAnsi="Times New Roman" w:cs="Times New Roman"/>
                <w:sz w:val="16"/>
                <w:szCs w:val="16"/>
              </w:rPr>
            </w:pPr>
            <w:r w:rsidRPr="00DA2AB0">
              <w:rPr>
                <w:rFonts w:ascii="Times New Roman" w:hAnsi="Times New Roman" w:cs="Times New Roman"/>
                <w:sz w:val="16"/>
                <w:szCs w:val="16"/>
              </w:rPr>
              <w:t>m. Tarnobrzeg</w:t>
            </w:r>
          </w:p>
        </w:tc>
        <w:tc>
          <w:tcPr>
            <w:tcW w:w="975" w:type="pct"/>
            <w:tcBorders>
              <w:top w:val="single" w:sz="4" w:space="0" w:color="auto"/>
            </w:tcBorders>
            <w:shd w:val="clear" w:color="auto" w:fill="E5DFEC" w:themeFill="accent4" w:themeFillTint="33"/>
          </w:tcPr>
          <w:p w:rsidR="00D74343" w:rsidRPr="00DA2AB0" w:rsidRDefault="00D74343" w:rsidP="00977C90">
            <w:pPr>
              <w:jc w:val="center"/>
              <w:rPr>
                <w:rFonts w:ascii="Times New Roman" w:hAnsi="Times New Roman" w:cs="Times New Roman"/>
                <w:color w:val="000000"/>
                <w:sz w:val="16"/>
                <w:szCs w:val="16"/>
              </w:rPr>
            </w:pPr>
            <w:r w:rsidRPr="00DA2AB0">
              <w:rPr>
                <w:rFonts w:ascii="Times New Roman" w:hAnsi="Times New Roman" w:cs="Times New Roman"/>
                <w:color w:val="000000"/>
                <w:sz w:val="16"/>
                <w:szCs w:val="16"/>
              </w:rPr>
              <w:t>tarnobrzeski</w:t>
            </w:r>
          </w:p>
        </w:tc>
        <w:tc>
          <w:tcPr>
            <w:tcW w:w="879" w:type="pct"/>
            <w:tcBorders>
              <w:top w:val="single" w:sz="4" w:space="0" w:color="auto"/>
            </w:tcBorders>
            <w:shd w:val="clear" w:color="auto" w:fill="FFFFFF" w:themeFill="background1"/>
            <w:vAlign w:val="bottom"/>
          </w:tcPr>
          <w:p w:rsidR="00D74343" w:rsidRPr="00DA2AB0" w:rsidRDefault="00D74343" w:rsidP="00977C90">
            <w:pPr>
              <w:jc w:val="center"/>
              <w:rPr>
                <w:rFonts w:ascii="Times New Roman" w:hAnsi="Times New Roman" w:cs="Times New Roman"/>
                <w:sz w:val="16"/>
                <w:szCs w:val="16"/>
              </w:rPr>
            </w:pPr>
            <w:r w:rsidRPr="00DA2AB0">
              <w:rPr>
                <w:rFonts w:ascii="Times New Roman" w:hAnsi="Times New Roman" w:cs="Times New Roman"/>
                <w:sz w:val="16"/>
                <w:szCs w:val="16"/>
              </w:rPr>
              <w:t>12 212</w:t>
            </w:r>
          </w:p>
        </w:tc>
        <w:tc>
          <w:tcPr>
            <w:tcW w:w="845" w:type="pct"/>
            <w:tcBorders>
              <w:top w:val="single" w:sz="4" w:space="0" w:color="auto"/>
            </w:tcBorders>
            <w:shd w:val="clear" w:color="auto" w:fill="FFFFFF" w:themeFill="background1"/>
            <w:vAlign w:val="bottom"/>
          </w:tcPr>
          <w:p w:rsidR="00D74343" w:rsidRPr="009F396F" w:rsidRDefault="00D74343" w:rsidP="00977C90">
            <w:pPr>
              <w:jc w:val="center"/>
              <w:rPr>
                <w:rFonts w:ascii="Times New Roman" w:hAnsi="Times New Roman" w:cs="Times New Roman"/>
                <w:sz w:val="16"/>
                <w:szCs w:val="16"/>
              </w:rPr>
            </w:pPr>
            <w:r w:rsidRPr="009F396F">
              <w:rPr>
                <w:rFonts w:ascii="Times New Roman" w:hAnsi="Times New Roman" w:cs="Times New Roman"/>
                <w:sz w:val="16"/>
                <w:szCs w:val="16"/>
              </w:rPr>
              <w:t>12 354</w:t>
            </w:r>
          </w:p>
        </w:tc>
        <w:tc>
          <w:tcPr>
            <w:tcW w:w="1068" w:type="pct"/>
            <w:tcBorders>
              <w:top w:val="single" w:sz="4" w:space="0" w:color="auto"/>
            </w:tcBorders>
            <w:shd w:val="clear" w:color="auto" w:fill="FFFFFF" w:themeFill="background1"/>
            <w:vAlign w:val="center"/>
          </w:tcPr>
          <w:p w:rsidR="00D74343" w:rsidRPr="009F396F" w:rsidRDefault="00D74343" w:rsidP="00977C90">
            <w:pPr>
              <w:jc w:val="center"/>
              <w:rPr>
                <w:rFonts w:ascii="Times New Roman" w:hAnsi="Times New Roman" w:cs="Times New Roman"/>
                <w:sz w:val="16"/>
                <w:szCs w:val="16"/>
              </w:rPr>
            </w:pPr>
            <w:r>
              <w:rPr>
                <w:rFonts w:ascii="Times New Roman" w:hAnsi="Times New Roman" w:cs="Times New Roman"/>
                <w:sz w:val="16"/>
                <w:szCs w:val="16"/>
              </w:rPr>
              <w:t xml:space="preserve">+ </w:t>
            </w:r>
            <w:r w:rsidRPr="009F396F">
              <w:rPr>
                <w:rFonts w:ascii="Times New Roman" w:hAnsi="Times New Roman" w:cs="Times New Roman"/>
                <w:sz w:val="16"/>
                <w:szCs w:val="16"/>
              </w:rPr>
              <w:t>142</w:t>
            </w:r>
          </w:p>
        </w:tc>
      </w:tr>
    </w:tbl>
    <w:p w:rsidR="00166940" w:rsidRDefault="00166940" w:rsidP="00166940">
      <w:pPr>
        <w:pStyle w:val="Bezodstpw"/>
        <w:jc w:val="both"/>
        <w:rPr>
          <w:rFonts w:ascii="Times New Roman" w:hAnsi="Times New Roman" w:cs="Times New Roman"/>
          <w:sz w:val="16"/>
          <w:szCs w:val="16"/>
          <w:highlight w:val="yellow"/>
        </w:rPr>
      </w:pPr>
    </w:p>
    <w:p w:rsidR="00166940" w:rsidRPr="00D0224E" w:rsidRDefault="00166940" w:rsidP="00166940">
      <w:pPr>
        <w:pStyle w:val="Bezodstpw"/>
        <w:jc w:val="both"/>
        <w:rPr>
          <w:rFonts w:ascii="Times New Roman" w:hAnsi="Times New Roman" w:cs="Times New Roman"/>
          <w:sz w:val="16"/>
          <w:szCs w:val="16"/>
          <w:highlight w:val="yellow"/>
        </w:rPr>
      </w:pPr>
    </w:p>
    <w:p w:rsidR="00D74343" w:rsidRDefault="00D74343" w:rsidP="00D74343">
      <w:pPr>
        <w:pStyle w:val="Bezodstpw"/>
        <w:ind w:left="1410" w:hanging="1410"/>
        <w:jc w:val="cente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B59DD">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ODSETEK OSÓB UCZESTNICZĄCYCH W SZKOLENIU LUB KSZTAŁCENIU</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40799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0097056A">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00407994">
        <w:rPr>
          <w:rFonts w:ascii="Times New Roman" w:hAnsi="Times New Roman" w:cs="Times New Roman"/>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r.</w:t>
      </w:r>
    </w:p>
    <w:p w:rsidR="00166940" w:rsidRDefault="00166940" w:rsidP="005556E7">
      <w:pPr>
        <w:spacing w:after="0" w:line="240" w:lineRule="auto"/>
        <w:jc w:val="both"/>
        <w:rPr>
          <w:rFonts w:ascii="Times New Roman" w:hAnsi="Times New Roman" w:cs="Times New Roman"/>
          <w:sz w:val="14"/>
          <w:szCs w:val="14"/>
        </w:rPr>
      </w:pPr>
      <w:r>
        <w:rPr>
          <w:noProof/>
          <w:lang w:eastAsia="pl-PL"/>
        </w:rPr>
        <w:drawing>
          <wp:anchor distT="0" distB="0" distL="114300" distR="114300" simplePos="0" relativeHeight="251902976" behindDoc="1" locked="0" layoutInCell="1" allowOverlap="1" wp14:anchorId="4FB71300" wp14:editId="3D60D85E">
            <wp:simplePos x="0" y="0"/>
            <wp:positionH relativeFrom="column">
              <wp:posOffset>1270</wp:posOffset>
            </wp:positionH>
            <wp:positionV relativeFrom="paragraph">
              <wp:posOffset>41910</wp:posOffset>
            </wp:positionV>
            <wp:extent cx="5746750" cy="2082800"/>
            <wp:effectExtent l="0" t="0" r="6350" b="0"/>
            <wp:wrapTight wrapText="bothSides">
              <wp:wrapPolygon edited="0">
                <wp:start x="3509" y="0"/>
                <wp:lineTo x="1862" y="1778"/>
                <wp:lineTo x="1289" y="2766"/>
                <wp:lineTo x="1289" y="5334"/>
                <wp:lineTo x="72" y="6915"/>
                <wp:lineTo x="215" y="9878"/>
                <wp:lineTo x="2506" y="9878"/>
                <wp:lineTo x="1862" y="11459"/>
                <wp:lineTo x="2291" y="13039"/>
                <wp:lineTo x="1074" y="16200"/>
                <wp:lineTo x="0" y="17385"/>
                <wp:lineTo x="0" y="18966"/>
                <wp:lineTo x="1146" y="19361"/>
                <wp:lineTo x="931" y="21337"/>
                <wp:lineTo x="1575" y="21337"/>
                <wp:lineTo x="21123" y="21337"/>
                <wp:lineTo x="21552" y="19559"/>
                <wp:lineTo x="21409" y="19361"/>
                <wp:lineTo x="19547" y="19361"/>
                <wp:lineTo x="19261" y="18373"/>
                <wp:lineTo x="12244" y="16200"/>
                <wp:lineTo x="12817" y="13039"/>
                <wp:lineTo x="15323" y="9878"/>
                <wp:lineTo x="16469" y="7112"/>
                <wp:lineTo x="17328" y="6717"/>
                <wp:lineTo x="18831" y="4741"/>
                <wp:lineTo x="18760" y="3556"/>
                <wp:lineTo x="19834" y="3556"/>
                <wp:lineTo x="21409" y="1580"/>
                <wp:lineTo x="21337" y="0"/>
                <wp:lineTo x="3509" y="0"/>
              </wp:wrapPolygon>
            </wp:wrapTight>
            <wp:docPr id="26" name="Wykres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166940" w:rsidRDefault="00166940" w:rsidP="005556E7">
      <w:pPr>
        <w:spacing w:after="0" w:line="240" w:lineRule="auto"/>
        <w:jc w:val="both"/>
        <w:rPr>
          <w:rFonts w:ascii="Times New Roman" w:hAnsi="Times New Roman" w:cs="Times New Roman"/>
          <w:sz w:val="14"/>
          <w:szCs w:val="14"/>
        </w:rPr>
      </w:pPr>
    </w:p>
    <w:p w:rsidR="00435DDB" w:rsidRDefault="00435DDB" w:rsidP="005556E7">
      <w:pPr>
        <w:spacing w:after="0" w:line="240" w:lineRule="auto"/>
        <w:jc w:val="both"/>
        <w:rPr>
          <w:rFonts w:ascii="Times New Roman" w:hAnsi="Times New Roman" w:cs="Times New Roman"/>
          <w:sz w:val="14"/>
          <w:szCs w:val="14"/>
        </w:rPr>
      </w:pPr>
    </w:p>
    <w:p w:rsidR="00D74343" w:rsidRDefault="00166940" w:rsidP="00D74343">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Osoby w wieku </w:t>
      </w:r>
      <w:r w:rsidR="00D74343" w:rsidRPr="007236BD">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produkcyjnym, uczestniczące w kształceniu</w:t>
      </w:r>
    </w:p>
    <w:p w:rsidR="00D74343" w:rsidRDefault="00D74343" w:rsidP="00D74343">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7236BD">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lub szkoleniu zawodowym w stosunku do ogółu ludności</w:t>
      </w:r>
    </w:p>
    <w:p w:rsidR="00D74343" w:rsidRPr="00383923" w:rsidRDefault="00407994" w:rsidP="00D74343">
      <w:pPr>
        <w:spacing w:after="0" w:line="240" w:lineRule="auto"/>
        <w:jc w:val="center"/>
        <w:rPr>
          <w:rFonts w:ascii="Times New Roman" w:hAnsi="Times New Roman" w:cs="Times New Roman"/>
          <w:sz w:val="16"/>
          <w:szCs w:val="16"/>
        </w:rPr>
      </w:pPr>
      <w:r w:rsidRPr="00407994">
        <w:rPr>
          <w:noProof/>
          <w:lang w:eastAsia="pl-PL"/>
        </w:rPr>
        <w:drawing>
          <wp:inline distT="0" distB="0" distL="0" distR="0" wp14:anchorId="50BADE18" wp14:editId="2BE71689">
            <wp:extent cx="5757062" cy="3108960"/>
            <wp:effectExtent l="0" t="0" r="0" b="0"/>
            <wp:docPr id="682" name="Obraz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3110250"/>
                    </a:xfrm>
                    <a:prstGeom prst="rect">
                      <a:avLst/>
                    </a:prstGeom>
                    <a:noFill/>
                    <a:ln>
                      <a:noFill/>
                    </a:ln>
                  </pic:spPr>
                </pic:pic>
              </a:graphicData>
            </a:graphic>
          </wp:inline>
        </w:drawing>
      </w:r>
    </w:p>
    <w:p w:rsidR="00D74343" w:rsidRDefault="00D74343" w:rsidP="00D74343">
      <w:pPr>
        <w:spacing w:after="0" w:line="240" w:lineRule="auto"/>
        <w:jc w:val="both"/>
        <w:rPr>
          <w:rFonts w:ascii="Times New Roman" w:hAnsi="Times New Roman" w:cs="Times New Roman"/>
          <w:sz w:val="16"/>
          <w:szCs w:val="16"/>
        </w:rPr>
      </w:pPr>
    </w:p>
    <w:p w:rsidR="00435DDB" w:rsidRDefault="00435DDB" w:rsidP="00D74343">
      <w:pPr>
        <w:spacing w:after="0" w:line="240" w:lineRule="auto"/>
        <w:jc w:val="both"/>
        <w:rPr>
          <w:rFonts w:ascii="Times New Roman" w:hAnsi="Times New Roman" w:cs="Times New Roman"/>
          <w:sz w:val="16"/>
          <w:szCs w:val="16"/>
        </w:rPr>
      </w:pPr>
    </w:p>
    <w:p w:rsidR="00D74343" w:rsidRPr="00383923" w:rsidRDefault="00D74343" w:rsidP="00D74343">
      <w:pPr>
        <w:pBdr>
          <w:bottom w:val="single" w:sz="4" w:space="1" w:color="auto"/>
        </w:pBdr>
        <w:spacing w:after="0" w:line="240" w:lineRule="auto"/>
        <w:jc w:val="both"/>
        <w:rPr>
          <w:rFonts w:ascii="Times New Roman" w:hAnsi="Times New Roman" w:cs="Times New Roman"/>
          <w:sz w:val="24"/>
          <w:szCs w:val="24"/>
        </w:rPr>
      </w:pPr>
      <w:r w:rsidRPr="00383923">
        <w:rPr>
          <w:rFonts w:ascii="Times New Roman" w:hAnsi="Times New Roman" w:cs="Times New Roman"/>
          <w:sz w:val="24"/>
          <w:szCs w:val="24"/>
        </w:rPr>
        <w:t>Wnioski:</w:t>
      </w:r>
    </w:p>
    <w:p w:rsidR="00D74343" w:rsidRDefault="00D74343" w:rsidP="00D74343">
      <w:pPr>
        <w:spacing w:after="0" w:line="360" w:lineRule="auto"/>
        <w:jc w:val="both"/>
        <w:rPr>
          <w:rFonts w:ascii="Times New Roman" w:hAnsi="Times New Roman" w:cs="Times New Roman"/>
          <w:sz w:val="18"/>
          <w:szCs w:val="18"/>
        </w:rPr>
      </w:pPr>
      <w:r w:rsidRPr="00383923">
        <w:rPr>
          <w:rFonts w:ascii="Times New Roman" w:hAnsi="Times New Roman" w:cs="Times New Roman"/>
          <w:sz w:val="18"/>
          <w:szCs w:val="18"/>
        </w:rPr>
        <w:t xml:space="preserve">(na podstawie </w:t>
      </w:r>
      <w:r>
        <w:rPr>
          <w:rFonts w:ascii="Times New Roman" w:hAnsi="Times New Roman" w:cs="Times New Roman"/>
          <w:sz w:val="18"/>
          <w:szCs w:val="18"/>
        </w:rPr>
        <w:t>t</w:t>
      </w:r>
      <w:r w:rsidRPr="00383923">
        <w:rPr>
          <w:rFonts w:ascii="Times New Roman" w:hAnsi="Times New Roman" w:cs="Times New Roman"/>
          <w:sz w:val="18"/>
          <w:szCs w:val="18"/>
        </w:rPr>
        <w:t>abeli</w:t>
      </w:r>
      <w:r>
        <w:rPr>
          <w:rFonts w:ascii="Times New Roman" w:hAnsi="Times New Roman" w:cs="Times New Roman"/>
          <w:sz w:val="18"/>
          <w:szCs w:val="18"/>
        </w:rPr>
        <w:t xml:space="preserve"> </w:t>
      </w:r>
      <w:r w:rsidRPr="00383923">
        <w:rPr>
          <w:rFonts w:ascii="Times New Roman" w:hAnsi="Times New Roman" w:cs="Times New Roman"/>
          <w:sz w:val="18"/>
          <w:szCs w:val="18"/>
        </w:rPr>
        <w:t>i wykres</w:t>
      </w:r>
      <w:r w:rsidR="004D2827">
        <w:rPr>
          <w:rFonts w:ascii="Times New Roman" w:hAnsi="Times New Roman" w:cs="Times New Roman"/>
          <w:sz w:val="18"/>
          <w:szCs w:val="18"/>
        </w:rPr>
        <w:t>u)</w:t>
      </w:r>
    </w:p>
    <w:p w:rsidR="00D74343" w:rsidRDefault="00D74343" w:rsidP="00D74343">
      <w:pPr>
        <w:spacing w:after="0" w:line="240" w:lineRule="auto"/>
        <w:jc w:val="both"/>
        <w:rPr>
          <w:rFonts w:ascii="Times New Roman" w:hAnsi="Times New Roman" w:cs="Times New Roman"/>
          <w:sz w:val="16"/>
          <w:szCs w:val="16"/>
        </w:rPr>
      </w:pPr>
    </w:p>
    <w:p w:rsidR="00D74343" w:rsidRPr="008E1276" w:rsidRDefault="00D74343" w:rsidP="00D74343">
      <w:pPr>
        <w:pStyle w:val="Akapitzlist"/>
        <w:numPr>
          <w:ilvl w:val="0"/>
          <w:numId w:val="20"/>
        </w:numPr>
        <w:spacing w:after="0" w:line="360" w:lineRule="auto"/>
        <w:jc w:val="both"/>
        <w:rPr>
          <w:rFonts w:ascii="Times New Roman" w:hAnsi="Times New Roman" w:cs="Times New Roman"/>
          <w:sz w:val="24"/>
          <w:szCs w:val="24"/>
        </w:rPr>
      </w:pPr>
      <w:r w:rsidRPr="008E1276">
        <w:rPr>
          <w:rFonts w:ascii="Times New Roman" w:hAnsi="Times New Roman" w:cs="Times New Roman"/>
          <w:sz w:val="24"/>
          <w:szCs w:val="24"/>
        </w:rPr>
        <w:t xml:space="preserve">Wyraźne skupienie osób pracujących (wg zawężonej definicji GUS tj. bez mikroprzedsiębiorstw) </w:t>
      </w:r>
      <w:r w:rsidR="00982AC1">
        <w:rPr>
          <w:rFonts w:ascii="Times New Roman" w:hAnsi="Times New Roman" w:cs="Times New Roman"/>
          <w:sz w:val="24"/>
          <w:szCs w:val="24"/>
        </w:rPr>
        <w:t xml:space="preserve">odnotowano </w:t>
      </w:r>
      <w:r w:rsidRPr="008E1276">
        <w:rPr>
          <w:rFonts w:ascii="Times New Roman" w:hAnsi="Times New Roman" w:cs="Times New Roman"/>
          <w:sz w:val="24"/>
          <w:szCs w:val="24"/>
        </w:rPr>
        <w:t>w podregionie rzeszowskim (32,9 proc.)</w:t>
      </w:r>
      <w:r>
        <w:rPr>
          <w:rFonts w:ascii="Times New Roman" w:hAnsi="Times New Roman" w:cs="Times New Roman"/>
          <w:sz w:val="24"/>
          <w:szCs w:val="24"/>
        </w:rPr>
        <w:t xml:space="preserve"> </w:t>
      </w:r>
      <w:r w:rsidRPr="008E1276">
        <w:rPr>
          <w:rFonts w:ascii="Times New Roman" w:hAnsi="Times New Roman" w:cs="Times New Roman"/>
          <w:sz w:val="24"/>
          <w:szCs w:val="24"/>
        </w:rPr>
        <w:t>i</w:t>
      </w:r>
      <w:r w:rsidR="00982AC1">
        <w:rPr>
          <w:rFonts w:ascii="Times New Roman" w:hAnsi="Times New Roman" w:cs="Times New Roman"/>
          <w:sz w:val="24"/>
          <w:szCs w:val="24"/>
        </w:rPr>
        <w:t> </w:t>
      </w:r>
      <w:r w:rsidRPr="008E1276">
        <w:rPr>
          <w:rFonts w:ascii="Times New Roman" w:hAnsi="Times New Roman" w:cs="Times New Roman"/>
          <w:sz w:val="24"/>
          <w:szCs w:val="24"/>
        </w:rPr>
        <w:t>tarnobrzeskim – (28,2</w:t>
      </w:r>
      <w:r>
        <w:rPr>
          <w:rFonts w:ascii="Times New Roman" w:hAnsi="Times New Roman" w:cs="Times New Roman"/>
          <w:sz w:val="24"/>
          <w:szCs w:val="24"/>
        </w:rPr>
        <w:t> </w:t>
      </w:r>
      <w:r w:rsidRPr="008E1276">
        <w:rPr>
          <w:rFonts w:ascii="Times New Roman" w:hAnsi="Times New Roman" w:cs="Times New Roman"/>
          <w:sz w:val="24"/>
          <w:szCs w:val="24"/>
        </w:rPr>
        <w:t xml:space="preserve">proc.) – </w:t>
      </w:r>
      <w:r>
        <w:rPr>
          <w:rFonts w:ascii="Times New Roman" w:hAnsi="Times New Roman" w:cs="Times New Roman"/>
          <w:sz w:val="24"/>
          <w:szCs w:val="24"/>
        </w:rPr>
        <w:t xml:space="preserve">tj. </w:t>
      </w:r>
      <w:r w:rsidRPr="008E1276">
        <w:rPr>
          <w:rFonts w:ascii="Times New Roman" w:hAnsi="Times New Roman" w:cs="Times New Roman"/>
          <w:sz w:val="24"/>
          <w:szCs w:val="24"/>
        </w:rPr>
        <w:t xml:space="preserve">łącznie 61,1 proc. W pozostałych </w:t>
      </w:r>
      <w:r>
        <w:rPr>
          <w:rFonts w:ascii="Times New Roman" w:hAnsi="Times New Roman" w:cs="Times New Roman"/>
          <w:sz w:val="24"/>
          <w:szCs w:val="24"/>
        </w:rPr>
        <w:t xml:space="preserve">podregionach </w:t>
      </w:r>
      <w:r w:rsidR="00982AC1">
        <w:rPr>
          <w:rFonts w:ascii="Times New Roman" w:hAnsi="Times New Roman" w:cs="Times New Roman"/>
          <w:sz w:val="24"/>
          <w:szCs w:val="24"/>
        </w:rPr>
        <w:t xml:space="preserve">tj. </w:t>
      </w:r>
      <w:r>
        <w:rPr>
          <w:rFonts w:ascii="Times New Roman" w:hAnsi="Times New Roman" w:cs="Times New Roman"/>
          <w:sz w:val="24"/>
          <w:szCs w:val="24"/>
        </w:rPr>
        <w:t xml:space="preserve">NUTS III </w:t>
      </w:r>
      <w:r w:rsidRPr="008E1276">
        <w:rPr>
          <w:rFonts w:ascii="Times New Roman" w:hAnsi="Times New Roman" w:cs="Times New Roman"/>
          <w:sz w:val="24"/>
          <w:szCs w:val="24"/>
        </w:rPr>
        <w:t xml:space="preserve">odnotowano niższy udział </w:t>
      </w:r>
      <w:r w:rsidR="00982AC1">
        <w:rPr>
          <w:rFonts w:ascii="Times New Roman" w:hAnsi="Times New Roman" w:cs="Times New Roman"/>
          <w:sz w:val="24"/>
          <w:szCs w:val="24"/>
        </w:rPr>
        <w:t>w</w:t>
      </w:r>
      <w:r w:rsidRPr="008E1276">
        <w:rPr>
          <w:rFonts w:ascii="Times New Roman" w:hAnsi="Times New Roman" w:cs="Times New Roman"/>
          <w:sz w:val="24"/>
          <w:szCs w:val="24"/>
        </w:rPr>
        <w:t xml:space="preserve"> krośnieński</w:t>
      </w:r>
      <w:r w:rsidR="00982AC1">
        <w:rPr>
          <w:rFonts w:ascii="Times New Roman" w:hAnsi="Times New Roman" w:cs="Times New Roman"/>
          <w:sz w:val="24"/>
          <w:szCs w:val="24"/>
        </w:rPr>
        <w:t>m</w:t>
      </w:r>
      <w:r w:rsidRPr="008E1276">
        <w:rPr>
          <w:rFonts w:ascii="Times New Roman" w:hAnsi="Times New Roman" w:cs="Times New Roman"/>
          <w:sz w:val="24"/>
          <w:szCs w:val="24"/>
        </w:rPr>
        <w:t xml:space="preserve"> (21,9 proc.) i przemyski</w:t>
      </w:r>
      <w:r w:rsidR="00982AC1">
        <w:rPr>
          <w:rFonts w:ascii="Times New Roman" w:hAnsi="Times New Roman" w:cs="Times New Roman"/>
          <w:sz w:val="24"/>
          <w:szCs w:val="24"/>
        </w:rPr>
        <w:t>m</w:t>
      </w:r>
      <w:r w:rsidRPr="008E1276">
        <w:rPr>
          <w:rFonts w:ascii="Times New Roman" w:hAnsi="Times New Roman" w:cs="Times New Roman"/>
          <w:sz w:val="24"/>
          <w:szCs w:val="24"/>
        </w:rPr>
        <w:t xml:space="preserve"> (17,0 proc.).</w:t>
      </w:r>
    </w:p>
    <w:p w:rsidR="00D74343" w:rsidRPr="008E1276" w:rsidRDefault="00D74343" w:rsidP="00D74343">
      <w:pPr>
        <w:pStyle w:val="Akapitzlist"/>
        <w:numPr>
          <w:ilvl w:val="0"/>
          <w:numId w:val="20"/>
        </w:numPr>
        <w:spacing w:after="0" w:line="360" w:lineRule="auto"/>
        <w:jc w:val="both"/>
        <w:rPr>
          <w:rFonts w:ascii="Times New Roman" w:hAnsi="Times New Roman" w:cs="Times New Roman"/>
          <w:sz w:val="24"/>
          <w:szCs w:val="24"/>
        </w:rPr>
      </w:pPr>
      <w:r w:rsidRPr="008E1276">
        <w:rPr>
          <w:rFonts w:ascii="Times New Roman" w:hAnsi="Times New Roman" w:cs="Times New Roman"/>
          <w:sz w:val="24"/>
          <w:szCs w:val="24"/>
        </w:rPr>
        <w:lastRenderedPageBreak/>
        <w:t>W podregionach rzeszowskim i tarnobrzeskim miały miejsce również największe wzrosty liczby osób pracujących, w tym największe w m. Rzeszowie (wzrost o 2529 osób pracujących), powiecie  rzeszowskim (1613) i dębickim (1013).</w:t>
      </w:r>
    </w:p>
    <w:p w:rsidR="00D74343" w:rsidRDefault="00D74343" w:rsidP="00D74343">
      <w:pPr>
        <w:pStyle w:val="Akapitzlist"/>
        <w:numPr>
          <w:ilvl w:val="0"/>
          <w:numId w:val="20"/>
        </w:numPr>
        <w:spacing w:after="0" w:line="360" w:lineRule="auto"/>
        <w:jc w:val="both"/>
        <w:rPr>
          <w:rFonts w:ascii="Times New Roman" w:hAnsi="Times New Roman" w:cs="Times New Roman"/>
          <w:sz w:val="24"/>
          <w:szCs w:val="24"/>
        </w:rPr>
      </w:pPr>
      <w:r w:rsidRPr="00CB4FC2">
        <w:rPr>
          <w:rFonts w:ascii="Times New Roman" w:hAnsi="Times New Roman" w:cs="Times New Roman"/>
          <w:sz w:val="24"/>
          <w:szCs w:val="24"/>
        </w:rPr>
        <w:t>Lokalizacja większości dużych firm w województwie pokrywa się z przestrzennym usytuowaniem zakładów w ramach dawnego COP-u. Łącznie w podregionach wg NUTS III odnotowano w subregionie krośnieńskim (PL 323) – 159581 osób pracujących,  przemyskim (PL 324) – 123777, rzeszowskim (PL 325) – 239607</w:t>
      </w:r>
      <w:r>
        <w:rPr>
          <w:rFonts w:ascii="Times New Roman" w:hAnsi="Times New Roman" w:cs="Times New Roman"/>
          <w:sz w:val="24"/>
          <w:szCs w:val="24"/>
        </w:rPr>
        <w:t xml:space="preserve"> </w:t>
      </w:r>
      <w:r w:rsidRPr="00CB4FC2">
        <w:rPr>
          <w:rFonts w:ascii="Times New Roman" w:hAnsi="Times New Roman" w:cs="Times New Roman"/>
          <w:sz w:val="24"/>
          <w:szCs w:val="24"/>
        </w:rPr>
        <w:t>i</w:t>
      </w:r>
      <w:r>
        <w:rPr>
          <w:rFonts w:ascii="Times New Roman" w:hAnsi="Times New Roman" w:cs="Times New Roman"/>
          <w:sz w:val="24"/>
          <w:szCs w:val="24"/>
        </w:rPr>
        <w:t xml:space="preserve"> </w:t>
      </w:r>
      <w:r w:rsidRPr="00CB4FC2">
        <w:rPr>
          <w:rFonts w:ascii="Times New Roman" w:hAnsi="Times New Roman" w:cs="Times New Roman"/>
          <w:sz w:val="24"/>
          <w:szCs w:val="24"/>
        </w:rPr>
        <w:t>tarnobrzeskim (PL</w:t>
      </w:r>
      <w:r>
        <w:rPr>
          <w:rFonts w:ascii="Times New Roman" w:hAnsi="Times New Roman" w:cs="Times New Roman"/>
          <w:sz w:val="24"/>
          <w:szCs w:val="24"/>
        </w:rPr>
        <w:t> </w:t>
      </w:r>
      <w:r w:rsidRPr="00CB4FC2">
        <w:rPr>
          <w:rFonts w:ascii="Times New Roman" w:hAnsi="Times New Roman" w:cs="Times New Roman"/>
          <w:sz w:val="24"/>
          <w:szCs w:val="24"/>
        </w:rPr>
        <w:t>326) – 205729.</w:t>
      </w:r>
    </w:p>
    <w:p w:rsidR="004A1253" w:rsidRPr="00526081" w:rsidRDefault="00D74343" w:rsidP="004A1253">
      <w:pPr>
        <w:pStyle w:val="Akapitzlist"/>
        <w:numPr>
          <w:ilvl w:val="0"/>
          <w:numId w:val="20"/>
        </w:numPr>
        <w:spacing w:after="0" w:line="360" w:lineRule="auto"/>
        <w:jc w:val="both"/>
        <w:rPr>
          <w:rFonts w:ascii="Times New Roman" w:hAnsi="Times New Roman" w:cs="Times New Roman"/>
          <w:sz w:val="24"/>
          <w:szCs w:val="24"/>
        </w:rPr>
      </w:pPr>
      <w:r w:rsidRPr="00526081">
        <w:rPr>
          <w:rFonts w:ascii="Times New Roman" w:hAnsi="Times New Roman" w:cs="Times New Roman"/>
          <w:sz w:val="24"/>
          <w:szCs w:val="24"/>
        </w:rPr>
        <w:t xml:space="preserve">Znaczna różnica pomiędzy liczbą osób pracujących a </w:t>
      </w:r>
      <w:r w:rsidR="00863ABB">
        <w:rPr>
          <w:rFonts w:ascii="Times New Roman" w:hAnsi="Times New Roman" w:cs="Times New Roman"/>
          <w:sz w:val="24"/>
          <w:szCs w:val="24"/>
        </w:rPr>
        <w:t xml:space="preserve">liczbą ludności </w:t>
      </w:r>
      <w:r w:rsidRPr="00526081">
        <w:rPr>
          <w:rFonts w:ascii="Times New Roman" w:hAnsi="Times New Roman" w:cs="Times New Roman"/>
          <w:sz w:val="24"/>
          <w:szCs w:val="24"/>
        </w:rPr>
        <w:t>w wieku 26 – 65 lat. Niski udział osób uczestniczących w kształceniu lub szkoleniu (16 lokata) </w:t>
      </w:r>
      <w:r w:rsidRPr="00411AC9">
        <w:rPr>
          <w:rStyle w:val="Odwoanieprzypisudolnego"/>
          <w:rFonts w:ascii="Times New Roman" w:hAnsi="Times New Roman" w:cs="Times New Roman"/>
          <w:sz w:val="24"/>
          <w:szCs w:val="24"/>
        </w:rPr>
        <w:footnoteReference w:id="22"/>
      </w:r>
      <w:r w:rsidRPr="00526081">
        <w:rPr>
          <w:rFonts w:ascii="Times New Roman" w:hAnsi="Times New Roman" w:cs="Times New Roman"/>
          <w:sz w:val="24"/>
          <w:szCs w:val="24"/>
        </w:rPr>
        <w:t>.</w:t>
      </w:r>
    </w:p>
    <w:p w:rsidR="00863ABB" w:rsidRDefault="00863ABB" w:rsidP="00863ABB">
      <w:pPr>
        <w:spacing w:after="0" w:line="240" w:lineRule="auto"/>
        <w:jc w:val="both"/>
        <w:rPr>
          <w:rFonts w:ascii="Times New Roman" w:hAnsi="Times New Roman" w:cs="Times New Roman"/>
          <w:sz w:val="16"/>
          <w:szCs w:val="16"/>
          <w:highlight w:val="yellow"/>
        </w:rPr>
      </w:pPr>
    </w:p>
    <w:p w:rsidR="00863ABB" w:rsidRDefault="00863ABB" w:rsidP="00863ABB">
      <w:pPr>
        <w:spacing w:after="0" w:line="240" w:lineRule="auto"/>
        <w:jc w:val="both"/>
        <w:rPr>
          <w:rFonts w:ascii="Times New Roman" w:hAnsi="Times New Roman" w:cs="Times New Roman"/>
          <w:sz w:val="16"/>
          <w:szCs w:val="16"/>
          <w:highlight w:val="yellow"/>
        </w:rPr>
      </w:pPr>
    </w:p>
    <w:p w:rsidR="00473912" w:rsidRPr="005303BD" w:rsidRDefault="00AD036F" w:rsidP="00EE3609">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9" w:name="_Toc81396062"/>
      <w:r w:rsidRPr="005303B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Podkarpacki rynek pracy</w:t>
      </w:r>
      <w:r w:rsidR="001A7EF4">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D14F9" w:rsidRPr="005303B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A11E10" w:rsidRPr="005303B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sidR="00BD14F9" w:rsidRPr="005303B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00A11E10" w:rsidRPr="005303B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półrocze </w:t>
      </w:r>
      <w:r w:rsidRPr="005303B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w:t>
      </w:r>
      <w:r w:rsidR="00F047B4" w:rsidRPr="005303B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5303BD">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bookmarkEnd w:id="9"/>
    </w:p>
    <w:p w:rsidR="00136D8A" w:rsidRDefault="00136D8A" w:rsidP="00325632">
      <w:pPr>
        <w:spacing w:after="0" w:line="240" w:lineRule="auto"/>
        <w:jc w:val="both"/>
        <w:rPr>
          <w:rFonts w:ascii="Times New Roman" w:hAnsi="Times New Roman" w:cs="Times New Roman"/>
          <w:sz w:val="16"/>
          <w:szCs w:val="16"/>
          <w:highlight w:val="yellow"/>
        </w:rPr>
      </w:pPr>
    </w:p>
    <w:p w:rsidR="00863ABB" w:rsidRDefault="00863ABB" w:rsidP="00325632">
      <w:pPr>
        <w:spacing w:after="0" w:line="240" w:lineRule="auto"/>
        <w:jc w:val="both"/>
        <w:rPr>
          <w:rFonts w:ascii="Times New Roman" w:hAnsi="Times New Roman" w:cs="Times New Roman"/>
          <w:sz w:val="16"/>
          <w:szCs w:val="16"/>
          <w:highlight w:val="yellow"/>
        </w:rPr>
      </w:pPr>
    </w:p>
    <w:p w:rsidR="001773BA" w:rsidRPr="005303BD" w:rsidRDefault="00F61179" w:rsidP="00461B21">
      <w:pPr>
        <w:spacing w:after="0"/>
        <w:ind w:firstLine="709"/>
        <w:jc w:val="both"/>
        <w:rPr>
          <w:rFonts w:ascii="Times New Roman" w:hAnsi="Times New Roman" w:cs="Times New Roman"/>
          <w:sz w:val="24"/>
          <w:szCs w:val="24"/>
          <w:u w:val="single"/>
        </w:rPr>
      </w:pPr>
      <w:r w:rsidRPr="005303BD">
        <w:rPr>
          <w:rFonts w:ascii="Times New Roman" w:hAnsi="Times New Roman" w:cs="Times New Roman"/>
          <w:sz w:val="24"/>
          <w:szCs w:val="24"/>
        </w:rPr>
        <w:t xml:space="preserve">W województwie podkarpackim </w:t>
      </w:r>
      <w:r w:rsidR="00C519CA" w:rsidRPr="005303BD">
        <w:rPr>
          <w:rFonts w:ascii="Times New Roman" w:hAnsi="Times New Roman" w:cs="Times New Roman"/>
          <w:sz w:val="24"/>
          <w:szCs w:val="24"/>
        </w:rPr>
        <w:t xml:space="preserve">wg stanu </w:t>
      </w:r>
      <w:r w:rsidRPr="005303BD">
        <w:rPr>
          <w:rFonts w:ascii="Times New Roman" w:hAnsi="Times New Roman" w:cs="Times New Roman"/>
          <w:sz w:val="24"/>
          <w:szCs w:val="24"/>
        </w:rPr>
        <w:t>n</w:t>
      </w:r>
      <w:r w:rsidR="001773BA" w:rsidRPr="005303BD">
        <w:rPr>
          <w:rFonts w:ascii="Times New Roman" w:hAnsi="Times New Roman" w:cs="Times New Roman"/>
          <w:sz w:val="24"/>
          <w:szCs w:val="24"/>
        </w:rPr>
        <w:t>a 3</w:t>
      </w:r>
      <w:r w:rsidR="0095049A" w:rsidRPr="005303BD">
        <w:rPr>
          <w:rFonts w:ascii="Times New Roman" w:hAnsi="Times New Roman" w:cs="Times New Roman"/>
          <w:sz w:val="24"/>
          <w:szCs w:val="24"/>
        </w:rPr>
        <w:t>0</w:t>
      </w:r>
      <w:r w:rsidR="00006E96" w:rsidRPr="005303BD">
        <w:rPr>
          <w:rFonts w:ascii="Times New Roman" w:hAnsi="Times New Roman" w:cs="Times New Roman"/>
          <w:sz w:val="24"/>
          <w:szCs w:val="24"/>
        </w:rPr>
        <w:t xml:space="preserve"> </w:t>
      </w:r>
      <w:r w:rsidR="0095049A" w:rsidRPr="005303BD">
        <w:rPr>
          <w:rFonts w:ascii="Times New Roman" w:hAnsi="Times New Roman" w:cs="Times New Roman"/>
          <w:sz w:val="24"/>
          <w:szCs w:val="24"/>
        </w:rPr>
        <w:t>VI</w:t>
      </w:r>
      <w:r w:rsidR="00006E96" w:rsidRPr="005303BD">
        <w:rPr>
          <w:rFonts w:ascii="Times New Roman" w:hAnsi="Times New Roman" w:cs="Times New Roman"/>
          <w:sz w:val="24"/>
          <w:szCs w:val="24"/>
        </w:rPr>
        <w:t xml:space="preserve"> </w:t>
      </w:r>
      <w:r w:rsidR="00E4465F" w:rsidRPr="005303BD">
        <w:rPr>
          <w:rFonts w:ascii="Times New Roman" w:hAnsi="Times New Roman" w:cs="Times New Roman"/>
          <w:sz w:val="24"/>
          <w:szCs w:val="24"/>
        </w:rPr>
        <w:t>202</w:t>
      </w:r>
      <w:r w:rsidR="005303BD" w:rsidRPr="005303BD">
        <w:rPr>
          <w:rFonts w:ascii="Times New Roman" w:hAnsi="Times New Roman" w:cs="Times New Roman"/>
          <w:sz w:val="24"/>
          <w:szCs w:val="24"/>
        </w:rPr>
        <w:t>1</w:t>
      </w:r>
      <w:r w:rsidR="001773BA" w:rsidRPr="005303BD">
        <w:rPr>
          <w:rFonts w:ascii="Times New Roman" w:hAnsi="Times New Roman" w:cs="Times New Roman"/>
          <w:sz w:val="24"/>
          <w:szCs w:val="24"/>
        </w:rPr>
        <w:t xml:space="preserve"> r</w:t>
      </w:r>
      <w:r w:rsidR="00E4465F" w:rsidRPr="005303BD">
        <w:rPr>
          <w:rFonts w:ascii="Times New Roman" w:hAnsi="Times New Roman" w:cs="Times New Roman"/>
          <w:sz w:val="24"/>
          <w:szCs w:val="24"/>
        </w:rPr>
        <w:t>oku</w:t>
      </w:r>
      <w:r w:rsidR="00AE5712" w:rsidRPr="005303BD">
        <w:rPr>
          <w:rFonts w:ascii="Times New Roman" w:hAnsi="Times New Roman" w:cs="Times New Roman"/>
          <w:sz w:val="24"/>
          <w:szCs w:val="24"/>
        </w:rPr>
        <w:t xml:space="preserve"> </w:t>
      </w:r>
      <w:r w:rsidR="00325632" w:rsidRPr="005303BD">
        <w:rPr>
          <w:rFonts w:ascii="Times New Roman" w:hAnsi="Times New Roman" w:cs="Times New Roman"/>
          <w:sz w:val="24"/>
          <w:szCs w:val="24"/>
        </w:rPr>
        <w:t xml:space="preserve">(w porównaniu do </w:t>
      </w:r>
      <w:r w:rsidRPr="005303BD">
        <w:rPr>
          <w:rFonts w:ascii="Times New Roman" w:hAnsi="Times New Roman" w:cs="Times New Roman"/>
          <w:sz w:val="24"/>
          <w:szCs w:val="24"/>
        </w:rPr>
        <w:t>31</w:t>
      </w:r>
      <w:r w:rsidR="00006E96" w:rsidRPr="005303BD">
        <w:rPr>
          <w:rFonts w:ascii="Times New Roman" w:hAnsi="Times New Roman" w:cs="Times New Roman"/>
          <w:sz w:val="24"/>
          <w:szCs w:val="24"/>
        </w:rPr>
        <w:t xml:space="preserve"> XII </w:t>
      </w:r>
      <w:r w:rsidR="00CE2469" w:rsidRPr="005303BD">
        <w:rPr>
          <w:rFonts w:ascii="Times New Roman" w:hAnsi="Times New Roman" w:cs="Times New Roman"/>
          <w:sz w:val="24"/>
          <w:szCs w:val="24"/>
        </w:rPr>
        <w:t>20</w:t>
      </w:r>
      <w:r w:rsidR="005303BD" w:rsidRPr="005303BD">
        <w:rPr>
          <w:rFonts w:ascii="Times New Roman" w:hAnsi="Times New Roman" w:cs="Times New Roman"/>
          <w:sz w:val="24"/>
          <w:szCs w:val="24"/>
        </w:rPr>
        <w:t>20</w:t>
      </w:r>
      <w:r w:rsidR="00325632" w:rsidRPr="005303BD">
        <w:rPr>
          <w:rFonts w:ascii="Times New Roman" w:hAnsi="Times New Roman" w:cs="Times New Roman"/>
          <w:sz w:val="24"/>
          <w:szCs w:val="24"/>
        </w:rPr>
        <w:t xml:space="preserve"> roku)</w:t>
      </w:r>
      <w:r w:rsidRPr="005303BD">
        <w:rPr>
          <w:rFonts w:ascii="Times New Roman" w:hAnsi="Times New Roman" w:cs="Times New Roman"/>
          <w:sz w:val="24"/>
          <w:szCs w:val="24"/>
        </w:rPr>
        <w:t xml:space="preserve"> </w:t>
      </w:r>
      <w:r w:rsidR="001773BA" w:rsidRPr="005303BD">
        <w:rPr>
          <w:rFonts w:ascii="Times New Roman" w:hAnsi="Times New Roman" w:cs="Times New Roman"/>
          <w:sz w:val="24"/>
          <w:szCs w:val="24"/>
        </w:rPr>
        <w:t xml:space="preserve">odnotowano </w:t>
      </w:r>
      <w:r w:rsidR="005303BD" w:rsidRPr="005303BD">
        <w:rPr>
          <w:rFonts w:ascii="Times New Roman" w:hAnsi="Times New Roman" w:cs="Times New Roman"/>
          <w:sz w:val="24"/>
          <w:szCs w:val="24"/>
        </w:rPr>
        <w:t>spadek</w:t>
      </w:r>
      <w:r w:rsidR="001773BA" w:rsidRPr="005303BD">
        <w:rPr>
          <w:rFonts w:ascii="Times New Roman" w:hAnsi="Times New Roman" w:cs="Times New Roman"/>
          <w:sz w:val="24"/>
          <w:szCs w:val="24"/>
          <w:u w:val="single"/>
        </w:rPr>
        <w:t xml:space="preserve"> liczby osób bezrobotnych</w:t>
      </w:r>
      <w:r w:rsidR="00AE5712" w:rsidRPr="005303BD">
        <w:rPr>
          <w:rFonts w:ascii="Times New Roman" w:hAnsi="Times New Roman" w:cs="Times New Roman"/>
          <w:sz w:val="24"/>
          <w:szCs w:val="24"/>
          <w:u w:val="single"/>
        </w:rPr>
        <w:t xml:space="preserve"> o </w:t>
      </w:r>
      <w:r w:rsidR="005303BD" w:rsidRPr="005303BD">
        <w:rPr>
          <w:rFonts w:ascii="Times New Roman" w:hAnsi="Times New Roman" w:cs="Times New Roman"/>
          <w:sz w:val="24"/>
          <w:szCs w:val="24"/>
          <w:u w:val="single"/>
        </w:rPr>
        <w:t>6382</w:t>
      </w:r>
      <w:r w:rsidRPr="005303BD">
        <w:rPr>
          <w:rFonts w:ascii="Times New Roman" w:hAnsi="Times New Roman" w:cs="Times New Roman"/>
          <w:sz w:val="24"/>
          <w:szCs w:val="24"/>
          <w:u w:val="single"/>
        </w:rPr>
        <w:t xml:space="preserve"> osób</w:t>
      </w:r>
      <w:r w:rsidR="00AE5712" w:rsidRPr="005303BD">
        <w:rPr>
          <w:rFonts w:ascii="Times New Roman" w:hAnsi="Times New Roman" w:cs="Times New Roman"/>
          <w:sz w:val="24"/>
          <w:szCs w:val="24"/>
          <w:u w:val="single"/>
        </w:rPr>
        <w:t xml:space="preserve"> </w:t>
      </w:r>
      <w:r w:rsidR="00003C2E" w:rsidRPr="005303BD">
        <w:rPr>
          <w:rFonts w:ascii="Times New Roman" w:hAnsi="Times New Roman" w:cs="Times New Roman"/>
          <w:sz w:val="24"/>
          <w:szCs w:val="24"/>
          <w:u w:val="single"/>
        </w:rPr>
        <w:t>(</w:t>
      </w:r>
      <w:r w:rsidR="005303BD" w:rsidRPr="005303BD">
        <w:rPr>
          <w:rFonts w:ascii="Times New Roman" w:hAnsi="Times New Roman" w:cs="Times New Roman"/>
          <w:sz w:val="24"/>
          <w:szCs w:val="24"/>
          <w:u w:val="single"/>
        </w:rPr>
        <w:t>7</w:t>
      </w:r>
      <w:r w:rsidR="00003C2E" w:rsidRPr="005303BD">
        <w:rPr>
          <w:rFonts w:ascii="Times New Roman" w:hAnsi="Times New Roman" w:cs="Times New Roman"/>
          <w:sz w:val="24"/>
          <w:szCs w:val="24"/>
          <w:u w:val="single"/>
        </w:rPr>
        <w:t>,</w:t>
      </w:r>
      <w:r w:rsidR="005303BD" w:rsidRPr="005303BD">
        <w:rPr>
          <w:rFonts w:ascii="Times New Roman" w:hAnsi="Times New Roman" w:cs="Times New Roman"/>
          <w:sz w:val="24"/>
          <w:szCs w:val="24"/>
          <w:u w:val="single"/>
        </w:rPr>
        <w:t>3</w:t>
      </w:r>
      <w:r w:rsidR="008F2E68">
        <w:rPr>
          <w:rFonts w:ascii="Times New Roman" w:hAnsi="Times New Roman" w:cs="Times New Roman"/>
          <w:sz w:val="24"/>
          <w:szCs w:val="24"/>
          <w:u w:val="single"/>
        </w:rPr>
        <w:t xml:space="preserve"> proc.</w:t>
      </w:r>
      <w:r w:rsidR="00003C2E" w:rsidRPr="005303BD">
        <w:rPr>
          <w:rFonts w:ascii="Times New Roman" w:hAnsi="Times New Roman" w:cs="Times New Roman"/>
          <w:sz w:val="24"/>
          <w:szCs w:val="24"/>
          <w:u w:val="single"/>
        </w:rPr>
        <w:t>)</w:t>
      </w:r>
      <w:r w:rsidR="00C519CA" w:rsidRPr="005303BD">
        <w:rPr>
          <w:rFonts w:ascii="Times New Roman" w:hAnsi="Times New Roman" w:cs="Times New Roman"/>
          <w:sz w:val="24"/>
          <w:szCs w:val="24"/>
          <w:u w:val="single"/>
        </w:rPr>
        <w:t xml:space="preserve"> i</w:t>
      </w:r>
      <w:r w:rsidR="00003C2E" w:rsidRPr="005303BD">
        <w:rPr>
          <w:rFonts w:ascii="Times New Roman" w:hAnsi="Times New Roman" w:cs="Times New Roman"/>
          <w:sz w:val="24"/>
          <w:szCs w:val="24"/>
          <w:u w:val="single"/>
        </w:rPr>
        <w:t xml:space="preserve"> </w:t>
      </w:r>
      <w:r w:rsidRPr="005303BD">
        <w:rPr>
          <w:rFonts w:ascii="Times New Roman" w:hAnsi="Times New Roman" w:cs="Times New Roman"/>
          <w:sz w:val="24"/>
          <w:szCs w:val="24"/>
          <w:u w:val="single"/>
        </w:rPr>
        <w:t>stopy bezrobocia</w:t>
      </w:r>
      <w:r w:rsidR="00AE5712" w:rsidRPr="005303BD">
        <w:rPr>
          <w:rFonts w:ascii="Times New Roman" w:hAnsi="Times New Roman" w:cs="Times New Roman"/>
          <w:sz w:val="24"/>
          <w:szCs w:val="24"/>
          <w:u w:val="single"/>
        </w:rPr>
        <w:t xml:space="preserve"> o </w:t>
      </w:r>
      <w:r w:rsidR="005303BD" w:rsidRPr="005303BD">
        <w:rPr>
          <w:rFonts w:ascii="Times New Roman" w:hAnsi="Times New Roman" w:cs="Times New Roman"/>
          <w:sz w:val="24"/>
          <w:szCs w:val="24"/>
          <w:u w:val="single"/>
        </w:rPr>
        <w:t>0</w:t>
      </w:r>
      <w:r w:rsidRPr="005303BD">
        <w:rPr>
          <w:rFonts w:ascii="Times New Roman" w:hAnsi="Times New Roman" w:cs="Times New Roman"/>
          <w:sz w:val="24"/>
          <w:szCs w:val="24"/>
          <w:u w:val="single"/>
        </w:rPr>
        <w:t>,</w:t>
      </w:r>
      <w:r w:rsidR="005303BD" w:rsidRPr="005303BD">
        <w:rPr>
          <w:rFonts w:ascii="Times New Roman" w:hAnsi="Times New Roman" w:cs="Times New Roman"/>
          <w:sz w:val="24"/>
          <w:szCs w:val="24"/>
          <w:u w:val="single"/>
        </w:rPr>
        <w:t>6</w:t>
      </w:r>
      <w:r w:rsidR="007C037A" w:rsidRPr="005303BD">
        <w:rPr>
          <w:rFonts w:ascii="Times New Roman" w:hAnsi="Times New Roman" w:cs="Times New Roman"/>
          <w:sz w:val="24"/>
          <w:szCs w:val="24"/>
          <w:u w:val="single"/>
        </w:rPr>
        <w:t xml:space="preserve"> pkt. proc</w:t>
      </w:r>
      <w:r w:rsidRPr="005303BD">
        <w:rPr>
          <w:rFonts w:ascii="Times New Roman" w:hAnsi="Times New Roman" w:cs="Times New Roman"/>
          <w:sz w:val="24"/>
          <w:szCs w:val="24"/>
          <w:u w:val="single"/>
        </w:rPr>
        <w:t>.</w:t>
      </w:r>
    </w:p>
    <w:p w:rsidR="001773BA" w:rsidRPr="00D62B23" w:rsidRDefault="001773BA" w:rsidP="00006E96">
      <w:pPr>
        <w:pStyle w:val="Default"/>
        <w:jc w:val="both"/>
        <w:rPr>
          <w:bCs/>
          <w:sz w:val="16"/>
          <w:szCs w:val="16"/>
          <w:highlight w:val="yellow"/>
        </w:rPr>
      </w:pPr>
    </w:p>
    <w:p w:rsidR="0044394D" w:rsidRPr="00D62B23" w:rsidRDefault="00E964F4" w:rsidP="00900C64">
      <w:pPr>
        <w:pStyle w:val="Bezodstpw"/>
        <w:ind w:left="1410" w:hanging="1410"/>
        <w:rPr>
          <w:highlight w:val="yellow"/>
        </w:rPr>
      </w:pPr>
      <w:r w:rsidRPr="00E964F4">
        <w:rPr>
          <w:noProof/>
          <w:lang w:eastAsia="pl-PL"/>
        </w:rPr>
        <w:drawing>
          <wp:inline distT="0" distB="0" distL="0" distR="0" wp14:anchorId="558A2C27" wp14:editId="30CCC22A">
            <wp:extent cx="5742432" cy="1975104"/>
            <wp:effectExtent l="0" t="0" r="0" b="635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1980957"/>
                    </a:xfrm>
                    <a:prstGeom prst="rect">
                      <a:avLst/>
                    </a:prstGeom>
                    <a:noFill/>
                    <a:ln>
                      <a:noFill/>
                    </a:ln>
                  </pic:spPr>
                </pic:pic>
              </a:graphicData>
            </a:graphic>
          </wp:inline>
        </w:drawing>
      </w:r>
    </w:p>
    <w:p w:rsidR="00435DDB" w:rsidRDefault="00E964F4" w:rsidP="009E70A0">
      <w:pPr>
        <w:pStyle w:val="Default"/>
        <w:jc w:val="both"/>
        <w:rPr>
          <w:sz w:val="16"/>
          <w:szCs w:val="16"/>
          <w:highlight w:val="yellow"/>
        </w:rPr>
      </w:pPr>
      <w:r w:rsidRPr="00E964F4">
        <w:rPr>
          <w:noProof/>
          <w:lang w:eastAsia="pl-PL"/>
        </w:rPr>
        <w:lastRenderedPageBreak/>
        <w:drawing>
          <wp:inline distT="0" distB="0" distL="0" distR="0" wp14:anchorId="3A41919C" wp14:editId="007BEB09">
            <wp:extent cx="5757062" cy="4096512"/>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4098211"/>
                    </a:xfrm>
                    <a:prstGeom prst="rect">
                      <a:avLst/>
                    </a:prstGeom>
                    <a:noFill/>
                    <a:ln>
                      <a:noFill/>
                    </a:ln>
                  </pic:spPr>
                </pic:pic>
              </a:graphicData>
            </a:graphic>
          </wp:inline>
        </w:drawing>
      </w:r>
    </w:p>
    <w:p w:rsidR="00435DDB" w:rsidRDefault="00435DDB" w:rsidP="009E70A0">
      <w:pPr>
        <w:pStyle w:val="Default"/>
        <w:jc w:val="both"/>
        <w:rPr>
          <w:sz w:val="16"/>
          <w:szCs w:val="16"/>
          <w:highlight w:val="yellow"/>
        </w:rPr>
      </w:pPr>
    </w:p>
    <w:p w:rsidR="00EF2BA2" w:rsidRPr="00D62B23" w:rsidRDefault="00EF2BA2" w:rsidP="009E70A0">
      <w:pPr>
        <w:pStyle w:val="Default"/>
        <w:jc w:val="both"/>
        <w:rPr>
          <w:sz w:val="16"/>
          <w:szCs w:val="16"/>
          <w:highlight w:val="yellow"/>
        </w:rPr>
      </w:pPr>
    </w:p>
    <w:p w:rsidR="009A1F42" w:rsidRPr="005303BD" w:rsidRDefault="00350C0B" w:rsidP="00F11191">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303BD">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A2874" w:rsidRPr="005303BD" w:rsidRDefault="008A2874" w:rsidP="008A2874">
      <w:pPr>
        <w:pStyle w:val="Tekstpodstawowywcity"/>
        <w:spacing w:after="0" w:line="360" w:lineRule="auto"/>
        <w:ind w:left="0"/>
        <w:jc w:val="both"/>
        <w:rPr>
          <w:rFonts w:ascii="Times New Roman" w:hAnsi="Times New Roman" w:cs="Times New Roman"/>
          <w:sz w:val="20"/>
          <w:szCs w:val="20"/>
        </w:rPr>
      </w:pPr>
      <w:r w:rsidRPr="005303BD">
        <w:rPr>
          <w:rFonts w:ascii="Times New Roman" w:hAnsi="Times New Roman" w:cs="Times New Roman"/>
          <w:sz w:val="20"/>
          <w:szCs w:val="20"/>
        </w:rPr>
        <w:t>(na podstawie danych</w:t>
      </w:r>
      <w:r w:rsidR="00AE5712" w:rsidRPr="005303BD">
        <w:rPr>
          <w:rFonts w:ascii="Times New Roman" w:hAnsi="Times New Roman" w:cs="Times New Roman"/>
          <w:sz w:val="20"/>
          <w:szCs w:val="20"/>
        </w:rPr>
        <w:t xml:space="preserve"> z </w:t>
      </w:r>
      <w:r w:rsidRPr="005303BD">
        <w:rPr>
          <w:rFonts w:ascii="Times New Roman" w:hAnsi="Times New Roman" w:cs="Times New Roman"/>
          <w:sz w:val="20"/>
          <w:szCs w:val="20"/>
        </w:rPr>
        <w:t>Tabel</w:t>
      </w:r>
      <w:r w:rsidR="00350C0B" w:rsidRPr="005303BD">
        <w:rPr>
          <w:rFonts w:ascii="Times New Roman" w:hAnsi="Times New Roman" w:cs="Times New Roman"/>
          <w:sz w:val="20"/>
          <w:szCs w:val="20"/>
        </w:rPr>
        <w:t xml:space="preserve">i </w:t>
      </w:r>
      <w:r w:rsidR="007C037A" w:rsidRPr="005303BD">
        <w:rPr>
          <w:rFonts w:ascii="Times New Roman" w:hAnsi="Times New Roman" w:cs="Times New Roman"/>
          <w:sz w:val="20"/>
          <w:szCs w:val="20"/>
        </w:rPr>
        <w:t>I</w:t>
      </w:r>
      <w:r w:rsidR="00C47FB7" w:rsidRPr="005303BD">
        <w:rPr>
          <w:rFonts w:ascii="Times New Roman" w:hAnsi="Times New Roman" w:cs="Times New Roman"/>
          <w:sz w:val="20"/>
          <w:szCs w:val="20"/>
        </w:rPr>
        <w:t xml:space="preserve"> oraz </w:t>
      </w:r>
      <w:r w:rsidRPr="005303BD">
        <w:rPr>
          <w:rFonts w:ascii="Times New Roman" w:hAnsi="Times New Roman" w:cs="Times New Roman"/>
          <w:sz w:val="20"/>
          <w:szCs w:val="20"/>
        </w:rPr>
        <w:t xml:space="preserve">Tabeli </w:t>
      </w:r>
      <w:r w:rsidR="007C037A" w:rsidRPr="005303BD">
        <w:rPr>
          <w:rFonts w:ascii="Times New Roman" w:hAnsi="Times New Roman" w:cs="Times New Roman"/>
          <w:sz w:val="20"/>
          <w:szCs w:val="20"/>
        </w:rPr>
        <w:t>II</w:t>
      </w:r>
      <w:r w:rsidRPr="005303BD">
        <w:rPr>
          <w:rFonts w:ascii="Times New Roman" w:hAnsi="Times New Roman" w:cs="Times New Roman"/>
          <w:sz w:val="20"/>
          <w:szCs w:val="20"/>
        </w:rPr>
        <w:t>)</w:t>
      </w:r>
    </w:p>
    <w:p w:rsidR="000C4AA0" w:rsidRPr="00D62B23" w:rsidRDefault="000C4AA0" w:rsidP="000C4AA0">
      <w:pPr>
        <w:pStyle w:val="Default"/>
        <w:rPr>
          <w:sz w:val="16"/>
          <w:szCs w:val="16"/>
          <w:highlight w:val="yellow"/>
        </w:rPr>
      </w:pPr>
    </w:p>
    <w:p w:rsidR="00D437FD" w:rsidRPr="00F14723" w:rsidRDefault="00796F6E" w:rsidP="00D437FD">
      <w:pPr>
        <w:pStyle w:val="Default"/>
        <w:numPr>
          <w:ilvl w:val="0"/>
          <w:numId w:val="3"/>
        </w:numPr>
        <w:spacing w:line="360" w:lineRule="auto"/>
        <w:jc w:val="both"/>
      </w:pPr>
      <w:r w:rsidRPr="00E44D0F">
        <w:t>N</w:t>
      </w:r>
      <w:r w:rsidR="009A1F42" w:rsidRPr="00E44D0F">
        <w:t xml:space="preserve">ajwiększy </w:t>
      </w:r>
      <w:r w:rsidR="002B03E5" w:rsidRPr="00E44D0F">
        <w:t xml:space="preserve">procentowy </w:t>
      </w:r>
      <w:r w:rsidR="005303BD" w:rsidRPr="00E44D0F">
        <w:t xml:space="preserve">spadek osób </w:t>
      </w:r>
      <w:r w:rsidR="009A1F42" w:rsidRPr="00E44D0F">
        <w:t>bezrobotnych odnotowano</w:t>
      </w:r>
      <w:r w:rsidR="00E44D0F">
        <w:t xml:space="preserve"> </w:t>
      </w:r>
      <w:r w:rsidR="00AE5712" w:rsidRPr="00E44D0F">
        <w:t>w</w:t>
      </w:r>
      <w:r w:rsidR="00E44D0F">
        <w:t xml:space="preserve"> </w:t>
      </w:r>
      <w:r w:rsidR="009A1F42" w:rsidRPr="00E44D0F">
        <w:t xml:space="preserve">grupie osób </w:t>
      </w:r>
      <w:r w:rsidR="00D437FD" w:rsidRPr="00E44D0F">
        <w:t>zwolnionych</w:t>
      </w:r>
      <w:r w:rsidR="00E44D0F">
        <w:t xml:space="preserve"> </w:t>
      </w:r>
      <w:r w:rsidR="00D437FD" w:rsidRPr="00E44D0F">
        <w:t>z</w:t>
      </w:r>
      <w:r w:rsidR="00E44D0F">
        <w:t xml:space="preserve"> </w:t>
      </w:r>
      <w:r w:rsidR="00D437FD" w:rsidRPr="00E44D0F">
        <w:t xml:space="preserve">przyczyn </w:t>
      </w:r>
      <w:r w:rsidR="00BA4750">
        <w:t xml:space="preserve">dotyczących </w:t>
      </w:r>
      <w:r w:rsidR="00D437FD" w:rsidRPr="00E44D0F">
        <w:t xml:space="preserve">zakładu pracy </w:t>
      </w:r>
      <w:r w:rsidR="002B03E5" w:rsidRPr="00E44D0F">
        <w:t>(</w:t>
      </w:r>
      <w:r w:rsidR="00D437FD" w:rsidRPr="00E44D0F">
        <w:t xml:space="preserve">o </w:t>
      </w:r>
      <w:r w:rsidR="005303BD" w:rsidRPr="00E44D0F">
        <w:t>14</w:t>
      </w:r>
      <w:r w:rsidR="009A1F42" w:rsidRPr="00E44D0F">
        <w:t>,</w:t>
      </w:r>
      <w:r w:rsidR="005303BD" w:rsidRPr="00E44D0F">
        <w:t>1</w:t>
      </w:r>
      <w:r w:rsidR="00C519CA" w:rsidRPr="00E44D0F">
        <w:t> </w:t>
      </w:r>
      <w:r w:rsidR="00A25886" w:rsidRPr="00E44D0F">
        <w:t>proc.)</w:t>
      </w:r>
      <w:r w:rsidR="00BA4750">
        <w:t xml:space="preserve">, spowodowanych </w:t>
      </w:r>
      <w:r w:rsidR="00E44D0F" w:rsidRPr="00E44D0F">
        <w:t>lepsz</w:t>
      </w:r>
      <w:r w:rsidR="00BA4750">
        <w:t>ą</w:t>
      </w:r>
      <w:r w:rsidR="00E44D0F" w:rsidRPr="00E44D0F">
        <w:t xml:space="preserve"> kondyc</w:t>
      </w:r>
      <w:r w:rsidR="00BA4750">
        <w:t>ją</w:t>
      </w:r>
      <w:r w:rsidR="00E44D0F" w:rsidRPr="00E44D0F">
        <w:t xml:space="preserve"> gospodarki. Jedną z </w:t>
      </w:r>
      <w:r w:rsidR="00E44D0F">
        <w:t xml:space="preserve">jego </w:t>
      </w:r>
      <w:r w:rsidR="00E44D0F" w:rsidRPr="00E44D0F">
        <w:t xml:space="preserve">przyczyn była </w:t>
      </w:r>
      <w:r w:rsidR="005303BD" w:rsidRPr="00E44D0F">
        <w:t>pomoc rządow</w:t>
      </w:r>
      <w:r w:rsidR="00E44D0F" w:rsidRPr="00E44D0F">
        <w:t>a</w:t>
      </w:r>
      <w:r w:rsidR="005303BD" w:rsidRPr="00E44D0F">
        <w:t xml:space="preserve"> </w:t>
      </w:r>
      <w:r w:rsidR="00F14723">
        <w:t xml:space="preserve">adresowana </w:t>
      </w:r>
      <w:r w:rsidR="005303BD" w:rsidRPr="00E44D0F">
        <w:t>dla właścicieli firm i przedsiębiorców.</w:t>
      </w:r>
      <w:r w:rsidR="00F14723">
        <w:t xml:space="preserve"> Interwencja państwa w najbardziej potrzebnym </w:t>
      </w:r>
      <w:r w:rsidR="00F14723" w:rsidRPr="00F14723">
        <w:t>momencie nie dopuściła do znacznych strat.</w:t>
      </w:r>
    </w:p>
    <w:p w:rsidR="00206376" w:rsidRPr="00F14723" w:rsidRDefault="00796F6E" w:rsidP="00160DBC">
      <w:pPr>
        <w:pStyle w:val="Default"/>
        <w:numPr>
          <w:ilvl w:val="0"/>
          <w:numId w:val="3"/>
        </w:numPr>
        <w:spacing w:line="360" w:lineRule="auto"/>
        <w:jc w:val="both"/>
      </w:pPr>
      <w:r w:rsidRPr="00F14723">
        <w:t>W</w:t>
      </w:r>
      <w:r w:rsidR="00206376" w:rsidRPr="00F14723">
        <w:t xml:space="preserve"> </w:t>
      </w:r>
      <w:r w:rsidR="00646F48" w:rsidRPr="00F14723">
        <w:t xml:space="preserve">analizowanym półroczu </w:t>
      </w:r>
      <w:r w:rsidR="00F14723" w:rsidRPr="00F14723">
        <w:t>spadek</w:t>
      </w:r>
      <w:r w:rsidR="00E47177" w:rsidRPr="00F14723">
        <w:t xml:space="preserve"> liczby bezrobotnych odnotowano</w:t>
      </w:r>
      <w:r w:rsidR="00AE5712" w:rsidRPr="00F14723">
        <w:t xml:space="preserve"> w </w:t>
      </w:r>
      <w:r w:rsidR="00E47177" w:rsidRPr="00F14723">
        <w:t>każdym</w:t>
      </w:r>
      <w:r w:rsidR="00AE5712" w:rsidRPr="00F14723">
        <w:t xml:space="preserve"> z </w:t>
      </w:r>
      <w:r w:rsidR="00206376" w:rsidRPr="00F14723">
        <w:t xml:space="preserve">21 </w:t>
      </w:r>
      <w:r w:rsidR="00E47177" w:rsidRPr="00F14723">
        <w:t>powiatów województwa</w:t>
      </w:r>
      <w:r w:rsidR="00AE5712" w:rsidRPr="00F14723">
        <w:t xml:space="preserve"> i w </w:t>
      </w:r>
      <w:r w:rsidR="008349F4" w:rsidRPr="00F14723">
        <w:t>4 miast</w:t>
      </w:r>
      <w:r w:rsidR="00206376" w:rsidRPr="00F14723">
        <w:t>ach</w:t>
      </w:r>
      <w:r w:rsidR="008349F4" w:rsidRPr="00F14723">
        <w:t xml:space="preserve"> na prawach powiatu</w:t>
      </w:r>
      <w:r w:rsidRPr="00F14723">
        <w:t>.</w:t>
      </w:r>
    </w:p>
    <w:p w:rsidR="00860322" w:rsidRDefault="00860322" w:rsidP="00860322">
      <w:pPr>
        <w:pStyle w:val="Default"/>
        <w:jc w:val="both"/>
        <w:rPr>
          <w:sz w:val="16"/>
          <w:szCs w:val="16"/>
        </w:rPr>
      </w:pPr>
    </w:p>
    <w:p w:rsidR="00F14723" w:rsidRPr="00F14723" w:rsidRDefault="00F14723" w:rsidP="00860322">
      <w:pPr>
        <w:pStyle w:val="Default"/>
        <w:jc w:val="both"/>
        <w:rPr>
          <w:sz w:val="16"/>
          <w:szCs w:val="16"/>
        </w:rPr>
      </w:pPr>
    </w:p>
    <w:p w:rsidR="00726DAB" w:rsidRPr="00F14723" w:rsidRDefault="0060344D"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0" w:name="_Toc81396063"/>
      <w:r w:rsidRPr="00F1472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sidR="008349F4" w:rsidRPr="00F1472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łynność bezrobocia</w:t>
      </w:r>
      <w:bookmarkEnd w:id="10"/>
    </w:p>
    <w:p w:rsidR="00F14723" w:rsidRDefault="00F14723" w:rsidP="00663CE5">
      <w:pPr>
        <w:pStyle w:val="Default"/>
        <w:jc w:val="both"/>
        <w:rPr>
          <w:sz w:val="16"/>
          <w:szCs w:val="16"/>
          <w:highlight w:val="yellow"/>
        </w:rPr>
      </w:pPr>
    </w:p>
    <w:p w:rsidR="00F14723" w:rsidRPr="00D62B23" w:rsidRDefault="00F14723" w:rsidP="00663CE5">
      <w:pPr>
        <w:pStyle w:val="Default"/>
        <w:jc w:val="both"/>
        <w:rPr>
          <w:sz w:val="16"/>
          <w:szCs w:val="16"/>
          <w:highlight w:val="yellow"/>
        </w:rPr>
      </w:pPr>
    </w:p>
    <w:p w:rsidR="0060344D" w:rsidRPr="00F14723" w:rsidRDefault="002B3633" w:rsidP="00CE70F1">
      <w:pPr>
        <w:pStyle w:val="Default"/>
        <w:spacing w:line="360" w:lineRule="auto"/>
        <w:ind w:firstLine="708"/>
        <w:jc w:val="both"/>
      </w:pPr>
      <w:r w:rsidRPr="00F14723">
        <w:t xml:space="preserve">Analizując </w:t>
      </w:r>
      <w:r w:rsidR="00AC38FF" w:rsidRPr="00F14723">
        <w:t xml:space="preserve">zjawisko </w:t>
      </w:r>
      <w:r w:rsidR="002C7F55" w:rsidRPr="00F14723">
        <w:t xml:space="preserve">okresowych </w:t>
      </w:r>
      <w:r w:rsidR="00AC38FF" w:rsidRPr="00F14723">
        <w:t>fluktuacji t</w:t>
      </w:r>
      <w:r w:rsidR="002C7F55" w:rsidRPr="00F14723">
        <w:t xml:space="preserve">akich </w:t>
      </w:r>
      <w:r w:rsidR="00AC38FF" w:rsidRPr="00F14723">
        <w:t>j</w:t>
      </w:r>
      <w:r w:rsidR="002C7F55" w:rsidRPr="00F14723">
        <w:t>ak</w:t>
      </w:r>
      <w:r w:rsidR="00AC38FF" w:rsidRPr="00F14723">
        <w:t xml:space="preserve"> </w:t>
      </w:r>
      <w:r w:rsidRPr="00F14723">
        <w:t>„napływ</w:t>
      </w:r>
      <w:r w:rsidR="002C7F55" w:rsidRPr="00F14723">
        <w:t>y</w:t>
      </w:r>
      <w:r w:rsidRPr="00F14723">
        <w:t>”</w:t>
      </w:r>
      <w:r w:rsidR="00AE5712" w:rsidRPr="00F14723">
        <w:t xml:space="preserve"> i </w:t>
      </w:r>
      <w:r w:rsidRPr="00F14723">
        <w:t>„odpływ</w:t>
      </w:r>
      <w:r w:rsidR="002C7F55" w:rsidRPr="00F14723">
        <w:t>y</w:t>
      </w:r>
      <w:r w:rsidRPr="00F14723">
        <w:t>” osób bezrobotnych zarejestrowanych</w:t>
      </w:r>
      <w:r w:rsidR="0092230C" w:rsidRPr="00F14723">
        <w:t xml:space="preserve"> </w:t>
      </w:r>
      <w:r w:rsidR="00AE5712" w:rsidRPr="00F14723">
        <w:t>w</w:t>
      </w:r>
      <w:r w:rsidR="0092230C" w:rsidRPr="00F14723">
        <w:t xml:space="preserve"> </w:t>
      </w:r>
      <w:r w:rsidR="00A200B5" w:rsidRPr="00F14723">
        <w:t xml:space="preserve">powiatowych </w:t>
      </w:r>
      <w:r w:rsidRPr="00F14723">
        <w:t>urzędach pracy należy stwierdzić, ż</w:t>
      </w:r>
      <w:r w:rsidR="00AC38FF" w:rsidRPr="00F14723">
        <w:t>e</w:t>
      </w:r>
      <w:r w:rsidR="00AE5712" w:rsidRPr="00F14723">
        <w:t xml:space="preserve"> w </w:t>
      </w:r>
      <w:r w:rsidR="000F5952" w:rsidRPr="00F14723">
        <w:t xml:space="preserve">okresie </w:t>
      </w:r>
      <w:r w:rsidR="00A47AD3" w:rsidRPr="00F14723">
        <w:t>6</w:t>
      </w:r>
      <w:r w:rsidRPr="00F14723">
        <w:t xml:space="preserve"> miesi</w:t>
      </w:r>
      <w:r w:rsidR="000F5952" w:rsidRPr="00F14723">
        <w:t>ęcy 20</w:t>
      </w:r>
      <w:r w:rsidR="00A200B5" w:rsidRPr="00F14723">
        <w:t>2</w:t>
      </w:r>
      <w:r w:rsidR="00F14723" w:rsidRPr="00F14723">
        <w:t>1</w:t>
      </w:r>
      <w:r w:rsidRPr="00F14723">
        <w:t xml:space="preserve"> r</w:t>
      </w:r>
      <w:r w:rsidR="00A200B5" w:rsidRPr="00F14723">
        <w:t>oku</w:t>
      </w:r>
      <w:r w:rsidR="00AE5712" w:rsidRPr="00F14723">
        <w:t xml:space="preserve"> w </w:t>
      </w:r>
      <w:r w:rsidR="009D2364" w:rsidRPr="00F14723">
        <w:t xml:space="preserve">województwie podkarpackim </w:t>
      </w:r>
      <w:r w:rsidRPr="00F14723">
        <w:t xml:space="preserve">zarejestrowało się ogółem </w:t>
      </w:r>
      <w:r w:rsidR="00005C78" w:rsidRPr="00005C78">
        <w:t>41</w:t>
      </w:r>
      <w:r w:rsidR="00796F6E" w:rsidRPr="00005C78">
        <w:t> </w:t>
      </w:r>
      <w:r w:rsidR="00005C78" w:rsidRPr="00005C78">
        <w:t>652</w:t>
      </w:r>
      <w:r w:rsidRPr="00005C78">
        <w:t xml:space="preserve"> bezrobotnych</w:t>
      </w:r>
      <w:r w:rsidR="00AE5712" w:rsidRPr="00005C78">
        <w:t xml:space="preserve"> </w:t>
      </w:r>
      <w:r w:rsidR="007C037A" w:rsidRPr="00005C78">
        <w:t>(</w:t>
      </w:r>
      <w:r w:rsidR="005423FA" w:rsidRPr="00005C78">
        <w:t>dla porównania</w:t>
      </w:r>
      <w:r w:rsidR="00A200B5" w:rsidRPr="00005C78">
        <w:t xml:space="preserve"> </w:t>
      </w:r>
      <w:r w:rsidR="00AE5712" w:rsidRPr="00005C78">
        <w:t>w</w:t>
      </w:r>
      <w:r w:rsidR="00A200B5" w:rsidRPr="00005C78">
        <w:t xml:space="preserve"> </w:t>
      </w:r>
      <w:r w:rsidR="005423FA" w:rsidRPr="00005C78">
        <w:t>I</w:t>
      </w:r>
      <w:r w:rsidR="00A200B5" w:rsidRPr="00005C78">
        <w:t xml:space="preserve"> </w:t>
      </w:r>
      <w:r w:rsidR="005423FA" w:rsidRPr="00005C78">
        <w:t>półroczu 20</w:t>
      </w:r>
      <w:r w:rsidR="00F14723" w:rsidRPr="00005C78">
        <w:t>20</w:t>
      </w:r>
      <w:r w:rsidR="007C037A" w:rsidRPr="00005C78">
        <w:t xml:space="preserve"> r</w:t>
      </w:r>
      <w:r w:rsidR="00A200B5" w:rsidRPr="00005C78">
        <w:t>oku</w:t>
      </w:r>
      <w:r w:rsidRPr="00005C78">
        <w:t xml:space="preserve"> </w:t>
      </w:r>
      <w:r w:rsidR="0060344D" w:rsidRPr="00005C78">
        <w:t xml:space="preserve">grupa ta stanowiła </w:t>
      </w:r>
      <w:r w:rsidR="00BE11AB" w:rsidRPr="00005C78">
        <w:t>5</w:t>
      </w:r>
      <w:r w:rsidR="00F14723" w:rsidRPr="00005C78">
        <w:t>0</w:t>
      </w:r>
      <w:r w:rsidR="0060344D" w:rsidRPr="00005C78">
        <w:t> </w:t>
      </w:r>
      <w:r w:rsidR="00F14723" w:rsidRPr="00005C78">
        <w:t>082</w:t>
      </w:r>
      <w:r w:rsidR="0060344D" w:rsidRPr="00F14723">
        <w:t xml:space="preserve"> os</w:t>
      </w:r>
      <w:r w:rsidR="00A200B5" w:rsidRPr="00F14723">
        <w:t>o</w:t>
      </w:r>
      <w:r w:rsidR="0060344D" w:rsidRPr="00F14723">
        <w:t>b</w:t>
      </w:r>
      <w:r w:rsidR="00A200B5" w:rsidRPr="00F14723">
        <w:t>y)</w:t>
      </w:r>
      <w:r w:rsidR="0060344D" w:rsidRPr="00F14723">
        <w:t>.</w:t>
      </w:r>
    </w:p>
    <w:p w:rsidR="00983640" w:rsidRPr="00D62B23" w:rsidRDefault="00983640" w:rsidP="00983640">
      <w:pPr>
        <w:pStyle w:val="Default"/>
        <w:rPr>
          <w:sz w:val="16"/>
          <w:szCs w:val="16"/>
          <w:highlight w:val="yellow"/>
        </w:rPr>
      </w:pPr>
    </w:p>
    <w:p w:rsidR="0081673A" w:rsidRPr="00D62B23" w:rsidRDefault="006F495A" w:rsidP="0037683D">
      <w:pPr>
        <w:pStyle w:val="Bezodstpw"/>
        <w:rPr>
          <w:rFonts w:ascii="Times New Roman" w:hAnsi="Times New Roman" w:cs="Times New Roman"/>
          <w:highlight w:val="yellow"/>
        </w:rPr>
      </w:pPr>
      <w:r w:rsidRPr="006F495A">
        <w:rPr>
          <w:noProof/>
          <w:lang w:eastAsia="pl-PL"/>
        </w:rPr>
        <w:drawing>
          <wp:inline distT="0" distB="0" distL="0" distR="0" wp14:anchorId="0A5629FE" wp14:editId="26959B7D">
            <wp:extent cx="5759450" cy="3485467"/>
            <wp:effectExtent l="0" t="0" r="0" b="127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3485467"/>
                    </a:xfrm>
                    <a:prstGeom prst="rect">
                      <a:avLst/>
                    </a:prstGeom>
                    <a:noFill/>
                    <a:ln>
                      <a:noFill/>
                    </a:ln>
                  </pic:spPr>
                </pic:pic>
              </a:graphicData>
            </a:graphic>
          </wp:inline>
        </w:drawing>
      </w:r>
    </w:p>
    <w:p w:rsidR="00BE11AB" w:rsidRPr="00D62B23" w:rsidRDefault="00BE11AB">
      <w:pPr>
        <w:rPr>
          <w:rFonts w:ascii="Times New Roman" w:hAnsi="Times New Roman" w:cs="Times New Roman"/>
          <w:sz w:val="16"/>
          <w:szCs w:val="16"/>
          <w:highlight w:val="yellow"/>
        </w:rPr>
      </w:pPr>
    </w:p>
    <w:p w:rsidR="00BE11AB" w:rsidRPr="00D62B23" w:rsidRDefault="00005C78" w:rsidP="00BE11AB">
      <w:pPr>
        <w:pStyle w:val="Bezodstpw"/>
        <w:rPr>
          <w:rFonts w:ascii="Times New Roman" w:hAnsi="Times New Roman" w:cs="Times New Roman"/>
          <w:sz w:val="16"/>
          <w:szCs w:val="16"/>
          <w:highlight w:val="yellow"/>
        </w:rPr>
      </w:pPr>
      <w:r w:rsidRPr="00005C78">
        <w:rPr>
          <w:noProof/>
          <w:lang w:eastAsia="pl-PL"/>
        </w:rPr>
        <w:drawing>
          <wp:inline distT="0" distB="0" distL="0" distR="0" wp14:anchorId="3572DE31" wp14:editId="12C2CC2E">
            <wp:extent cx="5757062" cy="5010912"/>
            <wp:effectExtent l="0" t="0" r="0" b="0"/>
            <wp:docPr id="673" name="Obraz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5012991"/>
                    </a:xfrm>
                    <a:prstGeom prst="rect">
                      <a:avLst/>
                    </a:prstGeom>
                    <a:noFill/>
                    <a:ln>
                      <a:noFill/>
                    </a:ln>
                  </pic:spPr>
                </pic:pic>
              </a:graphicData>
            </a:graphic>
          </wp:inline>
        </w:drawing>
      </w:r>
    </w:p>
    <w:p w:rsidR="008A2874" w:rsidRPr="00005C78" w:rsidRDefault="0081673A" w:rsidP="00150999">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005C78">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8A2874" w:rsidRPr="00005C78" w:rsidRDefault="008A2874" w:rsidP="008A2874">
      <w:pPr>
        <w:pStyle w:val="Tekstpodstawowywcity"/>
        <w:spacing w:after="0" w:line="360" w:lineRule="auto"/>
        <w:ind w:left="0"/>
        <w:jc w:val="both"/>
        <w:rPr>
          <w:rFonts w:ascii="Times New Roman" w:hAnsi="Times New Roman" w:cs="Times New Roman"/>
          <w:sz w:val="18"/>
          <w:szCs w:val="18"/>
        </w:rPr>
      </w:pPr>
      <w:r w:rsidRPr="00005C78">
        <w:rPr>
          <w:rFonts w:ascii="Times New Roman" w:hAnsi="Times New Roman" w:cs="Times New Roman"/>
          <w:sz w:val="18"/>
          <w:szCs w:val="18"/>
        </w:rPr>
        <w:t>(na podstawie danych</w:t>
      </w:r>
      <w:r w:rsidR="00AE5712" w:rsidRPr="00005C78">
        <w:rPr>
          <w:rFonts w:ascii="Times New Roman" w:hAnsi="Times New Roman" w:cs="Times New Roman"/>
          <w:sz w:val="18"/>
          <w:szCs w:val="18"/>
        </w:rPr>
        <w:t xml:space="preserve"> z </w:t>
      </w:r>
      <w:r w:rsidR="000F5952" w:rsidRPr="00005C78">
        <w:rPr>
          <w:rFonts w:ascii="Times New Roman" w:hAnsi="Times New Roman" w:cs="Times New Roman"/>
          <w:sz w:val="18"/>
          <w:szCs w:val="18"/>
        </w:rPr>
        <w:t>t</w:t>
      </w:r>
      <w:r w:rsidRPr="00005C78">
        <w:rPr>
          <w:rFonts w:ascii="Times New Roman" w:hAnsi="Times New Roman" w:cs="Times New Roman"/>
          <w:sz w:val="18"/>
          <w:szCs w:val="18"/>
        </w:rPr>
        <w:t>ab</w:t>
      </w:r>
      <w:r w:rsidR="000F5952" w:rsidRPr="00005C78">
        <w:rPr>
          <w:rFonts w:ascii="Times New Roman" w:hAnsi="Times New Roman" w:cs="Times New Roman"/>
          <w:sz w:val="18"/>
          <w:szCs w:val="18"/>
        </w:rPr>
        <w:t>.</w:t>
      </w:r>
      <w:r w:rsidRPr="00005C78">
        <w:rPr>
          <w:rFonts w:ascii="Times New Roman" w:hAnsi="Times New Roman" w:cs="Times New Roman"/>
          <w:sz w:val="18"/>
          <w:szCs w:val="18"/>
        </w:rPr>
        <w:t xml:space="preserve"> </w:t>
      </w:r>
      <w:r w:rsidR="009F4374" w:rsidRPr="00005C78">
        <w:rPr>
          <w:rFonts w:ascii="Times New Roman" w:hAnsi="Times New Roman" w:cs="Times New Roman"/>
          <w:sz w:val="18"/>
          <w:szCs w:val="18"/>
        </w:rPr>
        <w:t>III</w:t>
      </w:r>
      <w:r w:rsidR="00AE5712" w:rsidRPr="00005C78">
        <w:rPr>
          <w:rFonts w:ascii="Times New Roman" w:hAnsi="Times New Roman" w:cs="Times New Roman"/>
          <w:sz w:val="18"/>
          <w:szCs w:val="18"/>
        </w:rPr>
        <w:t xml:space="preserve"> i </w:t>
      </w:r>
      <w:r w:rsidR="000F5952" w:rsidRPr="00005C78">
        <w:rPr>
          <w:rFonts w:ascii="Times New Roman" w:hAnsi="Times New Roman" w:cs="Times New Roman"/>
          <w:sz w:val="18"/>
          <w:szCs w:val="18"/>
        </w:rPr>
        <w:t>tab.</w:t>
      </w:r>
      <w:r w:rsidRPr="00005C78">
        <w:rPr>
          <w:rFonts w:ascii="Times New Roman" w:hAnsi="Times New Roman" w:cs="Times New Roman"/>
          <w:sz w:val="18"/>
          <w:szCs w:val="18"/>
        </w:rPr>
        <w:t xml:space="preserve"> </w:t>
      </w:r>
      <w:r w:rsidR="009F4374" w:rsidRPr="00005C78">
        <w:rPr>
          <w:rFonts w:ascii="Times New Roman" w:hAnsi="Times New Roman" w:cs="Times New Roman"/>
          <w:sz w:val="18"/>
          <w:szCs w:val="18"/>
        </w:rPr>
        <w:t>IV</w:t>
      </w:r>
      <w:r w:rsidR="0081673A" w:rsidRPr="00005C78">
        <w:rPr>
          <w:rFonts w:ascii="Times New Roman" w:hAnsi="Times New Roman" w:cs="Times New Roman"/>
          <w:sz w:val="18"/>
          <w:szCs w:val="18"/>
        </w:rPr>
        <w:t>)</w:t>
      </w:r>
    </w:p>
    <w:p w:rsidR="009D2364" w:rsidRPr="004B60CC" w:rsidRDefault="00025448" w:rsidP="00160DBC">
      <w:pPr>
        <w:pStyle w:val="Default"/>
        <w:numPr>
          <w:ilvl w:val="0"/>
          <w:numId w:val="1"/>
        </w:numPr>
        <w:spacing w:line="360" w:lineRule="auto"/>
        <w:jc w:val="both"/>
      </w:pPr>
      <w:r w:rsidRPr="004B60CC">
        <w:t>W PUP z</w:t>
      </w:r>
      <w:r w:rsidR="009D2364" w:rsidRPr="004B60CC">
        <w:t>arejestrowan</w:t>
      </w:r>
      <w:r w:rsidR="004F0AE9" w:rsidRPr="004B60CC">
        <w:t>o</w:t>
      </w:r>
      <w:r w:rsidR="003D1A94">
        <w:t xml:space="preserve"> </w:t>
      </w:r>
      <w:r w:rsidR="00D04B7B" w:rsidRPr="004B60CC">
        <w:t>7</w:t>
      </w:r>
      <w:r w:rsidR="000F5952" w:rsidRPr="004B60CC">
        <w:t> </w:t>
      </w:r>
      <w:r w:rsidR="004B60CC" w:rsidRPr="004B60CC">
        <w:t>840</w:t>
      </w:r>
      <w:r w:rsidR="000F5952" w:rsidRPr="004B60CC">
        <w:t xml:space="preserve"> </w:t>
      </w:r>
      <w:r w:rsidR="00BE24D2" w:rsidRPr="004B60CC">
        <w:t xml:space="preserve">osób </w:t>
      </w:r>
      <w:r w:rsidR="000F5952" w:rsidRPr="004B60CC">
        <w:t xml:space="preserve">bezrobotnych </w:t>
      </w:r>
      <w:r w:rsidR="003D1A94" w:rsidRPr="004B60CC">
        <w:t xml:space="preserve">po raz pierwszy </w:t>
      </w:r>
      <w:r w:rsidR="009D2364" w:rsidRPr="004B60CC">
        <w:t>(</w:t>
      </w:r>
      <w:r w:rsidR="00637955" w:rsidRPr="004B60CC">
        <w:t xml:space="preserve">tj. </w:t>
      </w:r>
      <w:r w:rsidR="000F5952" w:rsidRPr="004B60CC">
        <w:t>1</w:t>
      </w:r>
      <w:r w:rsidR="004B60CC" w:rsidRPr="004B60CC">
        <w:t>8</w:t>
      </w:r>
      <w:r w:rsidR="009D2364" w:rsidRPr="004B60CC">
        <w:t>,</w:t>
      </w:r>
      <w:r w:rsidR="004B60CC" w:rsidRPr="004B60CC">
        <w:t>8</w:t>
      </w:r>
      <w:r w:rsidR="008F2E68">
        <w:t xml:space="preserve"> proc.</w:t>
      </w:r>
      <w:r w:rsidR="004F0AE9" w:rsidRPr="004B60CC">
        <w:t xml:space="preserve"> ogółu </w:t>
      </w:r>
      <w:r w:rsidR="00BE24D2" w:rsidRPr="004B60CC">
        <w:t xml:space="preserve">tzw. „napływu” osób </w:t>
      </w:r>
      <w:r w:rsidR="004F0AE9" w:rsidRPr="004B60CC">
        <w:t>bezrobotnych</w:t>
      </w:r>
      <w:r w:rsidR="00BE24D2" w:rsidRPr="004B60CC">
        <w:t xml:space="preserve"> do ewidencji PUP</w:t>
      </w:r>
      <w:r w:rsidR="009D2364" w:rsidRPr="004B60CC">
        <w:t>)</w:t>
      </w:r>
      <w:r w:rsidR="0081673A" w:rsidRPr="004B60CC">
        <w:t>.</w:t>
      </w:r>
    </w:p>
    <w:p w:rsidR="009D2364" w:rsidRPr="000F26EA" w:rsidRDefault="00025448" w:rsidP="00160DBC">
      <w:pPr>
        <w:pStyle w:val="Default"/>
        <w:numPr>
          <w:ilvl w:val="0"/>
          <w:numId w:val="1"/>
        </w:numPr>
        <w:spacing w:line="360" w:lineRule="auto"/>
        <w:jc w:val="both"/>
      </w:pPr>
      <w:r w:rsidRPr="000F26EA">
        <w:t>W</w:t>
      </w:r>
      <w:r w:rsidR="009D2364" w:rsidRPr="000F26EA">
        <w:t xml:space="preserve">iększość </w:t>
      </w:r>
      <w:r w:rsidR="00637955" w:rsidRPr="000F26EA">
        <w:t xml:space="preserve">rejestracji </w:t>
      </w:r>
      <w:r w:rsidR="00AE5712" w:rsidRPr="000F26EA">
        <w:t>w </w:t>
      </w:r>
      <w:r w:rsidR="009D2364" w:rsidRPr="000F26EA">
        <w:t xml:space="preserve">PUP </w:t>
      </w:r>
      <w:r w:rsidR="00BE24D2" w:rsidRPr="000F26EA">
        <w:t xml:space="preserve">stanowią </w:t>
      </w:r>
      <w:r w:rsidR="009D2364" w:rsidRPr="000F26EA">
        <w:t xml:space="preserve">osoby powracające do </w:t>
      </w:r>
      <w:r w:rsidR="00637955" w:rsidRPr="000F26EA">
        <w:t xml:space="preserve">bezrobocia już </w:t>
      </w:r>
      <w:r w:rsidR="009D2364" w:rsidRPr="000F26EA">
        <w:t>po raz kolejny</w:t>
      </w:r>
      <w:r w:rsidR="00637955" w:rsidRPr="000F26EA">
        <w:t xml:space="preserve"> (od 1990 roku)</w:t>
      </w:r>
      <w:r w:rsidR="009D2364" w:rsidRPr="000F26EA">
        <w:t xml:space="preserve"> –</w:t>
      </w:r>
      <w:r w:rsidR="00D04B7B" w:rsidRPr="000F26EA">
        <w:t xml:space="preserve"> </w:t>
      </w:r>
      <w:r w:rsidR="000F26EA" w:rsidRPr="000F26EA">
        <w:t>33812</w:t>
      </w:r>
      <w:r w:rsidR="00D04B7B" w:rsidRPr="000F26EA">
        <w:t xml:space="preserve"> </w:t>
      </w:r>
      <w:r w:rsidR="009D2364" w:rsidRPr="000F26EA">
        <w:t>os</w:t>
      </w:r>
      <w:r w:rsidR="00D04B7B" w:rsidRPr="000F26EA">
        <w:t>ó</w:t>
      </w:r>
      <w:r w:rsidR="009D2364" w:rsidRPr="000F26EA">
        <w:t>b (</w:t>
      </w:r>
      <w:r w:rsidR="00637955" w:rsidRPr="000F26EA">
        <w:t>tj.</w:t>
      </w:r>
      <w:r w:rsidR="00D04B7B" w:rsidRPr="000F26EA">
        <w:t> 8</w:t>
      </w:r>
      <w:r w:rsidR="000F26EA" w:rsidRPr="000F26EA">
        <w:t>1</w:t>
      </w:r>
      <w:r w:rsidR="009D2364" w:rsidRPr="000F26EA">
        <w:t>,</w:t>
      </w:r>
      <w:r w:rsidR="000F26EA" w:rsidRPr="000F26EA">
        <w:t>2</w:t>
      </w:r>
      <w:r w:rsidR="008F2E68">
        <w:t xml:space="preserve"> proc.</w:t>
      </w:r>
      <w:r w:rsidR="00637955" w:rsidRPr="000F26EA">
        <w:t xml:space="preserve"> ogółu</w:t>
      </w:r>
      <w:r w:rsidR="009D2364" w:rsidRPr="000F26EA">
        <w:t>)</w:t>
      </w:r>
      <w:r w:rsidR="0081673A" w:rsidRPr="000F26EA">
        <w:t>.</w:t>
      </w:r>
    </w:p>
    <w:p w:rsidR="009D2364" w:rsidRPr="00025448" w:rsidRDefault="0081673A" w:rsidP="00160DBC">
      <w:pPr>
        <w:pStyle w:val="Default"/>
        <w:numPr>
          <w:ilvl w:val="0"/>
          <w:numId w:val="1"/>
        </w:numPr>
        <w:spacing w:line="360" w:lineRule="auto"/>
        <w:jc w:val="both"/>
      </w:pPr>
      <w:r w:rsidRPr="00025448">
        <w:t>P</w:t>
      </w:r>
      <w:r w:rsidR="009D2364" w:rsidRPr="00025448">
        <w:t>owtórne rejestracje dotyczyły głównie tych osób, które po okresie krótkotrwałego zatrudnienia</w:t>
      </w:r>
      <w:r w:rsidR="000F26EA">
        <w:t>,</w:t>
      </w:r>
      <w:r w:rsidR="009D2364" w:rsidRPr="00025448">
        <w:t xml:space="preserve"> w tym subsydiowanego z Funduszu Pracy</w:t>
      </w:r>
      <w:r w:rsidR="000F26EA">
        <w:t>,</w:t>
      </w:r>
      <w:r w:rsidR="009D2364" w:rsidRPr="00025448">
        <w:t xml:space="preserve"> powracały do ewidencji urzędów pracy, gdyż pracodawcy nie dysponowali </w:t>
      </w:r>
      <w:r w:rsidR="000F5952" w:rsidRPr="00025448">
        <w:t>możliwościami trwałego zatrudnienia</w:t>
      </w:r>
      <w:r w:rsidRPr="00025448">
        <w:t>.</w:t>
      </w:r>
    </w:p>
    <w:p w:rsidR="009D2364" w:rsidRPr="000F26EA" w:rsidRDefault="0081673A" w:rsidP="00286B69">
      <w:pPr>
        <w:pStyle w:val="Default"/>
        <w:numPr>
          <w:ilvl w:val="0"/>
          <w:numId w:val="1"/>
        </w:numPr>
        <w:spacing w:line="360" w:lineRule="auto"/>
        <w:jc w:val="both"/>
      </w:pPr>
      <w:r w:rsidRPr="000F26EA">
        <w:t>B</w:t>
      </w:r>
      <w:r w:rsidR="009D2364" w:rsidRPr="000F26EA">
        <w:t xml:space="preserve">ezrobotni </w:t>
      </w:r>
      <w:r w:rsidR="00286B69" w:rsidRPr="000F26EA">
        <w:t xml:space="preserve">rejestrujący się w PUP </w:t>
      </w:r>
      <w:r w:rsidR="009D2364" w:rsidRPr="000F26EA">
        <w:t xml:space="preserve">po okresie </w:t>
      </w:r>
      <w:r w:rsidR="00286B69" w:rsidRPr="000F26EA">
        <w:t xml:space="preserve">subsydiowanej </w:t>
      </w:r>
      <w:r w:rsidR="009D2364" w:rsidRPr="000F26EA">
        <w:t>aktywizacji</w:t>
      </w:r>
      <w:r w:rsidR="00286B69" w:rsidRPr="000F26EA">
        <w:t xml:space="preserve"> (tj. po pracach interwencyjnych, robotach publicznych, stażu, odbyciu przygotowania zawodowego dorosłych, szkoleniu </w:t>
      </w:r>
      <w:r w:rsidR="008A61CD">
        <w:t>czy</w:t>
      </w:r>
      <w:r w:rsidR="00286B69" w:rsidRPr="000F26EA">
        <w:t xml:space="preserve"> pracach społecznie użytecznych) </w:t>
      </w:r>
      <w:r w:rsidR="009D2364" w:rsidRPr="000F26EA">
        <w:t xml:space="preserve">stanowili </w:t>
      </w:r>
      <w:r w:rsidR="0019168A" w:rsidRPr="000F26EA">
        <w:t>3</w:t>
      </w:r>
      <w:r w:rsidR="000F26EA" w:rsidRPr="000F26EA">
        <w:t xml:space="preserve">707 </w:t>
      </w:r>
      <w:r w:rsidR="009D2364" w:rsidRPr="000F26EA">
        <w:t>osób (</w:t>
      </w:r>
      <w:r w:rsidR="000F26EA" w:rsidRPr="000F26EA">
        <w:t>8</w:t>
      </w:r>
      <w:r w:rsidR="0019168A" w:rsidRPr="000F26EA">
        <w:t>,</w:t>
      </w:r>
      <w:r w:rsidR="000F26EA" w:rsidRPr="000F26EA">
        <w:t>9</w:t>
      </w:r>
      <w:r w:rsidR="008F2E68">
        <w:t xml:space="preserve"> proc.</w:t>
      </w:r>
      <w:r w:rsidR="0019168A" w:rsidRPr="000F26EA">
        <w:t xml:space="preserve"> „napływu”</w:t>
      </w:r>
      <w:r w:rsidR="009D2364" w:rsidRPr="000F26EA">
        <w:t>)</w:t>
      </w:r>
      <w:r w:rsidRPr="000F26EA">
        <w:t>.</w:t>
      </w:r>
    </w:p>
    <w:p w:rsidR="00726DAB" w:rsidRPr="00014887" w:rsidRDefault="00160A4B" w:rsidP="00160DBC">
      <w:pPr>
        <w:pStyle w:val="Default"/>
        <w:numPr>
          <w:ilvl w:val="0"/>
          <w:numId w:val="1"/>
        </w:numPr>
        <w:spacing w:line="360" w:lineRule="auto"/>
        <w:jc w:val="both"/>
      </w:pPr>
      <w:r w:rsidRPr="00014887">
        <w:t>Spadek odnotowano w</w:t>
      </w:r>
      <w:r w:rsidR="00F33452" w:rsidRPr="00014887">
        <w:t xml:space="preserve"> grupie osób rejestrujących się po raz</w:t>
      </w:r>
      <w:r w:rsidR="00C63CA9" w:rsidRPr="00014887">
        <w:t xml:space="preserve"> kolejny</w:t>
      </w:r>
      <w:r w:rsidR="00F33452" w:rsidRPr="00014887">
        <w:t xml:space="preserve"> </w:t>
      </w:r>
      <w:r w:rsidRPr="00014887">
        <w:t>(</w:t>
      </w:r>
      <w:r w:rsidR="00AE5712" w:rsidRPr="00014887">
        <w:t>o</w:t>
      </w:r>
      <w:r w:rsidR="0037683D" w:rsidRPr="00014887">
        <w:t xml:space="preserve"> </w:t>
      </w:r>
      <w:r w:rsidR="000F26EA" w:rsidRPr="00014887">
        <w:t>8</w:t>
      </w:r>
      <w:r w:rsidR="00BF222A" w:rsidRPr="00014887">
        <w:t>5</w:t>
      </w:r>
      <w:r w:rsidR="000F26EA" w:rsidRPr="00014887">
        <w:t>01</w:t>
      </w:r>
      <w:r w:rsidR="00BF222A" w:rsidRPr="00014887">
        <w:t>)</w:t>
      </w:r>
      <w:r w:rsidR="000F26EA" w:rsidRPr="00014887">
        <w:t xml:space="preserve">. Wśród bezrobotnych rejestrujących się po raz pierwszy nastąpił wzrost </w:t>
      </w:r>
      <w:r w:rsidR="00C63CA9" w:rsidRPr="00014887">
        <w:t xml:space="preserve">o </w:t>
      </w:r>
      <w:r w:rsidR="000F26EA" w:rsidRPr="00014887">
        <w:t>71</w:t>
      </w:r>
      <w:r w:rsidR="00C63CA9" w:rsidRPr="00014887">
        <w:t xml:space="preserve"> osób. </w:t>
      </w:r>
      <w:r w:rsidRPr="00014887">
        <w:t xml:space="preserve"> </w:t>
      </w:r>
    </w:p>
    <w:p w:rsidR="00A267FE" w:rsidRPr="00D62B23" w:rsidRDefault="00A267FE" w:rsidP="004B48C5">
      <w:pPr>
        <w:pStyle w:val="Default"/>
        <w:spacing w:line="360" w:lineRule="auto"/>
        <w:jc w:val="both"/>
        <w:rPr>
          <w:sz w:val="16"/>
          <w:szCs w:val="16"/>
          <w:highlight w:val="yellow"/>
        </w:rPr>
      </w:pPr>
    </w:p>
    <w:p w:rsidR="00726DAB" w:rsidRPr="00025448" w:rsidRDefault="00DD7495"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1" w:name="_Toc81396064"/>
      <w:r w:rsidRPr="00025448">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w:t>
      </w:r>
      <w:r w:rsidR="007A2A35" w:rsidRPr="00025448">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rzyczyny </w:t>
      </w:r>
      <w:r w:rsidR="00983640" w:rsidRPr="00025448">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A2A35" w:rsidRPr="00025448">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w:t>
      </w:r>
      <w:r w:rsidR="00726DAB" w:rsidRPr="00025448">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w:t>
      </w:r>
      <w:r w:rsidR="007A2A35" w:rsidRPr="00025448">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pływu </w:t>
      </w:r>
      <w:r w:rsidR="00983640" w:rsidRPr="00025448">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7A2A35" w:rsidRPr="00025448">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bezrobotnych</w:t>
      </w:r>
      <w:bookmarkEnd w:id="11"/>
    </w:p>
    <w:p w:rsidR="00726DAB" w:rsidRPr="00D62B23" w:rsidRDefault="00726DAB" w:rsidP="00CE70F1">
      <w:pPr>
        <w:pStyle w:val="Default"/>
        <w:spacing w:line="360" w:lineRule="auto"/>
        <w:jc w:val="both"/>
        <w:rPr>
          <w:sz w:val="16"/>
          <w:szCs w:val="16"/>
          <w:highlight w:val="yellow"/>
        </w:rPr>
      </w:pPr>
    </w:p>
    <w:p w:rsidR="008A61CD" w:rsidRDefault="007036E5" w:rsidP="00CE70F1">
      <w:pPr>
        <w:pStyle w:val="Default"/>
        <w:spacing w:line="360" w:lineRule="auto"/>
        <w:ind w:firstLine="708"/>
        <w:jc w:val="both"/>
      </w:pPr>
      <w:r w:rsidRPr="00014887">
        <w:t xml:space="preserve">„Odpływ” </w:t>
      </w:r>
      <w:r w:rsidR="00AE5712" w:rsidRPr="00014887">
        <w:t>z</w:t>
      </w:r>
      <w:r w:rsidR="00AE1A63" w:rsidRPr="00014887">
        <w:t xml:space="preserve"> </w:t>
      </w:r>
      <w:r w:rsidRPr="00014887">
        <w:t>rejestr</w:t>
      </w:r>
      <w:r w:rsidR="00AE1A63" w:rsidRPr="00014887">
        <w:t>u</w:t>
      </w:r>
      <w:r w:rsidRPr="00014887">
        <w:t xml:space="preserve"> </w:t>
      </w:r>
      <w:r w:rsidR="00CE70F1" w:rsidRPr="00014887">
        <w:t>powiatowych urzędów pracy</w:t>
      </w:r>
      <w:r w:rsidRPr="00014887">
        <w:t xml:space="preserve"> </w:t>
      </w:r>
      <w:r w:rsidR="00F23B39">
        <w:t>jest jednym z istotn</w:t>
      </w:r>
      <w:r w:rsidR="008A61CD">
        <w:t>ych</w:t>
      </w:r>
      <w:r w:rsidR="00F23B39">
        <w:t xml:space="preserve"> procesów w</w:t>
      </w:r>
      <w:r w:rsidR="008A61CD">
        <w:t> </w:t>
      </w:r>
      <w:r w:rsidR="00F23B39">
        <w:t xml:space="preserve">statystyce bezrobotnych. Są dwa poziomy tego zjawiska. </w:t>
      </w:r>
      <w:r w:rsidR="008A61CD">
        <w:t xml:space="preserve">Pierwszym jest </w:t>
      </w:r>
      <w:r w:rsidRPr="00014887">
        <w:t>wyrejestrowanie</w:t>
      </w:r>
      <w:r w:rsidR="008A61CD">
        <w:t>,</w:t>
      </w:r>
      <w:r w:rsidRPr="00014887">
        <w:t xml:space="preserve"> </w:t>
      </w:r>
      <w:r w:rsidR="008A61CD">
        <w:t xml:space="preserve">czyli </w:t>
      </w:r>
      <w:r w:rsidRPr="00014887">
        <w:t>utrat</w:t>
      </w:r>
      <w:r w:rsidR="008A61CD">
        <w:t>a</w:t>
      </w:r>
      <w:r w:rsidRPr="00014887">
        <w:t xml:space="preserve"> statusu osoby bezrobotnej </w:t>
      </w:r>
      <w:r w:rsidR="00AE5712" w:rsidRPr="00014887">
        <w:t>z </w:t>
      </w:r>
      <w:r w:rsidRPr="00014887">
        <w:t>powodu podjęcia pracy</w:t>
      </w:r>
      <w:r w:rsidR="00F23B39">
        <w:t xml:space="preserve">, która jest utratą </w:t>
      </w:r>
      <w:r w:rsidR="008A61CD">
        <w:t xml:space="preserve">statusu osoby bezrobotnej </w:t>
      </w:r>
      <w:r w:rsidR="00F23B39">
        <w:t>zarówno w</w:t>
      </w:r>
      <w:r w:rsidR="008A61CD">
        <w:t> </w:t>
      </w:r>
      <w:r w:rsidR="00F23B39">
        <w:t>sensie prawnym jak i statystycznym.</w:t>
      </w:r>
      <w:r w:rsidRPr="00014887">
        <w:t xml:space="preserve"> </w:t>
      </w:r>
      <w:r w:rsidR="008A61CD">
        <w:t xml:space="preserve">Drugim poziomem jest odpływ z powodu rozpoczęcia form subsydiowanych, </w:t>
      </w:r>
      <w:r w:rsidR="00061A4F" w:rsidRPr="00061A4F">
        <w:t>taki</w:t>
      </w:r>
      <w:r w:rsidR="008A61CD">
        <w:t>ch</w:t>
      </w:r>
      <w:r w:rsidR="00061A4F" w:rsidRPr="00061A4F">
        <w:t xml:space="preserve"> </w:t>
      </w:r>
      <w:r w:rsidR="00F23B39">
        <w:t xml:space="preserve">jak </w:t>
      </w:r>
      <w:r w:rsidR="00662D6E">
        <w:t>szkoleni</w:t>
      </w:r>
      <w:r w:rsidR="008A61CD">
        <w:t>e</w:t>
      </w:r>
      <w:r w:rsidR="00662D6E">
        <w:t xml:space="preserve"> czy staż</w:t>
      </w:r>
      <w:r w:rsidR="00AE1A63" w:rsidRPr="00061A4F">
        <w:t xml:space="preserve">. </w:t>
      </w:r>
      <w:r w:rsidR="00662D6E">
        <w:t xml:space="preserve">Następuje wówczas </w:t>
      </w:r>
      <w:r w:rsidR="00662D6E" w:rsidRPr="00662D6E">
        <w:t>wyłączenie</w:t>
      </w:r>
      <w:r w:rsidRPr="00662D6E">
        <w:t>, które nie powoduj</w:t>
      </w:r>
      <w:r w:rsidR="008A61CD">
        <w:t>e</w:t>
      </w:r>
      <w:r w:rsidRPr="00662D6E">
        <w:t xml:space="preserve"> utraty statusu</w:t>
      </w:r>
      <w:r w:rsidR="00F23B39">
        <w:t xml:space="preserve"> </w:t>
      </w:r>
      <w:r w:rsidR="008A61CD">
        <w:t xml:space="preserve">osoby bezrobotnej </w:t>
      </w:r>
      <w:r w:rsidR="00AE1A63" w:rsidRPr="00662D6E">
        <w:t>w</w:t>
      </w:r>
      <w:r w:rsidR="00F23B39">
        <w:t xml:space="preserve"> </w:t>
      </w:r>
      <w:r w:rsidR="00AE1A63" w:rsidRPr="00662D6E">
        <w:t>sensie prawnym</w:t>
      </w:r>
      <w:r w:rsidR="008A61CD">
        <w:t>, a skutkuje utratą statusu do statystyk</w:t>
      </w:r>
      <w:r w:rsidRPr="00662D6E">
        <w:t>.</w:t>
      </w:r>
    </w:p>
    <w:p w:rsidR="007036E5" w:rsidRDefault="00C31034" w:rsidP="00CE70F1">
      <w:pPr>
        <w:pStyle w:val="Default"/>
        <w:spacing w:line="360" w:lineRule="auto"/>
        <w:ind w:firstLine="708"/>
        <w:jc w:val="both"/>
      </w:pPr>
      <w:r w:rsidRPr="00662D6E">
        <w:t>W</w:t>
      </w:r>
      <w:r w:rsidR="00AE5712" w:rsidRPr="00662D6E">
        <w:t> </w:t>
      </w:r>
      <w:r w:rsidR="007036E5" w:rsidRPr="00662D6E">
        <w:t xml:space="preserve">okresie </w:t>
      </w:r>
      <w:r w:rsidR="000C1EA2" w:rsidRPr="00662D6E">
        <w:t>6</w:t>
      </w:r>
      <w:r w:rsidR="007036E5" w:rsidRPr="00662D6E">
        <w:t xml:space="preserve"> m</w:t>
      </w:r>
      <w:r w:rsidR="00C5262B" w:rsidRPr="00662D6E">
        <w:t>-</w:t>
      </w:r>
      <w:r w:rsidR="007036E5" w:rsidRPr="00662D6E">
        <w:t>cy 20</w:t>
      </w:r>
      <w:r w:rsidR="002E5367" w:rsidRPr="00662D6E">
        <w:t>2</w:t>
      </w:r>
      <w:r w:rsidR="00662D6E" w:rsidRPr="00662D6E">
        <w:t>1</w:t>
      </w:r>
      <w:r w:rsidR="007036E5" w:rsidRPr="00662D6E">
        <w:t xml:space="preserve"> </w:t>
      </w:r>
      <w:r w:rsidR="00C5262B" w:rsidRPr="00662D6E">
        <w:t>r</w:t>
      </w:r>
      <w:r w:rsidR="002E5367" w:rsidRPr="00662D6E">
        <w:t>oku</w:t>
      </w:r>
      <w:r w:rsidR="00F23B39">
        <w:t xml:space="preserve"> w </w:t>
      </w:r>
      <w:r w:rsidR="007036E5" w:rsidRPr="00662D6E">
        <w:t xml:space="preserve">województwie podkarpackim nastąpił „odpływ” </w:t>
      </w:r>
      <w:r w:rsidR="00662D6E" w:rsidRPr="00662D6E">
        <w:t>48034</w:t>
      </w:r>
      <w:r w:rsidR="007036E5" w:rsidRPr="00662D6E">
        <w:t xml:space="preserve"> bezrobotnych</w:t>
      </w:r>
      <w:r w:rsidR="008A2874" w:rsidRPr="00662D6E">
        <w:t>.</w:t>
      </w:r>
      <w:r w:rsidR="00AE5712" w:rsidRPr="00662D6E">
        <w:t xml:space="preserve"> </w:t>
      </w:r>
      <w:r w:rsidRPr="00662D6E">
        <w:t>W</w:t>
      </w:r>
      <w:r w:rsidR="00C5262B" w:rsidRPr="00662D6E">
        <w:t> </w:t>
      </w:r>
      <w:r w:rsidR="000C1EA2" w:rsidRPr="00662D6E">
        <w:t>I</w:t>
      </w:r>
      <w:r w:rsidR="00C5262B" w:rsidRPr="00662D6E">
        <w:t> </w:t>
      </w:r>
      <w:r w:rsidR="000C1EA2" w:rsidRPr="00662D6E">
        <w:t xml:space="preserve">półroczu </w:t>
      </w:r>
      <w:r w:rsidR="007036E5" w:rsidRPr="00662D6E">
        <w:t>20</w:t>
      </w:r>
      <w:r w:rsidR="00662D6E" w:rsidRPr="00662D6E">
        <w:t>20</w:t>
      </w:r>
      <w:r w:rsidR="007036E5" w:rsidRPr="00662D6E">
        <w:t xml:space="preserve"> </w:t>
      </w:r>
      <w:r w:rsidR="00091EAF" w:rsidRPr="00662D6E">
        <w:t>r</w:t>
      </w:r>
      <w:r w:rsidR="002E5367" w:rsidRPr="00662D6E">
        <w:t>oku</w:t>
      </w:r>
      <w:r w:rsidR="00091EAF" w:rsidRPr="00662D6E">
        <w:t xml:space="preserve"> </w:t>
      </w:r>
      <w:r w:rsidR="00D107AF" w:rsidRPr="00662D6E">
        <w:t>–</w:t>
      </w:r>
      <w:r w:rsidR="007036E5" w:rsidRPr="00662D6E">
        <w:t xml:space="preserve"> </w:t>
      </w:r>
      <w:r w:rsidR="00662D6E" w:rsidRPr="00662D6E">
        <w:t>39378</w:t>
      </w:r>
      <w:r w:rsidR="007036E5" w:rsidRPr="00662D6E">
        <w:t xml:space="preserve"> os</w:t>
      </w:r>
      <w:r w:rsidR="00D107AF" w:rsidRPr="00662D6E">
        <w:t>ó</w:t>
      </w:r>
      <w:r w:rsidR="007036E5" w:rsidRPr="00662D6E">
        <w:t>b.</w:t>
      </w:r>
    </w:p>
    <w:p w:rsidR="00734013" w:rsidRPr="00734013" w:rsidRDefault="00734013" w:rsidP="00734013">
      <w:pPr>
        <w:pStyle w:val="Default"/>
        <w:spacing w:line="360" w:lineRule="auto"/>
        <w:jc w:val="both"/>
        <w:rPr>
          <w:sz w:val="16"/>
          <w:szCs w:val="16"/>
        </w:rPr>
      </w:pPr>
    </w:p>
    <w:p w:rsidR="00662D6E" w:rsidRPr="00662D6E" w:rsidRDefault="00734013" w:rsidP="00662D6E">
      <w:pPr>
        <w:pStyle w:val="Default"/>
        <w:spacing w:line="360" w:lineRule="auto"/>
        <w:jc w:val="both"/>
        <w:rPr>
          <w:sz w:val="16"/>
          <w:szCs w:val="16"/>
          <w:highlight w:val="yellow"/>
        </w:rPr>
      </w:pPr>
      <w:r w:rsidRPr="00734013">
        <w:rPr>
          <w:noProof/>
          <w:lang w:eastAsia="pl-PL"/>
        </w:rPr>
        <w:drawing>
          <wp:inline distT="0" distB="0" distL="0" distR="0" wp14:anchorId="2B1BA36C" wp14:editId="5E5920AD">
            <wp:extent cx="5759450" cy="1307357"/>
            <wp:effectExtent l="0" t="0" r="0" b="762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1307357"/>
                    </a:xfrm>
                    <a:prstGeom prst="rect">
                      <a:avLst/>
                    </a:prstGeom>
                    <a:noFill/>
                    <a:ln>
                      <a:noFill/>
                    </a:ln>
                  </pic:spPr>
                </pic:pic>
              </a:graphicData>
            </a:graphic>
          </wp:inline>
        </w:drawing>
      </w:r>
    </w:p>
    <w:p w:rsidR="00D107AF" w:rsidRPr="00D62B23" w:rsidRDefault="00D107AF" w:rsidP="00D107AF">
      <w:pPr>
        <w:pStyle w:val="Default"/>
        <w:spacing w:line="360" w:lineRule="auto"/>
        <w:jc w:val="both"/>
        <w:rPr>
          <w:sz w:val="16"/>
          <w:szCs w:val="16"/>
          <w:highlight w:val="yellow"/>
        </w:rPr>
      </w:pPr>
    </w:p>
    <w:p w:rsidR="00D107AF" w:rsidRPr="00D62B23" w:rsidRDefault="00D107AF">
      <w:pPr>
        <w:rPr>
          <w:rFonts w:ascii="Times New Roman" w:hAnsi="Times New Roman" w:cs="Times New Roman"/>
          <w:color w:val="000000"/>
          <w:sz w:val="16"/>
          <w:szCs w:val="16"/>
          <w:highlight w:val="yellow"/>
        </w:rPr>
      </w:pPr>
      <w:r w:rsidRPr="00D62B23">
        <w:rPr>
          <w:sz w:val="16"/>
          <w:szCs w:val="16"/>
          <w:highlight w:val="yellow"/>
        </w:rPr>
        <w:br w:type="page"/>
      </w:r>
    </w:p>
    <w:p w:rsidR="00662D6E" w:rsidRDefault="00581A79">
      <w:pPr>
        <w:rPr>
          <w:rFonts w:ascii="Times New Roman" w:hAnsi="Times New Roman" w:cs="Times New Roman"/>
          <w:color w:val="000000"/>
          <w:sz w:val="16"/>
          <w:szCs w:val="16"/>
          <w:highlight w:val="yellow"/>
        </w:rPr>
      </w:pPr>
      <w:r w:rsidRPr="00581A79">
        <w:rPr>
          <w:noProof/>
          <w:lang w:eastAsia="pl-PL"/>
        </w:rPr>
        <w:lastRenderedPageBreak/>
        <w:drawing>
          <wp:inline distT="0" distB="0" distL="0" distR="0" wp14:anchorId="5A5C731E" wp14:editId="27B92CDA">
            <wp:extent cx="5757062" cy="533822"/>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88873" cy="536772"/>
                    </a:xfrm>
                    <a:prstGeom prst="rect">
                      <a:avLst/>
                    </a:prstGeom>
                    <a:noFill/>
                    <a:ln>
                      <a:noFill/>
                    </a:ln>
                  </pic:spPr>
                </pic:pic>
              </a:graphicData>
            </a:graphic>
          </wp:inline>
        </w:drawing>
      </w:r>
      <w:r w:rsidRPr="00581A79">
        <w:rPr>
          <w:noProof/>
          <w:lang w:eastAsia="pl-PL"/>
        </w:rPr>
        <w:drawing>
          <wp:inline distT="0" distB="0" distL="0" distR="0" wp14:anchorId="1B184E97" wp14:editId="0E8BA41E">
            <wp:extent cx="5757062" cy="7856525"/>
            <wp:effectExtent l="0" t="0" r="0" b="0"/>
            <wp:docPr id="675" name="Obraz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7859784"/>
                    </a:xfrm>
                    <a:prstGeom prst="rect">
                      <a:avLst/>
                    </a:prstGeom>
                    <a:noFill/>
                    <a:ln>
                      <a:noFill/>
                    </a:ln>
                  </pic:spPr>
                </pic:pic>
              </a:graphicData>
            </a:graphic>
          </wp:inline>
        </w:drawing>
      </w:r>
    </w:p>
    <w:p w:rsidR="004E5215" w:rsidRPr="00D62B23" w:rsidRDefault="004E5215">
      <w:pPr>
        <w:rPr>
          <w:rFonts w:ascii="Times New Roman" w:hAnsi="Times New Roman" w:cs="Times New Roman"/>
          <w:color w:val="000000"/>
          <w:sz w:val="16"/>
          <w:szCs w:val="16"/>
          <w:highlight w:val="yellow"/>
        </w:rPr>
      </w:pPr>
      <w:r w:rsidRPr="00D62B23">
        <w:rPr>
          <w:rFonts w:ascii="Times New Roman" w:hAnsi="Times New Roman" w:cs="Times New Roman"/>
          <w:color w:val="000000"/>
          <w:sz w:val="16"/>
          <w:szCs w:val="16"/>
          <w:highlight w:val="yellow"/>
        </w:rPr>
        <w:br w:type="page"/>
      </w:r>
    </w:p>
    <w:p w:rsidR="00C30742" w:rsidRPr="00D62B23" w:rsidRDefault="00662D6E" w:rsidP="000C1EA2">
      <w:pPr>
        <w:spacing w:after="0" w:line="240" w:lineRule="auto"/>
        <w:rPr>
          <w:rFonts w:ascii="Times New Roman" w:hAnsi="Times New Roman" w:cs="Times New Roman"/>
          <w:color w:val="000000"/>
          <w:sz w:val="16"/>
          <w:szCs w:val="16"/>
          <w:highlight w:val="yellow"/>
        </w:rPr>
      </w:pPr>
      <w:r w:rsidRPr="00662D6E">
        <w:rPr>
          <w:noProof/>
          <w:lang w:eastAsia="pl-PL"/>
        </w:rPr>
        <w:lastRenderedPageBreak/>
        <w:drawing>
          <wp:inline distT="0" distB="0" distL="0" distR="0" wp14:anchorId="3E1920A0" wp14:editId="65056B92">
            <wp:extent cx="5759450" cy="3531251"/>
            <wp:effectExtent l="0" t="0" r="0" b="0"/>
            <wp:docPr id="691" name="Obraz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9450" cy="3531251"/>
                    </a:xfrm>
                    <a:prstGeom prst="rect">
                      <a:avLst/>
                    </a:prstGeom>
                    <a:noFill/>
                    <a:ln>
                      <a:noFill/>
                    </a:ln>
                  </pic:spPr>
                </pic:pic>
              </a:graphicData>
            </a:graphic>
          </wp:inline>
        </w:drawing>
      </w:r>
    </w:p>
    <w:p w:rsidR="00C30742" w:rsidRDefault="00C30742" w:rsidP="000C1EA2">
      <w:pPr>
        <w:spacing w:after="0" w:line="240" w:lineRule="auto"/>
        <w:rPr>
          <w:rFonts w:ascii="Times New Roman" w:hAnsi="Times New Roman" w:cs="Times New Roman"/>
          <w:color w:val="000000"/>
          <w:sz w:val="16"/>
          <w:szCs w:val="16"/>
          <w:highlight w:val="yellow"/>
        </w:rPr>
      </w:pPr>
    </w:p>
    <w:p w:rsidR="00662D6E" w:rsidRPr="00D62B23" w:rsidRDefault="00662D6E" w:rsidP="000C1EA2">
      <w:pPr>
        <w:spacing w:after="0" w:line="240" w:lineRule="auto"/>
        <w:rPr>
          <w:rFonts w:ascii="Times New Roman" w:hAnsi="Times New Roman" w:cs="Times New Roman"/>
          <w:color w:val="000000"/>
          <w:sz w:val="16"/>
          <w:szCs w:val="16"/>
          <w:highlight w:val="yellow"/>
        </w:rPr>
      </w:pPr>
    </w:p>
    <w:p w:rsidR="00E41479" w:rsidRPr="00D62B23" w:rsidRDefault="00662D6E">
      <w:pPr>
        <w:rPr>
          <w:highlight w:val="yellow"/>
        </w:rPr>
      </w:pPr>
      <w:r w:rsidRPr="00662D6E">
        <w:rPr>
          <w:noProof/>
          <w:lang w:eastAsia="pl-PL"/>
        </w:rPr>
        <w:drawing>
          <wp:inline distT="0" distB="0" distL="0" distR="0" wp14:anchorId="1BFCAAE4" wp14:editId="4734A10E">
            <wp:extent cx="5759450" cy="4976686"/>
            <wp:effectExtent l="0" t="0" r="0" b="0"/>
            <wp:docPr id="692" name="Obraz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4976686"/>
                    </a:xfrm>
                    <a:prstGeom prst="rect">
                      <a:avLst/>
                    </a:prstGeom>
                    <a:noFill/>
                    <a:ln>
                      <a:noFill/>
                    </a:ln>
                  </pic:spPr>
                </pic:pic>
              </a:graphicData>
            </a:graphic>
          </wp:inline>
        </w:drawing>
      </w:r>
      <w:r w:rsidR="00E41479" w:rsidRPr="00D62B23">
        <w:rPr>
          <w:highlight w:val="yellow"/>
        </w:rPr>
        <w:br w:type="page"/>
      </w:r>
    </w:p>
    <w:p w:rsidR="00726DAB" w:rsidRPr="00662D6E" w:rsidRDefault="008233CF" w:rsidP="00CE022F">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662D6E">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8A2874" w:rsidRPr="00662D6E" w:rsidRDefault="008A2874" w:rsidP="008A2874">
      <w:pPr>
        <w:pStyle w:val="Tekstpodstawowywcity"/>
        <w:spacing w:after="0" w:line="360" w:lineRule="auto"/>
        <w:ind w:left="0"/>
        <w:jc w:val="both"/>
        <w:rPr>
          <w:rFonts w:ascii="Times New Roman" w:hAnsi="Times New Roman" w:cs="Times New Roman"/>
          <w:sz w:val="18"/>
          <w:szCs w:val="18"/>
        </w:rPr>
      </w:pPr>
      <w:r w:rsidRPr="00662D6E">
        <w:rPr>
          <w:rFonts w:ascii="Times New Roman" w:hAnsi="Times New Roman" w:cs="Times New Roman"/>
          <w:sz w:val="18"/>
          <w:szCs w:val="18"/>
        </w:rPr>
        <w:t>(na podstawie danych</w:t>
      </w:r>
      <w:r w:rsidR="00AE5712" w:rsidRPr="00662D6E">
        <w:rPr>
          <w:rFonts w:ascii="Times New Roman" w:hAnsi="Times New Roman" w:cs="Times New Roman"/>
          <w:sz w:val="18"/>
          <w:szCs w:val="18"/>
        </w:rPr>
        <w:t xml:space="preserve"> z </w:t>
      </w:r>
      <w:r w:rsidR="000A7638" w:rsidRPr="00662D6E">
        <w:rPr>
          <w:rFonts w:ascii="Times New Roman" w:hAnsi="Times New Roman" w:cs="Times New Roman"/>
          <w:sz w:val="18"/>
          <w:szCs w:val="18"/>
        </w:rPr>
        <w:t>t</w:t>
      </w:r>
      <w:r w:rsidRPr="00662D6E">
        <w:rPr>
          <w:rFonts w:ascii="Times New Roman" w:hAnsi="Times New Roman" w:cs="Times New Roman"/>
          <w:sz w:val="18"/>
          <w:szCs w:val="18"/>
        </w:rPr>
        <w:t>ab</w:t>
      </w:r>
      <w:r w:rsidR="00DA16B5" w:rsidRPr="00662D6E">
        <w:rPr>
          <w:rFonts w:ascii="Times New Roman" w:hAnsi="Times New Roman" w:cs="Times New Roman"/>
          <w:sz w:val="18"/>
          <w:szCs w:val="18"/>
        </w:rPr>
        <w:t>.</w:t>
      </w:r>
      <w:r w:rsidRPr="00662D6E">
        <w:rPr>
          <w:rFonts w:ascii="Times New Roman" w:hAnsi="Times New Roman" w:cs="Times New Roman"/>
          <w:sz w:val="18"/>
          <w:szCs w:val="18"/>
        </w:rPr>
        <w:t xml:space="preserve"> </w:t>
      </w:r>
      <w:r w:rsidR="000A7638" w:rsidRPr="00662D6E">
        <w:rPr>
          <w:rFonts w:ascii="Times New Roman" w:hAnsi="Times New Roman" w:cs="Times New Roman"/>
          <w:sz w:val="18"/>
          <w:szCs w:val="18"/>
        </w:rPr>
        <w:t>V, VI, VII</w:t>
      </w:r>
      <w:r w:rsidR="008233CF" w:rsidRPr="00662D6E">
        <w:rPr>
          <w:rFonts w:ascii="Times New Roman" w:hAnsi="Times New Roman" w:cs="Times New Roman"/>
          <w:sz w:val="18"/>
          <w:szCs w:val="18"/>
        </w:rPr>
        <w:t>)</w:t>
      </w:r>
    </w:p>
    <w:p w:rsidR="00983640" w:rsidRPr="00D62B23" w:rsidRDefault="00983640" w:rsidP="00983640">
      <w:pPr>
        <w:pStyle w:val="Default"/>
        <w:rPr>
          <w:sz w:val="16"/>
          <w:szCs w:val="16"/>
          <w:highlight w:val="yellow"/>
        </w:rPr>
      </w:pPr>
    </w:p>
    <w:p w:rsidR="00E14AA5" w:rsidRPr="00B75598" w:rsidRDefault="00B75598" w:rsidP="00160DBC">
      <w:pPr>
        <w:pStyle w:val="Default"/>
        <w:numPr>
          <w:ilvl w:val="0"/>
          <w:numId w:val="1"/>
        </w:numPr>
        <w:spacing w:line="360" w:lineRule="auto"/>
        <w:jc w:val="both"/>
        <w:rPr>
          <w:color w:val="000000" w:themeColor="text1"/>
        </w:rPr>
      </w:pPr>
      <w:r w:rsidRPr="00B75598">
        <w:rPr>
          <w:color w:val="000000" w:themeColor="text1"/>
        </w:rPr>
        <w:t>30852</w:t>
      </w:r>
      <w:r w:rsidR="00E14AA5" w:rsidRPr="00B75598">
        <w:rPr>
          <w:color w:val="000000" w:themeColor="text1"/>
        </w:rPr>
        <w:t xml:space="preserve"> </w:t>
      </w:r>
      <w:r w:rsidR="00DA16B5" w:rsidRPr="00B75598">
        <w:rPr>
          <w:color w:val="000000" w:themeColor="text1"/>
        </w:rPr>
        <w:t xml:space="preserve">bezrobotnych </w:t>
      </w:r>
      <w:r w:rsidR="00E14AA5" w:rsidRPr="00B75598">
        <w:rPr>
          <w:color w:val="000000" w:themeColor="text1"/>
        </w:rPr>
        <w:t>(</w:t>
      </w:r>
      <w:r w:rsidR="00DA16B5" w:rsidRPr="00B75598">
        <w:rPr>
          <w:color w:val="000000" w:themeColor="text1"/>
        </w:rPr>
        <w:t xml:space="preserve">tj. </w:t>
      </w:r>
      <w:r w:rsidR="00C14689" w:rsidRPr="00B75598">
        <w:rPr>
          <w:color w:val="000000" w:themeColor="text1"/>
        </w:rPr>
        <w:t>6</w:t>
      </w:r>
      <w:r w:rsidRPr="00B75598">
        <w:rPr>
          <w:color w:val="000000" w:themeColor="text1"/>
        </w:rPr>
        <w:t>4</w:t>
      </w:r>
      <w:r w:rsidR="00E14AA5" w:rsidRPr="00B75598">
        <w:rPr>
          <w:color w:val="000000" w:themeColor="text1"/>
        </w:rPr>
        <w:t>,</w:t>
      </w:r>
      <w:r w:rsidRPr="00B75598">
        <w:rPr>
          <w:color w:val="000000" w:themeColor="text1"/>
        </w:rPr>
        <w:t>2</w:t>
      </w:r>
      <w:r w:rsidR="008F2E68">
        <w:rPr>
          <w:color w:val="000000" w:themeColor="text1"/>
        </w:rPr>
        <w:t xml:space="preserve"> proc.</w:t>
      </w:r>
      <w:r w:rsidR="00DA16B5" w:rsidRPr="00B75598">
        <w:rPr>
          <w:color w:val="000000" w:themeColor="text1"/>
        </w:rPr>
        <w:t xml:space="preserve"> ogółu wyrejestrowanych</w:t>
      </w:r>
      <w:r w:rsidR="00E14AA5" w:rsidRPr="00B75598">
        <w:rPr>
          <w:color w:val="000000" w:themeColor="text1"/>
        </w:rPr>
        <w:t xml:space="preserve">) </w:t>
      </w:r>
      <w:r w:rsidR="00DA16B5" w:rsidRPr="00B75598">
        <w:rPr>
          <w:color w:val="000000" w:themeColor="text1"/>
        </w:rPr>
        <w:t>wyłączono z ewidencji PUP</w:t>
      </w:r>
      <w:r w:rsidR="00AE5712" w:rsidRPr="00B75598">
        <w:rPr>
          <w:color w:val="000000" w:themeColor="text1"/>
        </w:rPr>
        <w:t xml:space="preserve"> z </w:t>
      </w:r>
      <w:r w:rsidR="00E14AA5" w:rsidRPr="00B75598">
        <w:rPr>
          <w:color w:val="000000" w:themeColor="text1"/>
        </w:rPr>
        <w:t>powodu podjęcia pracy</w:t>
      </w:r>
      <w:r w:rsidR="001F1808" w:rsidRPr="00B75598">
        <w:rPr>
          <w:color w:val="000000" w:themeColor="text1"/>
        </w:rPr>
        <w:t xml:space="preserve">, w tym </w:t>
      </w:r>
      <w:r w:rsidR="003B48E9" w:rsidRPr="00B75598">
        <w:rPr>
          <w:color w:val="000000" w:themeColor="text1"/>
        </w:rPr>
        <w:t>2</w:t>
      </w:r>
      <w:r w:rsidRPr="00B75598">
        <w:rPr>
          <w:color w:val="000000" w:themeColor="text1"/>
        </w:rPr>
        <w:t>5180</w:t>
      </w:r>
      <w:r w:rsidR="001F1808" w:rsidRPr="00B75598">
        <w:rPr>
          <w:color w:val="000000" w:themeColor="text1"/>
        </w:rPr>
        <w:t xml:space="preserve"> </w:t>
      </w:r>
      <w:r w:rsidR="003B48E9" w:rsidRPr="00B75598">
        <w:rPr>
          <w:color w:val="000000" w:themeColor="text1"/>
        </w:rPr>
        <w:t>bezrobotnych</w:t>
      </w:r>
      <w:r w:rsidR="001F1808" w:rsidRPr="00B75598">
        <w:rPr>
          <w:color w:val="000000" w:themeColor="text1"/>
        </w:rPr>
        <w:t xml:space="preserve"> podjęło pracę niesubsydiowaną</w:t>
      </w:r>
      <w:r w:rsidR="00DA16B5" w:rsidRPr="00B75598">
        <w:rPr>
          <w:color w:val="000000" w:themeColor="text1"/>
        </w:rPr>
        <w:t xml:space="preserve"> (</w:t>
      </w:r>
      <w:r w:rsidR="00C14689" w:rsidRPr="00B75598">
        <w:rPr>
          <w:color w:val="000000" w:themeColor="text1"/>
        </w:rPr>
        <w:t>5</w:t>
      </w:r>
      <w:r w:rsidRPr="00B75598">
        <w:rPr>
          <w:color w:val="000000" w:themeColor="text1"/>
        </w:rPr>
        <w:t>2</w:t>
      </w:r>
      <w:r w:rsidR="00DA16B5" w:rsidRPr="00B75598">
        <w:rPr>
          <w:color w:val="000000" w:themeColor="text1"/>
        </w:rPr>
        <w:t>,</w:t>
      </w:r>
      <w:r w:rsidRPr="00B75598">
        <w:rPr>
          <w:color w:val="000000" w:themeColor="text1"/>
        </w:rPr>
        <w:t>4</w:t>
      </w:r>
      <w:r w:rsidR="008F2E68">
        <w:rPr>
          <w:color w:val="000000" w:themeColor="text1"/>
        </w:rPr>
        <w:t xml:space="preserve"> proc.</w:t>
      </w:r>
      <w:r w:rsidRPr="00B75598">
        <w:rPr>
          <w:color w:val="000000" w:themeColor="text1"/>
        </w:rPr>
        <w:t xml:space="preserve"> ogółu wyłączonych</w:t>
      </w:r>
      <w:r w:rsidR="00DA16B5" w:rsidRPr="00B75598">
        <w:rPr>
          <w:color w:val="000000" w:themeColor="text1"/>
        </w:rPr>
        <w:t>)</w:t>
      </w:r>
      <w:r w:rsidR="001F1808" w:rsidRPr="00B75598">
        <w:rPr>
          <w:color w:val="000000" w:themeColor="text1"/>
        </w:rPr>
        <w:t>,</w:t>
      </w:r>
    </w:p>
    <w:p w:rsidR="00AC0B8B" w:rsidRPr="00B75598" w:rsidRDefault="00AC0B8B" w:rsidP="003D2973">
      <w:pPr>
        <w:pStyle w:val="Default"/>
        <w:numPr>
          <w:ilvl w:val="0"/>
          <w:numId w:val="1"/>
        </w:numPr>
        <w:spacing w:line="360" w:lineRule="auto"/>
        <w:jc w:val="both"/>
      </w:pPr>
      <w:r w:rsidRPr="00B75598">
        <w:t>W grupie osób, które wyrejestrowały się</w:t>
      </w:r>
      <w:r w:rsidR="00AE5712" w:rsidRPr="00B75598">
        <w:t xml:space="preserve"> z </w:t>
      </w:r>
      <w:r w:rsidRPr="00B75598">
        <w:t>powodu podjęcia pracy</w:t>
      </w:r>
      <w:r w:rsidR="008B7684" w:rsidRPr="00B75598">
        <w:t xml:space="preserve"> – </w:t>
      </w:r>
      <w:r w:rsidRPr="00B75598">
        <w:t xml:space="preserve">większość stanowiły osoby </w:t>
      </w:r>
      <w:r w:rsidR="00BD2900" w:rsidRPr="00B75598">
        <w:t xml:space="preserve">już </w:t>
      </w:r>
      <w:r w:rsidRPr="00B75598">
        <w:t>poprzednio pracujące</w:t>
      </w:r>
      <w:r w:rsidR="00BD2900" w:rsidRPr="00B75598">
        <w:t>.</w:t>
      </w:r>
      <w:r w:rsidR="00B6403E" w:rsidRPr="00B75598">
        <w:t xml:space="preserve"> </w:t>
      </w:r>
      <w:r w:rsidR="00283F25">
        <w:t xml:space="preserve">Zwiększyła się liczba </w:t>
      </w:r>
      <w:r w:rsidR="003D2973" w:rsidRPr="00B75598">
        <w:t>zarówno wśród poprzednio pracujących jak i dotychczas nie pracujących.</w:t>
      </w:r>
      <w:r w:rsidR="00C14689" w:rsidRPr="00B75598">
        <w:t xml:space="preserve"> </w:t>
      </w:r>
    </w:p>
    <w:p w:rsidR="00E14AA5" w:rsidRPr="005B533C" w:rsidRDefault="004A5E1F" w:rsidP="00160DBC">
      <w:pPr>
        <w:pStyle w:val="Default"/>
        <w:numPr>
          <w:ilvl w:val="0"/>
          <w:numId w:val="1"/>
        </w:numPr>
        <w:spacing w:line="360" w:lineRule="auto"/>
        <w:jc w:val="both"/>
      </w:pPr>
      <w:r w:rsidRPr="005B533C">
        <w:t xml:space="preserve">Wśród bezrobotnych podejmujących pracę </w:t>
      </w:r>
      <w:r w:rsidR="00C31034" w:rsidRPr="005B533C">
        <w:t>–</w:t>
      </w:r>
      <w:r w:rsidR="00E14AA5" w:rsidRPr="005B533C">
        <w:t xml:space="preserve"> </w:t>
      </w:r>
      <w:r w:rsidR="00C14689" w:rsidRPr="005B533C">
        <w:t>5</w:t>
      </w:r>
      <w:r w:rsidR="005B533C" w:rsidRPr="005B533C">
        <w:t>672</w:t>
      </w:r>
      <w:r w:rsidR="00C14689" w:rsidRPr="005B533C">
        <w:t xml:space="preserve"> bezrobotnych </w:t>
      </w:r>
      <w:r w:rsidR="00B224AD" w:rsidRPr="005B533C">
        <w:t xml:space="preserve">tj. </w:t>
      </w:r>
      <w:r w:rsidR="005B533C" w:rsidRPr="005B533C">
        <w:t>11</w:t>
      </w:r>
      <w:r w:rsidR="00B224AD" w:rsidRPr="005B533C">
        <w:t>,</w:t>
      </w:r>
      <w:r w:rsidR="005B533C" w:rsidRPr="005B533C">
        <w:t>8</w:t>
      </w:r>
      <w:r w:rsidR="008F2E68">
        <w:t xml:space="preserve"> proc.</w:t>
      </w:r>
      <w:r w:rsidR="00AB63E5" w:rsidRPr="005B533C">
        <w:t xml:space="preserve"> </w:t>
      </w:r>
      <w:r w:rsidR="00C14689" w:rsidRPr="005B533C">
        <w:t xml:space="preserve">ogółu odpływu </w:t>
      </w:r>
      <w:r w:rsidR="00C6076D">
        <w:t xml:space="preserve">zatrudnionych zostało w </w:t>
      </w:r>
      <w:r w:rsidR="00E14AA5" w:rsidRPr="005B533C">
        <w:t>ramach prac subsydiowan</w:t>
      </w:r>
      <w:r w:rsidRPr="005B533C">
        <w:t>ych</w:t>
      </w:r>
      <w:r w:rsidR="00B224AD" w:rsidRPr="005B533C">
        <w:t xml:space="preserve"> </w:t>
      </w:r>
      <w:r w:rsidR="00E14AA5" w:rsidRPr="005B533C">
        <w:t>ze środków publicznych</w:t>
      </w:r>
      <w:r w:rsidR="001F1808" w:rsidRPr="005B533C">
        <w:t>.</w:t>
      </w:r>
    </w:p>
    <w:p w:rsidR="00AB63E5" w:rsidRPr="005B533C" w:rsidRDefault="007D7E92" w:rsidP="00B224AD">
      <w:pPr>
        <w:pStyle w:val="Default"/>
        <w:numPr>
          <w:ilvl w:val="0"/>
          <w:numId w:val="1"/>
        </w:numPr>
        <w:spacing w:line="360" w:lineRule="auto"/>
        <w:jc w:val="both"/>
      </w:pPr>
      <w:r w:rsidRPr="005B533C">
        <w:t>N</w:t>
      </w:r>
      <w:r w:rsidR="00AB63E5" w:rsidRPr="005B533C">
        <w:t xml:space="preserve">ajwyższą </w:t>
      </w:r>
      <w:r w:rsidR="00EC223A" w:rsidRPr="005B533C">
        <w:t xml:space="preserve">ilość </w:t>
      </w:r>
      <w:r w:rsidR="00AB63E5" w:rsidRPr="005B533C">
        <w:t>zatrudni</w:t>
      </w:r>
      <w:r w:rsidR="00EC223A" w:rsidRPr="005B533C">
        <w:t xml:space="preserve">onych w wyniku </w:t>
      </w:r>
      <w:r w:rsidR="00AB63E5" w:rsidRPr="005B533C">
        <w:t>subsydi</w:t>
      </w:r>
      <w:r w:rsidR="00EC223A" w:rsidRPr="005B533C">
        <w:t>ów</w:t>
      </w:r>
      <w:r w:rsidR="00AB63E5" w:rsidRPr="005B533C">
        <w:t xml:space="preserve"> </w:t>
      </w:r>
      <w:r w:rsidR="000F02A8" w:rsidRPr="005B533C">
        <w:t>kumulowały</w:t>
      </w:r>
      <w:r w:rsidR="00AB63E5" w:rsidRPr="005B533C">
        <w:t xml:space="preserve"> </w:t>
      </w:r>
      <w:r w:rsidR="000F02A8" w:rsidRPr="005B533C">
        <w:t>prace interwencyjne (</w:t>
      </w:r>
      <w:r w:rsidR="00974326" w:rsidRPr="005B533C">
        <w:t>1</w:t>
      </w:r>
      <w:r w:rsidR="005B533C" w:rsidRPr="005B533C">
        <w:t>999</w:t>
      </w:r>
      <w:r w:rsidR="000F02A8" w:rsidRPr="005B533C">
        <w:t>),</w:t>
      </w:r>
      <w:r w:rsidR="00E30446" w:rsidRPr="005B533C">
        <w:t xml:space="preserve"> </w:t>
      </w:r>
      <w:r w:rsidR="00EC223A" w:rsidRPr="005B533C">
        <w:t>rob</w:t>
      </w:r>
      <w:r w:rsidR="00E30446" w:rsidRPr="005B533C">
        <w:t>o</w:t>
      </w:r>
      <w:r w:rsidR="00EC223A" w:rsidRPr="005B533C">
        <w:t>t</w:t>
      </w:r>
      <w:r w:rsidR="00E30446" w:rsidRPr="005B533C">
        <w:t>y</w:t>
      </w:r>
      <w:r w:rsidR="00EC223A" w:rsidRPr="005B533C">
        <w:t xml:space="preserve"> publiczn</w:t>
      </w:r>
      <w:r w:rsidR="00E30446" w:rsidRPr="005B533C">
        <w:t>e</w:t>
      </w:r>
      <w:r w:rsidR="00EC223A" w:rsidRPr="005B533C">
        <w:t xml:space="preserve"> (</w:t>
      </w:r>
      <w:r w:rsidR="005B533C" w:rsidRPr="005B533C">
        <w:t>1149</w:t>
      </w:r>
      <w:r w:rsidR="00EC223A" w:rsidRPr="005B533C">
        <w:t>),</w:t>
      </w:r>
      <w:r w:rsidR="00E30446" w:rsidRPr="005B533C">
        <w:t xml:space="preserve"> </w:t>
      </w:r>
      <w:r w:rsidR="000F02A8" w:rsidRPr="005B533C">
        <w:t xml:space="preserve">dotacje na </w:t>
      </w:r>
      <w:r w:rsidR="00E30446" w:rsidRPr="005B533C">
        <w:t xml:space="preserve">utworzenie </w:t>
      </w:r>
      <w:r w:rsidR="000F02A8" w:rsidRPr="005B533C">
        <w:t>własnej działalności gospodarczej (</w:t>
      </w:r>
      <w:r w:rsidR="005B533C" w:rsidRPr="005B533C">
        <w:t>1041</w:t>
      </w:r>
      <w:r w:rsidR="000F02A8" w:rsidRPr="005B533C">
        <w:t>)</w:t>
      </w:r>
      <w:r w:rsidR="00E30446" w:rsidRPr="005B533C">
        <w:t xml:space="preserve"> oraz podjęcia pracy w firmach – realizowane w ramach refundacji kosztów zatrudnienia osoby bezrobotnej (</w:t>
      </w:r>
      <w:r w:rsidR="005B533C" w:rsidRPr="005B533C">
        <w:t>835</w:t>
      </w:r>
      <w:r w:rsidR="00E30446" w:rsidRPr="005B533C">
        <w:t xml:space="preserve">). </w:t>
      </w:r>
    </w:p>
    <w:p w:rsidR="00E12B19" w:rsidRPr="00830219" w:rsidRDefault="009B1FC4" w:rsidP="00F04F15">
      <w:pPr>
        <w:pStyle w:val="Default"/>
        <w:numPr>
          <w:ilvl w:val="0"/>
          <w:numId w:val="1"/>
        </w:numPr>
        <w:spacing w:line="360" w:lineRule="auto"/>
        <w:jc w:val="both"/>
      </w:pPr>
      <w:r w:rsidRPr="00830219">
        <w:t xml:space="preserve">Wśród nowych form wprowadzonych </w:t>
      </w:r>
      <w:r w:rsidR="00F04F15" w:rsidRPr="00830219">
        <w:t>nowelą ustawy o promocji zatrudnienia i instytucjach rynku pracy z 2014 r. (</w:t>
      </w:r>
      <w:r w:rsidR="00E12B19" w:rsidRPr="00830219">
        <w:t>tzw.</w:t>
      </w:r>
      <w:r w:rsidR="00F04F15" w:rsidRPr="00830219">
        <w:t xml:space="preserve"> </w:t>
      </w:r>
      <w:r w:rsidR="00E12B19" w:rsidRPr="00830219">
        <w:t>„</w:t>
      </w:r>
      <w:r w:rsidR="00F04F15" w:rsidRPr="00830219">
        <w:t>bony</w:t>
      </w:r>
      <w:r w:rsidR="00E12B19" w:rsidRPr="00830219">
        <w:t>”</w:t>
      </w:r>
      <w:r w:rsidR="00F04F15" w:rsidRPr="00830219">
        <w:t xml:space="preserve">) bezrobotni </w:t>
      </w:r>
      <w:r w:rsidR="00830219" w:rsidRPr="00830219">
        <w:t xml:space="preserve">często </w:t>
      </w:r>
      <w:r w:rsidR="00F04F15" w:rsidRPr="00830219">
        <w:t>korzystają z</w:t>
      </w:r>
      <w:r w:rsidR="00E12B19" w:rsidRPr="00830219">
        <w:t> </w:t>
      </w:r>
      <w:r w:rsidR="00F04F15" w:rsidRPr="00830219">
        <w:t xml:space="preserve">podjęcia pracy poza miejscem zamieszkania w ramach bonu na zasiedlenie </w:t>
      </w:r>
      <w:r w:rsidR="00830219" w:rsidRPr="00830219">
        <w:t xml:space="preserve">tj. </w:t>
      </w:r>
      <w:r w:rsidR="00E12B19" w:rsidRPr="00830219">
        <w:t>3</w:t>
      </w:r>
      <w:r w:rsidR="00830219" w:rsidRPr="00830219">
        <w:t>93</w:t>
      </w:r>
      <w:r w:rsidR="00F04F15" w:rsidRPr="00830219">
        <w:t xml:space="preserve"> os</w:t>
      </w:r>
      <w:r w:rsidR="00830219" w:rsidRPr="00830219">
        <w:t>o</w:t>
      </w:r>
      <w:r w:rsidR="00F04F15" w:rsidRPr="00830219">
        <w:t>b</w:t>
      </w:r>
      <w:r w:rsidR="00830219" w:rsidRPr="00830219">
        <w:t>y</w:t>
      </w:r>
      <w:r w:rsidR="000F02A8" w:rsidRPr="00830219">
        <w:t xml:space="preserve"> tj. </w:t>
      </w:r>
      <w:r w:rsidR="00E12B19" w:rsidRPr="00830219">
        <w:t>0</w:t>
      </w:r>
      <w:r w:rsidR="001F1808" w:rsidRPr="00830219">
        <w:t>,</w:t>
      </w:r>
      <w:r w:rsidR="00830219" w:rsidRPr="00830219">
        <w:t>8</w:t>
      </w:r>
      <w:r w:rsidR="008F2E68">
        <w:t> proc.</w:t>
      </w:r>
      <w:r w:rsidR="00963A5C" w:rsidRPr="00830219">
        <w:t xml:space="preserve"> ogółu</w:t>
      </w:r>
      <w:r w:rsidR="001F1808" w:rsidRPr="00830219">
        <w:t>)</w:t>
      </w:r>
      <w:r w:rsidR="00F04F15" w:rsidRPr="00830219">
        <w:t>.</w:t>
      </w:r>
    </w:p>
    <w:p w:rsidR="00983640" w:rsidRPr="00830219" w:rsidRDefault="00830219" w:rsidP="00F04F15">
      <w:pPr>
        <w:pStyle w:val="Default"/>
        <w:numPr>
          <w:ilvl w:val="0"/>
          <w:numId w:val="1"/>
        </w:numPr>
        <w:spacing w:line="360" w:lineRule="auto"/>
        <w:jc w:val="both"/>
      </w:pPr>
      <w:r w:rsidRPr="00830219">
        <w:t>Tzw. „i</w:t>
      </w:r>
      <w:r w:rsidR="00F04F15" w:rsidRPr="00830219">
        <w:t>nne podjęcia pracy subsydiowanej</w:t>
      </w:r>
      <w:r w:rsidRPr="00830219">
        <w:t xml:space="preserve">” (patrz przypis) </w:t>
      </w:r>
      <w:r w:rsidR="00F04F15" w:rsidRPr="00830219">
        <w:t xml:space="preserve">to </w:t>
      </w:r>
      <w:r w:rsidRPr="00830219">
        <w:t>107</w:t>
      </w:r>
      <w:r w:rsidR="00F04F15" w:rsidRPr="00830219">
        <w:t xml:space="preserve"> bezrobotnych tj. 0,</w:t>
      </w:r>
      <w:r w:rsidR="00E12B19" w:rsidRPr="00830219">
        <w:t>2</w:t>
      </w:r>
      <w:r w:rsidR="008F2E68">
        <w:t> proc.</w:t>
      </w:r>
      <w:r w:rsidR="00F04F15" w:rsidRPr="00830219">
        <w:t xml:space="preserve"> ogółu </w:t>
      </w:r>
      <w:r w:rsidR="000F09BD" w:rsidRPr="00830219">
        <w:rPr>
          <w:rStyle w:val="Odwoanieprzypisudolnego"/>
        </w:rPr>
        <w:footnoteReference w:id="23"/>
      </w:r>
      <w:r w:rsidR="001F1808" w:rsidRPr="00830219">
        <w:t>.</w:t>
      </w:r>
    </w:p>
    <w:p w:rsidR="00AB63E5" w:rsidRPr="002F1353" w:rsidRDefault="00E12B19" w:rsidP="00160DBC">
      <w:pPr>
        <w:pStyle w:val="Default"/>
        <w:numPr>
          <w:ilvl w:val="0"/>
          <w:numId w:val="1"/>
        </w:numPr>
        <w:spacing w:line="360" w:lineRule="auto"/>
        <w:jc w:val="both"/>
      </w:pPr>
      <w:r w:rsidRPr="002F1353">
        <w:t>1</w:t>
      </w:r>
      <w:r w:rsidR="0071127B" w:rsidRPr="002F1353">
        <w:t>2</w:t>
      </w:r>
      <w:r w:rsidR="00D443BB" w:rsidRPr="002F1353">
        <w:t> </w:t>
      </w:r>
      <w:r w:rsidR="002F1353" w:rsidRPr="002F1353">
        <w:t>221</w:t>
      </w:r>
      <w:r w:rsidR="00D443BB" w:rsidRPr="002F1353">
        <w:t xml:space="preserve"> </w:t>
      </w:r>
      <w:r w:rsidR="00963A5C" w:rsidRPr="002F1353">
        <w:t xml:space="preserve">osób </w:t>
      </w:r>
      <w:r w:rsidR="00D443BB" w:rsidRPr="002F1353">
        <w:t>(</w:t>
      </w:r>
      <w:r w:rsidR="002F1353" w:rsidRPr="002F1353">
        <w:t>25</w:t>
      </w:r>
      <w:r w:rsidR="007D7E92" w:rsidRPr="002F1353">
        <w:t>,</w:t>
      </w:r>
      <w:r w:rsidR="002F1353" w:rsidRPr="002F1353">
        <w:t>4</w:t>
      </w:r>
      <w:r w:rsidR="008F2E68">
        <w:t xml:space="preserve"> proc.</w:t>
      </w:r>
      <w:r w:rsidR="001F1808" w:rsidRPr="002F1353">
        <w:t xml:space="preserve"> ogółu bezrobotnych</w:t>
      </w:r>
      <w:r w:rsidR="00D443BB" w:rsidRPr="002F1353">
        <w:t>) wyrejestrowało się</w:t>
      </w:r>
      <w:r w:rsidR="008D04B7">
        <w:t xml:space="preserve"> </w:t>
      </w:r>
      <w:r w:rsidR="00AE5712" w:rsidRPr="002F1353">
        <w:t>z</w:t>
      </w:r>
      <w:r w:rsidR="008D04B7">
        <w:t xml:space="preserve"> </w:t>
      </w:r>
      <w:r w:rsidR="00D443BB" w:rsidRPr="002F1353">
        <w:t xml:space="preserve">innego powodu </w:t>
      </w:r>
      <w:r w:rsidR="008D04B7">
        <w:t xml:space="preserve">niż </w:t>
      </w:r>
      <w:r w:rsidR="00D443BB" w:rsidRPr="002F1353">
        <w:t>podjęcie pracy</w:t>
      </w:r>
      <w:r w:rsidR="007D7E92" w:rsidRPr="002F1353">
        <w:t>.</w:t>
      </w:r>
    </w:p>
    <w:p w:rsidR="00D443BB" w:rsidRPr="002F1353" w:rsidRDefault="007D7E92" w:rsidP="00160DBC">
      <w:pPr>
        <w:pStyle w:val="Default"/>
        <w:numPr>
          <w:ilvl w:val="0"/>
          <w:numId w:val="1"/>
        </w:numPr>
        <w:spacing w:line="360" w:lineRule="auto"/>
        <w:jc w:val="both"/>
      </w:pPr>
      <w:r w:rsidRPr="002F1353">
        <w:t>W</w:t>
      </w:r>
      <w:r w:rsidR="00D443BB" w:rsidRPr="002F1353">
        <w:t>śród innych powodów wyrejestrowań najczęstszym był</w:t>
      </w:r>
      <w:r w:rsidR="002E2123" w:rsidRPr="002F1353">
        <w:t>y</w:t>
      </w:r>
      <w:r w:rsidR="00D443BB" w:rsidRPr="002F1353">
        <w:t xml:space="preserve"> niepotwierdzenie przez bezrobotnych gotowości do podjęcia pracy</w:t>
      </w:r>
      <w:r w:rsidR="002E2123" w:rsidRPr="002F1353">
        <w:t xml:space="preserve"> (</w:t>
      </w:r>
      <w:r w:rsidR="00583E47" w:rsidRPr="002F1353">
        <w:t>4</w:t>
      </w:r>
      <w:r w:rsidR="002F1353" w:rsidRPr="002F1353">
        <w:t>055</w:t>
      </w:r>
      <w:r w:rsidR="00F72A23" w:rsidRPr="002F1353">
        <w:t xml:space="preserve"> </w:t>
      </w:r>
      <w:r w:rsidR="00D443BB" w:rsidRPr="002F1353">
        <w:t>osób)</w:t>
      </w:r>
      <w:r w:rsidR="007B6B23" w:rsidRPr="002F1353">
        <w:t xml:space="preserve"> i</w:t>
      </w:r>
      <w:r w:rsidR="002E2123" w:rsidRPr="002F1353">
        <w:t xml:space="preserve"> dobrowolna rezygnacja </w:t>
      </w:r>
      <w:r w:rsidRPr="002F1353">
        <w:t>ze statusu bezrobotnego (</w:t>
      </w:r>
      <w:r w:rsidR="002F1353" w:rsidRPr="002F1353">
        <w:t>2733</w:t>
      </w:r>
      <w:r w:rsidR="0047612C" w:rsidRPr="002F1353">
        <w:t xml:space="preserve"> osoby</w:t>
      </w:r>
      <w:r w:rsidRPr="002F1353">
        <w:t>).</w:t>
      </w:r>
    </w:p>
    <w:p w:rsidR="00D443BB" w:rsidRPr="002F1353" w:rsidRDefault="002F1353" w:rsidP="00160DBC">
      <w:pPr>
        <w:pStyle w:val="Default"/>
        <w:numPr>
          <w:ilvl w:val="0"/>
          <w:numId w:val="1"/>
        </w:numPr>
        <w:spacing w:line="360" w:lineRule="auto"/>
        <w:jc w:val="both"/>
      </w:pPr>
      <w:r w:rsidRPr="002F1353">
        <w:t>4</w:t>
      </w:r>
      <w:r w:rsidR="00221BB6" w:rsidRPr="002F1353">
        <w:t> </w:t>
      </w:r>
      <w:r w:rsidR="0047612C" w:rsidRPr="002F1353">
        <w:t>9</w:t>
      </w:r>
      <w:r w:rsidRPr="002F1353">
        <w:t>61</w:t>
      </w:r>
      <w:r w:rsidR="00221BB6" w:rsidRPr="002F1353">
        <w:t xml:space="preserve"> (</w:t>
      </w:r>
      <w:r w:rsidRPr="002F1353">
        <w:t>10,</w:t>
      </w:r>
      <w:r w:rsidR="0047612C" w:rsidRPr="002F1353">
        <w:t>3</w:t>
      </w:r>
      <w:r w:rsidR="008F2E68">
        <w:t xml:space="preserve"> proc.</w:t>
      </w:r>
      <w:r w:rsidR="00221BB6" w:rsidRPr="002F1353">
        <w:t xml:space="preserve">) </w:t>
      </w:r>
      <w:r w:rsidR="006A3B2F" w:rsidRPr="002F1353">
        <w:t>osób</w:t>
      </w:r>
      <w:r w:rsidR="00221BB6" w:rsidRPr="002F1353">
        <w:t xml:space="preserve"> zostało wyłączonych</w:t>
      </w:r>
      <w:r w:rsidR="006A3B2F" w:rsidRPr="002F1353">
        <w:t xml:space="preserve"> </w:t>
      </w:r>
      <w:r w:rsidR="00AE5712" w:rsidRPr="002F1353">
        <w:t>z</w:t>
      </w:r>
      <w:r w:rsidR="006A3B2F" w:rsidRPr="002F1353">
        <w:t xml:space="preserve"> </w:t>
      </w:r>
      <w:r w:rsidR="00221BB6" w:rsidRPr="002F1353">
        <w:t>ewidencji</w:t>
      </w:r>
      <w:r w:rsidR="006A3B2F" w:rsidRPr="002F1353">
        <w:t xml:space="preserve"> </w:t>
      </w:r>
      <w:r w:rsidR="00AE5712" w:rsidRPr="002F1353">
        <w:t>z</w:t>
      </w:r>
      <w:r w:rsidR="006A3B2F" w:rsidRPr="002F1353">
        <w:t xml:space="preserve"> </w:t>
      </w:r>
      <w:r w:rsidR="00221BB6" w:rsidRPr="002F1353">
        <w:t>powodu udziału</w:t>
      </w:r>
      <w:r w:rsidR="00AE5712" w:rsidRPr="002F1353">
        <w:t xml:space="preserve"> w </w:t>
      </w:r>
      <w:r w:rsidR="00221BB6" w:rsidRPr="002F1353">
        <w:t>formach aktywizacji zawodowej nie powodujących utraty statusu bezrobotnych</w:t>
      </w:r>
      <w:r w:rsidR="007D7E92" w:rsidRPr="002F1353">
        <w:t>.</w:t>
      </w:r>
    </w:p>
    <w:p w:rsidR="00221BB6" w:rsidRPr="002F1353" w:rsidRDefault="007D7E92" w:rsidP="00160DBC">
      <w:pPr>
        <w:pStyle w:val="Default"/>
        <w:numPr>
          <w:ilvl w:val="0"/>
          <w:numId w:val="1"/>
        </w:numPr>
        <w:spacing w:line="360" w:lineRule="auto"/>
        <w:jc w:val="both"/>
      </w:pPr>
      <w:r w:rsidRPr="002F1353">
        <w:lastRenderedPageBreak/>
        <w:t>W</w:t>
      </w:r>
      <w:r w:rsidR="00221BB6" w:rsidRPr="002F1353">
        <w:t>śród powodów wyłączeń</w:t>
      </w:r>
      <w:r w:rsidR="00322A3E" w:rsidRPr="002F1353">
        <w:t xml:space="preserve"> </w:t>
      </w:r>
      <w:r w:rsidR="00221BB6" w:rsidRPr="002F1353">
        <w:t>bez utraty statusu</w:t>
      </w:r>
      <w:r w:rsidR="00322A3E" w:rsidRPr="002F1353">
        <w:t xml:space="preserve"> </w:t>
      </w:r>
      <w:r w:rsidR="00221BB6" w:rsidRPr="002F1353">
        <w:t>najczęstsze były staże (</w:t>
      </w:r>
      <w:r w:rsidR="002F1353" w:rsidRPr="002F1353">
        <w:t>40</w:t>
      </w:r>
      <w:r w:rsidR="0019549C" w:rsidRPr="002F1353">
        <w:t>65</w:t>
      </w:r>
      <w:r w:rsidR="00221BB6" w:rsidRPr="002F1353">
        <w:t>),</w:t>
      </w:r>
      <w:r w:rsidR="00DA3BD3">
        <w:t xml:space="preserve"> </w:t>
      </w:r>
      <w:r w:rsidR="002F1353" w:rsidRPr="002F1353">
        <w:t>prac</w:t>
      </w:r>
      <w:r w:rsidR="00DA3BD3">
        <w:t>e</w:t>
      </w:r>
      <w:r w:rsidR="002F1353" w:rsidRPr="002F1353">
        <w:t xml:space="preserve"> społecznie użyteczne (546) i </w:t>
      </w:r>
      <w:r w:rsidR="00221BB6" w:rsidRPr="002F1353">
        <w:t>szkolenia (</w:t>
      </w:r>
      <w:r w:rsidR="0019549C" w:rsidRPr="002F1353">
        <w:t>35</w:t>
      </w:r>
      <w:r w:rsidR="002F1353" w:rsidRPr="002F1353">
        <w:t>0</w:t>
      </w:r>
      <w:r w:rsidR="00221BB6" w:rsidRPr="002F1353">
        <w:t>)</w:t>
      </w:r>
      <w:r w:rsidRPr="002F1353">
        <w:t>.</w:t>
      </w:r>
    </w:p>
    <w:p w:rsidR="00983640" w:rsidRPr="00D62B23" w:rsidRDefault="00983640" w:rsidP="00411857">
      <w:pPr>
        <w:pStyle w:val="Bezodstpw"/>
        <w:jc w:val="both"/>
        <w:rPr>
          <w:rFonts w:ascii="Times New Roman" w:hAnsi="Times New Roman" w:cs="Times New Roman"/>
          <w:sz w:val="16"/>
          <w:szCs w:val="16"/>
          <w:highlight w:val="yellow"/>
        </w:rPr>
      </w:pPr>
    </w:p>
    <w:p w:rsidR="003E584D" w:rsidRPr="00D62B23" w:rsidRDefault="003E584D" w:rsidP="00411857">
      <w:pPr>
        <w:pStyle w:val="Bezodstpw"/>
        <w:jc w:val="both"/>
        <w:rPr>
          <w:rFonts w:ascii="Times New Roman" w:hAnsi="Times New Roman" w:cs="Times New Roman"/>
          <w:sz w:val="16"/>
          <w:szCs w:val="16"/>
          <w:highlight w:val="yellow"/>
        </w:rPr>
      </w:pPr>
    </w:p>
    <w:p w:rsidR="000A2DBD" w:rsidRPr="002F1353" w:rsidRDefault="000A2DBD"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2" w:name="_Toc81396065"/>
      <w:r w:rsidRPr="002F135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w:t>
      </w:r>
      <w:r w:rsidR="00AE5712" w:rsidRPr="002F135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2F135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prawem do zasiłku</w:t>
      </w:r>
      <w:bookmarkEnd w:id="12"/>
    </w:p>
    <w:p w:rsidR="00983640" w:rsidRPr="00D62B23" w:rsidRDefault="00983640" w:rsidP="00411857">
      <w:pPr>
        <w:pStyle w:val="Bezodstpw"/>
        <w:jc w:val="both"/>
        <w:rPr>
          <w:rFonts w:ascii="Times New Roman" w:hAnsi="Times New Roman" w:cs="Times New Roman"/>
          <w:sz w:val="16"/>
          <w:szCs w:val="16"/>
          <w:highlight w:val="yellow"/>
        </w:rPr>
      </w:pPr>
    </w:p>
    <w:p w:rsidR="003E584D" w:rsidRPr="00D62B23" w:rsidRDefault="003E584D" w:rsidP="00411857">
      <w:pPr>
        <w:pStyle w:val="Bezodstpw"/>
        <w:jc w:val="both"/>
        <w:rPr>
          <w:rFonts w:ascii="Times New Roman" w:hAnsi="Times New Roman" w:cs="Times New Roman"/>
          <w:sz w:val="16"/>
          <w:szCs w:val="16"/>
          <w:highlight w:val="yellow"/>
        </w:rPr>
      </w:pPr>
    </w:p>
    <w:p w:rsidR="003B48E9" w:rsidRPr="00375C34" w:rsidRDefault="00587A87" w:rsidP="003A0772">
      <w:pPr>
        <w:pStyle w:val="Default"/>
        <w:spacing w:line="360" w:lineRule="auto"/>
        <w:ind w:firstLine="709"/>
        <w:jc w:val="both"/>
      </w:pPr>
      <w:r w:rsidRPr="00375C34">
        <w:t>W</w:t>
      </w:r>
      <w:r w:rsidR="00A65AF3" w:rsidRPr="00375C34">
        <w:t>śród ogółu bezrobotnych</w:t>
      </w:r>
      <w:r w:rsidR="00AE5712" w:rsidRPr="00375C34">
        <w:t xml:space="preserve"> w </w:t>
      </w:r>
      <w:r w:rsidR="000258C5" w:rsidRPr="00375C34">
        <w:t>województwie podkarpackim</w:t>
      </w:r>
      <w:r w:rsidR="00375C34" w:rsidRPr="00375C34">
        <w:t>,</w:t>
      </w:r>
      <w:r w:rsidR="000258C5" w:rsidRPr="00375C34">
        <w:t xml:space="preserve"> </w:t>
      </w:r>
      <w:r w:rsidR="00273E11" w:rsidRPr="00375C34">
        <w:t xml:space="preserve">prawo do </w:t>
      </w:r>
      <w:r w:rsidR="00A65AF3" w:rsidRPr="00375C34">
        <w:t xml:space="preserve">pobierania </w:t>
      </w:r>
      <w:r w:rsidR="00273E11" w:rsidRPr="00375C34">
        <w:t xml:space="preserve">zasiłku dla bezrobotnych </w:t>
      </w:r>
      <w:r w:rsidR="00BC6128" w:rsidRPr="00375C34">
        <w:t xml:space="preserve">na dzień </w:t>
      </w:r>
      <w:r w:rsidR="000258C5" w:rsidRPr="00375C34">
        <w:t>3</w:t>
      </w:r>
      <w:r w:rsidR="004A4E30" w:rsidRPr="00375C34">
        <w:t>0</w:t>
      </w:r>
      <w:r w:rsidR="006A3B2F" w:rsidRPr="00375C34">
        <w:t xml:space="preserve"> </w:t>
      </w:r>
      <w:r w:rsidR="004A4E30" w:rsidRPr="00375C34">
        <w:t>czerwca 20</w:t>
      </w:r>
      <w:r w:rsidR="00BC6128" w:rsidRPr="00375C34">
        <w:t>2</w:t>
      </w:r>
      <w:r w:rsidR="00375C34" w:rsidRPr="00375C34">
        <w:t>1</w:t>
      </w:r>
      <w:r w:rsidR="00AE5712" w:rsidRPr="00375C34">
        <w:t> r</w:t>
      </w:r>
      <w:r w:rsidR="00BC6128" w:rsidRPr="00375C34">
        <w:t>oku</w:t>
      </w:r>
      <w:r w:rsidR="000258C5" w:rsidRPr="00375C34">
        <w:t xml:space="preserve"> </w:t>
      </w:r>
      <w:r w:rsidR="00A65AF3" w:rsidRPr="00375C34">
        <w:t>posiadało</w:t>
      </w:r>
      <w:r w:rsidR="00273E11" w:rsidRPr="00375C34">
        <w:t xml:space="preserve"> </w:t>
      </w:r>
      <w:r w:rsidR="00E17ECC" w:rsidRPr="00375C34">
        <w:t>1</w:t>
      </w:r>
      <w:r w:rsidR="00375C34" w:rsidRPr="00375C34">
        <w:t>1</w:t>
      </w:r>
      <w:r w:rsidR="00E17ECC" w:rsidRPr="00375C34">
        <w:t xml:space="preserve"> </w:t>
      </w:r>
      <w:r w:rsidR="00375C34" w:rsidRPr="00375C34">
        <w:t>174</w:t>
      </w:r>
      <w:r w:rsidR="00273E11" w:rsidRPr="00375C34">
        <w:t>osób</w:t>
      </w:r>
      <w:r w:rsidR="00636188" w:rsidRPr="00375C34">
        <w:t>.</w:t>
      </w:r>
    </w:p>
    <w:p w:rsidR="007F50C7" w:rsidRPr="00375C34" w:rsidRDefault="007F50C7" w:rsidP="007F50C7">
      <w:pPr>
        <w:pStyle w:val="Default"/>
        <w:jc w:val="both"/>
        <w:rPr>
          <w:sz w:val="16"/>
          <w:szCs w:val="16"/>
        </w:rPr>
      </w:pPr>
    </w:p>
    <w:p w:rsidR="00DD4FBC" w:rsidRPr="00D62B23" w:rsidRDefault="00375C34" w:rsidP="007F50C7">
      <w:pPr>
        <w:pStyle w:val="Default"/>
        <w:spacing w:line="360" w:lineRule="auto"/>
        <w:jc w:val="both"/>
        <w:rPr>
          <w:sz w:val="16"/>
          <w:szCs w:val="16"/>
          <w:highlight w:val="yellow"/>
        </w:rPr>
      </w:pPr>
      <w:r w:rsidRPr="00375C34">
        <w:rPr>
          <w:noProof/>
          <w:lang w:eastAsia="pl-PL"/>
        </w:rPr>
        <w:drawing>
          <wp:inline distT="0" distB="0" distL="0" distR="0" wp14:anchorId="491360B7" wp14:editId="07722307">
            <wp:extent cx="5759354" cy="5616054"/>
            <wp:effectExtent l="0" t="0" r="0" b="3810"/>
            <wp:docPr id="693" name="Obraz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5616147"/>
                    </a:xfrm>
                    <a:prstGeom prst="rect">
                      <a:avLst/>
                    </a:prstGeom>
                    <a:noFill/>
                    <a:ln>
                      <a:noFill/>
                    </a:ln>
                  </pic:spPr>
                </pic:pic>
              </a:graphicData>
            </a:graphic>
          </wp:inline>
        </w:drawing>
      </w:r>
    </w:p>
    <w:p w:rsidR="000258C5" w:rsidRPr="00375C34" w:rsidRDefault="00636188"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375C34">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A2874" w:rsidRPr="00375C34" w:rsidRDefault="008A2874" w:rsidP="00452A1B">
      <w:pPr>
        <w:pStyle w:val="Tekstpodstawowywcity"/>
        <w:spacing w:after="0" w:line="240" w:lineRule="auto"/>
        <w:ind w:left="0"/>
        <w:jc w:val="both"/>
        <w:rPr>
          <w:rFonts w:ascii="Times New Roman" w:hAnsi="Times New Roman" w:cs="Times New Roman"/>
          <w:sz w:val="18"/>
          <w:szCs w:val="18"/>
        </w:rPr>
      </w:pPr>
      <w:r w:rsidRPr="00375C34">
        <w:rPr>
          <w:rFonts w:ascii="Times New Roman" w:hAnsi="Times New Roman" w:cs="Times New Roman"/>
          <w:sz w:val="18"/>
          <w:szCs w:val="18"/>
        </w:rPr>
        <w:t>(na podstawie danych</w:t>
      </w:r>
      <w:r w:rsidR="00AE5712" w:rsidRPr="00375C34">
        <w:rPr>
          <w:rFonts w:ascii="Times New Roman" w:hAnsi="Times New Roman" w:cs="Times New Roman"/>
          <w:sz w:val="18"/>
          <w:szCs w:val="18"/>
        </w:rPr>
        <w:t xml:space="preserve"> z </w:t>
      </w:r>
      <w:r w:rsidR="00452A1B" w:rsidRPr="00375C34">
        <w:rPr>
          <w:rFonts w:ascii="Times New Roman" w:hAnsi="Times New Roman" w:cs="Times New Roman"/>
          <w:sz w:val="18"/>
          <w:szCs w:val="18"/>
        </w:rPr>
        <w:t>t</w:t>
      </w:r>
      <w:r w:rsidRPr="00375C34">
        <w:rPr>
          <w:rFonts w:ascii="Times New Roman" w:hAnsi="Times New Roman" w:cs="Times New Roman"/>
          <w:sz w:val="18"/>
          <w:szCs w:val="18"/>
        </w:rPr>
        <w:t xml:space="preserve">abeli </w:t>
      </w:r>
      <w:r w:rsidR="00452A1B" w:rsidRPr="00375C34">
        <w:rPr>
          <w:rFonts w:ascii="Times New Roman" w:hAnsi="Times New Roman" w:cs="Times New Roman"/>
          <w:sz w:val="18"/>
          <w:szCs w:val="18"/>
        </w:rPr>
        <w:t>VIII</w:t>
      </w:r>
      <w:r w:rsidR="00636188" w:rsidRPr="00375C34">
        <w:rPr>
          <w:rFonts w:ascii="Times New Roman" w:hAnsi="Times New Roman" w:cs="Times New Roman"/>
          <w:sz w:val="18"/>
          <w:szCs w:val="18"/>
        </w:rPr>
        <w:t>)</w:t>
      </w:r>
    </w:p>
    <w:p w:rsidR="00DD4FBC" w:rsidRPr="00D62B23" w:rsidRDefault="00DD4FBC" w:rsidP="00AE4A73">
      <w:pPr>
        <w:pStyle w:val="Default"/>
        <w:jc w:val="both"/>
        <w:rPr>
          <w:sz w:val="16"/>
          <w:szCs w:val="16"/>
          <w:highlight w:val="yellow"/>
          <w:u w:val="single"/>
        </w:rPr>
      </w:pPr>
    </w:p>
    <w:p w:rsidR="000258C5" w:rsidRPr="00375C34" w:rsidRDefault="00636188" w:rsidP="00160DBC">
      <w:pPr>
        <w:pStyle w:val="Default"/>
        <w:numPr>
          <w:ilvl w:val="0"/>
          <w:numId w:val="1"/>
        </w:numPr>
        <w:spacing w:line="360" w:lineRule="auto"/>
        <w:jc w:val="both"/>
        <w:rPr>
          <w:u w:val="single"/>
        </w:rPr>
      </w:pPr>
      <w:r w:rsidRPr="00375C34">
        <w:t>W</w:t>
      </w:r>
      <w:r w:rsidR="000258C5" w:rsidRPr="00375C34">
        <w:t xml:space="preserve"> porównaniu do </w:t>
      </w:r>
      <w:r w:rsidR="00BC2477" w:rsidRPr="00375C34">
        <w:t xml:space="preserve">analogicznego stanu </w:t>
      </w:r>
      <w:r w:rsidR="00272CAA" w:rsidRPr="00375C34">
        <w:t xml:space="preserve">z roku ubiegłego </w:t>
      </w:r>
      <w:r w:rsidR="000258C5" w:rsidRPr="00375C34">
        <w:t>(</w:t>
      </w:r>
      <w:r w:rsidR="00375C34" w:rsidRPr="00375C34">
        <w:t>14</w:t>
      </w:r>
      <w:r w:rsidR="000258C5" w:rsidRPr="00375C34">
        <w:t> </w:t>
      </w:r>
      <w:r w:rsidR="00375C34" w:rsidRPr="00375C34">
        <w:t>791</w:t>
      </w:r>
      <w:r w:rsidR="000258C5" w:rsidRPr="00375C34">
        <w:t xml:space="preserve">) liczba zasiłkobiorców </w:t>
      </w:r>
      <w:r w:rsidR="00375C34" w:rsidRPr="00375C34">
        <w:t xml:space="preserve">spadła </w:t>
      </w:r>
      <w:r w:rsidR="00AE5712" w:rsidRPr="00375C34">
        <w:t>o </w:t>
      </w:r>
      <w:r w:rsidR="00272CAA" w:rsidRPr="00375C34">
        <w:t>3 </w:t>
      </w:r>
      <w:r w:rsidR="00375C34" w:rsidRPr="00375C34">
        <w:t>617</w:t>
      </w:r>
      <w:r w:rsidR="004E6AE1" w:rsidRPr="00375C34">
        <w:t> </w:t>
      </w:r>
      <w:r w:rsidR="000258C5" w:rsidRPr="00375C34">
        <w:t>os</w:t>
      </w:r>
      <w:r w:rsidR="00FE08D7" w:rsidRPr="00375C34">
        <w:t>ó</w:t>
      </w:r>
      <w:r w:rsidR="000258C5" w:rsidRPr="00375C34">
        <w:t>b</w:t>
      </w:r>
      <w:r w:rsidR="001278BA" w:rsidRPr="00375C34">
        <w:t xml:space="preserve"> (</w:t>
      </w:r>
      <w:r w:rsidR="00375C34" w:rsidRPr="00375C34">
        <w:t>24</w:t>
      </w:r>
      <w:r w:rsidR="00FE08D7" w:rsidRPr="00375C34">
        <w:t>,</w:t>
      </w:r>
      <w:r w:rsidR="00375C34" w:rsidRPr="00375C34">
        <w:t>5</w:t>
      </w:r>
      <w:r w:rsidR="008F2E68">
        <w:t xml:space="preserve"> proc.</w:t>
      </w:r>
      <w:r w:rsidR="001278BA" w:rsidRPr="00375C34">
        <w:t>)</w:t>
      </w:r>
      <w:r w:rsidRPr="00375C34">
        <w:t>.</w:t>
      </w:r>
    </w:p>
    <w:p w:rsidR="00272CAA" w:rsidRPr="00D62B23" w:rsidRDefault="00272CAA" w:rsidP="00272CAA">
      <w:pPr>
        <w:rPr>
          <w:highlight w:val="yellow"/>
        </w:rPr>
      </w:pPr>
    </w:p>
    <w:p w:rsidR="008A2874" w:rsidRPr="006A6FBA" w:rsidRDefault="003950BA"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3" w:name="_Toc81396066"/>
      <w:r w:rsidRPr="006A6FBA">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Bezrobotni w</w:t>
      </w:r>
      <w:r w:rsidR="002D64E5" w:rsidRPr="006A6FBA">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w:t>
      </w:r>
      <w:r w:rsidRPr="006A6FBA">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wieku</w:t>
      </w:r>
      <w:bookmarkEnd w:id="13"/>
    </w:p>
    <w:p w:rsidR="00272CAA" w:rsidRPr="00D62B23" w:rsidRDefault="00272CAA" w:rsidP="00AF5B75">
      <w:pPr>
        <w:pStyle w:val="Default"/>
        <w:rPr>
          <w:noProof/>
          <w:sz w:val="18"/>
          <w:szCs w:val="18"/>
          <w:highlight w:val="yellow"/>
          <w:lang w:eastAsia="pl-PL"/>
        </w:rPr>
      </w:pPr>
    </w:p>
    <w:p w:rsidR="00272CAA" w:rsidRPr="00D62B23" w:rsidRDefault="00272CAA" w:rsidP="00AF5B75">
      <w:pPr>
        <w:pStyle w:val="Default"/>
        <w:rPr>
          <w:noProof/>
          <w:sz w:val="18"/>
          <w:szCs w:val="18"/>
          <w:highlight w:val="yellow"/>
          <w:lang w:eastAsia="pl-PL"/>
        </w:rPr>
      </w:pPr>
    </w:p>
    <w:p w:rsidR="00272CAA" w:rsidRPr="00D62B23" w:rsidRDefault="00E53783" w:rsidP="00282C49">
      <w:pPr>
        <w:pStyle w:val="Default"/>
        <w:jc w:val="center"/>
        <w:rPr>
          <w:sz w:val="18"/>
          <w:szCs w:val="18"/>
          <w:highlight w:val="yellow"/>
        </w:rPr>
      </w:pPr>
      <w:r w:rsidRPr="00E53783">
        <w:rPr>
          <w:noProof/>
          <w:lang w:eastAsia="pl-PL"/>
        </w:rPr>
        <w:drawing>
          <wp:inline distT="0" distB="0" distL="0" distR="0" wp14:anchorId="40B66F27" wp14:editId="31D2FA12">
            <wp:extent cx="4954270" cy="3173095"/>
            <wp:effectExtent l="0" t="0" r="0" b="8255"/>
            <wp:docPr id="696" name="Obraz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954270" cy="3173095"/>
                    </a:xfrm>
                    <a:prstGeom prst="rect">
                      <a:avLst/>
                    </a:prstGeom>
                    <a:noFill/>
                    <a:ln>
                      <a:noFill/>
                    </a:ln>
                  </pic:spPr>
                </pic:pic>
              </a:graphicData>
            </a:graphic>
          </wp:inline>
        </w:drawing>
      </w:r>
    </w:p>
    <w:p w:rsidR="00272CAA" w:rsidRPr="00D62B23" w:rsidRDefault="00272CAA" w:rsidP="00AF5B75">
      <w:pPr>
        <w:pStyle w:val="Default"/>
        <w:rPr>
          <w:sz w:val="18"/>
          <w:szCs w:val="18"/>
          <w:highlight w:val="yellow"/>
        </w:rPr>
      </w:pPr>
    </w:p>
    <w:p w:rsidR="008A2874" w:rsidRPr="004E7772" w:rsidRDefault="00637246" w:rsidP="003C34E3">
      <w:pPr>
        <w:pStyle w:val="Default"/>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E7772">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A2874" w:rsidRPr="004E7772" w:rsidRDefault="008A2874" w:rsidP="008A2874">
      <w:pPr>
        <w:pStyle w:val="Tekstpodstawowywcity"/>
        <w:spacing w:after="0" w:line="360" w:lineRule="auto"/>
        <w:ind w:left="0"/>
        <w:jc w:val="both"/>
        <w:rPr>
          <w:rFonts w:ascii="Times New Roman" w:hAnsi="Times New Roman" w:cs="Times New Roman"/>
          <w:szCs w:val="24"/>
        </w:rPr>
      </w:pPr>
      <w:r w:rsidRPr="004E7772">
        <w:rPr>
          <w:rFonts w:ascii="Times New Roman" w:hAnsi="Times New Roman" w:cs="Times New Roman"/>
          <w:szCs w:val="24"/>
        </w:rPr>
        <w:t>(na podstawie danych</w:t>
      </w:r>
      <w:r w:rsidR="00AE5712" w:rsidRPr="004E7772">
        <w:rPr>
          <w:rFonts w:ascii="Times New Roman" w:hAnsi="Times New Roman" w:cs="Times New Roman"/>
          <w:szCs w:val="24"/>
        </w:rPr>
        <w:t xml:space="preserve"> z </w:t>
      </w:r>
      <w:r w:rsidRPr="004E7772">
        <w:rPr>
          <w:rFonts w:ascii="Times New Roman" w:hAnsi="Times New Roman" w:cs="Times New Roman"/>
          <w:szCs w:val="24"/>
        </w:rPr>
        <w:t xml:space="preserve">Tabeli </w:t>
      </w:r>
      <w:r w:rsidR="00FE08D7" w:rsidRPr="004E7772">
        <w:rPr>
          <w:rFonts w:ascii="Times New Roman" w:hAnsi="Times New Roman" w:cs="Times New Roman"/>
          <w:szCs w:val="24"/>
        </w:rPr>
        <w:t>IX</w:t>
      </w:r>
      <w:r w:rsidR="004E7772">
        <w:rPr>
          <w:rFonts w:ascii="Times New Roman" w:hAnsi="Times New Roman" w:cs="Times New Roman"/>
          <w:szCs w:val="24"/>
        </w:rPr>
        <w:t>)</w:t>
      </w:r>
    </w:p>
    <w:p w:rsidR="007F50C7" w:rsidRPr="00D62B23" w:rsidRDefault="007F50C7" w:rsidP="009348E6">
      <w:pPr>
        <w:pStyle w:val="Tekstpodstawowywcity"/>
        <w:spacing w:after="0" w:line="240" w:lineRule="auto"/>
        <w:ind w:left="0"/>
        <w:jc w:val="both"/>
        <w:rPr>
          <w:rFonts w:ascii="Times New Roman" w:hAnsi="Times New Roman" w:cs="Times New Roman"/>
          <w:sz w:val="16"/>
          <w:szCs w:val="16"/>
          <w:highlight w:val="yellow"/>
        </w:rPr>
      </w:pPr>
    </w:p>
    <w:p w:rsidR="001B2026" w:rsidRPr="004E7772" w:rsidRDefault="00637246" w:rsidP="00160DBC">
      <w:pPr>
        <w:pStyle w:val="Tekstpodstawowywcity"/>
        <w:numPr>
          <w:ilvl w:val="0"/>
          <w:numId w:val="4"/>
        </w:numPr>
        <w:spacing w:after="0" w:line="360" w:lineRule="auto"/>
        <w:jc w:val="both"/>
        <w:rPr>
          <w:rFonts w:ascii="Times New Roman" w:hAnsi="Times New Roman" w:cs="Times New Roman"/>
          <w:sz w:val="24"/>
          <w:szCs w:val="24"/>
        </w:rPr>
      </w:pPr>
      <w:r w:rsidRPr="004E7772">
        <w:rPr>
          <w:rFonts w:ascii="Times New Roman" w:hAnsi="Times New Roman" w:cs="Times New Roman"/>
          <w:sz w:val="24"/>
          <w:szCs w:val="24"/>
        </w:rPr>
        <w:t>N</w:t>
      </w:r>
      <w:r w:rsidR="008A2874" w:rsidRPr="004E7772">
        <w:rPr>
          <w:rFonts w:ascii="Times New Roman" w:hAnsi="Times New Roman" w:cs="Times New Roman"/>
          <w:sz w:val="24"/>
          <w:szCs w:val="24"/>
        </w:rPr>
        <w:t>ajliczniejsz</w:t>
      </w:r>
      <w:r w:rsidR="00B552A4" w:rsidRPr="004E7772">
        <w:rPr>
          <w:rFonts w:ascii="Times New Roman" w:hAnsi="Times New Roman" w:cs="Times New Roman"/>
          <w:sz w:val="24"/>
          <w:szCs w:val="24"/>
        </w:rPr>
        <w:t>y przedział wiek</w:t>
      </w:r>
      <w:r w:rsidR="00E613E0" w:rsidRPr="004E7772">
        <w:rPr>
          <w:rFonts w:ascii="Times New Roman" w:hAnsi="Times New Roman" w:cs="Times New Roman"/>
          <w:sz w:val="24"/>
          <w:szCs w:val="24"/>
        </w:rPr>
        <w:t>u</w:t>
      </w:r>
      <w:r w:rsidR="00B552A4" w:rsidRPr="004E7772">
        <w:rPr>
          <w:rFonts w:ascii="Times New Roman" w:hAnsi="Times New Roman" w:cs="Times New Roman"/>
          <w:sz w:val="24"/>
          <w:szCs w:val="24"/>
        </w:rPr>
        <w:t xml:space="preserve"> </w:t>
      </w:r>
      <w:r w:rsidR="008A2874" w:rsidRPr="004E7772">
        <w:rPr>
          <w:rFonts w:ascii="Times New Roman" w:hAnsi="Times New Roman" w:cs="Times New Roman"/>
          <w:sz w:val="24"/>
          <w:szCs w:val="24"/>
        </w:rPr>
        <w:t xml:space="preserve">bezrobotnych </w:t>
      </w:r>
      <w:r w:rsidR="00B552A4" w:rsidRPr="004E7772">
        <w:rPr>
          <w:rFonts w:ascii="Times New Roman" w:hAnsi="Times New Roman" w:cs="Times New Roman"/>
          <w:sz w:val="24"/>
          <w:szCs w:val="24"/>
        </w:rPr>
        <w:t>to</w:t>
      </w:r>
      <w:r w:rsidR="008A2874" w:rsidRPr="004E7772">
        <w:rPr>
          <w:rFonts w:ascii="Times New Roman" w:hAnsi="Times New Roman" w:cs="Times New Roman"/>
          <w:sz w:val="24"/>
          <w:szCs w:val="24"/>
        </w:rPr>
        <w:t xml:space="preserve"> </w:t>
      </w:r>
      <w:r w:rsidR="00E613E0" w:rsidRPr="004E7772">
        <w:rPr>
          <w:rFonts w:ascii="Times New Roman" w:hAnsi="Times New Roman" w:cs="Times New Roman"/>
          <w:sz w:val="24"/>
          <w:szCs w:val="24"/>
        </w:rPr>
        <w:t xml:space="preserve">osoby posiadające </w:t>
      </w:r>
      <w:r w:rsidR="008A2874" w:rsidRPr="004E7772">
        <w:rPr>
          <w:rFonts w:ascii="Times New Roman" w:hAnsi="Times New Roman" w:cs="Times New Roman"/>
          <w:sz w:val="24"/>
          <w:szCs w:val="24"/>
        </w:rPr>
        <w:t xml:space="preserve">od 25 do 34 lat </w:t>
      </w:r>
      <w:r w:rsidR="001B2026" w:rsidRPr="004E7772">
        <w:rPr>
          <w:rFonts w:ascii="Times New Roman" w:hAnsi="Times New Roman" w:cs="Times New Roman"/>
          <w:sz w:val="24"/>
          <w:szCs w:val="24"/>
        </w:rPr>
        <w:t>(</w:t>
      </w:r>
      <w:r w:rsidR="004E7772" w:rsidRPr="004E7772">
        <w:rPr>
          <w:rFonts w:ascii="Times New Roman" w:hAnsi="Times New Roman" w:cs="Times New Roman"/>
          <w:sz w:val="24"/>
          <w:szCs w:val="24"/>
        </w:rPr>
        <w:t>29</w:t>
      </w:r>
      <w:r w:rsidR="008A2874" w:rsidRPr="004E7772">
        <w:rPr>
          <w:rFonts w:ascii="Times New Roman" w:hAnsi="Times New Roman" w:cs="Times New Roman"/>
          <w:sz w:val="24"/>
          <w:szCs w:val="24"/>
        </w:rPr>
        <w:t>,</w:t>
      </w:r>
      <w:r w:rsidR="004E7772" w:rsidRPr="004E7772">
        <w:rPr>
          <w:rFonts w:ascii="Times New Roman" w:hAnsi="Times New Roman" w:cs="Times New Roman"/>
          <w:sz w:val="24"/>
          <w:szCs w:val="24"/>
        </w:rPr>
        <w:t>3</w:t>
      </w:r>
      <w:r w:rsidR="00D07D63" w:rsidRPr="004E7772">
        <w:rPr>
          <w:rFonts w:ascii="Times New Roman" w:hAnsi="Times New Roman" w:cs="Times New Roman"/>
          <w:sz w:val="24"/>
          <w:szCs w:val="24"/>
        </w:rPr>
        <w:t> </w:t>
      </w:r>
      <w:r w:rsidR="008F2E68">
        <w:rPr>
          <w:rFonts w:ascii="Times New Roman" w:hAnsi="Times New Roman" w:cs="Times New Roman"/>
          <w:sz w:val="24"/>
          <w:szCs w:val="24"/>
        </w:rPr>
        <w:t>proc.</w:t>
      </w:r>
      <w:r w:rsidR="001B2026" w:rsidRPr="004E7772">
        <w:rPr>
          <w:rFonts w:ascii="Times New Roman" w:hAnsi="Times New Roman" w:cs="Times New Roman"/>
          <w:sz w:val="24"/>
          <w:szCs w:val="24"/>
        </w:rPr>
        <w:t>)</w:t>
      </w:r>
      <w:r w:rsidR="00B552A4" w:rsidRPr="004E7772">
        <w:rPr>
          <w:rFonts w:ascii="Times New Roman" w:hAnsi="Times New Roman" w:cs="Times New Roman"/>
          <w:sz w:val="24"/>
          <w:szCs w:val="24"/>
        </w:rPr>
        <w:t>.</w:t>
      </w:r>
      <w:r w:rsidR="001B2026" w:rsidRPr="004E7772">
        <w:rPr>
          <w:rFonts w:ascii="Times New Roman" w:hAnsi="Times New Roman" w:cs="Times New Roman"/>
          <w:sz w:val="24"/>
          <w:szCs w:val="24"/>
        </w:rPr>
        <w:t xml:space="preserve"> </w:t>
      </w:r>
      <w:r w:rsidR="00B552A4" w:rsidRPr="004E7772">
        <w:rPr>
          <w:rFonts w:ascii="Times New Roman" w:hAnsi="Times New Roman" w:cs="Times New Roman"/>
          <w:sz w:val="24"/>
          <w:szCs w:val="24"/>
        </w:rPr>
        <w:t>W</w:t>
      </w:r>
      <w:r w:rsidR="00AE5712" w:rsidRPr="004E7772">
        <w:rPr>
          <w:rFonts w:ascii="Times New Roman" w:hAnsi="Times New Roman" w:cs="Times New Roman"/>
          <w:sz w:val="24"/>
          <w:szCs w:val="24"/>
        </w:rPr>
        <w:t> </w:t>
      </w:r>
      <w:r w:rsidR="001B2026" w:rsidRPr="004E7772">
        <w:rPr>
          <w:rFonts w:ascii="Times New Roman" w:hAnsi="Times New Roman" w:cs="Times New Roman"/>
          <w:sz w:val="24"/>
          <w:szCs w:val="24"/>
        </w:rPr>
        <w:t>połączeniu</w:t>
      </w:r>
      <w:r w:rsidR="00AE5712" w:rsidRPr="004E7772">
        <w:rPr>
          <w:rFonts w:ascii="Times New Roman" w:hAnsi="Times New Roman" w:cs="Times New Roman"/>
          <w:sz w:val="24"/>
          <w:szCs w:val="24"/>
        </w:rPr>
        <w:t xml:space="preserve"> z </w:t>
      </w:r>
      <w:r w:rsidR="001B2026" w:rsidRPr="004E7772">
        <w:rPr>
          <w:rFonts w:ascii="Times New Roman" w:hAnsi="Times New Roman" w:cs="Times New Roman"/>
          <w:sz w:val="24"/>
          <w:szCs w:val="24"/>
        </w:rPr>
        <w:t xml:space="preserve">grupą od 18 do 24 </w:t>
      </w:r>
      <w:r w:rsidR="00B552A4" w:rsidRPr="004E7772">
        <w:rPr>
          <w:rFonts w:ascii="Times New Roman" w:hAnsi="Times New Roman" w:cs="Times New Roman"/>
          <w:sz w:val="24"/>
          <w:szCs w:val="24"/>
        </w:rPr>
        <w:t xml:space="preserve">lat </w:t>
      </w:r>
      <w:r w:rsidR="00272CAA" w:rsidRPr="004E7772">
        <w:rPr>
          <w:rFonts w:ascii="Times New Roman" w:hAnsi="Times New Roman" w:cs="Times New Roman"/>
          <w:sz w:val="24"/>
          <w:szCs w:val="24"/>
        </w:rPr>
        <w:t>(</w:t>
      </w:r>
      <w:r w:rsidR="004E7772" w:rsidRPr="004E7772">
        <w:rPr>
          <w:rFonts w:ascii="Times New Roman" w:hAnsi="Times New Roman" w:cs="Times New Roman"/>
          <w:sz w:val="24"/>
          <w:szCs w:val="24"/>
        </w:rPr>
        <w:t>12</w:t>
      </w:r>
      <w:r w:rsidR="001B2026" w:rsidRPr="004E7772">
        <w:rPr>
          <w:rFonts w:ascii="Times New Roman" w:hAnsi="Times New Roman" w:cs="Times New Roman"/>
          <w:sz w:val="24"/>
          <w:szCs w:val="24"/>
        </w:rPr>
        <w:t>,</w:t>
      </w:r>
      <w:r w:rsidR="004E7772" w:rsidRPr="004E7772">
        <w:rPr>
          <w:rFonts w:ascii="Times New Roman" w:hAnsi="Times New Roman" w:cs="Times New Roman"/>
          <w:sz w:val="24"/>
          <w:szCs w:val="24"/>
        </w:rPr>
        <w:t>4</w:t>
      </w:r>
      <w:r w:rsidR="008F2E68">
        <w:rPr>
          <w:rFonts w:ascii="Times New Roman" w:hAnsi="Times New Roman" w:cs="Times New Roman"/>
          <w:sz w:val="24"/>
          <w:szCs w:val="24"/>
        </w:rPr>
        <w:t xml:space="preserve"> proc.</w:t>
      </w:r>
      <w:r w:rsidR="00272CAA" w:rsidRPr="004E7772">
        <w:rPr>
          <w:rFonts w:ascii="Times New Roman" w:hAnsi="Times New Roman" w:cs="Times New Roman"/>
          <w:sz w:val="24"/>
          <w:szCs w:val="24"/>
        </w:rPr>
        <w:t>),</w:t>
      </w:r>
      <w:r w:rsidR="00B552A4" w:rsidRPr="004E7772">
        <w:rPr>
          <w:rFonts w:ascii="Times New Roman" w:hAnsi="Times New Roman" w:cs="Times New Roman"/>
          <w:sz w:val="24"/>
          <w:szCs w:val="24"/>
        </w:rPr>
        <w:t xml:space="preserve"> </w:t>
      </w:r>
      <w:r w:rsidR="0050613D">
        <w:rPr>
          <w:rFonts w:ascii="Times New Roman" w:hAnsi="Times New Roman" w:cs="Times New Roman"/>
          <w:sz w:val="24"/>
          <w:szCs w:val="24"/>
        </w:rPr>
        <w:t>osoby te stanowiły</w:t>
      </w:r>
      <w:r w:rsidR="001B2026" w:rsidRPr="004E7772">
        <w:rPr>
          <w:rFonts w:ascii="Times New Roman" w:hAnsi="Times New Roman" w:cs="Times New Roman"/>
          <w:sz w:val="24"/>
          <w:szCs w:val="24"/>
        </w:rPr>
        <w:t xml:space="preserve"> </w:t>
      </w:r>
      <w:r w:rsidR="00BD4304" w:rsidRPr="004E7772">
        <w:rPr>
          <w:rFonts w:ascii="Times New Roman" w:hAnsi="Times New Roman" w:cs="Times New Roman"/>
          <w:sz w:val="24"/>
          <w:szCs w:val="24"/>
        </w:rPr>
        <w:t>4</w:t>
      </w:r>
      <w:r w:rsidR="004E7772" w:rsidRPr="004E7772">
        <w:rPr>
          <w:rFonts w:ascii="Times New Roman" w:hAnsi="Times New Roman" w:cs="Times New Roman"/>
          <w:sz w:val="24"/>
          <w:szCs w:val="24"/>
        </w:rPr>
        <w:t>1</w:t>
      </w:r>
      <w:r w:rsidR="001B2026" w:rsidRPr="004E7772">
        <w:rPr>
          <w:rFonts w:ascii="Times New Roman" w:hAnsi="Times New Roman" w:cs="Times New Roman"/>
          <w:sz w:val="24"/>
          <w:szCs w:val="24"/>
        </w:rPr>
        <w:t>,</w:t>
      </w:r>
      <w:r w:rsidR="004E7772" w:rsidRPr="004E7772">
        <w:rPr>
          <w:rFonts w:ascii="Times New Roman" w:hAnsi="Times New Roman" w:cs="Times New Roman"/>
          <w:sz w:val="24"/>
          <w:szCs w:val="24"/>
        </w:rPr>
        <w:t>7</w:t>
      </w:r>
      <w:r w:rsidR="008F2E68">
        <w:rPr>
          <w:rFonts w:ascii="Times New Roman" w:hAnsi="Times New Roman" w:cs="Times New Roman"/>
          <w:sz w:val="24"/>
          <w:szCs w:val="24"/>
        </w:rPr>
        <w:t xml:space="preserve"> proc.</w:t>
      </w:r>
      <w:r w:rsidR="001B2026" w:rsidRPr="004E7772">
        <w:rPr>
          <w:rFonts w:ascii="Times New Roman" w:hAnsi="Times New Roman" w:cs="Times New Roman"/>
          <w:sz w:val="24"/>
          <w:szCs w:val="24"/>
        </w:rPr>
        <w:t xml:space="preserve"> </w:t>
      </w:r>
      <w:r w:rsidR="00B552A4" w:rsidRPr="004E7772">
        <w:rPr>
          <w:rFonts w:ascii="Times New Roman" w:hAnsi="Times New Roman" w:cs="Times New Roman"/>
          <w:sz w:val="24"/>
          <w:szCs w:val="24"/>
        </w:rPr>
        <w:t>bezrobotnych</w:t>
      </w:r>
      <w:r w:rsidR="002D5192" w:rsidRPr="004E7772">
        <w:rPr>
          <w:rFonts w:ascii="Times New Roman" w:hAnsi="Times New Roman" w:cs="Times New Roman"/>
          <w:sz w:val="24"/>
          <w:szCs w:val="24"/>
        </w:rPr>
        <w:t xml:space="preserve"> tj. </w:t>
      </w:r>
      <w:r w:rsidR="003D430B" w:rsidRPr="004E7772">
        <w:rPr>
          <w:rFonts w:ascii="Times New Roman" w:hAnsi="Times New Roman" w:cs="Times New Roman"/>
          <w:sz w:val="24"/>
          <w:szCs w:val="24"/>
        </w:rPr>
        <w:t xml:space="preserve">mniej niż </w:t>
      </w:r>
      <w:r w:rsidR="001E74C4" w:rsidRPr="004E7772">
        <w:rPr>
          <w:rFonts w:ascii="Times New Roman" w:hAnsi="Times New Roman" w:cs="Times New Roman"/>
          <w:sz w:val="24"/>
          <w:szCs w:val="24"/>
        </w:rPr>
        <w:t xml:space="preserve">połowa </w:t>
      </w:r>
      <w:r w:rsidR="006C3BA3" w:rsidRPr="004E7772">
        <w:rPr>
          <w:rFonts w:ascii="Times New Roman" w:hAnsi="Times New Roman" w:cs="Times New Roman"/>
          <w:sz w:val="24"/>
          <w:szCs w:val="24"/>
        </w:rPr>
        <w:t xml:space="preserve">ogółu </w:t>
      </w:r>
      <w:r w:rsidR="0050613D">
        <w:rPr>
          <w:rFonts w:ascii="Times New Roman" w:hAnsi="Times New Roman" w:cs="Times New Roman"/>
          <w:sz w:val="24"/>
          <w:szCs w:val="24"/>
        </w:rPr>
        <w:t xml:space="preserve">zarejestrowanych </w:t>
      </w:r>
      <w:r w:rsidR="004E7772" w:rsidRPr="004E7772">
        <w:rPr>
          <w:rFonts w:ascii="Times New Roman" w:hAnsi="Times New Roman" w:cs="Times New Roman"/>
          <w:sz w:val="24"/>
          <w:szCs w:val="24"/>
        </w:rPr>
        <w:t>(tendencja spadkowa)</w:t>
      </w:r>
      <w:r w:rsidRPr="004E7772">
        <w:rPr>
          <w:rFonts w:ascii="Times New Roman" w:hAnsi="Times New Roman" w:cs="Times New Roman"/>
          <w:sz w:val="24"/>
          <w:szCs w:val="24"/>
        </w:rPr>
        <w:t>.</w:t>
      </w:r>
    </w:p>
    <w:p w:rsidR="002D64E5" w:rsidRDefault="002D64E5" w:rsidP="00411857">
      <w:pPr>
        <w:pStyle w:val="Default"/>
        <w:jc w:val="both"/>
        <w:outlineLvl w:val="1"/>
        <w:rPr>
          <w:b/>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E7772" w:rsidRPr="00D62B23" w:rsidRDefault="004E7772" w:rsidP="00411857">
      <w:pPr>
        <w:pStyle w:val="Default"/>
        <w:jc w:val="both"/>
        <w:outlineLvl w:val="1"/>
        <w:rPr>
          <w:b/>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B2026" w:rsidRPr="004E7772" w:rsidRDefault="001B2026" w:rsidP="00411857">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4" w:name="_Toc81396067"/>
      <w:r w:rsidRPr="004E777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wg </w:t>
      </w:r>
      <w:r w:rsidR="002D64E5" w:rsidRPr="004E777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poziomu w</w:t>
      </w:r>
      <w:r w:rsidRPr="004E777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ykształcenia</w:t>
      </w:r>
      <w:bookmarkEnd w:id="14"/>
    </w:p>
    <w:p w:rsidR="001B2026" w:rsidRPr="00D62B23" w:rsidRDefault="004E7772" w:rsidP="00282C49">
      <w:pPr>
        <w:pStyle w:val="Default"/>
        <w:jc w:val="center"/>
        <w:rPr>
          <w:highlight w:val="yellow"/>
        </w:rPr>
      </w:pPr>
      <w:r w:rsidRPr="004E7772">
        <w:rPr>
          <w:noProof/>
          <w:lang w:eastAsia="pl-PL"/>
        </w:rPr>
        <w:drawing>
          <wp:inline distT="0" distB="0" distL="0" distR="0" wp14:anchorId="05D04249" wp14:editId="218B9169">
            <wp:extent cx="4954138" cy="2995684"/>
            <wp:effectExtent l="0" t="0" r="0" b="0"/>
            <wp:docPr id="697" name="Obraz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54270" cy="2995764"/>
                    </a:xfrm>
                    <a:prstGeom prst="rect">
                      <a:avLst/>
                    </a:prstGeom>
                    <a:noFill/>
                    <a:ln>
                      <a:noFill/>
                    </a:ln>
                  </pic:spPr>
                </pic:pic>
              </a:graphicData>
            </a:graphic>
          </wp:inline>
        </w:drawing>
      </w:r>
    </w:p>
    <w:p w:rsidR="00046F19" w:rsidRPr="004E7772" w:rsidRDefault="00637246"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4E7772">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046F19" w:rsidRPr="004E7772" w:rsidRDefault="00046F19" w:rsidP="00046F19">
      <w:pPr>
        <w:pStyle w:val="Tekstpodstawowywcity"/>
        <w:spacing w:after="0" w:line="360" w:lineRule="auto"/>
        <w:ind w:left="0"/>
        <w:jc w:val="both"/>
        <w:rPr>
          <w:rFonts w:ascii="Times New Roman" w:hAnsi="Times New Roman" w:cs="Times New Roman"/>
          <w:szCs w:val="24"/>
        </w:rPr>
      </w:pPr>
      <w:r w:rsidRPr="004E7772">
        <w:rPr>
          <w:rFonts w:ascii="Times New Roman" w:hAnsi="Times New Roman" w:cs="Times New Roman"/>
          <w:szCs w:val="24"/>
        </w:rPr>
        <w:t>(na podstawie danych</w:t>
      </w:r>
      <w:r w:rsidR="00AE5712" w:rsidRPr="004E7772">
        <w:rPr>
          <w:rFonts w:ascii="Times New Roman" w:hAnsi="Times New Roman" w:cs="Times New Roman"/>
          <w:szCs w:val="24"/>
        </w:rPr>
        <w:t xml:space="preserve"> z </w:t>
      </w:r>
      <w:r w:rsidR="00FE08D7" w:rsidRPr="004E7772">
        <w:rPr>
          <w:rFonts w:ascii="Times New Roman" w:hAnsi="Times New Roman" w:cs="Times New Roman"/>
          <w:szCs w:val="24"/>
        </w:rPr>
        <w:t>t</w:t>
      </w:r>
      <w:r w:rsidRPr="004E7772">
        <w:rPr>
          <w:rFonts w:ascii="Times New Roman" w:hAnsi="Times New Roman" w:cs="Times New Roman"/>
          <w:szCs w:val="24"/>
        </w:rPr>
        <w:t xml:space="preserve">abeli </w:t>
      </w:r>
      <w:r w:rsidR="00FE08D7" w:rsidRPr="004E7772">
        <w:rPr>
          <w:rFonts w:ascii="Times New Roman" w:hAnsi="Times New Roman" w:cs="Times New Roman"/>
          <w:szCs w:val="24"/>
        </w:rPr>
        <w:t>X</w:t>
      </w:r>
      <w:r w:rsidRPr="004E7772">
        <w:rPr>
          <w:rFonts w:ascii="Times New Roman" w:hAnsi="Times New Roman" w:cs="Times New Roman"/>
          <w:szCs w:val="24"/>
        </w:rPr>
        <w:t>)</w:t>
      </w:r>
    </w:p>
    <w:p w:rsidR="00983640" w:rsidRPr="00D62B23" w:rsidRDefault="00983640" w:rsidP="00983640">
      <w:pPr>
        <w:pStyle w:val="Default"/>
        <w:rPr>
          <w:sz w:val="16"/>
          <w:szCs w:val="16"/>
          <w:highlight w:val="yellow"/>
        </w:rPr>
      </w:pPr>
    </w:p>
    <w:p w:rsidR="00252290" w:rsidRPr="004E7772" w:rsidRDefault="00183AB1" w:rsidP="00160DBC">
      <w:pPr>
        <w:pStyle w:val="Default"/>
        <w:numPr>
          <w:ilvl w:val="0"/>
          <w:numId w:val="5"/>
        </w:numPr>
        <w:spacing w:line="360" w:lineRule="auto"/>
        <w:jc w:val="both"/>
      </w:pPr>
      <w:r w:rsidRPr="004E7772">
        <w:t>N</w:t>
      </w:r>
      <w:r w:rsidR="001B2026" w:rsidRPr="004E7772">
        <w:t xml:space="preserve">ajliczniejszy udział </w:t>
      </w:r>
      <w:r w:rsidR="00046F19" w:rsidRPr="004E7772">
        <w:t xml:space="preserve">wśród osób bezrobotnych </w:t>
      </w:r>
      <w:r w:rsidR="001B2026" w:rsidRPr="004E7772">
        <w:t>stanowiły osoby posiadające wykształcenie zasadnicze zawodowe (2</w:t>
      </w:r>
      <w:r w:rsidR="008C7FDE" w:rsidRPr="004E7772">
        <w:t>6</w:t>
      </w:r>
      <w:r w:rsidR="001B2026" w:rsidRPr="004E7772">
        <w:t>,</w:t>
      </w:r>
      <w:r w:rsidR="004E7772" w:rsidRPr="004E7772">
        <w:t>7</w:t>
      </w:r>
      <w:r w:rsidR="008F2E68">
        <w:t xml:space="preserve"> proc.</w:t>
      </w:r>
      <w:r w:rsidR="001B2026" w:rsidRPr="004E7772">
        <w:t>)</w:t>
      </w:r>
      <w:r w:rsidRPr="004E7772">
        <w:t>,</w:t>
      </w:r>
      <w:r w:rsidR="001B2026" w:rsidRPr="004E7772">
        <w:t xml:space="preserve"> policealne</w:t>
      </w:r>
      <w:r w:rsidR="00AE5712" w:rsidRPr="004E7772">
        <w:t xml:space="preserve"> i </w:t>
      </w:r>
      <w:r w:rsidR="001B2026" w:rsidRPr="004E7772">
        <w:t>średnie zawodowe (2</w:t>
      </w:r>
      <w:r w:rsidR="00053B34" w:rsidRPr="004E7772">
        <w:t>6</w:t>
      </w:r>
      <w:r w:rsidR="001B2026" w:rsidRPr="004E7772">
        <w:t>,</w:t>
      </w:r>
      <w:r w:rsidR="004E7772" w:rsidRPr="004E7772">
        <w:t>5</w:t>
      </w:r>
      <w:r w:rsidR="008F2E68">
        <w:t> proc.</w:t>
      </w:r>
      <w:r w:rsidR="001B2026" w:rsidRPr="004E7772">
        <w:t>)</w:t>
      </w:r>
      <w:r w:rsidRPr="004E7772">
        <w:t xml:space="preserve"> oraz gimnazjalne</w:t>
      </w:r>
      <w:r w:rsidR="00AE5712" w:rsidRPr="004E7772">
        <w:t xml:space="preserve"> i </w:t>
      </w:r>
      <w:r w:rsidRPr="004E7772">
        <w:t>niższe (</w:t>
      </w:r>
      <w:r w:rsidR="00021948" w:rsidRPr="004E7772">
        <w:t>1</w:t>
      </w:r>
      <w:r w:rsidR="008C7FDE" w:rsidRPr="004E7772">
        <w:t>8</w:t>
      </w:r>
      <w:r w:rsidRPr="004E7772">
        <w:t>,</w:t>
      </w:r>
      <w:r w:rsidR="004E7772" w:rsidRPr="004E7772">
        <w:t>8</w:t>
      </w:r>
      <w:r w:rsidR="008F2E68">
        <w:t xml:space="preserve"> proc.</w:t>
      </w:r>
      <w:r w:rsidRPr="004E7772">
        <w:t>)</w:t>
      </w:r>
      <w:r w:rsidR="00021948" w:rsidRPr="004E7772">
        <w:t>.</w:t>
      </w:r>
      <w:r w:rsidRPr="004E7772">
        <w:t xml:space="preserve"> </w:t>
      </w:r>
      <w:r w:rsidR="00021948" w:rsidRPr="004E7772">
        <w:t>S</w:t>
      </w:r>
      <w:r w:rsidRPr="004E7772">
        <w:t xml:space="preserve">zacuje się, że </w:t>
      </w:r>
      <w:r w:rsidR="00AE5712" w:rsidRPr="004E7772">
        <w:t>w </w:t>
      </w:r>
      <w:r w:rsidRPr="004E7772">
        <w:t>tych trzech wskazanych grupach duży odsetek stanowią osoby pracujące</w:t>
      </w:r>
      <w:r w:rsidR="00AE5712" w:rsidRPr="004E7772">
        <w:t xml:space="preserve"> w </w:t>
      </w:r>
      <w:r w:rsidRPr="004E7772">
        <w:t>„szarej strefie”.</w:t>
      </w:r>
    </w:p>
    <w:p w:rsidR="00F37BA4" w:rsidRPr="004E7772" w:rsidRDefault="001B7AFA" w:rsidP="00160DBC">
      <w:pPr>
        <w:pStyle w:val="Default"/>
        <w:numPr>
          <w:ilvl w:val="0"/>
          <w:numId w:val="5"/>
        </w:numPr>
        <w:spacing w:line="360" w:lineRule="auto"/>
        <w:jc w:val="both"/>
        <w:rPr>
          <w:lang w:eastAsia="pl-PL"/>
        </w:rPr>
      </w:pPr>
      <w:r w:rsidRPr="004E7772">
        <w:t>N</w:t>
      </w:r>
      <w:r w:rsidR="00591D4B" w:rsidRPr="004E7772">
        <w:t>ajmniejszy udział odnotowuje się</w:t>
      </w:r>
      <w:r w:rsidR="00AE5712" w:rsidRPr="004E7772">
        <w:t xml:space="preserve"> w </w:t>
      </w:r>
      <w:r w:rsidR="00591D4B" w:rsidRPr="004E7772">
        <w:t>grupie osób</w:t>
      </w:r>
      <w:r w:rsidR="00EC1553" w:rsidRPr="004E7772">
        <w:t xml:space="preserve"> </w:t>
      </w:r>
      <w:r w:rsidR="00AE5712" w:rsidRPr="004E7772">
        <w:t>z</w:t>
      </w:r>
      <w:r w:rsidR="00EC1553" w:rsidRPr="004E7772">
        <w:t xml:space="preserve"> </w:t>
      </w:r>
      <w:r w:rsidR="00591D4B" w:rsidRPr="004E7772">
        <w:t>wykształceniem średnim ogólnokształcącym (1</w:t>
      </w:r>
      <w:r w:rsidR="00021948" w:rsidRPr="004E7772">
        <w:t>1</w:t>
      </w:r>
      <w:r w:rsidR="00591D4B" w:rsidRPr="004E7772">
        <w:t>,</w:t>
      </w:r>
      <w:r w:rsidR="004E7772" w:rsidRPr="004E7772">
        <w:t>9</w:t>
      </w:r>
      <w:r w:rsidR="008F2E68">
        <w:t xml:space="preserve"> proc.</w:t>
      </w:r>
      <w:r w:rsidR="00591D4B" w:rsidRPr="004E7772">
        <w:t>)</w:t>
      </w:r>
      <w:r w:rsidR="00EC1553" w:rsidRPr="004E7772">
        <w:t>.</w:t>
      </w:r>
      <w:r w:rsidR="00591D4B" w:rsidRPr="004E7772">
        <w:t xml:space="preserve"> </w:t>
      </w:r>
      <w:r w:rsidR="00EC1553" w:rsidRPr="004E7772">
        <w:t>P</w:t>
      </w:r>
      <w:r w:rsidR="00591D4B" w:rsidRPr="004E7772">
        <w:t>owodem może być fakt, że osoby kończące licea ogólnokształcące częściej kontynuują kształcenie na poziomie wyższym</w:t>
      </w:r>
      <w:r w:rsidR="008E1824" w:rsidRPr="004E7772">
        <w:t>, w systemie</w:t>
      </w:r>
      <w:r w:rsidR="00591D4B" w:rsidRPr="004E7772">
        <w:t xml:space="preserve"> dziennym </w:t>
      </w:r>
      <w:r w:rsidR="00787764" w:rsidRPr="004E7772">
        <w:t xml:space="preserve">lub </w:t>
      </w:r>
      <w:r w:rsidR="00591D4B" w:rsidRPr="004E7772">
        <w:t>zaocznym</w:t>
      </w:r>
      <w:r w:rsidR="005F65FA" w:rsidRPr="004E7772">
        <w:t>,</w:t>
      </w:r>
      <w:r w:rsidR="002767B7" w:rsidRPr="004E7772">
        <w:t xml:space="preserve"> </w:t>
      </w:r>
      <w:r w:rsidR="003D3CEE" w:rsidRPr="004E7772">
        <w:t xml:space="preserve">podejmując </w:t>
      </w:r>
      <w:r w:rsidR="00591D4B" w:rsidRPr="004E7772">
        <w:t>pracę</w:t>
      </w:r>
      <w:r w:rsidR="002767B7" w:rsidRPr="004E7772">
        <w:t>,</w:t>
      </w:r>
      <w:r w:rsidR="00591D4B" w:rsidRPr="004E7772">
        <w:t xml:space="preserve"> </w:t>
      </w:r>
      <w:r w:rsidR="002767B7" w:rsidRPr="004E7772">
        <w:t>d</w:t>
      </w:r>
      <w:r w:rsidR="00591D4B" w:rsidRPr="004E7772">
        <w:t>latego nie rejestrują się</w:t>
      </w:r>
      <w:r w:rsidR="00AE5712" w:rsidRPr="004E7772">
        <w:t xml:space="preserve"> w </w:t>
      </w:r>
      <w:r w:rsidR="00591D4B" w:rsidRPr="004E7772">
        <w:t>PUP</w:t>
      </w:r>
      <w:r w:rsidR="00F37BA4" w:rsidRPr="004E7772">
        <w:t xml:space="preserve"> w skali adekwatnej do wielkości grupy</w:t>
      </w:r>
      <w:r w:rsidR="004E7772">
        <w:t xml:space="preserve"> absolwentów z tego poziomu kształcenia</w:t>
      </w:r>
      <w:r w:rsidRPr="004E7772">
        <w:t>.</w:t>
      </w:r>
    </w:p>
    <w:p w:rsidR="00042FBB" w:rsidRPr="00E33572" w:rsidRDefault="00FD7B0C" w:rsidP="00160DBC">
      <w:pPr>
        <w:pStyle w:val="Default"/>
        <w:numPr>
          <w:ilvl w:val="0"/>
          <w:numId w:val="5"/>
        </w:numPr>
        <w:spacing w:line="360" w:lineRule="auto"/>
        <w:jc w:val="both"/>
        <w:rPr>
          <w:lang w:eastAsia="pl-PL"/>
        </w:rPr>
      </w:pPr>
      <w:r w:rsidRPr="00E33572">
        <w:t>B</w:t>
      </w:r>
      <w:r w:rsidR="001B2026" w:rsidRPr="00E33572">
        <w:t>ezrobotn</w:t>
      </w:r>
      <w:r w:rsidRPr="00E33572">
        <w:t>i</w:t>
      </w:r>
      <w:r w:rsidR="00AE5712" w:rsidRPr="00E33572">
        <w:t xml:space="preserve"> z </w:t>
      </w:r>
      <w:r w:rsidR="001B2026" w:rsidRPr="00E33572">
        <w:t>wykształceniem wyższym t</w:t>
      </w:r>
      <w:r w:rsidR="00591D4B" w:rsidRPr="00E33572">
        <w:t>o</w:t>
      </w:r>
      <w:r w:rsidR="001B2026" w:rsidRPr="00E33572">
        <w:t xml:space="preserve"> 1</w:t>
      </w:r>
      <w:r w:rsidR="00F37BA4" w:rsidRPr="00E33572">
        <w:t>6</w:t>
      </w:r>
      <w:r w:rsidR="004E7772" w:rsidRPr="00E33572">
        <w:t>,0</w:t>
      </w:r>
      <w:r w:rsidR="008F2E68">
        <w:t xml:space="preserve"> proc.</w:t>
      </w:r>
      <w:r w:rsidR="001B2026" w:rsidRPr="00E33572">
        <w:t xml:space="preserve"> ogółu</w:t>
      </w:r>
      <w:r w:rsidR="00021948" w:rsidRPr="00E33572">
        <w:t xml:space="preserve"> bezrobotnych</w:t>
      </w:r>
      <w:r w:rsidRPr="00E33572">
        <w:t xml:space="preserve"> </w:t>
      </w:r>
      <w:r w:rsidR="00F37BA4" w:rsidRPr="00E33572">
        <w:t>(</w:t>
      </w:r>
      <w:r w:rsidR="00E33572" w:rsidRPr="00E33572">
        <w:t>spadek</w:t>
      </w:r>
      <w:r w:rsidRPr="00E33572">
        <w:t xml:space="preserve"> o 0,</w:t>
      </w:r>
      <w:r w:rsidR="00E33572" w:rsidRPr="00E33572">
        <w:t>4</w:t>
      </w:r>
      <w:r w:rsidRPr="00E33572">
        <w:t xml:space="preserve"> pkt. proc. w stosunku do I p</w:t>
      </w:r>
      <w:r w:rsidR="00F37BA4" w:rsidRPr="00E33572">
        <w:t>ółrocza</w:t>
      </w:r>
      <w:r w:rsidRPr="00E33572">
        <w:t xml:space="preserve"> 20</w:t>
      </w:r>
      <w:r w:rsidR="00E33572" w:rsidRPr="00E33572">
        <w:t>20</w:t>
      </w:r>
      <w:r w:rsidRPr="00E33572">
        <w:t xml:space="preserve"> r</w:t>
      </w:r>
      <w:r w:rsidR="00F37BA4" w:rsidRPr="00E33572">
        <w:t>oku</w:t>
      </w:r>
      <w:r w:rsidR="00E33572">
        <w:t>)</w:t>
      </w:r>
      <w:r w:rsidRPr="00E33572">
        <w:t>.</w:t>
      </w:r>
    </w:p>
    <w:p w:rsidR="00021948" w:rsidRPr="00D62B23" w:rsidRDefault="00021948" w:rsidP="001759E1">
      <w:pPr>
        <w:pStyle w:val="Default"/>
        <w:jc w:val="both"/>
        <w:outlineLvl w:val="1"/>
        <w:rPr>
          <w:b/>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72CAA" w:rsidRPr="00D62B23" w:rsidRDefault="00272CAA" w:rsidP="001759E1">
      <w:pPr>
        <w:pStyle w:val="Default"/>
        <w:jc w:val="both"/>
        <w:outlineLvl w:val="1"/>
        <w:rPr>
          <w:b/>
          <w:bCs/>
          <w:caps/>
          <w:sz w:val="16"/>
          <w:szCs w:val="16"/>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B2026" w:rsidRPr="007847AD" w:rsidRDefault="001B2026"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5" w:name="_Toc81396068"/>
      <w:r w:rsidRPr="007847AD">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 wg stażu pracy</w:t>
      </w:r>
      <w:bookmarkEnd w:id="15"/>
    </w:p>
    <w:p w:rsidR="001B2026" w:rsidRPr="00D62B23" w:rsidRDefault="001B2026" w:rsidP="001B2026">
      <w:pPr>
        <w:pStyle w:val="Default"/>
        <w:jc w:val="both"/>
        <w:rPr>
          <w:b/>
          <w:bCs/>
          <w:highlight w:val="yellow"/>
        </w:rPr>
      </w:pPr>
    </w:p>
    <w:p w:rsidR="00AE2F19" w:rsidRPr="00D62B23" w:rsidRDefault="007847AD" w:rsidP="00DD4FBC">
      <w:pPr>
        <w:pStyle w:val="Bezodstpw"/>
        <w:jc w:val="center"/>
        <w:rPr>
          <w:rFonts w:ascii="Times New Roman" w:hAnsi="Times New Roman" w:cs="Times New Roman"/>
          <w:highlight w:val="yellow"/>
        </w:rPr>
      </w:pPr>
      <w:r w:rsidRPr="007847AD">
        <w:rPr>
          <w:noProof/>
          <w:lang w:eastAsia="pl-PL"/>
        </w:rPr>
        <w:drawing>
          <wp:inline distT="0" distB="0" distL="0" distR="0" wp14:anchorId="0256270A" wp14:editId="3E245F75">
            <wp:extent cx="4954270" cy="3056890"/>
            <wp:effectExtent l="0" t="0" r="0" b="0"/>
            <wp:docPr id="698" name="Obraz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54270" cy="3056890"/>
                    </a:xfrm>
                    <a:prstGeom prst="rect">
                      <a:avLst/>
                    </a:prstGeom>
                    <a:noFill/>
                    <a:ln>
                      <a:noFill/>
                    </a:ln>
                  </pic:spPr>
                </pic:pic>
              </a:graphicData>
            </a:graphic>
          </wp:inline>
        </w:drawing>
      </w:r>
    </w:p>
    <w:p w:rsidR="00143549" w:rsidRPr="00D62B23" w:rsidRDefault="00143549">
      <w:pPr>
        <w:rPr>
          <w:rFonts w:ascii="Times New Roman" w:hAnsi="Times New Roman" w:cs="Times New Roman"/>
          <w:color w:val="000000"/>
          <w:sz w:val="16"/>
          <w:szCs w:val="16"/>
          <w:highlight w:val="yellow"/>
        </w:rPr>
      </w:pPr>
    </w:p>
    <w:p w:rsidR="000A5B66" w:rsidRPr="007847AD" w:rsidRDefault="001B7AFA"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7847AD">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0A5B66" w:rsidRPr="007847AD" w:rsidRDefault="000A5B66" w:rsidP="000A5B66">
      <w:pPr>
        <w:pStyle w:val="Tekstpodstawowywcity"/>
        <w:spacing w:after="0" w:line="360" w:lineRule="auto"/>
        <w:ind w:left="0"/>
        <w:jc w:val="both"/>
        <w:rPr>
          <w:rFonts w:ascii="Times New Roman" w:hAnsi="Times New Roman" w:cs="Times New Roman"/>
          <w:szCs w:val="24"/>
        </w:rPr>
      </w:pPr>
      <w:r w:rsidRPr="007847AD">
        <w:rPr>
          <w:rFonts w:ascii="Times New Roman" w:hAnsi="Times New Roman" w:cs="Times New Roman"/>
          <w:szCs w:val="24"/>
        </w:rPr>
        <w:t>(na podstawie danych</w:t>
      </w:r>
      <w:r w:rsidR="00AE5712" w:rsidRPr="007847AD">
        <w:rPr>
          <w:rFonts w:ascii="Times New Roman" w:hAnsi="Times New Roman" w:cs="Times New Roman"/>
          <w:szCs w:val="24"/>
        </w:rPr>
        <w:t xml:space="preserve"> z </w:t>
      </w:r>
      <w:r w:rsidR="00FE08D7" w:rsidRPr="007847AD">
        <w:rPr>
          <w:rFonts w:ascii="Times New Roman" w:hAnsi="Times New Roman" w:cs="Times New Roman"/>
          <w:szCs w:val="24"/>
        </w:rPr>
        <w:t>t</w:t>
      </w:r>
      <w:r w:rsidRPr="007847AD">
        <w:rPr>
          <w:rFonts w:ascii="Times New Roman" w:hAnsi="Times New Roman" w:cs="Times New Roman"/>
          <w:szCs w:val="24"/>
        </w:rPr>
        <w:t xml:space="preserve">abeli </w:t>
      </w:r>
      <w:r w:rsidR="00FE08D7" w:rsidRPr="007847AD">
        <w:rPr>
          <w:rFonts w:ascii="Times New Roman" w:hAnsi="Times New Roman" w:cs="Times New Roman"/>
          <w:szCs w:val="24"/>
        </w:rPr>
        <w:t>XI</w:t>
      </w:r>
      <w:r w:rsidR="001B7AFA" w:rsidRPr="007847AD">
        <w:rPr>
          <w:rFonts w:ascii="Times New Roman" w:hAnsi="Times New Roman" w:cs="Times New Roman"/>
          <w:szCs w:val="24"/>
        </w:rPr>
        <w:t>)</w:t>
      </w:r>
    </w:p>
    <w:p w:rsidR="002D5192" w:rsidRPr="00D62B23" w:rsidRDefault="002D5192" w:rsidP="002D5192">
      <w:pPr>
        <w:pStyle w:val="Default"/>
        <w:jc w:val="both"/>
        <w:rPr>
          <w:b/>
          <w:bCs/>
          <w:sz w:val="16"/>
          <w:szCs w:val="16"/>
          <w:highlight w:val="yellow"/>
        </w:rPr>
      </w:pPr>
    </w:p>
    <w:p w:rsidR="001B2026" w:rsidRPr="00C676CB" w:rsidRDefault="001B7AFA" w:rsidP="00160DBC">
      <w:pPr>
        <w:pStyle w:val="Default"/>
        <w:numPr>
          <w:ilvl w:val="0"/>
          <w:numId w:val="5"/>
        </w:numPr>
        <w:spacing w:line="360" w:lineRule="auto"/>
        <w:jc w:val="both"/>
        <w:rPr>
          <w:b/>
          <w:bCs/>
        </w:rPr>
      </w:pPr>
      <w:r w:rsidRPr="00C676CB">
        <w:rPr>
          <w:b/>
        </w:rPr>
        <w:t>O</w:t>
      </w:r>
      <w:r w:rsidR="000A5B66" w:rsidRPr="00C676CB">
        <w:rPr>
          <w:b/>
        </w:rPr>
        <w:t xml:space="preserve">soby </w:t>
      </w:r>
      <w:r w:rsidR="00847383" w:rsidRPr="00C676CB">
        <w:rPr>
          <w:b/>
        </w:rPr>
        <w:t xml:space="preserve">bez stażu pracy </w:t>
      </w:r>
      <w:r w:rsidR="003658AA" w:rsidRPr="00C676CB">
        <w:rPr>
          <w:b/>
        </w:rPr>
        <w:t>i</w:t>
      </w:r>
      <w:r w:rsidR="00847383" w:rsidRPr="00C676CB">
        <w:rPr>
          <w:b/>
        </w:rPr>
        <w:t xml:space="preserve"> </w:t>
      </w:r>
      <w:r w:rsidR="000A5B66" w:rsidRPr="00C676CB">
        <w:rPr>
          <w:b/>
        </w:rPr>
        <w:t xml:space="preserve">ze stażem pracy </w:t>
      </w:r>
      <w:r w:rsidR="000A5B66" w:rsidRPr="005352A8">
        <w:rPr>
          <w:b/>
        </w:rPr>
        <w:t>do 5 lat stanowią</w:t>
      </w:r>
      <w:r w:rsidR="00AE5712" w:rsidRPr="005352A8">
        <w:rPr>
          <w:b/>
        </w:rPr>
        <w:t xml:space="preserve"> w </w:t>
      </w:r>
      <w:r w:rsidR="000A5B66" w:rsidRPr="005352A8">
        <w:rPr>
          <w:b/>
        </w:rPr>
        <w:t xml:space="preserve">sumie </w:t>
      </w:r>
      <w:r w:rsidR="005352A8" w:rsidRPr="005352A8">
        <w:rPr>
          <w:b/>
        </w:rPr>
        <w:t>61,3</w:t>
      </w:r>
      <w:r w:rsidR="008F2E68">
        <w:rPr>
          <w:b/>
        </w:rPr>
        <w:t xml:space="preserve"> proc.</w:t>
      </w:r>
      <w:r w:rsidR="000A5B66" w:rsidRPr="005352A8">
        <w:rPr>
          <w:b/>
        </w:rPr>
        <w:t xml:space="preserve"> ogółu bezrobotnych</w:t>
      </w:r>
      <w:r w:rsidR="00D64911" w:rsidRPr="005352A8">
        <w:t>.</w:t>
      </w:r>
      <w:r w:rsidR="000A5B66" w:rsidRPr="005352A8">
        <w:t xml:space="preserve"> </w:t>
      </w:r>
      <w:r w:rsidR="00BE2903" w:rsidRPr="005352A8">
        <w:t xml:space="preserve">Udział ten </w:t>
      </w:r>
      <w:r w:rsidR="000A5B66" w:rsidRPr="005352A8">
        <w:t xml:space="preserve">wskazuje na </w:t>
      </w:r>
      <w:r w:rsidR="00C31034" w:rsidRPr="005352A8">
        <w:t xml:space="preserve">trudności </w:t>
      </w:r>
      <w:r w:rsidR="000A5B66" w:rsidRPr="005352A8">
        <w:t>ze znalezieniem pracy</w:t>
      </w:r>
      <w:r w:rsidR="001153DE" w:rsidRPr="00C676CB">
        <w:t xml:space="preserve"> wśród osób</w:t>
      </w:r>
      <w:r w:rsidR="00AE5712" w:rsidRPr="00C676CB">
        <w:t xml:space="preserve"> </w:t>
      </w:r>
      <w:r w:rsidR="00032CB9" w:rsidRPr="00C676CB">
        <w:lastRenderedPageBreak/>
        <w:t>z</w:t>
      </w:r>
      <w:r w:rsidR="00AE5712" w:rsidRPr="00C676CB">
        <w:t> </w:t>
      </w:r>
      <w:r w:rsidR="00597400" w:rsidRPr="00C676CB">
        <w:t>n</w:t>
      </w:r>
      <w:r w:rsidR="001153DE" w:rsidRPr="00C676CB">
        <w:t>aj</w:t>
      </w:r>
      <w:r w:rsidR="00032CB9" w:rsidRPr="00C676CB">
        <w:t xml:space="preserve">krótszym </w:t>
      </w:r>
      <w:r w:rsidR="001153DE" w:rsidRPr="00C676CB">
        <w:t>doświadczeni</w:t>
      </w:r>
      <w:r w:rsidR="00032CB9" w:rsidRPr="00C676CB">
        <w:t>em</w:t>
      </w:r>
      <w:r w:rsidR="00FE4416" w:rsidRPr="00C676CB">
        <w:t xml:space="preserve"> zawodowym</w:t>
      </w:r>
      <w:r w:rsidR="00847383" w:rsidRPr="00C676CB">
        <w:t>.</w:t>
      </w:r>
      <w:r w:rsidR="007B50B0" w:rsidRPr="00C676CB">
        <w:t xml:space="preserve"> </w:t>
      </w:r>
      <w:r w:rsidR="00847383" w:rsidRPr="00C676CB">
        <w:t>W</w:t>
      </w:r>
      <w:r w:rsidR="001B2026" w:rsidRPr="00C676CB">
        <w:t>arto zaznaczyć</w:t>
      </w:r>
      <w:r w:rsidR="00A97EF7" w:rsidRPr="00C676CB">
        <w:t>,</w:t>
      </w:r>
      <w:r w:rsidR="001153DE" w:rsidRPr="00C676CB">
        <w:t xml:space="preserve"> że</w:t>
      </w:r>
      <w:r w:rsidR="00AE5712" w:rsidRPr="00C676CB">
        <w:t xml:space="preserve"> </w:t>
      </w:r>
      <w:r w:rsidR="00A77C76" w:rsidRPr="00C676CB">
        <w:t xml:space="preserve">opisana </w:t>
      </w:r>
      <w:r w:rsidR="00A77C76">
        <w:t>s</w:t>
      </w:r>
      <w:r w:rsidR="00A77C76" w:rsidRPr="00C676CB">
        <w:t>ytuacja</w:t>
      </w:r>
      <w:r w:rsidR="00A77C76">
        <w:t xml:space="preserve"> </w:t>
      </w:r>
      <w:r w:rsidR="00AE5712" w:rsidRPr="00C676CB">
        <w:t>w</w:t>
      </w:r>
      <w:r w:rsidR="00A77C76">
        <w:t> </w:t>
      </w:r>
      <w:r w:rsidR="001B2026" w:rsidRPr="00C676CB">
        <w:t xml:space="preserve">jeszcze większym stopniu dotyczyła bezrobotnych kobiet bez </w:t>
      </w:r>
      <w:r w:rsidR="001153DE" w:rsidRPr="00C676CB">
        <w:t xml:space="preserve">doświadczenia </w:t>
      </w:r>
      <w:r w:rsidR="00A97EF7" w:rsidRPr="00C676CB">
        <w:t xml:space="preserve">zawodowego </w:t>
      </w:r>
      <w:r w:rsidR="001B2026" w:rsidRPr="00C676CB">
        <w:t xml:space="preserve">lub </w:t>
      </w:r>
      <w:r w:rsidR="00A77C76">
        <w:t xml:space="preserve">z </w:t>
      </w:r>
      <w:r w:rsidR="00C676CB">
        <w:t xml:space="preserve">krótkim </w:t>
      </w:r>
      <w:r w:rsidR="001B2026" w:rsidRPr="00C676CB">
        <w:t>stażem pracy</w:t>
      </w:r>
      <w:r w:rsidR="001153DE" w:rsidRPr="00C676CB">
        <w:t xml:space="preserve"> </w:t>
      </w:r>
      <w:r w:rsidR="00C676CB">
        <w:t>(</w:t>
      </w:r>
      <w:r w:rsidR="001153DE" w:rsidRPr="00C676CB">
        <w:t>do 5 lat</w:t>
      </w:r>
      <w:r w:rsidR="00C676CB">
        <w:t>)</w:t>
      </w:r>
      <w:r w:rsidR="00356959" w:rsidRPr="00C676CB">
        <w:t>.</w:t>
      </w:r>
    </w:p>
    <w:p w:rsidR="00356959" w:rsidRPr="00D62B23" w:rsidRDefault="00356959" w:rsidP="00356959">
      <w:pPr>
        <w:pStyle w:val="Default"/>
        <w:jc w:val="both"/>
        <w:rPr>
          <w:b/>
          <w:bCs/>
          <w:sz w:val="16"/>
          <w:szCs w:val="16"/>
          <w:highlight w:val="yellow"/>
        </w:rPr>
      </w:pPr>
    </w:p>
    <w:p w:rsidR="004C556B" w:rsidRDefault="004C556B" w:rsidP="004357A3">
      <w:pPr>
        <w:pStyle w:val="Default"/>
        <w:rPr>
          <w:b/>
          <w:bCs/>
          <w:sz w:val="16"/>
          <w:szCs w:val="16"/>
          <w:highlight w:val="yellow"/>
        </w:rPr>
      </w:pPr>
    </w:p>
    <w:p w:rsidR="007847AD" w:rsidRPr="00D62B23" w:rsidRDefault="007847AD" w:rsidP="004357A3">
      <w:pPr>
        <w:pStyle w:val="Default"/>
        <w:rPr>
          <w:b/>
          <w:bCs/>
          <w:sz w:val="16"/>
          <w:szCs w:val="16"/>
          <w:highlight w:val="yellow"/>
        </w:rPr>
      </w:pPr>
    </w:p>
    <w:p w:rsidR="00E324E9" w:rsidRPr="00E53783" w:rsidRDefault="00E324E9"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6" w:name="_Toc81396069"/>
      <w:r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Bezrobotni </w:t>
      </w:r>
      <w:r w:rsidR="007E5CE9"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357A3"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wg</w:t>
      </w:r>
      <w:r w:rsidR="007E5CE9"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357A3"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miejsca zamieszkania</w:t>
      </w:r>
      <w:bookmarkEnd w:id="16"/>
    </w:p>
    <w:p w:rsidR="007A3C22" w:rsidRPr="00D62B23" w:rsidRDefault="007A3C22" w:rsidP="004357A3">
      <w:pPr>
        <w:pStyle w:val="Default"/>
        <w:rPr>
          <w:b/>
          <w:bCs/>
          <w:sz w:val="16"/>
          <w:szCs w:val="16"/>
          <w:highlight w:val="yellow"/>
        </w:rPr>
      </w:pPr>
    </w:p>
    <w:p w:rsidR="005603F5" w:rsidRPr="00D62B23" w:rsidRDefault="005603F5" w:rsidP="004357A3">
      <w:pPr>
        <w:pStyle w:val="Default"/>
        <w:rPr>
          <w:b/>
          <w:bCs/>
          <w:sz w:val="16"/>
          <w:szCs w:val="16"/>
          <w:highlight w:val="yellow"/>
        </w:rPr>
      </w:pPr>
    </w:p>
    <w:p w:rsidR="00E324E9" w:rsidRPr="00553D15" w:rsidRDefault="00593216" w:rsidP="004357A3">
      <w:pPr>
        <w:pStyle w:val="Default"/>
        <w:spacing w:line="360" w:lineRule="auto"/>
        <w:ind w:firstLine="709"/>
        <w:jc w:val="both"/>
      </w:pPr>
      <w:r w:rsidRPr="00E53783">
        <w:t>W</w:t>
      </w:r>
      <w:r w:rsidR="00553D15">
        <w:t>edług</w:t>
      </w:r>
      <w:r w:rsidRPr="00E53783">
        <w:t xml:space="preserve"> stanu na </w:t>
      </w:r>
      <w:r w:rsidR="00F53FE2" w:rsidRPr="00E53783">
        <w:t>3</w:t>
      </w:r>
      <w:r w:rsidR="004357A3" w:rsidRPr="00E53783">
        <w:t>0</w:t>
      </w:r>
      <w:r w:rsidR="00A51FE0" w:rsidRPr="00E53783">
        <w:t xml:space="preserve"> </w:t>
      </w:r>
      <w:r w:rsidR="004357A3" w:rsidRPr="00E53783">
        <w:t>VI</w:t>
      </w:r>
      <w:r w:rsidR="00A51FE0" w:rsidRPr="00E53783">
        <w:t xml:space="preserve"> </w:t>
      </w:r>
      <w:r w:rsidR="00A332CD" w:rsidRPr="00E53783">
        <w:t>20</w:t>
      </w:r>
      <w:r w:rsidR="005603F5" w:rsidRPr="00E53783">
        <w:t>2</w:t>
      </w:r>
      <w:r w:rsidR="00E53783" w:rsidRPr="00E53783">
        <w:t>1</w:t>
      </w:r>
      <w:r w:rsidR="00E324E9" w:rsidRPr="00E53783">
        <w:t xml:space="preserve"> r</w:t>
      </w:r>
      <w:r w:rsidR="005603F5" w:rsidRPr="00E53783">
        <w:t>oku</w:t>
      </w:r>
      <w:r w:rsidR="00E324E9" w:rsidRPr="00E53783">
        <w:t xml:space="preserve"> spośród ogółu zarejestrowanych bezrobotnych </w:t>
      </w:r>
      <w:r w:rsidR="00553D15" w:rsidRPr="00553D15">
        <w:t>49815</w:t>
      </w:r>
      <w:r w:rsidR="00E324E9" w:rsidRPr="00553D15">
        <w:t xml:space="preserve"> osób mieszkało na terenach wiejskich</w:t>
      </w:r>
      <w:r w:rsidR="00F53FE2" w:rsidRPr="00553D15">
        <w:t xml:space="preserve"> (</w:t>
      </w:r>
      <w:r w:rsidR="00E324E9" w:rsidRPr="00553D15">
        <w:t>6</w:t>
      </w:r>
      <w:r w:rsidR="0092216F" w:rsidRPr="00553D15">
        <w:t>1</w:t>
      </w:r>
      <w:r w:rsidR="00A36A8F" w:rsidRPr="00553D15">
        <w:t>,</w:t>
      </w:r>
      <w:r w:rsidR="0092216F" w:rsidRPr="00553D15">
        <w:t>5</w:t>
      </w:r>
      <w:r w:rsidR="004357A3" w:rsidRPr="00553D15">
        <w:t xml:space="preserve"> </w:t>
      </w:r>
      <w:r w:rsidR="008F2E68">
        <w:t>proc.</w:t>
      </w:r>
      <w:r w:rsidR="00E324E9" w:rsidRPr="00553D15">
        <w:t xml:space="preserve"> ogółu bezrobotnych</w:t>
      </w:r>
      <w:r w:rsidR="00F53FE2" w:rsidRPr="00553D15">
        <w:t>)</w:t>
      </w:r>
      <w:r w:rsidR="00B56D55" w:rsidRPr="00553D15">
        <w:t>.</w:t>
      </w:r>
    </w:p>
    <w:p w:rsidR="00553D15" w:rsidRPr="00553D15" w:rsidRDefault="00553D15" w:rsidP="00553D15">
      <w:pPr>
        <w:pStyle w:val="Default"/>
        <w:jc w:val="both"/>
        <w:rPr>
          <w:sz w:val="16"/>
          <w:szCs w:val="16"/>
          <w:highlight w:val="yellow"/>
        </w:rPr>
      </w:pPr>
    </w:p>
    <w:p w:rsidR="00FD0F92" w:rsidRPr="00D62B23" w:rsidRDefault="00E964F4" w:rsidP="00FD0F92">
      <w:pPr>
        <w:pStyle w:val="Default"/>
        <w:rPr>
          <w:b/>
          <w:bCs/>
          <w:sz w:val="16"/>
          <w:szCs w:val="16"/>
          <w:highlight w:val="yellow"/>
        </w:rPr>
      </w:pPr>
      <w:r w:rsidRPr="00E964F4">
        <w:rPr>
          <w:noProof/>
          <w:lang w:eastAsia="pl-PL"/>
        </w:rPr>
        <w:drawing>
          <wp:inline distT="0" distB="0" distL="0" distR="0" wp14:anchorId="146EE785" wp14:editId="7DB4A5E4">
            <wp:extent cx="5759450" cy="5546573"/>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5546573"/>
                    </a:xfrm>
                    <a:prstGeom prst="rect">
                      <a:avLst/>
                    </a:prstGeom>
                    <a:noFill/>
                    <a:ln>
                      <a:noFill/>
                    </a:ln>
                  </pic:spPr>
                </pic:pic>
              </a:graphicData>
            </a:graphic>
          </wp:inline>
        </w:drawing>
      </w:r>
    </w:p>
    <w:p w:rsidR="005603F5" w:rsidRDefault="005603F5" w:rsidP="005603F5">
      <w:pPr>
        <w:spacing w:after="0" w:line="240" w:lineRule="auto"/>
        <w:rPr>
          <w:rFonts w:ascii="Times New Roman" w:hAnsi="Times New Roman" w:cs="Times New Roman"/>
          <w:color w:val="000000"/>
          <w:sz w:val="16"/>
          <w:szCs w:val="16"/>
          <w:highlight w:val="yellow"/>
        </w:rPr>
      </w:pPr>
    </w:p>
    <w:p w:rsidR="00581A79" w:rsidRDefault="00581A79" w:rsidP="005603F5">
      <w:pPr>
        <w:spacing w:after="0" w:line="240" w:lineRule="auto"/>
        <w:rPr>
          <w:rFonts w:ascii="Times New Roman" w:hAnsi="Times New Roman" w:cs="Times New Roman"/>
          <w:color w:val="000000"/>
          <w:sz w:val="16"/>
          <w:szCs w:val="16"/>
          <w:highlight w:val="yellow"/>
        </w:rPr>
      </w:pPr>
    </w:p>
    <w:p w:rsidR="00581A79" w:rsidRDefault="00581A79" w:rsidP="005603F5">
      <w:pPr>
        <w:spacing w:after="0" w:line="240" w:lineRule="auto"/>
        <w:rPr>
          <w:rFonts w:ascii="Times New Roman" w:hAnsi="Times New Roman" w:cs="Times New Roman"/>
          <w:color w:val="000000"/>
          <w:sz w:val="16"/>
          <w:szCs w:val="16"/>
          <w:highlight w:val="yellow"/>
        </w:rPr>
      </w:pPr>
    </w:p>
    <w:p w:rsidR="00581A79" w:rsidRDefault="00581A79" w:rsidP="005603F5">
      <w:pPr>
        <w:spacing w:after="0" w:line="240" w:lineRule="auto"/>
        <w:rPr>
          <w:rFonts w:ascii="Times New Roman" w:hAnsi="Times New Roman" w:cs="Times New Roman"/>
          <w:color w:val="000000"/>
          <w:sz w:val="16"/>
          <w:szCs w:val="16"/>
          <w:highlight w:val="yellow"/>
        </w:rPr>
      </w:pPr>
    </w:p>
    <w:p w:rsidR="00581A79" w:rsidRDefault="00581A79" w:rsidP="005603F5">
      <w:pPr>
        <w:spacing w:after="0" w:line="240" w:lineRule="auto"/>
        <w:rPr>
          <w:rFonts w:ascii="Times New Roman" w:hAnsi="Times New Roman" w:cs="Times New Roman"/>
          <w:color w:val="000000"/>
          <w:sz w:val="16"/>
          <w:szCs w:val="16"/>
          <w:highlight w:val="yellow"/>
        </w:rPr>
      </w:pPr>
    </w:p>
    <w:p w:rsidR="00581A79" w:rsidRDefault="00581A79" w:rsidP="005603F5">
      <w:pPr>
        <w:spacing w:after="0" w:line="240" w:lineRule="auto"/>
        <w:rPr>
          <w:rFonts w:ascii="Times New Roman" w:hAnsi="Times New Roman" w:cs="Times New Roman"/>
          <w:color w:val="000000"/>
          <w:sz w:val="16"/>
          <w:szCs w:val="16"/>
          <w:highlight w:val="yellow"/>
        </w:rPr>
      </w:pPr>
    </w:p>
    <w:p w:rsidR="00581A79" w:rsidRPr="00D62B23" w:rsidRDefault="00581A79" w:rsidP="005603F5">
      <w:pPr>
        <w:spacing w:after="0" w:line="240" w:lineRule="auto"/>
        <w:rPr>
          <w:rFonts w:ascii="Times New Roman" w:hAnsi="Times New Roman" w:cs="Times New Roman"/>
          <w:color w:val="000000"/>
          <w:sz w:val="16"/>
          <w:szCs w:val="16"/>
          <w:highlight w:val="yellow"/>
        </w:rPr>
      </w:pPr>
    </w:p>
    <w:p w:rsidR="00011FA8" w:rsidRPr="00E53783" w:rsidRDefault="00B56D55"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E53783">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E135B6" w:rsidRPr="00E53783" w:rsidRDefault="00E135B6" w:rsidP="00E135B6">
      <w:pPr>
        <w:pStyle w:val="Tekstpodstawowywcity"/>
        <w:spacing w:after="0" w:line="360" w:lineRule="auto"/>
        <w:ind w:left="0"/>
        <w:jc w:val="both"/>
        <w:rPr>
          <w:rFonts w:ascii="Times New Roman" w:hAnsi="Times New Roman" w:cs="Times New Roman"/>
          <w:szCs w:val="24"/>
        </w:rPr>
      </w:pPr>
      <w:r w:rsidRPr="00E53783">
        <w:rPr>
          <w:rFonts w:ascii="Times New Roman" w:hAnsi="Times New Roman" w:cs="Times New Roman"/>
          <w:szCs w:val="24"/>
        </w:rPr>
        <w:t>(na podstawie danych</w:t>
      </w:r>
      <w:r w:rsidR="00AE5712" w:rsidRPr="00E53783">
        <w:rPr>
          <w:rFonts w:ascii="Times New Roman" w:hAnsi="Times New Roman" w:cs="Times New Roman"/>
          <w:szCs w:val="24"/>
        </w:rPr>
        <w:t xml:space="preserve"> z </w:t>
      </w:r>
      <w:r w:rsidR="003630C1" w:rsidRPr="00E53783">
        <w:rPr>
          <w:rFonts w:ascii="Times New Roman" w:hAnsi="Times New Roman" w:cs="Times New Roman"/>
          <w:szCs w:val="24"/>
        </w:rPr>
        <w:t>t</w:t>
      </w:r>
      <w:r w:rsidRPr="00E53783">
        <w:rPr>
          <w:rFonts w:ascii="Times New Roman" w:hAnsi="Times New Roman" w:cs="Times New Roman"/>
          <w:szCs w:val="24"/>
        </w:rPr>
        <w:t>abel</w:t>
      </w:r>
      <w:r w:rsidR="003630C1" w:rsidRPr="00E53783">
        <w:rPr>
          <w:rFonts w:ascii="Times New Roman" w:hAnsi="Times New Roman" w:cs="Times New Roman"/>
          <w:szCs w:val="24"/>
        </w:rPr>
        <w:t>:</w:t>
      </w:r>
      <w:r w:rsidRPr="00E53783">
        <w:rPr>
          <w:rFonts w:ascii="Times New Roman" w:hAnsi="Times New Roman" w:cs="Times New Roman"/>
          <w:szCs w:val="24"/>
        </w:rPr>
        <w:t xml:space="preserve"> </w:t>
      </w:r>
      <w:r w:rsidR="003630C1" w:rsidRPr="00E53783">
        <w:rPr>
          <w:rFonts w:ascii="Times New Roman" w:hAnsi="Times New Roman" w:cs="Times New Roman"/>
          <w:szCs w:val="24"/>
        </w:rPr>
        <w:t>X</w:t>
      </w:r>
      <w:r w:rsidR="00E964F4">
        <w:rPr>
          <w:rFonts w:ascii="Times New Roman" w:hAnsi="Times New Roman" w:cs="Times New Roman"/>
          <w:szCs w:val="24"/>
        </w:rPr>
        <w:t>II</w:t>
      </w:r>
      <w:r w:rsidR="00B56D55" w:rsidRPr="00E53783">
        <w:rPr>
          <w:rFonts w:ascii="Times New Roman" w:hAnsi="Times New Roman" w:cs="Times New Roman"/>
          <w:szCs w:val="24"/>
        </w:rPr>
        <w:t>)</w:t>
      </w:r>
    </w:p>
    <w:p w:rsidR="00AE04E1" w:rsidRPr="00D62B23" w:rsidRDefault="00AE04E1" w:rsidP="00AE04E1">
      <w:pPr>
        <w:pStyle w:val="Default"/>
        <w:jc w:val="both"/>
        <w:rPr>
          <w:sz w:val="16"/>
          <w:szCs w:val="16"/>
          <w:highlight w:val="yellow"/>
        </w:rPr>
      </w:pPr>
    </w:p>
    <w:p w:rsidR="00407FE3" w:rsidRPr="000539A9" w:rsidRDefault="00137ADF" w:rsidP="00160DBC">
      <w:pPr>
        <w:pStyle w:val="Default"/>
        <w:numPr>
          <w:ilvl w:val="0"/>
          <w:numId w:val="2"/>
        </w:numPr>
        <w:spacing w:line="360" w:lineRule="auto"/>
        <w:jc w:val="both"/>
      </w:pPr>
      <w:r w:rsidRPr="000539A9">
        <w:t>W</w:t>
      </w:r>
      <w:r w:rsidR="00407FE3" w:rsidRPr="000539A9">
        <w:t> porównaniu z</w:t>
      </w:r>
      <w:r w:rsidR="00743FAC">
        <w:t>e</w:t>
      </w:r>
      <w:r w:rsidR="00AE5712" w:rsidRPr="000539A9">
        <w:t> </w:t>
      </w:r>
      <w:r w:rsidR="00743FAC">
        <w:t xml:space="preserve">stanem na dzień </w:t>
      </w:r>
      <w:r w:rsidR="00383A43" w:rsidRPr="000539A9">
        <w:t>3</w:t>
      </w:r>
      <w:r w:rsidR="003716F4" w:rsidRPr="000539A9">
        <w:t>1</w:t>
      </w:r>
      <w:r w:rsidR="00743FAC">
        <w:t>.</w:t>
      </w:r>
      <w:r w:rsidR="00383A43" w:rsidRPr="000539A9">
        <w:t xml:space="preserve"> </w:t>
      </w:r>
      <w:r w:rsidR="003716F4" w:rsidRPr="000539A9">
        <w:t>XII</w:t>
      </w:r>
      <w:r w:rsidR="00743FAC">
        <w:t>.</w:t>
      </w:r>
      <w:r w:rsidR="00383A43" w:rsidRPr="000539A9">
        <w:t xml:space="preserve"> </w:t>
      </w:r>
      <w:r w:rsidR="00F20D55" w:rsidRPr="000539A9">
        <w:t>20</w:t>
      </w:r>
      <w:r w:rsidR="00553D15" w:rsidRPr="000539A9">
        <w:t>20</w:t>
      </w:r>
      <w:r w:rsidR="003716F4" w:rsidRPr="000539A9">
        <w:t xml:space="preserve"> </w:t>
      </w:r>
      <w:r w:rsidR="00AE5712" w:rsidRPr="000539A9">
        <w:t>r</w:t>
      </w:r>
      <w:r w:rsidR="00F20D55" w:rsidRPr="000539A9">
        <w:t>oku</w:t>
      </w:r>
      <w:r w:rsidR="00407FE3" w:rsidRPr="000539A9">
        <w:t xml:space="preserve"> liczba bezrobotnych zamieszkałych na wsi </w:t>
      </w:r>
      <w:r w:rsidR="000539A9" w:rsidRPr="000539A9">
        <w:t xml:space="preserve">spadła </w:t>
      </w:r>
      <w:r w:rsidR="00AE5712" w:rsidRPr="000539A9">
        <w:t>o </w:t>
      </w:r>
      <w:r w:rsidR="000539A9" w:rsidRPr="000539A9">
        <w:t>4425</w:t>
      </w:r>
      <w:r w:rsidR="00407FE3" w:rsidRPr="000539A9">
        <w:t xml:space="preserve"> os</w:t>
      </w:r>
      <w:r w:rsidR="00AA5268" w:rsidRPr="000539A9">
        <w:t>ó</w:t>
      </w:r>
      <w:r w:rsidR="00407FE3" w:rsidRPr="000539A9">
        <w:t>b</w:t>
      </w:r>
      <w:r w:rsidRPr="000539A9">
        <w:t>.</w:t>
      </w:r>
    </w:p>
    <w:p w:rsidR="00F20D55" w:rsidRPr="000539A9" w:rsidRDefault="002374F0" w:rsidP="00A907CA">
      <w:pPr>
        <w:pStyle w:val="Default"/>
        <w:numPr>
          <w:ilvl w:val="0"/>
          <w:numId w:val="2"/>
        </w:numPr>
        <w:spacing w:line="360" w:lineRule="auto"/>
        <w:jc w:val="both"/>
      </w:pPr>
      <w:r w:rsidRPr="000539A9">
        <w:t>N</w:t>
      </w:r>
      <w:r w:rsidR="00FD718D" w:rsidRPr="000539A9">
        <w:t xml:space="preserve">ajwyższa liczba bezrobotnych </w:t>
      </w:r>
      <w:r w:rsidR="005D65AF">
        <w:t xml:space="preserve">zarejestrowanych jako zamieszkali na </w:t>
      </w:r>
      <w:r w:rsidR="00FD718D" w:rsidRPr="000539A9">
        <w:t xml:space="preserve">wsi </w:t>
      </w:r>
      <w:r w:rsidR="005D65AF">
        <w:t xml:space="preserve">wystąpiła w powiatach </w:t>
      </w:r>
      <w:r w:rsidR="00F66DE8" w:rsidRPr="000539A9">
        <w:t>rzeszowski</w:t>
      </w:r>
      <w:r w:rsidR="005D65AF">
        <w:t>m</w:t>
      </w:r>
      <w:r w:rsidR="00F66DE8" w:rsidRPr="000539A9">
        <w:t xml:space="preserve"> (</w:t>
      </w:r>
      <w:r w:rsidR="000539A9" w:rsidRPr="000539A9">
        <w:t>5057</w:t>
      </w:r>
      <w:r w:rsidR="00F66DE8" w:rsidRPr="000539A9">
        <w:t xml:space="preserve">), </w:t>
      </w:r>
      <w:r w:rsidR="000539A9" w:rsidRPr="000539A9">
        <w:t>jasielski</w:t>
      </w:r>
      <w:r w:rsidR="005D65AF">
        <w:t>m</w:t>
      </w:r>
      <w:r w:rsidR="000539A9" w:rsidRPr="000539A9">
        <w:t xml:space="preserve"> (3870) i </w:t>
      </w:r>
      <w:r w:rsidR="00F66DE8" w:rsidRPr="000539A9">
        <w:t>brzozowski</w:t>
      </w:r>
      <w:r w:rsidR="005D65AF">
        <w:t>m</w:t>
      </w:r>
      <w:r w:rsidR="00F66DE8" w:rsidRPr="000539A9">
        <w:t xml:space="preserve"> (</w:t>
      </w:r>
      <w:r w:rsidR="000539A9" w:rsidRPr="000539A9">
        <w:t>3723</w:t>
      </w:r>
      <w:r w:rsidR="00F66DE8" w:rsidRPr="000539A9">
        <w:t>)</w:t>
      </w:r>
      <w:r w:rsidR="00F20D55" w:rsidRPr="000539A9">
        <w:t xml:space="preserve">. </w:t>
      </w:r>
    </w:p>
    <w:p w:rsidR="006109AA" w:rsidRDefault="006109AA" w:rsidP="006109AA">
      <w:pPr>
        <w:pStyle w:val="Default"/>
        <w:jc w:val="both"/>
        <w:rPr>
          <w:sz w:val="16"/>
          <w:szCs w:val="16"/>
          <w:highlight w:val="yellow"/>
        </w:rPr>
      </w:pPr>
    </w:p>
    <w:p w:rsidR="00553D15" w:rsidRPr="00D62B23" w:rsidRDefault="00553D15" w:rsidP="006109AA">
      <w:pPr>
        <w:pStyle w:val="Default"/>
        <w:jc w:val="both"/>
        <w:rPr>
          <w:sz w:val="16"/>
          <w:szCs w:val="16"/>
          <w:highlight w:val="yellow"/>
        </w:rPr>
      </w:pPr>
    </w:p>
    <w:p w:rsidR="0067454E" w:rsidRPr="00E53783" w:rsidRDefault="0014696F" w:rsidP="006109AA">
      <w:pPr>
        <w:pStyle w:val="Nagwek1"/>
        <w:spacing w:before="0" w:line="240" w:lineRule="auto"/>
        <w:jc w:val="center"/>
        <w:rPr>
          <w:rFonts w:ascii="Arial Black" w:eastAsiaTheme="minorHAnsi" w:hAnsi="Arial Black"/>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7" w:name="_Toc81396070"/>
      <w:r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7454E"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ezrobotni</w:t>
      </w:r>
      <w:r w:rsidR="00AE5712"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w:t>
      </w:r>
      <w:r w:rsidR="007A3C22"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7454E" w:rsidRPr="00E53783">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szczególnej sytuacji</w:t>
      </w:r>
      <w:bookmarkEnd w:id="17"/>
    </w:p>
    <w:p w:rsidR="00EC4005" w:rsidRDefault="00EC4005" w:rsidP="007A3C22">
      <w:pPr>
        <w:pStyle w:val="Default"/>
        <w:jc w:val="both"/>
        <w:rPr>
          <w:sz w:val="16"/>
          <w:szCs w:val="16"/>
          <w:highlight w:val="yellow"/>
        </w:rPr>
      </w:pPr>
    </w:p>
    <w:p w:rsidR="00553D15" w:rsidRPr="00D62B23" w:rsidRDefault="00553D15" w:rsidP="007A3C22">
      <w:pPr>
        <w:pStyle w:val="Default"/>
        <w:jc w:val="both"/>
        <w:rPr>
          <w:sz w:val="16"/>
          <w:szCs w:val="16"/>
          <w:highlight w:val="yellow"/>
        </w:rPr>
      </w:pPr>
    </w:p>
    <w:p w:rsidR="0042214F" w:rsidRPr="00463CA4" w:rsidRDefault="00CF6326" w:rsidP="00E63372">
      <w:pPr>
        <w:pStyle w:val="Default"/>
        <w:spacing w:line="360" w:lineRule="auto"/>
        <w:ind w:firstLine="709"/>
        <w:jc w:val="both"/>
      </w:pPr>
      <w:r w:rsidRPr="00463CA4">
        <w:t>Wśród ogółu bezrobotnych zarejestrowanych</w:t>
      </w:r>
      <w:r w:rsidR="00AE5712" w:rsidRPr="00463CA4">
        <w:t xml:space="preserve"> w </w:t>
      </w:r>
      <w:r w:rsidRPr="00463CA4">
        <w:t xml:space="preserve">powiatowych urzędach pracy na </w:t>
      </w:r>
      <w:r w:rsidR="00296F20">
        <w:t xml:space="preserve">dzień </w:t>
      </w:r>
      <w:r w:rsidR="00E63372" w:rsidRPr="00463CA4">
        <w:t>3</w:t>
      </w:r>
      <w:r w:rsidR="00FD0F92" w:rsidRPr="00463CA4">
        <w:t>0</w:t>
      </w:r>
      <w:r w:rsidR="00296F20">
        <w:t xml:space="preserve">. </w:t>
      </w:r>
      <w:r w:rsidR="00FD0F92" w:rsidRPr="00463CA4">
        <w:t>VI</w:t>
      </w:r>
      <w:r w:rsidR="00296F20">
        <w:t xml:space="preserve">. </w:t>
      </w:r>
      <w:r w:rsidR="009822D5" w:rsidRPr="00463CA4">
        <w:t>20</w:t>
      </w:r>
      <w:r w:rsidR="00AC6346" w:rsidRPr="00463CA4">
        <w:t>2</w:t>
      </w:r>
      <w:r w:rsidR="00463CA4" w:rsidRPr="00463CA4">
        <w:t>1</w:t>
      </w:r>
      <w:r w:rsidR="00AE5712" w:rsidRPr="00463CA4">
        <w:t> r</w:t>
      </w:r>
      <w:r w:rsidR="00AC6346" w:rsidRPr="00463CA4">
        <w:t>oku</w:t>
      </w:r>
      <w:r w:rsidRPr="00463CA4">
        <w:t xml:space="preserve"> odnotowano </w:t>
      </w:r>
      <w:r w:rsidR="00296F20">
        <w:t xml:space="preserve">wśród osób </w:t>
      </w:r>
      <w:r w:rsidRPr="00463CA4">
        <w:t>bezrobotn</w:t>
      </w:r>
      <w:r w:rsidR="00296F20">
        <w:t>ych</w:t>
      </w:r>
      <w:r w:rsidRPr="00463CA4">
        <w:t xml:space="preserve"> </w:t>
      </w:r>
      <w:r w:rsidR="00296F20">
        <w:t xml:space="preserve">grupy </w:t>
      </w:r>
      <w:r w:rsidRPr="00463CA4">
        <w:t>zdefiniowane przez ustawę</w:t>
      </w:r>
      <w:r w:rsidR="00AE5712" w:rsidRPr="00463CA4">
        <w:t xml:space="preserve"> o </w:t>
      </w:r>
      <w:r w:rsidRPr="00463CA4">
        <w:t>promocji zatrudnienia</w:t>
      </w:r>
      <w:r w:rsidR="000E51B3">
        <w:t xml:space="preserve"> </w:t>
      </w:r>
      <w:r w:rsidR="00AE5712" w:rsidRPr="00463CA4">
        <w:t>i</w:t>
      </w:r>
      <w:r w:rsidR="000E51B3">
        <w:t xml:space="preserve"> </w:t>
      </w:r>
      <w:r w:rsidRPr="00463CA4">
        <w:t xml:space="preserve">instytucjach rynku pracy </w:t>
      </w:r>
      <w:r w:rsidR="00EC4005" w:rsidRPr="00463CA4">
        <w:t xml:space="preserve">na podstawie </w:t>
      </w:r>
      <w:r w:rsidRPr="00463CA4">
        <w:t>art. 49 jako</w:t>
      </w:r>
      <w:r w:rsidR="00A50763" w:rsidRPr="00463CA4">
        <w:t xml:space="preserve"> </w:t>
      </w:r>
      <w:r w:rsidR="0042214F" w:rsidRPr="00463CA4">
        <w:rPr>
          <w:b/>
        </w:rPr>
        <w:t>pozostające</w:t>
      </w:r>
      <w:r w:rsidR="00AE5712" w:rsidRPr="00463CA4">
        <w:rPr>
          <w:b/>
        </w:rPr>
        <w:t xml:space="preserve"> w </w:t>
      </w:r>
      <w:r w:rsidRPr="00463CA4">
        <w:rPr>
          <w:b/>
        </w:rPr>
        <w:t>szczególnej sytuacji na rynku prac</w:t>
      </w:r>
      <w:r w:rsidR="00EC4005" w:rsidRPr="00463CA4">
        <w:rPr>
          <w:b/>
        </w:rPr>
        <w:t>y</w:t>
      </w:r>
      <w:r w:rsidR="00EC4005" w:rsidRPr="00463CA4">
        <w:t>.</w:t>
      </w:r>
    </w:p>
    <w:p w:rsidR="00AC6346" w:rsidRPr="00D62B23" w:rsidRDefault="00AC6346" w:rsidP="00AC6346">
      <w:pPr>
        <w:pStyle w:val="Default"/>
        <w:jc w:val="both"/>
        <w:rPr>
          <w:sz w:val="16"/>
          <w:szCs w:val="16"/>
          <w:highlight w:val="yellow"/>
        </w:rPr>
      </w:pPr>
    </w:p>
    <w:p w:rsidR="00B722DF" w:rsidRPr="00D62B23" w:rsidRDefault="00E964F4" w:rsidP="00614E9A">
      <w:pPr>
        <w:pStyle w:val="Bezodstpw"/>
        <w:ind w:left="1410" w:hanging="1410"/>
        <w:jc w:val="both"/>
        <w:rPr>
          <w:rFonts w:ascii="Times New Roman" w:hAnsi="Times New Roman" w:cs="Times New Roman"/>
          <w:sz w:val="16"/>
          <w:szCs w:val="16"/>
          <w:highlight w:val="yellow"/>
        </w:rPr>
      </w:pPr>
      <w:r w:rsidRPr="00E964F4">
        <w:rPr>
          <w:noProof/>
          <w:lang w:eastAsia="pl-PL"/>
        </w:rPr>
        <w:drawing>
          <wp:inline distT="0" distB="0" distL="0" distR="0" wp14:anchorId="164D0E19" wp14:editId="252288B6">
            <wp:extent cx="5757061" cy="2516429"/>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2517473"/>
                    </a:xfrm>
                    <a:prstGeom prst="rect">
                      <a:avLst/>
                    </a:prstGeom>
                    <a:noFill/>
                    <a:ln>
                      <a:noFill/>
                    </a:ln>
                  </pic:spPr>
                </pic:pic>
              </a:graphicData>
            </a:graphic>
          </wp:inline>
        </w:drawing>
      </w:r>
    </w:p>
    <w:p w:rsidR="00614E9A" w:rsidRPr="00D62B23" w:rsidRDefault="00614E9A" w:rsidP="004267EE">
      <w:pPr>
        <w:pStyle w:val="Default"/>
        <w:jc w:val="both"/>
        <w:rPr>
          <w:sz w:val="16"/>
          <w:szCs w:val="16"/>
          <w:highlight w:val="yellow"/>
        </w:rPr>
      </w:pPr>
    </w:p>
    <w:p w:rsidR="00AC6346" w:rsidRPr="00D62B23" w:rsidRDefault="00AC6346" w:rsidP="004267EE">
      <w:pPr>
        <w:pStyle w:val="Default"/>
        <w:jc w:val="both"/>
        <w:rPr>
          <w:sz w:val="16"/>
          <w:szCs w:val="16"/>
          <w:highlight w:val="yellow"/>
        </w:rPr>
      </w:pPr>
    </w:p>
    <w:p w:rsidR="007A3C22" w:rsidRPr="00D62B23" w:rsidRDefault="00E964F4" w:rsidP="004267EE">
      <w:pPr>
        <w:pStyle w:val="Default"/>
        <w:jc w:val="both"/>
        <w:rPr>
          <w:sz w:val="16"/>
          <w:szCs w:val="16"/>
          <w:highlight w:val="yellow"/>
        </w:rPr>
      </w:pPr>
      <w:r w:rsidRPr="00E964F4">
        <w:rPr>
          <w:noProof/>
          <w:lang w:eastAsia="pl-PL"/>
        </w:rPr>
        <w:drawing>
          <wp:inline distT="0" distB="0" distL="0" distR="0" wp14:anchorId="38E3675D" wp14:editId="07012BF0">
            <wp:extent cx="5756196" cy="240670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9450" cy="2408061"/>
                    </a:xfrm>
                    <a:prstGeom prst="rect">
                      <a:avLst/>
                    </a:prstGeom>
                    <a:noFill/>
                    <a:ln>
                      <a:noFill/>
                    </a:ln>
                  </pic:spPr>
                </pic:pic>
              </a:graphicData>
            </a:graphic>
          </wp:inline>
        </w:drawing>
      </w:r>
    </w:p>
    <w:p w:rsidR="00AF5B75" w:rsidRPr="00D62B23" w:rsidRDefault="00AF5B75">
      <w:pPr>
        <w:rPr>
          <w:rFonts w:ascii="Times New Roman" w:hAnsi="Times New Roman" w:cs="Times New Roman"/>
          <w:color w:val="000000"/>
          <w:sz w:val="16"/>
          <w:szCs w:val="16"/>
          <w:highlight w:val="yellow"/>
        </w:rPr>
      </w:pPr>
      <w:r w:rsidRPr="00D62B23">
        <w:rPr>
          <w:sz w:val="16"/>
          <w:szCs w:val="16"/>
          <w:highlight w:val="yellow"/>
        </w:rPr>
        <w:br w:type="page"/>
      </w:r>
    </w:p>
    <w:p w:rsidR="004267EE" w:rsidRDefault="00E964F4" w:rsidP="00926A24">
      <w:pPr>
        <w:pStyle w:val="Default"/>
        <w:jc w:val="both"/>
        <w:rPr>
          <w:sz w:val="16"/>
          <w:szCs w:val="16"/>
          <w:highlight w:val="yellow"/>
        </w:rPr>
      </w:pPr>
      <w:r w:rsidRPr="00E964F4">
        <w:rPr>
          <w:noProof/>
          <w:lang w:eastAsia="pl-PL"/>
        </w:rPr>
        <w:lastRenderedPageBreak/>
        <w:drawing>
          <wp:inline distT="0" distB="0" distL="0" distR="0" wp14:anchorId="52FF3ECC" wp14:editId="2519032F">
            <wp:extent cx="5756804" cy="4513478"/>
            <wp:effectExtent l="0" t="0" r="0" b="1905"/>
            <wp:docPr id="672" name="Obraz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4515552"/>
                    </a:xfrm>
                    <a:prstGeom prst="rect">
                      <a:avLst/>
                    </a:prstGeom>
                    <a:noFill/>
                    <a:ln>
                      <a:noFill/>
                    </a:ln>
                  </pic:spPr>
                </pic:pic>
              </a:graphicData>
            </a:graphic>
          </wp:inline>
        </w:drawing>
      </w:r>
    </w:p>
    <w:p w:rsidR="00581A79" w:rsidRPr="00D62B23" w:rsidRDefault="00581A79" w:rsidP="00926A24">
      <w:pPr>
        <w:pStyle w:val="Default"/>
        <w:jc w:val="both"/>
        <w:rPr>
          <w:sz w:val="16"/>
          <w:szCs w:val="16"/>
          <w:highlight w:val="yellow"/>
        </w:rPr>
      </w:pPr>
    </w:p>
    <w:p w:rsidR="00581A79" w:rsidRDefault="00E964F4" w:rsidP="00926A24">
      <w:pPr>
        <w:pStyle w:val="Default"/>
        <w:jc w:val="both"/>
        <w:rPr>
          <w:sz w:val="16"/>
          <w:szCs w:val="16"/>
          <w:highlight w:val="yellow"/>
        </w:rPr>
      </w:pPr>
      <w:r w:rsidRPr="00E964F4">
        <w:rPr>
          <w:noProof/>
          <w:lang w:eastAsia="pl-PL"/>
        </w:rPr>
        <w:drawing>
          <wp:inline distT="0" distB="0" distL="0" distR="0" wp14:anchorId="4251843C" wp14:editId="4C4AB6E1">
            <wp:extent cx="5742431" cy="4067251"/>
            <wp:effectExtent l="0" t="0" r="0" b="0"/>
            <wp:docPr id="686" name="Obraz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9450" cy="4079305"/>
                    </a:xfrm>
                    <a:prstGeom prst="rect">
                      <a:avLst/>
                    </a:prstGeom>
                    <a:noFill/>
                    <a:ln>
                      <a:noFill/>
                    </a:ln>
                  </pic:spPr>
                </pic:pic>
              </a:graphicData>
            </a:graphic>
          </wp:inline>
        </w:drawing>
      </w:r>
    </w:p>
    <w:p w:rsidR="00926A24" w:rsidRDefault="00926A24">
      <w:pPr>
        <w:rPr>
          <w:rFonts w:ascii="Times New Roman" w:hAnsi="Times New Roman" w:cs="Times New Roman"/>
          <w:color w:val="000000"/>
          <w:sz w:val="16"/>
          <w:szCs w:val="16"/>
          <w:highlight w:val="yellow"/>
        </w:rPr>
      </w:pPr>
      <w:r>
        <w:rPr>
          <w:sz w:val="16"/>
          <w:szCs w:val="16"/>
          <w:highlight w:val="yellow"/>
        </w:rPr>
        <w:br w:type="page"/>
      </w:r>
    </w:p>
    <w:p w:rsidR="00404BFA" w:rsidRPr="000E51B3" w:rsidRDefault="000B5D76"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0E51B3">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404BFA" w:rsidRPr="000E51B3" w:rsidRDefault="00404BFA" w:rsidP="00404BFA">
      <w:pPr>
        <w:pStyle w:val="Tekstpodstawowywcity"/>
        <w:spacing w:after="0" w:line="360" w:lineRule="auto"/>
        <w:ind w:left="0"/>
        <w:jc w:val="both"/>
        <w:rPr>
          <w:rFonts w:ascii="Times New Roman" w:hAnsi="Times New Roman" w:cs="Times New Roman"/>
          <w:szCs w:val="24"/>
        </w:rPr>
      </w:pPr>
      <w:r w:rsidRPr="000E51B3">
        <w:rPr>
          <w:rFonts w:ascii="Times New Roman" w:hAnsi="Times New Roman" w:cs="Times New Roman"/>
          <w:szCs w:val="24"/>
        </w:rPr>
        <w:t>(na podstawie danych</w:t>
      </w:r>
      <w:r w:rsidR="00AE5712" w:rsidRPr="000E51B3">
        <w:rPr>
          <w:rFonts w:ascii="Times New Roman" w:hAnsi="Times New Roman" w:cs="Times New Roman"/>
          <w:szCs w:val="24"/>
        </w:rPr>
        <w:t xml:space="preserve"> z </w:t>
      </w:r>
      <w:r w:rsidR="00614E9A" w:rsidRPr="000E51B3">
        <w:rPr>
          <w:rFonts w:ascii="Times New Roman" w:hAnsi="Times New Roman" w:cs="Times New Roman"/>
          <w:szCs w:val="24"/>
        </w:rPr>
        <w:t>t</w:t>
      </w:r>
      <w:r w:rsidRPr="000E51B3">
        <w:rPr>
          <w:rFonts w:ascii="Times New Roman" w:hAnsi="Times New Roman" w:cs="Times New Roman"/>
          <w:szCs w:val="24"/>
        </w:rPr>
        <w:t>abel</w:t>
      </w:r>
      <w:r w:rsidR="00614E9A" w:rsidRPr="000E51B3">
        <w:rPr>
          <w:rFonts w:ascii="Times New Roman" w:hAnsi="Times New Roman" w:cs="Times New Roman"/>
          <w:szCs w:val="24"/>
        </w:rPr>
        <w:t>:</w:t>
      </w:r>
      <w:r w:rsidRPr="000E51B3">
        <w:rPr>
          <w:rFonts w:ascii="Times New Roman" w:hAnsi="Times New Roman" w:cs="Times New Roman"/>
          <w:szCs w:val="24"/>
        </w:rPr>
        <w:t xml:space="preserve"> </w:t>
      </w:r>
      <w:r w:rsidR="00614E9A" w:rsidRPr="000E51B3">
        <w:rPr>
          <w:rFonts w:ascii="Times New Roman" w:hAnsi="Times New Roman" w:cs="Times New Roman"/>
          <w:szCs w:val="24"/>
        </w:rPr>
        <w:t>X</w:t>
      </w:r>
      <w:r w:rsidR="00E964F4">
        <w:rPr>
          <w:rFonts w:ascii="Times New Roman" w:hAnsi="Times New Roman" w:cs="Times New Roman"/>
          <w:szCs w:val="24"/>
        </w:rPr>
        <w:t>III</w:t>
      </w:r>
      <w:r w:rsidR="00614E9A" w:rsidRPr="000E51B3">
        <w:rPr>
          <w:rFonts w:ascii="Times New Roman" w:hAnsi="Times New Roman" w:cs="Times New Roman"/>
          <w:szCs w:val="24"/>
        </w:rPr>
        <w:t>, X</w:t>
      </w:r>
      <w:r w:rsidR="00E964F4">
        <w:rPr>
          <w:rFonts w:ascii="Times New Roman" w:hAnsi="Times New Roman" w:cs="Times New Roman"/>
          <w:szCs w:val="24"/>
        </w:rPr>
        <w:t>I</w:t>
      </w:r>
      <w:r w:rsidR="00B722DF" w:rsidRPr="000E51B3">
        <w:rPr>
          <w:rFonts w:ascii="Times New Roman" w:hAnsi="Times New Roman" w:cs="Times New Roman"/>
          <w:szCs w:val="24"/>
        </w:rPr>
        <w:t>V</w:t>
      </w:r>
      <w:r w:rsidR="00614E9A" w:rsidRPr="000E51B3">
        <w:rPr>
          <w:rFonts w:ascii="Times New Roman" w:hAnsi="Times New Roman" w:cs="Times New Roman"/>
          <w:szCs w:val="24"/>
        </w:rPr>
        <w:t xml:space="preserve"> i </w:t>
      </w:r>
      <w:r w:rsidR="00B722DF" w:rsidRPr="000E51B3">
        <w:rPr>
          <w:rFonts w:ascii="Times New Roman" w:hAnsi="Times New Roman" w:cs="Times New Roman"/>
          <w:szCs w:val="24"/>
        </w:rPr>
        <w:t>XVI</w:t>
      </w:r>
      <w:r w:rsidRPr="000E51B3">
        <w:rPr>
          <w:rFonts w:ascii="Times New Roman" w:hAnsi="Times New Roman" w:cs="Times New Roman"/>
          <w:szCs w:val="24"/>
        </w:rPr>
        <w:t>)</w:t>
      </w:r>
    </w:p>
    <w:p w:rsidR="00D92058" w:rsidRPr="00D62B23" w:rsidRDefault="00D92058" w:rsidP="00404BFA">
      <w:pPr>
        <w:pStyle w:val="Tekstpodstawowywcity"/>
        <w:spacing w:after="0" w:line="360" w:lineRule="auto"/>
        <w:ind w:left="0"/>
        <w:jc w:val="both"/>
        <w:rPr>
          <w:rFonts w:ascii="Times New Roman" w:hAnsi="Times New Roman" w:cs="Times New Roman"/>
          <w:sz w:val="16"/>
          <w:szCs w:val="16"/>
          <w:highlight w:val="yellow"/>
        </w:rPr>
      </w:pPr>
    </w:p>
    <w:p w:rsidR="00175CC4" w:rsidRPr="000E51B3" w:rsidRDefault="00175CC4" w:rsidP="00175CC4">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E51B3">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Udział bezrobotnych w szczególnej sytuacji na rynku pracy</w:t>
      </w:r>
    </w:p>
    <w:p w:rsidR="009B654E" w:rsidRPr="000E51B3" w:rsidRDefault="00175CC4" w:rsidP="00175CC4">
      <w:pPr>
        <w:pStyle w:val="Default"/>
        <w:jc w:val="center"/>
        <w:rPr>
          <w:b/>
        </w:rPr>
      </w:pPr>
      <w:r w:rsidRPr="000E51B3">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 stosunku do ogółu bezrobotnych</w:t>
      </w:r>
    </w:p>
    <w:p w:rsidR="00AF5B75" w:rsidRPr="00D62B23" w:rsidRDefault="00AF5B75" w:rsidP="00AF5B75">
      <w:pPr>
        <w:pStyle w:val="Default"/>
        <w:rPr>
          <w:sz w:val="16"/>
          <w:szCs w:val="16"/>
          <w:highlight w:val="yellow"/>
        </w:rPr>
      </w:pPr>
    </w:p>
    <w:p w:rsidR="00AF5B75" w:rsidRPr="00D62B23" w:rsidRDefault="00870CD1" w:rsidP="00AF5B75">
      <w:pPr>
        <w:pStyle w:val="Default"/>
        <w:rPr>
          <w:sz w:val="16"/>
          <w:szCs w:val="16"/>
          <w:highlight w:val="yellow"/>
        </w:rPr>
      </w:pPr>
      <w:r>
        <w:rPr>
          <w:noProof/>
          <w:lang w:eastAsia="pl-PL"/>
        </w:rPr>
        <w:drawing>
          <wp:anchor distT="0" distB="0" distL="114300" distR="114300" simplePos="0" relativeHeight="251858944" behindDoc="0" locked="0" layoutInCell="1" allowOverlap="1" wp14:anchorId="5288DBFB" wp14:editId="676C19F4">
            <wp:simplePos x="0" y="0"/>
            <wp:positionH relativeFrom="column">
              <wp:posOffset>1118870</wp:posOffset>
            </wp:positionH>
            <wp:positionV relativeFrom="paragraph">
              <wp:posOffset>20320</wp:posOffset>
            </wp:positionV>
            <wp:extent cx="3619500" cy="2543175"/>
            <wp:effectExtent l="0" t="0" r="0" b="0"/>
            <wp:wrapSquare wrapText="bothSides"/>
            <wp:docPr id="704" name="Wykres 7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page">
              <wp14:pctWidth>0</wp14:pctWidth>
            </wp14:sizeRelH>
            <wp14:sizeRelV relativeFrom="page">
              <wp14:pctHeight>0</wp14:pctHeight>
            </wp14:sizeRelV>
          </wp:anchor>
        </w:drawing>
      </w: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Default="00AF5B75" w:rsidP="00AF5B75">
      <w:pPr>
        <w:pStyle w:val="Default"/>
        <w:rPr>
          <w:sz w:val="16"/>
          <w:szCs w:val="16"/>
          <w:highlight w:val="yellow"/>
        </w:rPr>
      </w:pPr>
    </w:p>
    <w:p w:rsidR="00870CD1" w:rsidRDefault="00870CD1" w:rsidP="00AF5B75">
      <w:pPr>
        <w:pStyle w:val="Default"/>
        <w:rPr>
          <w:sz w:val="16"/>
          <w:szCs w:val="16"/>
          <w:highlight w:val="yellow"/>
        </w:rPr>
      </w:pPr>
    </w:p>
    <w:p w:rsidR="00870CD1" w:rsidRDefault="00870CD1" w:rsidP="00AF5B75">
      <w:pPr>
        <w:pStyle w:val="Default"/>
        <w:rPr>
          <w:sz w:val="16"/>
          <w:szCs w:val="16"/>
          <w:highlight w:val="yellow"/>
        </w:rPr>
      </w:pPr>
    </w:p>
    <w:p w:rsidR="00870CD1" w:rsidRDefault="00870CD1" w:rsidP="00AF5B75">
      <w:pPr>
        <w:pStyle w:val="Default"/>
        <w:rPr>
          <w:sz w:val="16"/>
          <w:szCs w:val="16"/>
          <w:highlight w:val="yellow"/>
        </w:rPr>
      </w:pPr>
    </w:p>
    <w:p w:rsidR="00870CD1" w:rsidRDefault="00870CD1" w:rsidP="00AF5B75">
      <w:pPr>
        <w:pStyle w:val="Default"/>
        <w:rPr>
          <w:sz w:val="16"/>
          <w:szCs w:val="16"/>
          <w:highlight w:val="yellow"/>
        </w:rPr>
      </w:pPr>
    </w:p>
    <w:p w:rsidR="00870CD1" w:rsidRDefault="00870CD1" w:rsidP="00AF5B75">
      <w:pPr>
        <w:pStyle w:val="Default"/>
        <w:rPr>
          <w:sz w:val="16"/>
          <w:szCs w:val="16"/>
          <w:highlight w:val="yellow"/>
        </w:rPr>
      </w:pPr>
    </w:p>
    <w:p w:rsidR="00870CD1" w:rsidRDefault="00870CD1" w:rsidP="00AF5B75">
      <w:pPr>
        <w:pStyle w:val="Default"/>
        <w:rPr>
          <w:sz w:val="16"/>
          <w:szCs w:val="16"/>
          <w:highlight w:val="yellow"/>
        </w:rPr>
      </w:pPr>
    </w:p>
    <w:p w:rsidR="00870CD1" w:rsidRDefault="00870CD1" w:rsidP="00AF5B75">
      <w:pPr>
        <w:pStyle w:val="Default"/>
        <w:rPr>
          <w:sz w:val="16"/>
          <w:szCs w:val="16"/>
          <w:highlight w:val="yellow"/>
        </w:rPr>
      </w:pPr>
    </w:p>
    <w:p w:rsidR="00870CD1" w:rsidRDefault="00870CD1" w:rsidP="00AF5B75">
      <w:pPr>
        <w:pStyle w:val="Default"/>
        <w:rPr>
          <w:sz w:val="16"/>
          <w:szCs w:val="16"/>
          <w:highlight w:val="yellow"/>
        </w:rPr>
      </w:pPr>
    </w:p>
    <w:p w:rsidR="00870CD1" w:rsidRPr="00D62B23" w:rsidRDefault="00870CD1" w:rsidP="00AF5B75">
      <w:pPr>
        <w:pStyle w:val="Default"/>
        <w:rPr>
          <w:sz w:val="16"/>
          <w:szCs w:val="16"/>
          <w:highlight w:val="yellow"/>
        </w:rPr>
      </w:pPr>
    </w:p>
    <w:p w:rsidR="00AF5B75" w:rsidRPr="00D62B23" w:rsidRDefault="00AF5B75" w:rsidP="00AF5B75">
      <w:pPr>
        <w:pStyle w:val="Default"/>
        <w:rPr>
          <w:sz w:val="16"/>
          <w:szCs w:val="16"/>
          <w:highlight w:val="yellow"/>
        </w:rPr>
      </w:pPr>
    </w:p>
    <w:p w:rsidR="00AF5B75" w:rsidRPr="00D62B23" w:rsidRDefault="00AF5B75" w:rsidP="00AF5B75">
      <w:pPr>
        <w:pStyle w:val="Default"/>
        <w:rPr>
          <w:sz w:val="16"/>
          <w:szCs w:val="16"/>
          <w:highlight w:val="yellow"/>
        </w:rPr>
      </w:pPr>
    </w:p>
    <w:p w:rsidR="00B424C2" w:rsidRPr="00FE20F4" w:rsidRDefault="00FB1767" w:rsidP="009C0AF1">
      <w:pPr>
        <w:pStyle w:val="Default"/>
        <w:numPr>
          <w:ilvl w:val="0"/>
          <w:numId w:val="33"/>
        </w:numPr>
        <w:spacing w:line="360" w:lineRule="auto"/>
        <w:jc w:val="both"/>
      </w:pPr>
      <w:r w:rsidRPr="00FE20F4">
        <w:t>N</w:t>
      </w:r>
      <w:r w:rsidR="0067454E" w:rsidRPr="00FE20F4">
        <w:t>aj</w:t>
      </w:r>
      <w:r w:rsidR="007C0E95" w:rsidRPr="00FE20F4">
        <w:t>liczniejsz</w:t>
      </w:r>
      <w:r w:rsidR="00084282" w:rsidRPr="00FE20F4">
        <w:t>ą</w:t>
      </w:r>
      <w:r w:rsidR="007C0E95" w:rsidRPr="00FE20F4">
        <w:t xml:space="preserve"> grup</w:t>
      </w:r>
      <w:r w:rsidR="00084282" w:rsidRPr="00FE20F4">
        <w:t>ą</w:t>
      </w:r>
      <w:r w:rsidR="007C0E95" w:rsidRPr="00FE20F4">
        <w:t xml:space="preserve"> </w:t>
      </w:r>
      <w:r w:rsidR="00344344">
        <w:t xml:space="preserve">bezrobotnych </w:t>
      </w:r>
      <w:r w:rsidR="00AE5712" w:rsidRPr="00FE20F4">
        <w:t>w</w:t>
      </w:r>
      <w:r w:rsidR="00D92058" w:rsidRPr="00FE20F4">
        <w:t xml:space="preserve"> </w:t>
      </w:r>
      <w:r w:rsidR="007C0E95" w:rsidRPr="00FE20F4">
        <w:t xml:space="preserve">szczególnej sytuacji na rynku pracy </w:t>
      </w:r>
      <w:r w:rsidR="00674137" w:rsidRPr="00FE20F4">
        <w:t>były</w:t>
      </w:r>
      <w:r w:rsidR="007C0E95" w:rsidRPr="00FE20F4">
        <w:t xml:space="preserve"> osoby długotrwale bezrobotne </w:t>
      </w:r>
      <w:r w:rsidR="00D92058" w:rsidRPr="00FE20F4">
        <w:t xml:space="preserve">tj. </w:t>
      </w:r>
      <w:r w:rsidR="00CE2601" w:rsidRPr="00FE20F4">
        <w:t>4</w:t>
      </w:r>
      <w:r w:rsidR="008217F8" w:rsidRPr="00FE20F4">
        <w:t>8433</w:t>
      </w:r>
      <w:r w:rsidR="007C0E95" w:rsidRPr="00FE20F4">
        <w:t xml:space="preserve"> (</w:t>
      </w:r>
      <w:r w:rsidR="00302B29" w:rsidRPr="00FE20F4">
        <w:t>5</w:t>
      </w:r>
      <w:r w:rsidR="008217F8" w:rsidRPr="00FE20F4">
        <w:t>9</w:t>
      </w:r>
      <w:r w:rsidR="0067454E" w:rsidRPr="00FE20F4">
        <w:t>,</w:t>
      </w:r>
      <w:r w:rsidR="008217F8" w:rsidRPr="00FE20F4">
        <w:t>8</w:t>
      </w:r>
      <w:r w:rsidR="008F2E68">
        <w:t xml:space="preserve"> proc.</w:t>
      </w:r>
      <w:r w:rsidR="004E5582" w:rsidRPr="00FE20F4">
        <w:t xml:space="preserve"> ogółu bezrobotnych</w:t>
      </w:r>
      <w:r w:rsidR="007C0E95" w:rsidRPr="00FE20F4">
        <w:t>)</w:t>
      </w:r>
      <w:r w:rsidR="00E434BE" w:rsidRPr="00FE20F4">
        <w:t>.</w:t>
      </w:r>
      <w:r w:rsidR="00D04589" w:rsidRPr="00FE20F4">
        <w:t xml:space="preserve"> W</w:t>
      </w:r>
      <w:r w:rsidR="0026781B" w:rsidRPr="00FE20F4">
        <w:t xml:space="preserve"> stosunku do I</w:t>
      </w:r>
      <w:r w:rsidR="00344344">
        <w:t> </w:t>
      </w:r>
      <w:r w:rsidR="0026781B" w:rsidRPr="00FE20F4">
        <w:t>półrocza 20</w:t>
      </w:r>
      <w:r w:rsidR="00FE20F4" w:rsidRPr="00FE20F4">
        <w:t>20</w:t>
      </w:r>
      <w:r w:rsidR="0026781B" w:rsidRPr="00FE20F4">
        <w:t xml:space="preserve"> r</w:t>
      </w:r>
      <w:r w:rsidR="00D04589" w:rsidRPr="00FE20F4">
        <w:t>oku</w:t>
      </w:r>
      <w:r w:rsidR="0026781B" w:rsidRPr="00FE20F4">
        <w:t xml:space="preserve"> </w:t>
      </w:r>
      <w:r w:rsidR="00B424C2" w:rsidRPr="00FE20F4">
        <w:t xml:space="preserve">liczba </w:t>
      </w:r>
      <w:r w:rsidR="0026781B" w:rsidRPr="00FE20F4">
        <w:t xml:space="preserve">bezrobotnych długotrwale </w:t>
      </w:r>
      <w:r w:rsidR="00D04589" w:rsidRPr="00FE20F4">
        <w:t>wzr</w:t>
      </w:r>
      <w:r w:rsidR="00B424C2" w:rsidRPr="00FE20F4">
        <w:t xml:space="preserve">osła </w:t>
      </w:r>
      <w:r w:rsidR="0026781B" w:rsidRPr="00FE20F4">
        <w:t xml:space="preserve">o </w:t>
      </w:r>
      <w:r w:rsidR="00FE20F4" w:rsidRPr="00FE20F4">
        <w:t>3414</w:t>
      </w:r>
      <w:r w:rsidR="00D04589" w:rsidRPr="00FE20F4">
        <w:t xml:space="preserve"> osób tj. o</w:t>
      </w:r>
      <w:r w:rsidR="008F2E68">
        <w:t> </w:t>
      </w:r>
      <w:r w:rsidR="00FE20F4" w:rsidRPr="00FE20F4">
        <w:t>7</w:t>
      </w:r>
      <w:r w:rsidR="0026781B" w:rsidRPr="00FE20F4">
        <w:t>,</w:t>
      </w:r>
      <w:r w:rsidR="00344344">
        <w:t>6</w:t>
      </w:r>
      <w:r w:rsidR="008F2E68">
        <w:t> </w:t>
      </w:r>
      <w:r w:rsidR="004E5582" w:rsidRPr="00FE20F4">
        <w:t xml:space="preserve">pkt. proc. </w:t>
      </w:r>
      <w:r w:rsidR="00344344">
        <w:t>U</w:t>
      </w:r>
      <w:r w:rsidR="00D04589" w:rsidRPr="00FE20F4">
        <w:t xml:space="preserve">dział </w:t>
      </w:r>
      <w:r w:rsidR="00344344">
        <w:t xml:space="preserve">długotrwale </w:t>
      </w:r>
      <w:r w:rsidR="008007E1" w:rsidRPr="00FE20F4">
        <w:t xml:space="preserve">bezrobotnych </w:t>
      </w:r>
      <w:r w:rsidR="00344344">
        <w:t xml:space="preserve">wśród bezrobotnych ogółem </w:t>
      </w:r>
      <w:r w:rsidR="0026781B" w:rsidRPr="00FE20F4">
        <w:t>z</w:t>
      </w:r>
      <w:r w:rsidR="00FE20F4" w:rsidRPr="00FE20F4">
        <w:t>większył się z</w:t>
      </w:r>
      <w:r w:rsidR="0026781B" w:rsidRPr="00FE20F4">
        <w:t xml:space="preserve"> </w:t>
      </w:r>
      <w:r w:rsidR="00D04589" w:rsidRPr="00FE20F4">
        <w:t>5</w:t>
      </w:r>
      <w:r w:rsidR="00FE20F4" w:rsidRPr="00FE20F4">
        <w:t>2</w:t>
      </w:r>
      <w:r w:rsidR="005E7EB7" w:rsidRPr="00FE20F4">
        <w:t>,</w:t>
      </w:r>
      <w:r w:rsidR="00FE20F4" w:rsidRPr="00FE20F4">
        <w:t>3</w:t>
      </w:r>
      <w:r w:rsidR="008F2E68">
        <w:t xml:space="preserve"> proc.</w:t>
      </w:r>
      <w:r w:rsidR="00CC18AD" w:rsidRPr="00FE20F4">
        <w:t xml:space="preserve"> </w:t>
      </w:r>
      <w:r w:rsidR="0026781B" w:rsidRPr="00FE20F4">
        <w:t>do</w:t>
      </w:r>
      <w:r w:rsidR="00CC18AD" w:rsidRPr="00FE20F4">
        <w:t xml:space="preserve"> </w:t>
      </w:r>
      <w:r w:rsidR="00302B29" w:rsidRPr="00FE20F4">
        <w:t>5</w:t>
      </w:r>
      <w:r w:rsidR="00FE20F4" w:rsidRPr="00FE20F4">
        <w:t>9</w:t>
      </w:r>
      <w:r w:rsidR="00CC18AD" w:rsidRPr="00FE20F4">
        <w:t>,</w:t>
      </w:r>
      <w:r w:rsidR="00FE20F4" w:rsidRPr="00FE20F4">
        <w:t>8</w:t>
      </w:r>
      <w:r w:rsidR="00640239">
        <w:t xml:space="preserve"> proc.</w:t>
      </w:r>
      <w:r w:rsidR="00344344">
        <w:t xml:space="preserve"> tj. o 7,5 pkt. proc</w:t>
      </w:r>
      <w:r w:rsidR="00CC18AD" w:rsidRPr="00FE20F4">
        <w:t>.</w:t>
      </w:r>
    </w:p>
    <w:p w:rsidR="00FE20F4" w:rsidRPr="00FE20F4" w:rsidRDefault="00CB472E" w:rsidP="00FE20F4">
      <w:pPr>
        <w:pStyle w:val="Default"/>
        <w:numPr>
          <w:ilvl w:val="0"/>
          <w:numId w:val="33"/>
        </w:numPr>
        <w:spacing w:line="360" w:lineRule="auto"/>
        <w:jc w:val="both"/>
      </w:pPr>
      <w:r w:rsidRPr="00FE20F4">
        <w:t>D</w:t>
      </w:r>
      <w:r w:rsidR="007C0E95" w:rsidRPr="00FE20F4">
        <w:t>rugą</w:t>
      </w:r>
      <w:r w:rsidR="00AE5712" w:rsidRPr="00FE20F4">
        <w:t xml:space="preserve"> </w:t>
      </w:r>
      <w:r w:rsidR="00C82AB0" w:rsidRPr="00FE20F4">
        <w:t xml:space="preserve">pod względem </w:t>
      </w:r>
      <w:r w:rsidR="007C0E95" w:rsidRPr="00FE20F4">
        <w:t xml:space="preserve">liczebności </w:t>
      </w:r>
      <w:r w:rsidR="00C82AB0" w:rsidRPr="00FE20F4">
        <w:t xml:space="preserve">grupę w szczególnej sytuacji na rynku pracy </w:t>
      </w:r>
      <w:r w:rsidR="007C0E95" w:rsidRPr="00FE20F4">
        <w:t>stanowi</w:t>
      </w:r>
      <w:r w:rsidR="00674137" w:rsidRPr="00FE20F4">
        <w:t>ły</w:t>
      </w:r>
      <w:r w:rsidR="00C82AB0" w:rsidRPr="00FE20F4">
        <w:t xml:space="preserve"> </w:t>
      </w:r>
      <w:r w:rsidR="007C0E95" w:rsidRPr="00FE20F4">
        <w:t>o</w:t>
      </w:r>
      <w:r w:rsidR="00C82AB0" w:rsidRPr="00FE20F4">
        <w:t>so</w:t>
      </w:r>
      <w:r w:rsidR="007C0E95" w:rsidRPr="00FE20F4">
        <w:t>b</w:t>
      </w:r>
      <w:r w:rsidR="00C82AB0" w:rsidRPr="00FE20F4">
        <w:t>y</w:t>
      </w:r>
      <w:r w:rsidR="007C0E95" w:rsidRPr="00FE20F4">
        <w:t xml:space="preserve"> do 30 roku życia</w:t>
      </w:r>
      <w:r w:rsidR="00FE20F4" w:rsidRPr="00FE20F4">
        <w:t xml:space="preserve"> tj. 21280 (26,3</w:t>
      </w:r>
      <w:r w:rsidR="008F2E68">
        <w:t xml:space="preserve"> proc.</w:t>
      </w:r>
      <w:r w:rsidR="00FE20F4" w:rsidRPr="00FE20F4">
        <w:t xml:space="preserve"> ogółu bezrobotnych). W</w:t>
      </w:r>
      <w:r w:rsidR="008F2E68">
        <w:t> </w:t>
      </w:r>
      <w:r w:rsidR="00FE20F4" w:rsidRPr="00FE20F4">
        <w:t xml:space="preserve">stosunku do I półrocza 2020 roku liczba bezrobotnych do 30 roku życia spadła o 3801 osób tj. o 15,2 pkt. proc. </w:t>
      </w:r>
      <w:r w:rsidR="00344344">
        <w:t xml:space="preserve">Udział bezrobotnych do 30 roku życia wśród bezrobotnych ogółem </w:t>
      </w:r>
      <w:r w:rsidR="00FE20F4" w:rsidRPr="00FE20F4">
        <w:t>zmniejszył się z 29,1</w:t>
      </w:r>
      <w:r w:rsidR="008F2E68">
        <w:t xml:space="preserve"> proc.</w:t>
      </w:r>
      <w:r w:rsidR="00FE20F4" w:rsidRPr="00FE20F4">
        <w:t xml:space="preserve"> do 26,3</w:t>
      </w:r>
      <w:r w:rsidR="008F2E68">
        <w:t xml:space="preserve"> proc.</w:t>
      </w:r>
      <w:r w:rsidR="00344344">
        <w:t xml:space="preserve"> tj. o </w:t>
      </w:r>
      <w:r w:rsidR="007308D8">
        <w:t>2,8 pkt. proc</w:t>
      </w:r>
      <w:r w:rsidR="00FE20F4" w:rsidRPr="00FE20F4">
        <w:t>.</w:t>
      </w:r>
    </w:p>
    <w:p w:rsidR="00F6040F" w:rsidRPr="00D96644" w:rsidRDefault="00CB472E" w:rsidP="00D96644">
      <w:pPr>
        <w:pStyle w:val="Bezodstpw"/>
        <w:numPr>
          <w:ilvl w:val="0"/>
          <w:numId w:val="33"/>
        </w:numPr>
        <w:spacing w:line="360" w:lineRule="auto"/>
        <w:jc w:val="both"/>
        <w:rPr>
          <w:rFonts w:ascii="Times New Roman" w:hAnsi="Times New Roman" w:cs="Times New Roman"/>
          <w:sz w:val="24"/>
          <w:szCs w:val="24"/>
        </w:rPr>
      </w:pPr>
      <w:r w:rsidRPr="00D96644">
        <w:rPr>
          <w:rFonts w:ascii="Times New Roman" w:hAnsi="Times New Roman" w:cs="Times New Roman"/>
          <w:sz w:val="24"/>
          <w:szCs w:val="24"/>
        </w:rPr>
        <w:t>T</w:t>
      </w:r>
      <w:r w:rsidR="007C0E95" w:rsidRPr="00D96644">
        <w:rPr>
          <w:rFonts w:ascii="Times New Roman" w:hAnsi="Times New Roman" w:cs="Times New Roman"/>
          <w:sz w:val="24"/>
          <w:szCs w:val="24"/>
        </w:rPr>
        <w:t>rzecią</w:t>
      </w:r>
      <w:r w:rsidR="00AE5712" w:rsidRPr="00D96644">
        <w:rPr>
          <w:rFonts w:ascii="Times New Roman" w:hAnsi="Times New Roman" w:cs="Times New Roman"/>
          <w:sz w:val="24"/>
          <w:szCs w:val="24"/>
        </w:rPr>
        <w:t xml:space="preserve"> </w:t>
      </w:r>
      <w:r w:rsidR="007308D8">
        <w:rPr>
          <w:rFonts w:ascii="Times New Roman" w:hAnsi="Times New Roman" w:cs="Times New Roman"/>
          <w:sz w:val="24"/>
          <w:szCs w:val="24"/>
        </w:rPr>
        <w:t xml:space="preserve">pod </w:t>
      </w:r>
      <w:r w:rsidR="007C0E95" w:rsidRPr="00D96644">
        <w:rPr>
          <w:rFonts w:ascii="Times New Roman" w:hAnsi="Times New Roman" w:cs="Times New Roman"/>
          <w:sz w:val="24"/>
          <w:szCs w:val="24"/>
        </w:rPr>
        <w:t xml:space="preserve">względem liczebności </w:t>
      </w:r>
      <w:r w:rsidR="0037242F" w:rsidRPr="00D96644">
        <w:rPr>
          <w:rFonts w:ascii="Times New Roman" w:hAnsi="Times New Roman" w:cs="Times New Roman"/>
          <w:sz w:val="24"/>
          <w:szCs w:val="24"/>
        </w:rPr>
        <w:t xml:space="preserve">wśród osób będących w szczególnej sytuacji na rynku pracy </w:t>
      </w:r>
      <w:r w:rsidR="00AD59A2" w:rsidRPr="00D96644">
        <w:rPr>
          <w:rFonts w:ascii="Times New Roman" w:hAnsi="Times New Roman" w:cs="Times New Roman"/>
          <w:sz w:val="24"/>
          <w:szCs w:val="24"/>
        </w:rPr>
        <w:t>są</w:t>
      </w:r>
      <w:r w:rsidR="0037242F" w:rsidRPr="00D96644">
        <w:rPr>
          <w:rFonts w:ascii="Times New Roman" w:hAnsi="Times New Roman" w:cs="Times New Roman"/>
          <w:sz w:val="24"/>
          <w:szCs w:val="24"/>
        </w:rPr>
        <w:t xml:space="preserve"> bezrobotni </w:t>
      </w:r>
      <w:r w:rsidR="007C0E95" w:rsidRPr="00D96644">
        <w:rPr>
          <w:rFonts w:ascii="Times New Roman" w:hAnsi="Times New Roman" w:cs="Times New Roman"/>
          <w:sz w:val="24"/>
          <w:szCs w:val="24"/>
        </w:rPr>
        <w:t>powyżej 50 roku życia</w:t>
      </w:r>
      <w:r w:rsidR="00D96644" w:rsidRPr="00D96644">
        <w:rPr>
          <w:rFonts w:ascii="Times New Roman" w:hAnsi="Times New Roman" w:cs="Times New Roman"/>
          <w:sz w:val="24"/>
          <w:szCs w:val="24"/>
        </w:rPr>
        <w:t xml:space="preserve"> tj. </w:t>
      </w:r>
      <w:r w:rsidR="00F96AF8">
        <w:rPr>
          <w:rFonts w:ascii="Times New Roman" w:hAnsi="Times New Roman" w:cs="Times New Roman"/>
          <w:sz w:val="24"/>
          <w:szCs w:val="24"/>
        </w:rPr>
        <w:t>19172</w:t>
      </w:r>
      <w:r w:rsidR="00D96644" w:rsidRPr="00D96644">
        <w:rPr>
          <w:rFonts w:ascii="Times New Roman" w:hAnsi="Times New Roman" w:cs="Times New Roman"/>
          <w:sz w:val="24"/>
          <w:szCs w:val="24"/>
        </w:rPr>
        <w:t xml:space="preserve"> (2</w:t>
      </w:r>
      <w:r w:rsidR="00870CD1">
        <w:rPr>
          <w:rFonts w:ascii="Times New Roman" w:hAnsi="Times New Roman" w:cs="Times New Roman"/>
          <w:sz w:val="24"/>
          <w:szCs w:val="24"/>
        </w:rPr>
        <w:t>3</w:t>
      </w:r>
      <w:r w:rsidR="00D96644" w:rsidRPr="00D96644">
        <w:rPr>
          <w:rFonts w:ascii="Times New Roman" w:hAnsi="Times New Roman" w:cs="Times New Roman"/>
          <w:sz w:val="24"/>
          <w:szCs w:val="24"/>
        </w:rPr>
        <w:t>,</w:t>
      </w:r>
      <w:r w:rsidR="00870CD1">
        <w:rPr>
          <w:rFonts w:ascii="Times New Roman" w:hAnsi="Times New Roman" w:cs="Times New Roman"/>
          <w:sz w:val="24"/>
          <w:szCs w:val="24"/>
        </w:rPr>
        <w:t>7</w:t>
      </w:r>
      <w:r w:rsidR="008F2E68">
        <w:rPr>
          <w:rFonts w:ascii="Times New Roman" w:hAnsi="Times New Roman" w:cs="Times New Roman"/>
          <w:sz w:val="24"/>
          <w:szCs w:val="24"/>
        </w:rPr>
        <w:t xml:space="preserve"> proc.</w:t>
      </w:r>
      <w:r w:rsidR="00D96644" w:rsidRPr="00D96644">
        <w:rPr>
          <w:rFonts w:ascii="Times New Roman" w:hAnsi="Times New Roman" w:cs="Times New Roman"/>
          <w:sz w:val="24"/>
          <w:szCs w:val="24"/>
        </w:rPr>
        <w:t xml:space="preserve"> ogółu bezrobotnych). W</w:t>
      </w:r>
      <w:r w:rsidR="00870CD1">
        <w:rPr>
          <w:rFonts w:ascii="Times New Roman" w:hAnsi="Times New Roman" w:cs="Times New Roman"/>
          <w:sz w:val="24"/>
          <w:szCs w:val="24"/>
        </w:rPr>
        <w:t> </w:t>
      </w:r>
      <w:r w:rsidR="00D96644" w:rsidRPr="00D96644">
        <w:rPr>
          <w:rFonts w:ascii="Times New Roman" w:hAnsi="Times New Roman" w:cs="Times New Roman"/>
          <w:sz w:val="24"/>
          <w:szCs w:val="24"/>
        </w:rPr>
        <w:t xml:space="preserve">stosunku do I półrocza 2020 roku liczba bezrobotnych </w:t>
      </w:r>
      <w:r w:rsidR="00870CD1">
        <w:rPr>
          <w:rFonts w:ascii="Times New Roman" w:hAnsi="Times New Roman" w:cs="Times New Roman"/>
          <w:sz w:val="24"/>
          <w:szCs w:val="24"/>
        </w:rPr>
        <w:t>powyżej 50</w:t>
      </w:r>
      <w:r w:rsidR="00D96644" w:rsidRPr="00D96644">
        <w:rPr>
          <w:rFonts w:ascii="Times New Roman" w:hAnsi="Times New Roman" w:cs="Times New Roman"/>
          <w:sz w:val="24"/>
          <w:szCs w:val="24"/>
        </w:rPr>
        <w:t xml:space="preserve"> roku życia spadła o </w:t>
      </w:r>
      <w:r w:rsidR="00870CD1">
        <w:rPr>
          <w:rFonts w:ascii="Times New Roman" w:hAnsi="Times New Roman" w:cs="Times New Roman"/>
          <w:sz w:val="24"/>
          <w:szCs w:val="24"/>
        </w:rPr>
        <w:t>412</w:t>
      </w:r>
      <w:r w:rsidR="00D96644" w:rsidRPr="00D96644">
        <w:rPr>
          <w:rFonts w:ascii="Times New Roman" w:hAnsi="Times New Roman" w:cs="Times New Roman"/>
          <w:sz w:val="24"/>
          <w:szCs w:val="24"/>
        </w:rPr>
        <w:t xml:space="preserve"> osób tj. o </w:t>
      </w:r>
      <w:r w:rsidR="00870CD1">
        <w:rPr>
          <w:rFonts w:ascii="Times New Roman" w:hAnsi="Times New Roman" w:cs="Times New Roman"/>
          <w:sz w:val="24"/>
          <w:szCs w:val="24"/>
        </w:rPr>
        <w:t>2</w:t>
      </w:r>
      <w:r w:rsidR="00D96644" w:rsidRPr="00D96644">
        <w:rPr>
          <w:rFonts w:ascii="Times New Roman" w:hAnsi="Times New Roman" w:cs="Times New Roman"/>
          <w:sz w:val="24"/>
          <w:szCs w:val="24"/>
        </w:rPr>
        <w:t>,</w:t>
      </w:r>
      <w:r w:rsidR="00870CD1">
        <w:rPr>
          <w:rFonts w:ascii="Times New Roman" w:hAnsi="Times New Roman" w:cs="Times New Roman"/>
          <w:sz w:val="24"/>
          <w:szCs w:val="24"/>
        </w:rPr>
        <w:t>1</w:t>
      </w:r>
      <w:r w:rsidR="00D96644" w:rsidRPr="00D96644">
        <w:rPr>
          <w:rFonts w:ascii="Times New Roman" w:hAnsi="Times New Roman" w:cs="Times New Roman"/>
          <w:sz w:val="24"/>
          <w:szCs w:val="24"/>
        </w:rPr>
        <w:t xml:space="preserve"> pkt. proc. </w:t>
      </w:r>
      <w:r w:rsidR="007308D8">
        <w:rPr>
          <w:rFonts w:ascii="Times New Roman" w:hAnsi="Times New Roman" w:cs="Times New Roman"/>
          <w:sz w:val="24"/>
          <w:szCs w:val="24"/>
        </w:rPr>
        <w:t xml:space="preserve">Udział bezrobotnych powyżej 50 roku  życia </w:t>
      </w:r>
      <w:r w:rsidR="00D96644" w:rsidRPr="00D96644">
        <w:rPr>
          <w:rFonts w:ascii="Times New Roman" w:hAnsi="Times New Roman" w:cs="Times New Roman"/>
          <w:sz w:val="24"/>
          <w:szCs w:val="24"/>
        </w:rPr>
        <w:t xml:space="preserve">wśród bezrobotnych </w:t>
      </w:r>
      <w:r w:rsidR="007308D8">
        <w:rPr>
          <w:rFonts w:ascii="Times New Roman" w:hAnsi="Times New Roman" w:cs="Times New Roman"/>
          <w:sz w:val="24"/>
          <w:szCs w:val="24"/>
        </w:rPr>
        <w:t xml:space="preserve">ogółem </w:t>
      </w:r>
      <w:r w:rsidR="00870CD1">
        <w:rPr>
          <w:rFonts w:ascii="Times New Roman" w:hAnsi="Times New Roman" w:cs="Times New Roman"/>
          <w:sz w:val="24"/>
          <w:szCs w:val="24"/>
        </w:rPr>
        <w:t xml:space="preserve">zwiększył </w:t>
      </w:r>
      <w:r w:rsidR="00D96644" w:rsidRPr="00D96644">
        <w:rPr>
          <w:rFonts w:ascii="Times New Roman" w:hAnsi="Times New Roman" w:cs="Times New Roman"/>
          <w:sz w:val="24"/>
          <w:szCs w:val="24"/>
        </w:rPr>
        <w:t>się z</w:t>
      </w:r>
      <w:r w:rsidR="00870CD1">
        <w:rPr>
          <w:rFonts w:ascii="Times New Roman" w:hAnsi="Times New Roman" w:cs="Times New Roman"/>
          <w:sz w:val="24"/>
          <w:szCs w:val="24"/>
        </w:rPr>
        <w:t> </w:t>
      </w:r>
      <w:r w:rsidR="00D96644" w:rsidRPr="00D96644">
        <w:rPr>
          <w:rFonts w:ascii="Times New Roman" w:hAnsi="Times New Roman" w:cs="Times New Roman"/>
          <w:sz w:val="24"/>
          <w:szCs w:val="24"/>
        </w:rPr>
        <w:t>2</w:t>
      </w:r>
      <w:r w:rsidR="00870CD1">
        <w:rPr>
          <w:rFonts w:ascii="Times New Roman" w:hAnsi="Times New Roman" w:cs="Times New Roman"/>
          <w:sz w:val="24"/>
          <w:szCs w:val="24"/>
        </w:rPr>
        <w:t>2</w:t>
      </w:r>
      <w:r w:rsidR="00D96644" w:rsidRPr="00D96644">
        <w:rPr>
          <w:rFonts w:ascii="Times New Roman" w:hAnsi="Times New Roman" w:cs="Times New Roman"/>
          <w:sz w:val="24"/>
          <w:szCs w:val="24"/>
        </w:rPr>
        <w:t>,</w:t>
      </w:r>
      <w:r w:rsidR="00870CD1">
        <w:rPr>
          <w:rFonts w:ascii="Times New Roman" w:hAnsi="Times New Roman" w:cs="Times New Roman"/>
          <w:sz w:val="24"/>
          <w:szCs w:val="24"/>
        </w:rPr>
        <w:t>7</w:t>
      </w:r>
      <w:r w:rsidR="008F2E68">
        <w:rPr>
          <w:rFonts w:ascii="Times New Roman" w:hAnsi="Times New Roman" w:cs="Times New Roman"/>
          <w:sz w:val="24"/>
          <w:szCs w:val="24"/>
        </w:rPr>
        <w:t xml:space="preserve"> proc.</w:t>
      </w:r>
      <w:r w:rsidR="00D96644" w:rsidRPr="00D96644">
        <w:rPr>
          <w:rFonts w:ascii="Times New Roman" w:hAnsi="Times New Roman" w:cs="Times New Roman"/>
          <w:sz w:val="24"/>
          <w:szCs w:val="24"/>
        </w:rPr>
        <w:t xml:space="preserve"> do 2</w:t>
      </w:r>
      <w:r w:rsidR="00870CD1">
        <w:rPr>
          <w:rFonts w:ascii="Times New Roman" w:hAnsi="Times New Roman" w:cs="Times New Roman"/>
          <w:sz w:val="24"/>
          <w:szCs w:val="24"/>
        </w:rPr>
        <w:t>3</w:t>
      </w:r>
      <w:r w:rsidR="00D96644" w:rsidRPr="00D96644">
        <w:rPr>
          <w:rFonts w:ascii="Times New Roman" w:hAnsi="Times New Roman" w:cs="Times New Roman"/>
          <w:sz w:val="24"/>
          <w:szCs w:val="24"/>
        </w:rPr>
        <w:t>,</w:t>
      </w:r>
      <w:r w:rsidR="00870CD1">
        <w:rPr>
          <w:rFonts w:ascii="Times New Roman" w:hAnsi="Times New Roman" w:cs="Times New Roman"/>
          <w:sz w:val="24"/>
          <w:szCs w:val="24"/>
        </w:rPr>
        <w:t>7</w:t>
      </w:r>
      <w:r w:rsidR="008F2E68">
        <w:rPr>
          <w:rFonts w:ascii="Times New Roman" w:hAnsi="Times New Roman" w:cs="Times New Roman"/>
          <w:sz w:val="24"/>
          <w:szCs w:val="24"/>
        </w:rPr>
        <w:t xml:space="preserve"> proc.</w:t>
      </w:r>
      <w:r w:rsidR="007308D8">
        <w:rPr>
          <w:rFonts w:ascii="Times New Roman" w:hAnsi="Times New Roman" w:cs="Times New Roman"/>
          <w:sz w:val="24"/>
          <w:szCs w:val="24"/>
        </w:rPr>
        <w:t xml:space="preserve"> tj o 1,0 pkt. proc</w:t>
      </w:r>
      <w:r w:rsidR="00D96644" w:rsidRPr="00D96644">
        <w:rPr>
          <w:rFonts w:ascii="Times New Roman" w:hAnsi="Times New Roman" w:cs="Times New Roman"/>
          <w:sz w:val="24"/>
          <w:szCs w:val="24"/>
        </w:rPr>
        <w:t>.</w:t>
      </w:r>
    </w:p>
    <w:p w:rsidR="00870CD1" w:rsidRDefault="00870CD1">
      <w:pPr>
        <w:rPr>
          <w:rFonts w:ascii="Times New Roman" w:hAnsi="Times New Roman" w:cs="Times New Roman"/>
          <w:sz w:val="16"/>
          <w:szCs w:val="16"/>
          <w:highlight w:val="yellow"/>
        </w:rPr>
      </w:pPr>
      <w:r>
        <w:rPr>
          <w:rFonts w:ascii="Times New Roman" w:hAnsi="Times New Roman" w:cs="Times New Roman"/>
          <w:sz w:val="16"/>
          <w:szCs w:val="16"/>
          <w:highlight w:val="yellow"/>
        </w:rPr>
        <w:br w:type="page"/>
      </w:r>
    </w:p>
    <w:p w:rsidR="00870CD1" w:rsidRPr="000539A9" w:rsidRDefault="00870CD1" w:rsidP="000539A9">
      <w:pPr>
        <w:pStyle w:val="Bezodstpw"/>
        <w:ind w:left="357"/>
        <w:jc w:val="both"/>
        <w:rPr>
          <w:rFonts w:ascii="Times New Roman" w:hAnsi="Times New Roman" w:cs="Times New Roman"/>
          <w:sz w:val="16"/>
          <w:szCs w:val="16"/>
          <w:highlight w:val="yellow"/>
        </w:rPr>
      </w:pPr>
    </w:p>
    <w:p w:rsidR="00A2039C" w:rsidRPr="000539A9" w:rsidRDefault="00EC4005"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8" w:name="_Toc81396071"/>
      <w:r w:rsidRPr="000539A9">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Bezrobotni wg Polskiej Klasyfikacji</w:t>
      </w:r>
      <w:r w:rsidR="00663CE5" w:rsidRPr="000539A9">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0539A9">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Działalności</w:t>
      </w:r>
      <w:bookmarkEnd w:id="18"/>
    </w:p>
    <w:p w:rsidR="00A2039C" w:rsidRDefault="00A2039C" w:rsidP="00A2039C">
      <w:pPr>
        <w:pStyle w:val="Default"/>
        <w:jc w:val="both"/>
        <w:rPr>
          <w:sz w:val="16"/>
          <w:szCs w:val="16"/>
          <w:highlight w:val="yellow"/>
        </w:rPr>
      </w:pPr>
    </w:p>
    <w:p w:rsidR="00870CD1" w:rsidRPr="00D62B23" w:rsidRDefault="008B66D3" w:rsidP="00A2039C">
      <w:pPr>
        <w:pStyle w:val="Default"/>
        <w:jc w:val="both"/>
        <w:rPr>
          <w:sz w:val="16"/>
          <w:szCs w:val="16"/>
          <w:highlight w:val="yellow"/>
        </w:rPr>
      </w:pPr>
      <w:r w:rsidRPr="008B66D3">
        <w:rPr>
          <w:noProof/>
          <w:lang w:eastAsia="pl-PL"/>
        </w:rPr>
        <w:drawing>
          <wp:inline distT="0" distB="0" distL="0" distR="0" wp14:anchorId="43AF2A10" wp14:editId="31ED8A0B">
            <wp:extent cx="5759450" cy="5957246"/>
            <wp:effectExtent l="0" t="0" r="0" b="571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9450" cy="5957246"/>
                    </a:xfrm>
                    <a:prstGeom prst="rect">
                      <a:avLst/>
                    </a:prstGeom>
                    <a:noFill/>
                    <a:ln>
                      <a:noFill/>
                    </a:ln>
                  </pic:spPr>
                </pic:pic>
              </a:graphicData>
            </a:graphic>
          </wp:inline>
        </w:drawing>
      </w:r>
    </w:p>
    <w:p w:rsidR="00D8575B" w:rsidRDefault="00D8575B" w:rsidP="00A2039C">
      <w:pPr>
        <w:pStyle w:val="Default"/>
        <w:jc w:val="both"/>
        <w:rPr>
          <w:sz w:val="16"/>
          <w:szCs w:val="16"/>
          <w:highlight w:val="yellow"/>
        </w:rPr>
      </w:pPr>
    </w:p>
    <w:p w:rsidR="008B66D3" w:rsidRPr="00D62B23" w:rsidRDefault="008B66D3" w:rsidP="00A2039C">
      <w:pPr>
        <w:pStyle w:val="Default"/>
        <w:jc w:val="both"/>
        <w:rPr>
          <w:sz w:val="16"/>
          <w:szCs w:val="16"/>
          <w:highlight w:val="yellow"/>
        </w:rPr>
      </w:pPr>
    </w:p>
    <w:p w:rsidR="009A6205" w:rsidRPr="00870CD1" w:rsidRDefault="002B6DF5" w:rsidP="00452A1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870CD1">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9A6205" w:rsidRPr="00870CD1" w:rsidRDefault="009A6205" w:rsidP="009A6205">
      <w:pPr>
        <w:pStyle w:val="Tekstpodstawowywcity"/>
        <w:spacing w:after="0" w:line="360" w:lineRule="auto"/>
        <w:ind w:left="0"/>
        <w:jc w:val="both"/>
        <w:rPr>
          <w:rFonts w:ascii="Times New Roman" w:hAnsi="Times New Roman" w:cs="Times New Roman"/>
          <w:szCs w:val="24"/>
        </w:rPr>
      </w:pPr>
      <w:r w:rsidRPr="00870CD1">
        <w:rPr>
          <w:rFonts w:ascii="Times New Roman" w:hAnsi="Times New Roman" w:cs="Times New Roman"/>
          <w:szCs w:val="24"/>
        </w:rPr>
        <w:t>(na podstawie danych</w:t>
      </w:r>
      <w:r w:rsidR="00AE5712" w:rsidRPr="00870CD1">
        <w:rPr>
          <w:rFonts w:ascii="Times New Roman" w:hAnsi="Times New Roman" w:cs="Times New Roman"/>
          <w:szCs w:val="24"/>
        </w:rPr>
        <w:t xml:space="preserve"> z </w:t>
      </w:r>
      <w:r w:rsidR="00614E9A" w:rsidRPr="00870CD1">
        <w:rPr>
          <w:rFonts w:ascii="Times New Roman" w:hAnsi="Times New Roman" w:cs="Times New Roman"/>
          <w:szCs w:val="24"/>
        </w:rPr>
        <w:t>t</w:t>
      </w:r>
      <w:r w:rsidRPr="00870CD1">
        <w:rPr>
          <w:rFonts w:ascii="Times New Roman" w:hAnsi="Times New Roman" w:cs="Times New Roman"/>
          <w:szCs w:val="24"/>
        </w:rPr>
        <w:t xml:space="preserve">abeli </w:t>
      </w:r>
      <w:r w:rsidR="00E964F4">
        <w:rPr>
          <w:rFonts w:ascii="Times New Roman" w:hAnsi="Times New Roman" w:cs="Times New Roman"/>
          <w:szCs w:val="24"/>
        </w:rPr>
        <w:t>XVII</w:t>
      </w:r>
      <w:r w:rsidR="002B6DF5" w:rsidRPr="00870CD1">
        <w:rPr>
          <w:rFonts w:ascii="Times New Roman" w:hAnsi="Times New Roman" w:cs="Times New Roman"/>
          <w:szCs w:val="24"/>
        </w:rPr>
        <w:t>)</w:t>
      </w:r>
    </w:p>
    <w:p w:rsidR="00C10230" w:rsidRPr="00D62B23" w:rsidRDefault="00C10230" w:rsidP="00143549">
      <w:pPr>
        <w:pStyle w:val="Tekstpodstawowywcity"/>
        <w:spacing w:after="0" w:line="240" w:lineRule="auto"/>
        <w:ind w:left="0"/>
        <w:jc w:val="both"/>
        <w:rPr>
          <w:rFonts w:ascii="Times New Roman" w:hAnsi="Times New Roman" w:cs="Times New Roman"/>
          <w:sz w:val="16"/>
          <w:szCs w:val="16"/>
          <w:highlight w:val="yellow"/>
        </w:rPr>
      </w:pPr>
    </w:p>
    <w:p w:rsidR="00B30F64" w:rsidRPr="00F22D83" w:rsidRDefault="005F5C23" w:rsidP="00B82476">
      <w:pPr>
        <w:pStyle w:val="Default"/>
        <w:numPr>
          <w:ilvl w:val="0"/>
          <w:numId w:val="7"/>
        </w:numPr>
        <w:spacing w:line="360" w:lineRule="auto"/>
        <w:jc w:val="both"/>
      </w:pPr>
      <w:r>
        <w:t>Powyżej 5</w:t>
      </w:r>
      <w:r w:rsidR="008F2E68">
        <w:t xml:space="preserve"> proc.</w:t>
      </w:r>
      <w:r>
        <w:t xml:space="preserve"> udział w </w:t>
      </w:r>
      <w:r w:rsidR="00E964F4" w:rsidRPr="00F22D83">
        <w:t>ofert</w:t>
      </w:r>
      <w:r>
        <w:t>ach ogółem</w:t>
      </w:r>
      <w:r w:rsidR="00E964F4" w:rsidRPr="00F22D83">
        <w:t xml:space="preserve"> zgłosili pracodawcy </w:t>
      </w:r>
      <w:r>
        <w:t>w</w:t>
      </w:r>
      <w:r w:rsidR="00EC4005" w:rsidRPr="00F22D83">
        <w:t xml:space="preserve"> </w:t>
      </w:r>
      <w:r>
        <w:t xml:space="preserve">następujących </w:t>
      </w:r>
      <w:r w:rsidR="00EC4005" w:rsidRPr="00F22D83">
        <w:t>sekcj</w:t>
      </w:r>
      <w:r>
        <w:t>ach</w:t>
      </w:r>
      <w:r w:rsidR="00EC4005" w:rsidRPr="00F22D83">
        <w:t xml:space="preserve"> PKD</w:t>
      </w:r>
      <w:r w:rsidR="00E964F4" w:rsidRPr="00F22D83">
        <w:t>:</w:t>
      </w:r>
      <w:r w:rsidR="00EC4005" w:rsidRPr="00F22D83">
        <w:t xml:space="preserve"> </w:t>
      </w:r>
      <w:r w:rsidR="00C41D28" w:rsidRPr="00F22D83">
        <w:t xml:space="preserve">przetwórstwo przemysłowe – </w:t>
      </w:r>
      <w:r w:rsidR="00B30F64" w:rsidRPr="00F22D83">
        <w:t>22</w:t>
      </w:r>
      <w:r w:rsidR="00C41D28" w:rsidRPr="00F22D83">
        <w:t>,</w:t>
      </w:r>
      <w:r w:rsidR="00B30F64" w:rsidRPr="00F22D83">
        <w:t>9</w:t>
      </w:r>
      <w:r w:rsidR="008F2E68">
        <w:t xml:space="preserve"> proc.</w:t>
      </w:r>
      <w:r>
        <w:t xml:space="preserve"> ofert</w:t>
      </w:r>
      <w:r w:rsidR="00C41D28" w:rsidRPr="00F22D83">
        <w:t xml:space="preserve">, </w:t>
      </w:r>
      <w:r w:rsidR="00B30F64" w:rsidRPr="00F22D83">
        <w:t>budownictwo – 15,6</w:t>
      </w:r>
      <w:r w:rsidR="008F2E68">
        <w:t xml:space="preserve"> proc.</w:t>
      </w:r>
      <w:r w:rsidR="00B30F64" w:rsidRPr="00F22D83">
        <w:t>, handel – 14,4</w:t>
      </w:r>
      <w:r w:rsidR="008F2E68">
        <w:t xml:space="preserve"> proc.</w:t>
      </w:r>
      <w:r w:rsidR="00B30F64" w:rsidRPr="00F22D83">
        <w:t xml:space="preserve">, </w:t>
      </w:r>
      <w:r w:rsidR="00F22D83" w:rsidRPr="00F22D83">
        <w:t xml:space="preserve">działalność w zakresie usług administrowania i </w:t>
      </w:r>
      <w:r w:rsidR="00B30F64" w:rsidRPr="00F22D83">
        <w:t xml:space="preserve"> </w:t>
      </w:r>
      <w:r w:rsidR="00F22D83" w:rsidRPr="00F22D83">
        <w:t>działalność wspierająca – 9,3</w:t>
      </w:r>
      <w:r w:rsidR="008F2E68">
        <w:t> proc.</w:t>
      </w:r>
      <w:r w:rsidR="00F22D83" w:rsidRPr="00F22D83">
        <w:t>, administracja publiczna</w:t>
      </w:r>
      <w:r>
        <w:t>,</w:t>
      </w:r>
      <w:r w:rsidR="00F22D83" w:rsidRPr="00F22D83">
        <w:t xml:space="preserve"> obrona narodowa</w:t>
      </w:r>
      <w:r>
        <w:t xml:space="preserve"> i</w:t>
      </w:r>
      <w:r w:rsidR="00F22D83" w:rsidRPr="00F22D83">
        <w:t xml:space="preserve"> obowiązkowe zabezpieczenia społeczne – 7,7</w:t>
      </w:r>
      <w:r w:rsidR="008F2E68">
        <w:t xml:space="preserve"> proc</w:t>
      </w:r>
      <w:r w:rsidR="00F22D83" w:rsidRPr="00F22D83">
        <w:t>.</w:t>
      </w:r>
    </w:p>
    <w:p w:rsidR="00637B2D" w:rsidRPr="00D62B23" w:rsidRDefault="00637B2D" w:rsidP="00637B2D">
      <w:pPr>
        <w:pStyle w:val="Default"/>
        <w:jc w:val="both"/>
        <w:rPr>
          <w:sz w:val="16"/>
          <w:szCs w:val="16"/>
          <w:highlight w:val="yellow"/>
        </w:rPr>
      </w:pPr>
    </w:p>
    <w:p w:rsidR="00DC7BA9" w:rsidRPr="00E964F4" w:rsidRDefault="00EC4005"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9" w:name="_Toc81396072"/>
      <w:r w:rsidRPr="00E964F4">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Bezrobotni wg zawodów</w:t>
      </w:r>
      <w:bookmarkEnd w:id="19"/>
    </w:p>
    <w:p w:rsidR="00DC7BA9" w:rsidRPr="00D62B23" w:rsidRDefault="00DC7BA9" w:rsidP="00DC7BA9">
      <w:pPr>
        <w:pStyle w:val="Default"/>
        <w:jc w:val="both"/>
        <w:rPr>
          <w:sz w:val="16"/>
          <w:szCs w:val="16"/>
          <w:highlight w:val="yellow"/>
        </w:rPr>
      </w:pPr>
    </w:p>
    <w:p w:rsidR="00EC4005" w:rsidRPr="00D62B23" w:rsidRDefault="003E5A90" w:rsidP="00C760DC">
      <w:pPr>
        <w:pStyle w:val="Default"/>
        <w:jc w:val="center"/>
        <w:rPr>
          <w:b/>
          <w:bCs/>
          <w:highlight w:val="yellow"/>
        </w:rPr>
      </w:pPr>
      <w:r w:rsidRPr="003E5A90">
        <w:rPr>
          <w:noProof/>
          <w:lang w:eastAsia="pl-PL"/>
        </w:rPr>
        <w:drawing>
          <wp:inline distT="0" distB="0" distL="0" distR="0" wp14:anchorId="6C3B5FA7" wp14:editId="3CD16BC0">
            <wp:extent cx="5759450" cy="4042691"/>
            <wp:effectExtent l="0" t="0" r="0" b="0"/>
            <wp:docPr id="695" name="Obraz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9450" cy="4042691"/>
                    </a:xfrm>
                    <a:prstGeom prst="rect">
                      <a:avLst/>
                    </a:prstGeom>
                    <a:noFill/>
                    <a:ln>
                      <a:noFill/>
                    </a:ln>
                  </pic:spPr>
                </pic:pic>
              </a:graphicData>
            </a:graphic>
          </wp:inline>
        </w:drawing>
      </w:r>
    </w:p>
    <w:p w:rsidR="00637B2D" w:rsidRPr="00D62B23" w:rsidRDefault="00637B2D" w:rsidP="00637B2D">
      <w:pPr>
        <w:pStyle w:val="Default"/>
        <w:rPr>
          <w:bCs/>
          <w:sz w:val="16"/>
          <w:szCs w:val="16"/>
          <w:highlight w:val="yellow"/>
        </w:rPr>
      </w:pPr>
    </w:p>
    <w:p w:rsidR="00637B2D" w:rsidRPr="00D62B23" w:rsidRDefault="00637B2D" w:rsidP="00637B2D">
      <w:pPr>
        <w:pStyle w:val="Default"/>
        <w:rPr>
          <w:bCs/>
          <w:sz w:val="16"/>
          <w:szCs w:val="16"/>
          <w:highlight w:val="yellow"/>
        </w:rPr>
      </w:pPr>
    </w:p>
    <w:p w:rsidR="00143549" w:rsidRPr="00D62B23" w:rsidRDefault="003E5A90">
      <w:pPr>
        <w:rPr>
          <w:rFonts w:ascii="Times New Roman" w:hAnsi="Times New Roman" w:cs="Times New Roman"/>
          <w:color w:val="000000"/>
          <w:sz w:val="16"/>
          <w:szCs w:val="16"/>
          <w:highlight w:val="yellow"/>
        </w:rPr>
      </w:pPr>
      <w:r w:rsidRPr="003E5A90">
        <w:rPr>
          <w:noProof/>
          <w:lang w:eastAsia="pl-PL"/>
        </w:rPr>
        <w:drawing>
          <wp:inline distT="0" distB="0" distL="0" distR="0" wp14:anchorId="491F75BF" wp14:editId="56F507C9">
            <wp:extent cx="5759450" cy="860651"/>
            <wp:effectExtent l="0" t="0" r="0" b="0"/>
            <wp:docPr id="705" name="Obraz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9450" cy="860651"/>
                    </a:xfrm>
                    <a:prstGeom prst="rect">
                      <a:avLst/>
                    </a:prstGeom>
                    <a:noFill/>
                    <a:ln>
                      <a:noFill/>
                    </a:ln>
                  </pic:spPr>
                </pic:pic>
              </a:graphicData>
            </a:graphic>
          </wp:inline>
        </w:drawing>
      </w:r>
      <w:r w:rsidRPr="003E5A90">
        <w:rPr>
          <w:noProof/>
          <w:lang w:eastAsia="pl-PL"/>
        </w:rPr>
        <w:drawing>
          <wp:inline distT="0" distB="0" distL="0" distR="0" wp14:anchorId="11389D56" wp14:editId="43F8B49F">
            <wp:extent cx="5759450" cy="3140781"/>
            <wp:effectExtent l="0" t="0" r="0" b="2540"/>
            <wp:docPr id="706" name="Obraz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9450" cy="3140781"/>
                    </a:xfrm>
                    <a:prstGeom prst="rect">
                      <a:avLst/>
                    </a:prstGeom>
                    <a:noFill/>
                    <a:ln>
                      <a:noFill/>
                    </a:ln>
                  </pic:spPr>
                </pic:pic>
              </a:graphicData>
            </a:graphic>
          </wp:inline>
        </w:drawing>
      </w:r>
    </w:p>
    <w:p w:rsidR="004267EE" w:rsidRPr="00D62B23" w:rsidRDefault="004267EE" w:rsidP="004267EE">
      <w:pPr>
        <w:pStyle w:val="Default"/>
        <w:jc w:val="both"/>
        <w:rPr>
          <w:sz w:val="16"/>
          <w:szCs w:val="16"/>
          <w:highlight w:val="yellow"/>
        </w:rPr>
      </w:pPr>
    </w:p>
    <w:p w:rsidR="00AF5B75" w:rsidRDefault="003E5A90">
      <w:pPr>
        <w:rPr>
          <w:sz w:val="16"/>
          <w:szCs w:val="16"/>
          <w:highlight w:val="yellow"/>
        </w:rPr>
      </w:pPr>
      <w:r w:rsidRPr="003E5A90">
        <w:rPr>
          <w:noProof/>
          <w:lang w:eastAsia="pl-PL"/>
        </w:rPr>
        <w:drawing>
          <wp:inline distT="0" distB="0" distL="0" distR="0" wp14:anchorId="3736236F" wp14:editId="32FA33D7">
            <wp:extent cx="5759355" cy="443552"/>
            <wp:effectExtent l="0" t="0" r="0" b="0"/>
            <wp:docPr id="707" name="Obraz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88830" cy="445822"/>
                    </a:xfrm>
                    <a:prstGeom prst="rect">
                      <a:avLst/>
                    </a:prstGeom>
                    <a:noFill/>
                    <a:ln>
                      <a:noFill/>
                    </a:ln>
                  </pic:spPr>
                </pic:pic>
              </a:graphicData>
            </a:graphic>
          </wp:inline>
        </w:drawing>
      </w:r>
      <w:r w:rsidRPr="003E5A90">
        <w:rPr>
          <w:noProof/>
          <w:lang w:eastAsia="pl-PL"/>
        </w:rPr>
        <w:drawing>
          <wp:inline distT="0" distB="0" distL="0" distR="0" wp14:anchorId="43A382C4" wp14:editId="72DC73DD">
            <wp:extent cx="5759450" cy="6625346"/>
            <wp:effectExtent l="0" t="0" r="0" b="4445"/>
            <wp:docPr id="708" name="Obraz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9450" cy="6625346"/>
                    </a:xfrm>
                    <a:prstGeom prst="rect">
                      <a:avLst/>
                    </a:prstGeom>
                    <a:noFill/>
                    <a:ln>
                      <a:noFill/>
                    </a:ln>
                  </pic:spPr>
                </pic:pic>
              </a:graphicData>
            </a:graphic>
          </wp:inline>
        </w:drawing>
      </w:r>
    </w:p>
    <w:p w:rsidR="00A44C67" w:rsidRPr="003E5A90" w:rsidRDefault="00230EA3" w:rsidP="00614E9A">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3E5A90">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A44C67" w:rsidRPr="003E5A90" w:rsidRDefault="00A44C67" w:rsidP="00A44C67">
      <w:pPr>
        <w:pStyle w:val="Tekstpodstawowywcity"/>
        <w:spacing w:after="0" w:line="360" w:lineRule="auto"/>
        <w:ind w:left="0"/>
        <w:jc w:val="both"/>
        <w:rPr>
          <w:rFonts w:ascii="Times New Roman" w:hAnsi="Times New Roman" w:cs="Times New Roman"/>
          <w:szCs w:val="24"/>
        </w:rPr>
      </w:pPr>
      <w:r w:rsidRPr="003E5A90">
        <w:rPr>
          <w:rFonts w:ascii="Times New Roman" w:hAnsi="Times New Roman" w:cs="Times New Roman"/>
          <w:szCs w:val="24"/>
        </w:rPr>
        <w:t>(na podstawie danych</w:t>
      </w:r>
      <w:r w:rsidR="00AE5712" w:rsidRPr="003E5A90">
        <w:rPr>
          <w:rFonts w:ascii="Times New Roman" w:hAnsi="Times New Roman" w:cs="Times New Roman"/>
          <w:szCs w:val="24"/>
        </w:rPr>
        <w:t xml:space="preserve"> z </w:t>
      </w:r>
      <w:r w:rsidR="0021024C" w:rsidRPr="003E5A90">
        <w:rPr>
          <w:rFonts w:ascii="Times New Roman" w:hAnsi="Times New Roman" w:cs="Times New Roman"/>
          <w:szCs w:val="24"/>
        </w:rPr>
        <w:t>t</w:t>
      </w:r>
      <w:r w:rsidRPr="003E5A90">
        <w:rPr>
          <w:rFonts w:ascii="Times New Roman" w:hAnsi="Times New Roman" w:cs="Times New Roman"/>
          <w:szCs w:val="24"/>
        </w:rPr>
        <w:t xml:space="preserve">abeli </w:t>
      </w:r>
      <w:r w:rsidR="0021024C" w:rsidRPr="003E5A90">
        <w:rPr>
          <w:rFonts w:ascii="Times New Roman" w:hAnsi="Times New Roman" w:cs="Times New Roman"/>
          <w:szCs w:val="24"/>
        </w:rPr>
        <w:t>X</w:t>
      </w:r>
      <w:r w:rsidR="003E5A90">
        <w:rPr>
          <w:rFonts w:ascii="Times New Roman" w:hAnsi="Times New Roman" w:cs="Times New Roman"/>
          <w:szCs w:val="24"/>
        </w:rPr>
        <w:t>VIII</w:t>
      </w:r>
      <w:r w:rsidR="00DC7BA9" w:rsidRPr="003E5A90">
        <w:rPr>
          <w:rFonts w:ascii="Times New Roman" w:hAnsi="Times New Roman" w:cs="Times New Roman"/>
          <w:szCs w:val="24"/>
        </w:rPr>
        <w:t xml:space="preserve"> i X</w:t>
      </w:r>
      <w:r w:rsidR="003E5A90">
        <w:rPr>
          <w:rFonts w:ascii="Times New Roman" w:hAnsi="Times New Roman" w:cs="Times New Roman"/>
          <w:szCs w:val="24"/>
        </w:rPr>
        <w:t>I</w:t>
      </w:r>
      <w:r w:rsidR="00DC7BA9" w:rsidRPr="003E5A90">
        <w:rPr>
          <w:rFonts w:ascii="Times New Roman" w:hAnsi="Times New Roman" w:cs="Times New Roman"/>
          <w:szCs w:val="24"/>
        </w:rPr>
        <w:t>X</w:t>
      </w:r>
      <w:r w:rsidRPr="003E5A90">
        <w:rPr>
          <w:rFonts w:ascii="Times New Roman" w:hAnsi="Times New Roman" w:cs="Times New Roman"/>
          <w:szCs w:val="24"/>
        </w:rPr>
        <w:t>)</w:t>
      </w:r>
    </w:p>
    <w:p w:rsidR="00A033D7" w:rsidRPr="00D62B23" w:rsidRDefault="00A033D7" w:rsidP="00EE274A">
      <w:pPr>
        <w:pStyle w:val="Default"/>
        <w:jc w:val="both"/>
        <w:rPr>
          <w:sz w:val="16"/>
          <w:szCs w:val="16"/>
          <w:highlight w:val="yellow"/>
        </w:rPr>
      </w:pPr>
    </w:p>
    <w:p w:rsidR="00DC7BA9" w:rsidRPr="00135AC6" w:rsidRDefault="004E6AE1" w:rsidP="004E6AE1">
      <w:pPr>
        <w:pStyle w:val="Bezodstpw"/>
        <w:numPr>
          <w:ilvl w:val="0"/>
          <w:numId w:val="10"/>
        </w:numPr>
        <w:spacing w:line="360" w:lineRule="auto"/>
        <w:jc w:val="both"/>
        <w:rPr>
          <w:rFonts w:ascii="Times New Roman" w:hAnsi="Times New Roman" w:cs="Times New Roman"/>
          <w:color w:val="000000"/>
          <w:sz w:val="24"/>
          <w:szCs w:val="24"/>
        </w:rPr>
      </w:pPr>
      <w:r w:rsidRPr="00135AC6">
        <w:rPr>
          <w:rFonts w:ascii="Times New Roman" w:hAnsi="Times New Roman" w:cs="Times New Roman"/>
          <w:sz w:val="24"/>
          <w:szCs w:val="24"/>
        </w:rPr>
        <w:t>W I półroczu 20</w:t>
      </w:r>
      <w:r w:rsidR="00AC780A" w:rsidRPr="00135AC6">
        <w:rPr>
          <w:rFonts w:ascii="Times New Roman" w:hAnsi="Times New Roman" w:cs="Times New Roman"/>
          <w:sz w:val="24"/>
          <w:szCs w:val="24"/>
        </w:rPr>
        <w:t>2</w:t>
      </w:r>
      <w:r w:rsidR="003E5A90" w:rsidRPr="00135AC6">
        <w:rPr>
          <w:rFonts w:ascii="Times New Roman" w:hAnsi="Times New Roman" w:cs="Times New Roman"/>
          <w:sz w:val="24"/>
          <w:szCs w:val="24"/>
        </w:rPr>
        <w:t>1</w:t>
      </w:r>
      <w:r w:rsidRPr="00135AC6">
        <w:rPr>
          <w:rFonts w:ascii="Times New Roman" w:hAnsi="Times New Roman" w:cs="Times New Roman"/>
          <w:sz w:val="24"/>
          <w:szCs w:val="24"/>
        </w:rPr>
        <w:t xml:space="preserve"> r</w:t>
      </w:r>
      <w:r w:rsidR="00AC780A" w:rsidRPr="00135AC6">
        <w:rPr>
          <w:rFonts w:ascii="Times New Roman" w:hAnsi="Times New Roman" w:cs="Times New Roman"/>
          <w:sz w:val="24"/>
          <w:szCs w:val="24"/>
        </w:rPr>
        <w:t>oku</w:t>
      </w:r>
      <w:r w:rsidR="00DC7BA9" w:rsidRPr="00135AC6">
        <w:rPr>
          <w:rFonts w:ascii="Times New Roman" w:hAnsi="Times New Roman" w:cs="Times New Roman"/>
          <w:sz w:val="24"/>
          <w:szCs w:val="24"/>
        </w:rPr>
        <w:t xml:space="preserve"> </w:t>
      </w:r>
      <w:r w:rsidR="00DC7BA9" w:rsidRPr="00135AC6">
        <w:rPr>
          <w:rFonts w:ascii="Times New Roman" w:hAnsi="Times New Roman" w:cs="Times New Roman"/>
          <w:sz w:val="24"/>
          <w:szCs w:val="24"/>
          <w:u w:val="single"/>
        </w:rPr>
        <w:t>w</w:t>
      </w:r>
      <w:r w:rsidR="00AC780A" w:rsidRPr="00135AC6">
        <w:rPr>
          <w:rFonts w:ascii="Times New Roman" w:hAnsi="Times New Roman" w:cs="Times New Roman"/>
          <w:sz w:val="24"/>
          <w:szCs w:val="24"/>
          <w:u w:val="single"/>
        </w:rPr>
        <w:t>e</w:t>
      </w:r>
      <w:r w:rsidR="00DC7BA9" w:rsidRPr="00135AC6">
        <w:rPr>
          <w:rFonts w:ascii="Times New Roman" w:hAnsi="Times New Roman" w:cs="Times New Roman"/>
          <w:sz w:val="24"/>
          <w:szCs w:val="24"/>
          <w:u w:val="single"/>
        </w:rPr>
        <w:t xml:space="preserve"> </w:t>
      </w:r>
      <w:r w:rsidR="00AC780A" w:rsidRPr="00135AC6">
        <w:rPr>
          <w:rFonts w:ascii="Times New Roman" w:hAnsi="Times New Roman" w:cs="Times New Roman"/>
          <w:sz w:val="24"/>
          <w:szCs w:val="24"/>
          <w:u w:val="single"/>
        </w:rPr>
        <w:t>wszystkich</w:t>
      </w:r>
      <w:r w:rsidR="006062A5" w:rsidRPr="00135AC6">
        <w:rPr>
          <w:rFonts w:ascii="Times New Roman" w:hAnsi="Times New Roman" w:cs="Times New Roman"/>
          <w:sz w:val="24"/>
          <w:szCs w:val="24"/>
          <w:u w:val="single"/>
        </w:rPr>
        <w:t xml:space="preserve"> </w:t>
      </w:r>
      <w:r w:rsidR="00DC7BA9" w:rsidRPr="00135AC6">
        <w:rPr>
          <w:rFonts w:ascii="Times New Roman" w:hAnsi="Times New Roman" w:cs="Times New Roman"/>
          <w:sz w:val="24"/>
          <w:szCs w:val="24"/>
          <w:u w:val="single"/>
        </w:rPr>
        <w:t>grup</w:t>
      </w:r>
      <w:r w:rsidR="00AC780A" w:rsidRPr="00135AC6">
        <w:rPr>
          <w:rFonts w:ascii="Times New Roman" w:hAnsi="Times New Roman" w:cs="Times New Roman"/>
          <w:sz w:val="24"/>
          <w:szCs w:val="24"/>
          <w:u w:val="single"/>
        </w:rPr>
        <w:t>ach</w:t>
      </w:r>
      <w:r w:rsidR="00DC7BA9" w:rsidRPr="00135AC6">
        <w:rPr>
          <w:rFonts w:ascii="Times New Roman" w:hAnsi="Times New Roman" w:cs="Times New Roman"/>
          <w:sz w:val="24"/>
          <w:szCs w:val="24"/>
          <w:u w:val="single"/>
        </w:rPr>
        <w:t xml:space="preserve"> </w:t>
      </w:r>
      <w:r w:rsidR="00AC780A" w:rsidRPr="00135AC6">
        <w:rPr>
          <w:rFonts w:ascii="Times New Roman" w:hAnsi="Times New Roman" w:cs="Times New Roman"/>
          <w:sz w:val="24"/>
          <w:szCs w:val="24"/>
          <w:u w:val="single"/>
        </w:rPr>
        <w:t xml:space="preserve">zawodowych odnotowano </w:t>
      </w:r>
      <w:r w:rsidR="00A5718F" w:rsidRPr="00135AC6">
        <w:rPr>
          <w:rFonts w:ascii="Times New Roman" w:hAnsi="Times New Roman" w:cs="Times New Roman"/>
          <w:sz w:val="24"/>
          <w:szCs w:val="24"/>
          <w:u w:val="single"/>
        </w:rPr>
        <w:t>spadek</w:t>
      </w:r>
      <w:r w:rsidR="00DC7BA9" w:rsidRPr="00135AC6">
        <w:rPr>
          <w:rFonts w:ascii="Times New Roman" w:hAnsi="Times New Roman" w:cs="Times New Roman"/>
          <w:sz w:val="24"/>
          <w:szCs w:val="24"/>
          <w:u w:val="single"/>
        </w:rPr>
        <w:t xml:space="preserve"> liczby bezrobotnych</w:t>
      </w:r>
      <w:r w:rsidR="00C519AC" w:rsidRPr="00135AC6">
        <w:rPr>
          <w:rFonts w:ascii="Times New Roman" w:hAnsi="Times New Roman" w:cs="Times New Roman"/>
          <w:sz w:val="24"/>
          <w:szCs w:val="24"/>
          <w:u w:val="single"/>
        </w:rPr>
        <w:t>,</w:t>
      </w:r>
      <w:r w:rsidR="00C519AC" w:rsidRPr="00135AC6">
        <w:rPr>
          <w:rFonts w:ascii="Times New Roman" w:hAnsi="Times New Roman" w:cs="Times New Roman"/>
          <w:sz w:val="24"/>
          <w:szCs w:val="24"/>
        </w:rPr>
        <w:t xml:space="preserve"> które k</w:t>
      </w:r>
      <w:r w:rsidR="00DC7BA9" w:rsidRPr="00135AC6">
        <w:rPr>
          <w:rFonts w:ascii="Times New Roman" w:hAnsi="Times New Roman" w:cs="Times New Roman"/>
          <w:sz w:val="24"/>
          <w:szCs w:val="24"/>
        </w:rPr>
        <w:t xml:space="preserve">umulowały się w </w:t>
      </w:r>
      <w:r w:rsidRPr="00135AC6">
        <w:rPr>
          <w:rFonts w:ascii="Times New Roman" w:hAnsi="Times New Roman" w:cs="Times New Roman"/>
          <w:sz w:val="24"/>
          <w:szCs w:val="24"/>
        </w:rPr>
        <w:t>nast</w:t>
      </w:r>
      <w:r w:rsidR="00C519AC" w:rsidRPr="00135AC6">
        <w:rPr>
          <w:rFonts w:ascii="Times New Roman" w:hAnsi="Times New Roman" w:cs="Times New Roman"/>
          <w:sz w:val="24"/>
          <w:szCs w:val="24"/>
        </w:rPr>
        <w:t>ępujących</w:t>
      </w:r>
      <w:r w:rsidRPr="00135AC6">
        <w:rPr>
          <w:rFonts w:ascii="Times New Roman" w:hAnsi="Times New Roman" w:cs="Times New Roman"/>
          <w:sz w:val="24"/>
          <w:szCs w:val="24"/>
        </w:rPr>
        <w:t xml:space="preserve"> </w:t>
      </w:r>
      <w:r w:rsidR="00433AA6" w:rsidRPr="00135AC6">
        <w:rPr>
          <w:rFonts w:ascii="Times New Roman" w:hAnsi="Times New Roman" w:cs="Times New Roman"/>
          <w:sz w:val="24"/>
          <w:szCs w:val="24"/>
        </w:rPr>
        <w:t>grupach zawodów</w:t>
      </w:r>
      <w:r w:rsidR="00A5718F" w:rsidRPr="00135AC6">
        <w:rPr>
          <w:rFonts w:ascii="Times New Roman" w:hAnsi="Times New Roman" w:cs="Times New Roman"/>
          <w:sz w:val="24"/>
          <w:szCs w:val="24"/>
        </w:rPr>
        <w:t xml:space="preserve"> (według klasyfikacji zawodów i specjalności)</w:t>
      </w:r>
      <w:r w:rsidR="00433AA6" w:rsidRPr="00135AC6">
        <w:rPr>
          <w:rFonts w:ascii="Times New Roman" w:hAnsi="Times New Roman" w:cs="Times New Roman"/>
          <w:sz w:val="24"/>
          <w:szCs w:val="24"/>
        </w:rPr>
        <w:t xml:space="preserve"> </w:t>
      </w:r>
      <w:r w:rsidR="00DC7BA9" w:rsidRPr="00135AC6">
        <w:rPr>
          <w:rFonts w:ascii="Times New Roman" w:hAnsi="Times New Roman" w:cs="Times New Roman"/>
          <w:sz w:val="24"/>
          <w:szCs w:val="24"/>
        </w:rPr>
        <w:t>robotnicy przemysłowi i rzemieślnicy (</w:t>
      </w:r>
      <w:r w:rsidR="00135AC6" w:rsidRPr="00135AC6">
        <w:rPr>
          <w:rFonts w:ascii="Times New Roman" w:hAnsi="Times New Roman" w:cs="Times New Roman"/>
          <w:sz w:val="24"/>
          <w:szCs w:val="24"/>
        </w:rPr>
        <w:t>spadek</w:t>
      </w:r>
      <w:r w:rsidR="00AC780A" w:rsidRPr="00135AC6">
        <w:rPr>
          <w:rFonts w:ascii="Times New Roman" w:hAnsi="Times New Roman" w:cs="Times New Roman"/>
          <w:sz w:val="24"/>
          <w:szCs w:val="24"/>
        </w:rPr>
        <w:t xml:space="preserve"> </w:t>
      </w:r>
      <w:r w:rsidR="00DC7BA9" w:rsidRPr="00135AC6">
        <w:rPr>
          <w:rFonts w:ascii="Times New Roman" w:hAnsi="Times New Roman" w:cs="Times New Roman"/>
          <w:sz w:val="24"/>
          <w:szCs w:val="24"/>
        </w:rPr>
        <w:lastRenderedPageBreak/>
        <w:t>o</w:t>
      </w:r>
      <w:r w:rsidR="00135AC6" w:rsidRPr="00135AC6">
        <w:rPr>
          <w:rFonts w:ascii="Times New Roman" w:hAnsi="Times New Roman" w:cs="Times New Roman"/>
          <w:sz w:val="24"/>
          <w:szCs w:val="24"/>
        </w:rPr>
        <w:t> 1715</w:t>
      </w:r>
      <w:r w:rsidR="00DC7BA9" w:rsidRPr="00135AC6">
        <w:rPr>
          <w:rFonts w:ascii="Times New Roman" w:hAnsi="Times New Roman" w:cs="Times New Roman"/>
          <w:sz w:val="24"/>
          <w:szCs w:val="24"/>
        </w:rPr>
        <w:t xml:space="preserve"> bezrobotnych),</w:t>
      </w:r>
      <w:r w:rsidR="00135AC6" w:rsidRPr="00135AC6">
        <w:rPr>
          <w:rFonts w:ascii="Times New Roman" w:hAnsi="Times New Roman" w:cs="Times New Roman"/>
          <w:sz w:val="24"/>
          <w:szCs w:val="24"/>
        </w:rPr>
        <w:t xml:space="preserve"> technicy i inny średni personel (o 1135), „specjaliści” (o 1094), </w:t>
      </w:r>
      <w:r w:rsidR="00DC7BA9" w:rsidRPr="00135AC6">
        <w:rPr>
          <w:rFonts w:ascii="Times New Roman" w:hAnsi="Times New Roman" w:cs="Times New Roman"/>
          <w:sz w:val="24"/>
          <w:szCs w:val="24"/>
        </w:rPr>
        <w:t>pracownicy usług i sprzedawcy (</w:t>
      </w:r>
      <w:r w:rsidRPr="00135AC6">
        <w:rPr>
          <w:rFonts w:ascii="Times New Roman" w:hAnsi="Times New Roman" w:cs="Times New Roman"/>
          <w:sz w:val="24"/>
          <w:szCs w:val="24"/>
        </w:rPr>
        <w:t xml:space="preserve">o </w:t>
      </w:r>
      <w:r w:rsidR="00135AC6" w:rsidRPr="00135AC6">
        <w:rPr>
          <w:rFonts w:ascii="Times New Roman" w:hAnsi="Times New Roman" w:cs="Times New Roman"/>
          <w:sz w:val="24"/>
          <w:szCs w:val="24"/>
        </w:rPr>
        <w:t>843</w:t>
      </w:r>
      <w:r w:rsidR="00DC7BA9" w:rsidRPr="00135AC6">
        <w:rPr>
          <w:rFonts w:ascii="Times New Roman" w:hAnsi="Times New Roman" w:cs="Times New Roman"/>
          <w:sz w:val="24"/>
          <w:szCs w:val="24"/>
        </w:rPr>
        <w:t>)</w:t>
      </w:r>
      <w:r w:rsidR="00AC780A" w:rsidRPr="00135AC6">
        <w:rPr>
          <w:rFonts w:ascii="Times New Roman" w:hAnsi="Times New Roman" w:cs="Times New Roman"/>
          <w:sz w:val="24"/>
          <w:szCs w:val="24"/>
        </w:rPr>
        <w:t>.</w:t>
      </w:r>
    </w:p>
    <w:p w:rsidR="00636CFF" w:rsidRPr="00C60F5D" w:rsidRDefault="00AC780A" w:rsidP="00636CFF">
      <w:pPr>
        <w:pStyle w:val="Bezodstpw"/>
        <w:numPr>
          <w:ilvl w:val="0"/>
          <w:numId w:val="8"/>
        </w:numPr>
        <w:spacing w:line="360" w:lineRule="auto"/>
        <w:jc w:val="both"/>
        <w:rPr>
          <w:sz w:val="24"/>
          <w:szCs w:val="24"/>
        </w:rPr>
      </w:pPr>
      <w:r w:rsidRPr="00C60F5D">
        <w:rPr>
          <w:rFonts w:ascii="Times New Roman" w:hAnsi="Times New Roman" w:cs="Times New Roman"/>
          <w:sz w:val="24"/>
          <w:szCs w:val="24"/>
        </w:rPr>
        <w:t xml:space="preserve">Według </w:t>
      </w:r>
      <w:r w:rsidR="00C4233F" w:rsidRPr="00C60F5D">
        <w:rPr>
          <w:rFonts w:ascii="Times New Roman" w:hAnsi="Times New Roman" w:cs="Times New Roman"/>
          <w:sz w:val="24"/>
          <w:szCs w:val="24"/>
        </w:rPr>
        <w:t xml:space="preserve">stanu na </w:t>
      </w:r>
      <w:r w:rsidR="00660EF8">
        <w:rPr>
          <w:rFonts w:ascii="Times New Roman" w:hAnsi="Times New Roman" w:cs="Times New Roman"/>
          <w:sz w:val="24"/>
          <w:szCs w:val="24"/>
        </w:rPr>
        <w:t xml:space="preserve">dzień </w:t>
      </w:r>
      <w:r w:rsidR="00C4233F" w:rsidRPr="00C60F5D">
        <w:rPr>
          <w:rFonts w:ascii="Times New Roman" w:hAnsi="Times New Roman" w:cs="Times New Roman"/>
          <w:sz w:val="24"/>
          <w:szCs w:val="24"/>
        </w:rPr>
        <w:t>30</w:t>
      </w:r>
      <w:r w:rsidR="00660EF8">
        <w:rPr>
          <w:rFonts w:ascii="Times New Roman" w:hAnsi="Times New Roman" w:cs="Times New Roman"/>
          <w:sz w:val="24"/>
          <w:szCs w:val="24"/>
        </w:rPr>
        <w:t>.</w:t>
      </w:r>
      <w:r w:rsidR="004E6AE1" w:rsidRPr="00C60F5D">
        <w:rPr>
          <w:rFonts w:ascii="Times New Roman" w:hAnsi="Times New Roman" w:cs="Times New Roman"/>
          <w:sz w:val="24"/>
          <w:szCs w:val="24"/>
        </w:rPr>
        <w:t xml:space="preserve"> </w:t>
      </w:r>
      <w:r w:rsidR="00C4233F" w:rsidRPr="00C60F5D">
        <w:rPr>
          <w:rFonts w:ascii="Times New Roman" w:hAnsi="Times New Roman" w:cs="Times New Roman"/>
          <w:sz w:val="24"/>
          <w:szCs w:val="24"/>
        </w:rPr>
        <w:t>VI</w:t>
      </w:r>
      <w:r w:rsidR="00660EF8">
        <w:rPr>
          <w:rFonts w:ascii="Times New Roman" w:hAnsi="Times New Roman" w:cs="Times New Roman"/>
          <w:sz w:val="24"/>
          <w:szCs w:val="24"/>
        </w:rPr>
        <w:t>.</w:t>
      </w:r>
      <w:r w:rsidR="004E6AE1" w:rsidRPr="00C60F5D">
        <w:rPr>
          <w:rFonts w:ascii="Times New Roman" w:hAnsi="Times New Roman" w:cs="Times New Roman"/>
          <w:sz w:val="24"/>
          <w:szCs w:val="24"/>
        </w:rPr>
        <w:t xml:space="preserve"> </w:t>
      </w:r>
      <w:r w:rsidRPr="00C60F5D">
        <w:rPr>
          <w:rFonts w:ascii="Times New Roman" w:hAnsi="Times New Roman" w:cs="Times New Roman"/>
          <w:sz w:val="24"/>
          <w:szCs w:val="24"/>
        </w:rPr>
        <w:t>202</w:t>
      </w:r>
      <w:r w:rsidR="00135AC6" w:rsidRPr="00C60F5D">
        <w:rPr>
          <w:rFonts w:ascii="Times New Roman" w:hAnsi="Times New Roman" w:cs="Times New Roman"/>
          <w:sz w:val="24"/>
          <w:szCs w:val="24"/>
        </w:rPr>
        <w:t>1</w:t>
      </w:r>
      <w:r w:rsidRPr="00C60F5D">
        <w:rPr>
          <w:rFonts w:ascii="Times New Roman" w:hAnsi="Times New Roman" w:cs="Times New Roman"/>
          <w:sz w:val="24"/>
          <w:szCs w:val="24"/>
        </w:rPr>
        <w:t xml:space="preserve"> roku</w:t>
      </w:r>
      <w:r w:rsidR="00A44C67" w:rsidRPr="00C60F5D">
        <w:rPr>
          <w:rFonts w:ascii="Times New Roman" w:hAnsi="Times New Roman" w:cs="Times New Roman"/>
          <w:sz w:val="24"/>
          <w:szCs w:val="24"/>
        </w:rPr>
        <w:t xml:space="preserve"> odnotowano największą liczbę bezrobotnych</w:t>
      </w:r>
      <w:r w:rsidR="00AE5712" w:rsidRPr="00C60F5D">
        <w:rPr>
          <w:rFonts w:ascii="Times New Roman" w:hAnsi="Times New Roman" w:cs="Times New Roman"/>
          <w:sz w:val="24"/>
          <w:szCs w:val="24"/>
        </w:rPr>
        <w:t xml:space="preserve"> w</w:t>
      </w:r>
      <w:r w:rsidR="00C4233F" w:rsidRPr="00C60F5D">
        <w:rPr>
          <w:rFonts w:ascii="Times New Roman" w:hAnsi="Times New Roman" w:cs="Times New Roman"/>
          <w:sz w:val="24"/>
          <w:szCs w:val="24"/>
        </w:rPr>
        <w:t>śród</w:t>
      </w:r>
      <w:r w:rsidR="00A44C67" w:rsidRPr="00C60F5D">
        <w:rPr>
          <w:rFonts w:ascii="Times New Roman" w:hAnsi="Times New Roman" w:cs="Times New Roman"/>
          <w:sz w:val="24"/>
          <w:szCs w:val="24"/>
        </w:rPr>
        <w:t xml:space="preserve"> robotni</w:t>
      </w:r>
      <w:r w:rsidR="00C4233F" w:rsidRPr="00C60F5D">
        <w:rPr>
          <w:rFonts w:ascii="Times New Roman" w:hAnsi="Times New Roman" w:cs="Times New Roman"/>
          <w:sz w:val="24"/>
          <w:szCs w:val="24"/>
        </w:rPr>
        <w:t>ków</w:t>
      </w:r>
      <w:r w:rsidR="00A44C67" w:rsidRPr="00C60F5D">
        <w:rPr>
          <w:rFonts w:ascii="Times New Roman" w:hAnsi="Times New Roman" w:cs="Times New Roman"/>
          <w:sz w:val="24"/>
          <w:szCs w:val="24"/>
        </w:rPr>
        <w:t xml:space="preserve"> przemysłow</w:t>
      </w:r>
      <w:r w:rsidR="00C4233F" w:rsidRPr="00C60F5D">
        <w:rPr>
          <w:rFonts w:ascii="Times New Roman" w:hAnsi="Times New Roman" w:cs="Times New Roman"/>
          <w:sz w:val="24"/>
          <w:szCs w:val="24"/>
        </w:rPr>
        <w:t xml:space="preserve">ych </w:t>
      </w:r>
      <w:r w:rsidR="00AE5712" w:rsidRPr="00C60F5D">
        <w:rPr>
          <w:rFonts w:ascii="Times New Roman" w:hAnsi="Times New Roman" w:cs="Times New Roman"/>
          <w:sz w:val="24"/>
          <w:szCs w:val="24"/>
        </w:rPr>
        <w:t>i </w:t>
      </w:r>
      <w:r w:rsidR="00A44C67" w:rsidRPr="00C60F5D">
        <w:rPr>
          <w:rFonts w:ascii="Times New Roman" w:hAnsi="Times New Roman" w:cs="Times New Roman"/>
          <w:sz w:val="24"/>
          <w:szCs w:val="24"/>
        </w:rPr>
        <w:t>rzemieślni</w:t>
      </w:r>
      <w:r w:rsidR="00C4233F" w:rsidRPr="00C60F5D">
        <w:rPr>
          <w:rFonts w:ascii="Times New Roman" w:hAnsi="Times New Roman" w:cs="Times New Roman"/>
          <w:sz w:val="24"/>
          <w:szCs w:val="24"/>
        </w:rPr>
        <w:t>ków</w:t>
      </w:r>
      <w:r w:rsidR="00A44C67" w:rsidRPr="00C60F5D">
        <w:rPr>
          <w:rFonts w:ascii="Times New Roman" w:hAnsi="Times New Roman" w:cs="Times New Roman"/>
          <w:sz w:val="24"/>
          <w:szCs w:val="24"/>
        </w:rPr>
        <w:t xml:space="preserve"> – </w:t>
      </w:r>
      <w:r w:rsidR="00C4233F" w:rsidRPr="00C60F5D">
        <w:rPr>
          <w:rFonts w:ascii="Times New Roman" w:hAnsi="Times New Roman" w:cs="Times New Roman"/>
          <w:sz w:val="24"/>
          <w:szCs w:val="24"/>
        </w:rPr>
        <w:t>1</w:t>
      </w:r>
      <w:r w:rsidR="00E92B00" w:rsidRPr="00C60F5D">
        <w:rPr>
          <w:rFonts w:ascii="Times New Roman" w:hAnsi="Times New Roman" w:cs="Times New Roman"/>
          <w:sz w:val="24"/>
          <w:szCs w:val="24"/>
        </w:rPr>
        <w:t>7</w:t>
      </w:r>
      <w:r w:rsidR="00A8779D" w:rsidRPr="00C60F5D">
        <w:rPr>
          <w:rFonts w:ascii="Times New Roman" w:hAnsi="Times New Roman" w:cs="Times New Roman"/>
          <w:sz w:val="24"/>
          <w:szCs w:val="24"/>
        </w:rPr>
        <w:t>7</w:t>
      </w:r>
      <w:r w:rsidR="00E92B00" w:rsidRPr="00C60F5D">
        <w:rPr>
          <w:rFonts w:ascii="Times New Roman" w:hAnsi="Times New Roman" w:cs="Times New Roman"/>
          <w:sz w:val="24"/>
          <w:szCs w:val="24"/>
        </w:rPr>
        <w:t>18</w:t>
      </w:r>
      <w:r w:rsidR="00A44C67" w:rsidRPr="00C60F5D">
        <w:rPr>
          <w:rFonts w:ascii="Times New Roman" w:hAnsi="Times New Roman" w:cs="Times New Roman"/>
          <w:sz w:val="24"/>
          <w:szCs w:val="24"/>
        </w:rPr>
        <w:t>, pracowni</w:t>
      </w:r>
      <w:r w:rsidR="00C4233F" w:rsidRPr="00C60F5D">
        <w:rPr>
          <w:rFonts w:ascii="Times New Roman" w:hAnsi="Times New Roman" w:cs="Times New Roman"/>
          <w:sz w:val="24"/>
          <w:szCs w:val="24"/>
        </w:rPr>
        <w:t>ków</w:t>
      </w:r>
      <w:r w:rsidR="00A44C67" w:rsidRPr="00C60F5D">
        <w:rPr>
          <w:rFonts w:ascii="Times New Roman" w:hAnsi="Times New Roman" w:cs="Times New Roman"/>
          <w:sz w:val="24"/>
          <w:szCs w:val="24"/>
        </w:rPr>
        <w:t xml:space="preserve"> usług</w:t>
      </w:r>
      <w:r w:rsidR="00C4233F" w:rsidRPr="00C60F5D">
        <w:rPr>
          <w:rFonts w:ascii="Times New Roman" w:hAnsi="Times New Roman" w:cs="Times New Roman"/>
          <w:sz w:val="24"/>
          <w:szCs w:val="24"/>
        </w:rPr>
        <w:t xml:space="preserve"> </w:t>
      </w:r>
      <w:r w:rsidR="00AE5712" w:rsidRPr="00C60F5D">
        <w:rPr>
          <w:rFonts w:ascii="Times New Roman" w:hAnsi="Times New Roman" w:cs="Times New Roman"/>
          <w:sz w:val="24"/>
          <w:szCs w:val="24"/>
        </w:rPr>
        <w:t>i</w:t>
      </w:r>
      <w:r w:rsidR="00660EF8">
        <w:rPr>
          <w:rFonts w:ascii="Times New Roman" w:hAnsi="Times New Roman" w:cs="Times New Roman"/>
          <w:sz w:val="24"/>
          <w:szCs w:val="24"/>
        </w:rPr>
        <w:t> </w:t>
      </w:r>
      <w:r w:rsidR="00A44C67" w:rsidRPr="00C60F5D">
        <w:rPr>
          <w:rFonts w:ascii="Times New Roman" w:hAnsi="Times New Roman" w:cs="Times New Roman"/>
          <w:sz w:val="24"/>
          <w:szCs w:val="24"/>
        </w:rPr>
        <w:t>sprzedawc</w:t>
      </w:r>
      <w:r w:rsidR="00C4233F" w:rsidRPr="00C60F5D">
        <w:rPr>
          <w:rFonts w:ascii="Times New Roman" w:hAnsi="Times New Roman" w:cs="Times New Roman"/>
          <w:sz w:val="24"/>
          <w:szCs w:val="24"/>
        </w:rPr>
        <w:t xml:space="preserve">ów </w:t>
      </w:r>
      <w:r w:rsidR="00A44C67" w:rsidRPr="00C60F5D">
        <w:rPr>
          <w:rFonts w:ascii="Times New Roman" w:hAnsi="Times New Roman" w:cs="Times New Roman"/>
          <w:sz w:val="24"/>
          <w:szCs w:val="24"/>
        </w:rPr>
        <w:t xml:space="preserve">– </w:t>
      </w:r>
      <w:r w:rsidR="00F17C27" w:rsidRPr="00C60F5D">
        <w:rPr>
          <w:rFonts w:ascii="Times New Roman" w:hAnsi="Times New Roman" w:cs="Times New Roman"/>
          <w:sz w:val="24"/>
          <w:szCs w:val="24"/>
        </w:rPr>
        <w:t>1</w:t>
      </w:r>
      <w:r w:rsidR="00A8779D" w:rsidRPr="00C60F5D">
        <w:rPr>
          <w:rFonts w:ascii="Times New Roman" w:hAnsi="Times New Roman" w:cs="Times New Roman"/>
          <w:sz w:val="24"/>
          <w:szCs w:val="24"/>
        </w:rPr>
        <w:t>5</w:t>
      </w:r>
      <w:r w:rsidR="00E92B00" w:rsidRPr="00C60F5D">
        <w:rPr>
          <w:rFonts w:ascii="Times New Roman" w:hAnsi="Times New Roman" w:cs="Times New Roman"/>
          <w:sz w:val="24"/>
          <w:szCs w:val="24"/>
        </w:rPr>
        <w:t>342</w:t>
      </w:r>
      <w:r w:rsidR="00A44C67" w:rsidRPr="00C60F5D">
        <w:rPr>
          <w:rFonts w:ascii="Times New Roman" w:hAnsi="Times New Roman" w:cs="Times New Roman"/>
          <w:sz w:val="24"/>
          <w:szCs w:val="24"/>
        </w:rPr>
        <w:t>, techni</w:t>
      </w:r>
      <w:r w:rsidR="00C4233F" w:rsidRPr="00C60F5D">
        <w:rPr>
          <w:rFonts w:ascii="Times New Roman" w:hAnsi="Times New Roman" w:cs="Times New Roman"/>
          <w:sz w:val="24"/>
          <w:szCs w:val="24"/>
        </w:rPr>
        <w:t xml:space="preserve">ków </w:t>
      </w:r>
      <w:r w:rsidR="00AE5712" w:rsidRPr="00C60F5D">
        <w:rPr>
          <w:rFonts w:ascii="Times New Roman" w:hAnsi="Times New Roman" w:cs="Times New Roman"/>
          <w:sz w:val="24"/>
          <w:szCs w:val="24"/>
        </w:rPr>
        <w:t>i </w:t>
      </w:r>
      <w:r w:rsidR="00A44C67" w:rsidRPr="00C60F5D">
        <w:rPr>
          <w:rFonts w:ascii="Times New Roman" w:hAnsi="Times New Roman" w:cs="Times New Roman"/>
          <w:sz w:val="24"/>
          <w:szCs w:val="24"/>
        </w:rPr>
        <w:t>inn</w:t>
      </w:r>
      <w:r w:rsidR="00C4233F" w:rsidRPr="00C60F5D">
        <w:rPr>
          <w:rFonts w:ascii="Times New Roman" w:hAnsi="Times New Roman" w:cs="Times New Roman"/>
          <w:sz w:val="24"/>
          <w:szCs w:val="24"/>
        </w:rPr>
        <w:t>ego</w:t>
      </w:r>
      <w:r w:rsidR="00A44C67" w:rsidRPr="00C60F5D">
        <w:rPr>
          <w:rFonts w:ascii="Times New Roman" w:hAnsi="Times New Roman" w:cs="Times New Roman"/>
          <w:sz w:val="24"/>
          <w:szCs w:val="24"/>
        </w:rPr>
        <w:t xml:space="preserve"> średni</w:t>
      </w:r>
      <w:r w:rsidR="00C4233F" w:rsidRPr="00C60F5D">
        <w:rPr>
          <w:rFonts w:ascii="Times New Roman" w:hAnsi="Times New Roman" w:cs="Times New Roman"/>
          <w:sz w:val="24"/>
          <w:szCs w:val="24"/>
        </w:rPr>
        <w:t>ego</w:t>
      </w:r>
      <w:r w:rsidR="00A44C67" w:rsidRPr="00C60F5D">
        <w:rPr>
          <w:rFonts w:ascii="Times New Roman" w:hAnsi="Times New Roman" w:cs="Times New Roman"/>
          <w:sz w:val="24"/>
          <w:szCs w:val="24"/>
        </w:rPr>
        <w:t xml:space="preserve"> personel</w:t>
      </w:r>
      <w:r w:rsidR="00C4233F" w:rsidRPr="00C60F5D">
        <w:rPr>
          <w:rFonts w:ascii="Times New Roman" w:hAnsi="Times New Roman" w:cs="Times New Roman"/>
          <w:sz w:val="24"/>
          <w:szCs w:val="24"/>
        </w:rPr>
        <w:t>u</w:t>
      </w:r>
      <w:r w:rsidR="00A44C67" w:rsidRPr="00C60F5D">
        <w:rPr>
          <w:rFonts w:ascii="Times New Roman" w:hAnsi="Times New Roman" w:cs="Times New Roman"/>
          <w:sz w:val="24"/>
          <w:szCs w:val="24"/>
        </w:rPr>
        <w:t xml:space="preserve"> – 1</w:t>
      </w:r>
      <w:r w:rsidR="00E92B00" w:rsidRPr="00C60F5D">
        <w:rPr>
          <w:rFonts w:ascii="Times New Roman" w:hAnsi="Times New Roman" w:cs="Times New Roman"/>
          <w:sz w:val="24"/>
          <w:szCs w:val="24"/>
        </w:rPr>
        <w:t>1555</w:t>
      </w:r>
      <w:r w:rsidR="00C4233F" w:rsidRPr="00C60F5D">
        <w:rPr>
          <w:rFonts w:ascii="Times New Roman" w:hAnsi="Times New Roman" w:cs="Times New Roman"/>
          <w:sz w:val="24"/>
          <w:szCs w:val="24"/>
        </w:rPr>
        <w:t xml:space="preserve"> </w:t>
      </w:r>
      <w:r w:rsidR="00C60F5D">
        <w:rPr>
          <w:rFonts w:ascii="Times New Roman" w:hAnsi="Times New Roman" w:cs="Times New Roman"/>
          <w:sz w:val="24"/>
          <w:szCs w:val="24"/>
        </w:rPr>
        <w:t>oraz</w:t>
      </w:r>
      <w:r w:rsidR="00A44C67" w:rsidRPr="00C60F5D">
        <w:rPr>
          <w:rFonts w:ascii="Times New Roman" w:hAnsi="Times New Roman" w:cs="Times New Roman"/>
          <w:sz w:val="24"/>
          <w:szCs w:val="24"/>
        </w:rPr>
        <w:t xml:space="preserve"> specjali</w:t>
      </w:r>
      <w:r w:rsidR="00C4233F" w:rsidRPr="00C60F5D">
        <w:rPr>
          <w:rFonts w:ascii="Times New Roman" w:hAnsi="Times New Roman" w:cs="Times New Roman"/>
          <w:sz w:val="24"/>
          <w:szCs w:val="24"/>
        </w:rPr>
        <w:t>stów</w:t>
      </w:r>
      <w:r w:rsidR="00A44C67" w:rsidRPr="00C60F5D">
        <w:rPr>
          <w:rFonts w:ascii="Times New Roman" w:hAnsi="Times New Roman" w:cs="Times New Roman"/>
          <w:sz w:val="24"/>
          <w:szCs w:val="24"/>
        </w:rPr>
        <w:t xml:space="preserve"> – </w:t>
      </w:r>
      <w:r w:rsidR="00E92B00" w:rsidRPr="00C60F5D">
        <w:rPr>
          <w:rFonts w:ascii="Times New Roman" w:hAnsi="Times New Roman" w:cs="Times New Roman"/>
          <w:sz w:val="24"/>
          <w:szCs w:val="24"/>
        </w:rPr>
        <w:t>9665</w:t>
      </w:r>
      <w:r w:rsidR="006062A5" w:rsidRPr="00C60F5D">
        <w:rPr>
          <w:rFonts w:ascii="Times New Roman" w:hAnsi="Times New Roman" w:cs="Times New Roman"/>
          <w:sz w:val="24"/>
          <w:szCs w:val="24"/>
        </w:rPr>
        <w:t xml:space="preserve">. </w:t>
      </w:r>
      <w:r w:rsidR="00EC6281" w:rsidRPr="00C60F5D">
        <w:rPr>
          <w:rFonts w:ascii="Times New Roman" w:hAnsi="Times New Roman" w:cs="Times New Roman"/>
          <w:sz w:val="24"/>
          <w:szCs w:val="24"/>
        </w:rPr>
        <w:t>N</w:t>
      </w:r>
      <w:r w:rsidR="00A44C67" w:rsidRPr="00C60F5D">
        <w:rPr>
          <w:rFonts w:ascii="Times New Roman" w:hAnsi="Times New Roman" w:cs="Times New Roman"/>
          <w:sz w:val="24"/>
          <w:szCs w:val="24"/>
        </w:rPr>
        <w:t>ajmniej</w:t>
      </w:r>
      <w:r w:rsidR="006062A5" w:rsidRPr="00C60F5D">
        <w:rPr>
          <w:rFonts w:ascii="Times New Roman" w:hAnsi="Times New Roman" w:cs="Times New Roman"/>
          <w:sz w:val="24"/>
          <w:szCs w:val="24"/>
        </w:rPr>
        <w:t xml:space="preserve">szą liczbę </w:t>
      </w:r>
      <w:r w:rsidR="00660EF8">
        <w:rPr>
          <w:rFonts w:ascii="Times New Roman" w:hAnsi="Times New Roman" w:cs="Times New Roman"/>
          <w:sz w:val="24"/>
          <w:szCs w:val="24"/>
        </w:rPr>
        <w:t xml:space="preserve">bezrobotnych </w:t>
      </w:r>
      <w:r w:rsidR="004E6AE1" w:rsidRPr="00C60F5D">
        <w:rPr>
          <w:rFonts w:ascii="Times New Roman" w:hAnsi="Times New Roman" w:cs="Times New Roman"/>
          <w:sz w:val="24"/>
          <w:szCs w:val="24"/>
        </w:rPr>
        <w:t xml:space="preserve">odnotowano </w:t>
      </w:r>
      <w:r w:rsidR="00C4233F" w:rsidRPr="00C60F5D">
        <w:rPr>
          <w:rFonts w:ascii="Times New Roman" w:hAnsi="Times New Roman" w:cs="Times New Roman"/>
          <w:sz w:val="24"/>
          <w:szCs w:val="24"/>
        </w:rPr>
        <w:t>w</w:t>
      </w:r>
      <w:r w:rsidR="00660EF8">
        <w:rPr>
          <w:rFonts w:ascii="Times New Roman" w:hAnsi="Times New Roman" w:cs="Times New Roman"/>
          <w:sz w:val="24"/>
          <w:szCs w:val="24"/>
        </w:rPr>
        <w:t xml:space="preserve"> </w:t>
      </w:r>
      <w:r w:rsidR="00A44C67" w:rsidRPr="00C60F5D">
        <w:rPr>
          <w:rFonts w:ascii="Times New Roman" w:hAnsi="Times New Roman" w:cs="Times New Roman"/>
          <w:sz w:val="24"/>
          <w:szCs w:val="24"/>
        </w:rPr>
        <w:t>sił</w:t>
      </w:r>
      <w:r w:rsidR="00660EF8">
        <w:rPr>
          <w:rFonts w:ascii="Times New Roman" w:hAnsi="Times New Roman" w:cs="Times New Roman"/>
          <w:sz w:val="24"/>
          <w:szCs w:val="24"/>
        </w:rPr>
        <w:t>ach</w:t>
      </w:r>
      <w:r w:rsidR="00A44C67" w:rsidRPr="00C60F5D">
        <w:rPr>
          <w:rFonts w:ascii="Times New Roman" w:hAnsi="Times New Roman" w:cs="Times New Roman"/>
          <w:sz w:val="24"/>
          <w:szCs w:val="24"/>
        </w:rPr>
        <w:t xml:space="preserve"> zbrojn</w:t>
      </w:r>
      <w:r w:rsidR="00C4233F" w:rsidRPr="00C60F5D">
        <w:rPr>
          <w:rFonts w:ascii="Times New Roman" w:hAnsi="Times New Roman" w:cs="Times New Roman"/>
          <w:sz w:val="24"/>
          <w:szCs w:val="24"/>
        </w:rPr>
        <w:t>ych</w:t>
      </w:r>
      <w:r w:rsidR="00A44C67" w:rsidRPr="00C60F5D">
        <w:rPr>
          <w:rFonts w:ascii="Times New Roman" w:hAnsi="Times New Roman" w:cs="Times New Roman"/>
          <w:sz w:val="24"/>
          <w:szCs w:val="24"/>
        </w:rPr>
        <w:t xml:space="preserve"> </w:t>
      </w:r>
      <w:r w:rsidR="00660EF8">
        <w:rPr>
          <w:rFonts w:ascii="Times New Roman" w:hAnsi="Times New Roman" w:cs="Times New Roman"/>
          <w:sz w:val="24"/>
          <w:szCs w:val="24"/>
        </w:rPr>
        <w:t>tj.</w:t>
      </w:r>
      <w:r w:rsidR="00A44C67" w:rsidRPr="00C60F5D">
        <w:rPr>
          <w:rFonts w:ascii="Times New Roman" w:hAnsi="Times New Roman" w:cs="Times New Roman"/>
          <w:sz w:val="24"/>
          <w:szCs w:val="24"/>
        </w:rPr>
        <w:t xml:space="preserve"> </w:t>
      </w:r>
      <w:r w:rsidR="00E92B00" w:rsidRPr="00C60F5D">
        <w:rPr>
          <w:rFonts w:ascii="Times New Roman" w:hAnsi="Times New Roman" w:cs="Times New Roman"/>
          <w:sz w:val="24"/>
          <w:szCs w:val="24"/>
        </w:rPr>
        <w:t>36</w:t>
      </w:r>
      <w:r w:rsidR="00660EF8">
        <w:rPr>
          <w:rFonts w:ascii="Times New Roman" w:hAnsi="Times New Roman" w:cs="Times New Roman"/>
          <w:sz w:val="24"/>
          <w:szCs w:val="24"/>
        </w:rPr>
        <w:t xml:space="preserve"> bezrobotnych</w:t>
      </w:r>
      <w:r w:rsidR="00A44C67" w:rsidRPr="00C60F5D">
        <w:rPr>
          <w:rFonts w:ascii="Times New Roman" w:hAnsi="Times New Roman" w:cs="Times New Roman"/>
          <w:sz w:val="24"/>
          <w:szCs w:val="24"/>
        </w:rPr>
        <w:t xml:space="preserve">, </w:t>
      </w:r>
      <w:r w:rsidR="00660EF8">
        <w:rPr>
          <w:rFonts w:ascii="Times New Roman" w:hAnsi="Times New Roman" w:cs="Times New Roman"/>
          <w:sz w:val="24"/>
          <w:szCs w:val="24"/>
        </w:rPr>
        <w:t xml:space="preserve">władzach </w:t>
      </w:r>
      <w:r w:rsidR="003A171F" w:rsidRPr="00C60F5D">
        <w:rPr>
          <w:rFonts w:ascii="Times New Roman" w:hAnsi="Times New Roman" w:cs="Times New Roman"/>
          <w:sz w:val="24"/>
          <w:szCs w:val="24"/>
        </w:rPr>
        <w:t>publicznych, wyżs</w:t>
      </w:r>
      <w:r w:rsidR="00636CFF" w:rsidRPr="00C60F5D">
        <w:rPr>
          <w:rFonts w:ascii="Times New Roman" w:hAnsi="Times New Roman" w:cs="Times New Roman"/>
          <w:sz w:val="24"/>
          <w:szCs w:val="24"/>
        </w:rPr>
        <w:t>zych</w:t>
      </w:r>
      <w:r w:rsidR="003A171F" w:rsidRPr="00C60F5D">
        <w:rPr>
          <w:rFonts w:ascii="Times New Roman" w:hAnsi="Times New Roman" w:cs="Times New Roman"/>
          <w:sz w:val="24"/>
          <w:szCs w:val="24"/>
        </w:rPr>
        <w:t xml:space="preserve"> urzędni</w:t>
      </w:r>
      <w:r w:rsidR="00636CFF" w:rsidRPr="00C60F5D">
        <w:rPr>
          <w:rFonts w:ascii="Times New Roman" w:hAnsi="Times New Roman" w:cs="Times New Roman"/>
          <w:sz w:val="24"/>
          <w:szCs w:val="24"/>
        </w:rPr>
        <w:t>k</w:t>
      </w:r>
      <w:r w:rsidR="00660EF8">
        <w:rPr>
          <w:rFonts w:ascii="Times New Roman" w:hAnsi="Times New Roman" w:cs="Times New Roman"/>
          <w:sz w:val="24"/>
          <w:szCs w:val="24"/>
        </w:rPr>
        <w:t>ach</w:t>
      </w:r>
      <w:r w:rsidR="00636CFF" w:rsidRPr="00C60F5D">
        <w:rPr>
          <w:rFonts w:ascii="Times New Roman" w:hAnsi="Times New Roman" w:cs="Times New Roman"/>
          <w:sz w:val="24"/>
          <w:szCs w:val="24"/>
        </w:rPr>
        <w:t xml:space="preserve"> </w:t>
      </w:r>
      <w:r w:rsidR="003A171F" w:rsidRPr="00C60F5D">
        <w:rPr>
          <w:rFonts w:ascii="Times New Roman" w:hAnsi="Times New Roman" w:cs="Times New Roman"/>
          <w:sz w:val="24"/>
          <w:szCs w:val="24"/>
        </w:rPr>
        <w:t>i</w:t>
      </w:r>
      <w:r w:rsidR="00636CFF" w:rsidRPr="00C60F5D">
        <w:rPr>
          <w:rFonts w:ascii="Times New Roman" w:hAnsi="Times New Roman" w:cs="Times New Roman"/>
          <w:sz w:val="24"/>
          <w:szCs w:val="24"/>
        </w:rPr>
        <w:t xml:space="preserve"> </w:t>
      </w:r>
      <w:r w:rsidR="003A171F" w:rsidRPr="00C60F5D">
        <w:rPr>
          <w:rFonts w:ascii="Times New Roman" w:hAnsi="Times New Roman" w:cs="Times New Roman"/>
          <w:sz w:val="24"/>
          <w:szCs w:val="24"/>
        </w:rPr>
        <w:t>kierowni</w:t>
      </w:r>
      <w:r w:rsidR="00636CFF" w:rsidRPr="00C60F5D">
        <w:rPr>
          <w:rFonts w:ascii="Times New Roman" w:hAnsi="Times New Roman" w:cs="Times New Roman"/>
          <w:sz w:val="24"/>
          <w:szCs w:val="24"/>
        </w:rPr>
        <w:t>k</w:t>
      </w:r>
      <w:r w:rsidR="00660EF8">
        <w:rPr>
          <w:rFonts w:ascii="Times New Roman" w:hAnsi="Times New Roman" w:cs="Times New Roman"/>
          <w:sz w:val="24"/>
          <w:szCs w:val="24"/>
        </w:rPr>
        <w:t>ach</w:t>
      </w:r>
      <w:r w:rsidR="003A171F" w:rsidRPr="00C60F5D">
        <w:rPr>
          <w:rFonts w:ascii="Times New Roman" w:hAnsi="Times New Roman" w:cs="Times New Roman"/>
          <w:sz w:val="24"/>
          <w:szCs w:val="24"/>
        </w:rPr>
        <w:t xml:space="preserve"> </w:t>
      </w:r>
      <w:r w:rsidR="00A44C67" w:rsidRPr="00C60F5D">
        <w:rPr>
          <w:rFonts w:ascii="Times New Roman" w:hAnsi="Times New Roman" w:cs="Times New Roman"/>
          <w:sz w:val="24"/>
          <w:szCs w:val="24"/>
        </w:rPr>
        <w:t xml:space="preserve">– </w:t>
      </w:r>
      <w:r w:rsidR="00E92B00" w:rsidRPr="00C60F5D">
        <w:rPr>
          <w:rFonts w:ascii="Times New Roman" w:hAnsi="Times New Roman" w:cs="Times New Roman"/>
          <w:sz w:val="24"/>
          <w:szCs w:val="24"/>
        </w:rPr>
        <w:t>605</w:t>
      </w:r>
      <w:r w:rsidR="006062A5" w:rsidRPr="00C60F5D">
        <w:rPr>
          <w:rFonts w:ascii="Times New Roman" w:hAnsi="Times New Roman" w:cs="Times New Roman"/>
          <w:sz w:val="24"/>
          <w:szCs w:val="24"/>
        </w:rPr>
        <w:t xml:space="preserve"> </w:t>
      </w:r>
      <w:r w:rsidR="00E92B00" w:rsidRPr="00C60F5D">
        <w:rPr>
          <w:rFonts w:ascii="Times New Roman" w:hAnsi="Times New Roman" w:cs="Times New Roman"/>
          <w:sz w:val="24"/>
          <w:szCs w:val="24"/>
        </w:rPr>
        <w:t>i</w:t>
      </w:r>
      <w:r w:rsidR="00660EF8">
        <w:rPr>
          <w:rFonts w:ascii="Times New Roman" w:hAnsi="Times New Roman" w:cs="Times New Roman"/>
          <w:sz w:val="24"/>
          <w:szCs w:val="24"/>
        </w:rPr>
        <w:t> </w:t>
      </w:r>
      <w:r w:rsidR="00A44C67" w:rsidRPr="00C60F5D">
        <w:rPr>
          <w:rFonts w:ascii="Times New Roman" w:hAnsi="Times New Roman" w:cs="Times New Roman"/>
          <w:sz w:val="24"/>
          <w:szCs w:val="24"/>
        </w:rPr>
        <w:t>rolni</w:t>
      </w:r>
      <w:r w:rsidR="00636CFF" w:rsidRPr="00C60F5D">
        <w:rPr>
          <w:rFonts w:ascii="Times New Roman" w:hAnsi="Times New Roman" w:cs="Times New Roman"/>
          <w:sz w:val="24"/>
          <w:szCs w:val="24"/>
        </w:rPr>
        <w:t>k</w:t>
      </w:r>
      <w:r w:rsidR="00660EF8">
        <w:rPr>
          <w:rFonts w:ascii="Times New Roman" w:hAnsi="Times New Roman" w:cs="Times New Roman"/>
          <w:sz w:val="24"/>
          <w:szCs w:val="24"/>
        </w:rPr>
        <w:t>ach</w:t>
      </w:r>
      <w:r w:rsidR="00A44C67" w:rsidRPr="00C60F5D">
        <w:rPr>
          <w:rFonts w:ascii="Times New Roman" w:hAnsi="Times New Roman" w:cs="Times New Roman"/>
          <w:sz w:val="24"/>
          <w:szCs w:val="24"/>
        </w:rPr>
        <w:t>, ogrodni</w:t>
      </w:r>
      <w:r w:rsidR="00636CFF" w:rsidRPr="00C60F5D">
        <w:rPr>
          <w:rFonts w:ascii="Times New Roman" w:hAnsi="Times New Roman" w:cs="Times New Roman"/>
          <w:sz w:val="24"/>
          <w:szCs w:val="24"/>
        </w:rPr>
        <w:t>k</w:t>
      </w:r>
      <w:r w:rsidR="00660EF8">
        <w:rPr>
          <w:rFonts w:ascii="Times New Roman" w:hAnsi="Times New Roman" w:cs="Times New Roman"/>
          <w:sz w:val="24"/>
          <w:szCs w:val="24"/>
        </w:rPr>
        <w:t>ach</w:t>
      </w:r>
      <w:r w:rsidR="00A44C67" w:rsidRPr="00C60F5D">
        <w:rPr>
          <w:rFonts w:ascii="Times New Roman" w:hAnsi="Times New Roman" w:cs="Times New Roman"/>
          <w:sz w:val="24"/>
          <w:szCs w:val="24"/>
        </w:rPr>
        <w:t>, leśni</w:t>
      </w:r>
      <w:r w:rsidR="00636CFF" w:rsidRPr="00C60F5D">
        <w:rPr>
          <w:rFonts w:ascii="Times New Roman" w:hAnsi="Times New Roman" w:cs="Times New Roman"/>
          <w:sz w:val="24"/>
          <w:szCs w:val="24"/>
        </w:rPr>
        <w:t>k</w:t>
      </w:r>
      <w:r w:rsidR="00660EF8">
        <w:rPr>
          <w:rFonts w:ascii="Times New Roman" w:hAnsi="Times New Roman" w:cs="Times New Roman"/>
          <w:sz w:val="24"/>
          <w:szCs w:val="24"/>
        </w:rPr>
        <w:t>ach</w:t>
      </w:r>
      <w:r w:rsidR="00AE5712" w:rsidRPr="00C60F5D">
        <w:rPr>
          <w:rFonts w:ascii="Times New Roman" w:hAnsi="Times New Roman" w:cs="Times New Roman"/>
          <w:sz w:val="24"/>
          <w:szCs w:val="24"/>
        </w:rPr>
        <w:t xml:space="preserve"> i </w:t>
      </w:r>
      <w:r w:rsidR="00A44C67" w:rsidRPr="00C60F5D">
        <w:rPr>
          <w:rFonts w:ascii="Times New Roman" w:hAnsi="Times New Roman" w:cs="Times New Roman"/>
          <w:sz w:val="24"/>
          <w:szCs w:val="24"/>
        </w:rPr>
        <w:t>ryba</w:t>
      </w:r>
      <w:r w:rsidR="00636CFF" w:rsidRPr="00C60F5D">
        <w:rPr>
          <w:rFonts w:ascii="Times New Roman" w:hAnsi="Times New Roman" w:cs="Times New Roman"/>
          <w:sz w:val="24"/>
          <w:szCs w:val="24"/>
        </w:rPr>
        <w:t>k</w:t>
      </w:r>
      <w:r w:rsidR="00660EF8">
        <w:rPr>
          <w:rFonts w:ascii="Times New Roman" w:hAnsi="Times New Roman" w:cs="Times New Roman"/>
          <w:sz w:val="24"/>
          <w:szCs w:val="24"/>
        </w:rPr>
        <w:t>ach</w:t>
      </w:r>
      <w:r w:rsidR="00A44C67" w:rsidRPr="00C60F5D">
        <w:rPr>
          <w:rFonts w:ascii="Times New Roman" w:hAnsi="Times New Roman" w:cs="Times New Roman"/>
          <w:sz w:val="24"/>
          <w:szCs w:val="24"/>
        </w:rPr>
        <w:t xml:space="preserve"> – </w:t>
      </w:r>
      <w:r w:rsidR="003A171F" w:rsidRPr="00C60F5D">
        <w:rPr>
          <w:rFonts w:ascii="Times New Roman" w:hAnsi="Times New Roman" w:cs="Times New Roman"/>
          <w:sz w:val="24"/>
          <w:szCs w:val="24"/>
        </w:rPr>
        <w:t>1</w:t>
      </w:r>
      <w:r w:rsidR="00E92B00" w:rsidRPr="00C60F5D">
        <w:rPr>
          <w:rFonts w:ascii="Times New Roman" w:hAnsi="Times New Roman" w:cs="Times New Roman"/>
          <w:sz w:val="24"/>
          <w:szCs w:val="24"/>
        </w:rPr>
        <w:t>195</w:t>
      </w:r>
      <w:r w:rsidR="00EC6281" w:rsidRPr="00C60F5D">
        <w:rPr>
          <w:rFonts w:ascii="Times New Roman" w:hAnsi="Times New Roman" w:cs="Times New Roman"/>
          <w:sz w:val="24"/>
          <w:szCs w:val="24"/>
        </w:rPr>
        <w:t>.</w:t>
      </w:r>
      <w:r w:rsidR="00C519AC" w:rsidRPr="00C60F5D">
        <w:rPr>
          <w:rFonts w:ascii="Times New Roman" w:hAnsi="Times New Roman" w:cs="Times New Roman"/>
          <w:sz w:val="24"/>
          <w:szCs w:val="24"/>
        </w:rPr>
        <w:t xml:space="preserve"> B</w:t>
      </w:r>
      <w:r w:rsidR="008C3D3B" w:rsidRPr="00C60F5D">
        <w:rPr>
          <w:rFonts w:ascii="Times New Roman" w:hAnsi="Times New Roman" w:cs="Times New Roman"/>
          <w:sz w:val="24"/>
          <w:szCs w:val="24"/>
        </w:rPr>
        <w:t xml:space="preserve">ezrobotni bez zawodu stanowili </w:t>
      </w:r>
      <w:r w:rsidR="00E92B00" w:rsidRPr="00C60F5D">
        <w:rPr>
          <w:rFonts w:ascii="Times New Roman" w:hAnsi="Times New Roman" w:cs="Times New Roman"/>
          <w:sz w:val="24"/>
          <w:szCs w:val="24"/>
        </w:rPr>
        <w:t>13</w:t>
      </w:r>
      <w:r w:rsidR="008C3D3B" w:rsidRPr="00C60F5D">
        <w:rPr>
          <w:rFonts w:ascii="Times New Roman" w:hAnsi="Times New Roman" w:cs="Times New Roman"/>
          <w:sz w:val="24"/>
          <w:szCs w:val="24"/>
        </w:rPr>
        <w:t>,</w:t>
      </w:r>
      <w:r w:rsidR="00E92B00" w:rsidRPr="00C60F5D">
        <w:rPr>
          <w:rFonts w:ascii="Times New Roman" w:hAnsi="Times New Roman" w:cs="Times New Roman"/>
          <w:sz w:val="24"/>
          <w:szCs w:val="24"/>
        </w:rPr>
        <w:t>1</w:t>
      </w:r>
      <w:r w:rsidR="008F2E68">
        <w:rPr>
          <w:rFonts w:ascii="Times New Roman" w:hAnsi="Times New Roman" w:cs="Times New Roman"/>
          <w:sz w:val="24"/>
          <w:szCs w:val="24"/>
        </w:rPr>
        <w:t xml:space="preserve"> proc.</w:t>
      </w:r>
      <w:r w:rsidR="008C3D3B" w:rsidRPr="00C60F5D">
        <w:rPr>
          <w:rFonts w:ascii="Times New Roman" w:hAnsi="Times New Roman" w:cs="Times New Roman"/>
          <w:sz w:val="24"/>
          <w:szCs w:val="24"/>
        </w:rPr>
        <w:t xml:space="preserve"> ogółu. </w:t>
      </w:r>
      <w:r w:rsidR="00636CFF" w:rsidRPr="00C60F5D">
        <w:rPr>
          <w:rFonts w:ascii="Times New Roman" w:hAnsi="Times New Roman" w:cs="Times New Roman"/>
          <w:sz w:val="24"/>
          <w:szCs w:val="24"/>
        </w:rPr>
        <w:t>W</w:t>
      </w:r>
      <w:r w:rsidR="00C4233F" w:rsidRPr="00C60F5D">
        <w:rPr>
          <w:rFonts w:ascii="Times New Roman" w:hAnsi="Times New Roman" w:cs="Times New Roman"/>
          <w:sz w:val="24"/>
          <w:szCs w:val="24"/>
        </w:rPr>
        <w:t xml:space="preserve"> grupie </w:t>
      </w:r>
      <w:r w:rsidR="00636CFF" w:rsidRPr="00C60F5D">
        <w:rPr>
          <w:rFonts w:ascii="Times New Roman" w:hAnsi="Times New Roman" w:cs="Times New Roman"/>
          <w:sz w:val="24"/>
          <w:szCs w:val="24"/>
        </w:rPr>
        <w:t>„</w:t>
      </w:r>
      <w:r w:rsidR="00C4233F" w:rsidRPr="00C60F5D">
        <w:rPr>
          <w:rFonts w:ascii="Times New Roman" w:hAnsi="Times New Roman" w:cs="Times New Roman"/>
          <w:sz w:val="24"/>
          <w:szCs w:val="24"/>
        </w:rPr>
        <w:t>bez zawodu</w:t>
      </w:r>
      <w:r w:rsidR="00636CFF" w:rsidRPr="00C60F5D">
        <w:rPr>
          <w:rFonts w:ascii="Times New Roman" w:hAnsi="Times New Roman" w:cs="Times New Roman"/>
          <w:sz w:val="24"/>
          <w:szCs w:val="24"/>
        </w:rPr>
        <w:t>”</w:t>
      </w:r>
      <w:r w:rsidR="00C4233F" w:rsidRPr="00C60F5D">
        <w:rPr>
          <w:rFonts w:ascii="Times New Roman" w:hAnsi="Times New Roman" w:cs="Times New Roman"/>
          <w:sz w:val="24"/>
          <w:szCs w:val="24"/>
        </w:rPr>
        <w:t xml:space="preserve"> </w:t>
      </w:r>
      <w:r w:rsidR="00636CFF" w:rsidRPr="00C60F5D">
        <w:rPr>
          <w:rFonts w:ascii="Times New Roman" w:hAnsi="Times New Roman" w:cs="Times New Roman"/>
          <w:sz w:val="24"/>
          <w:szCs w:val="24"/>
        </w:rPr>
        <w:t xml:space="preserve">odnotowano </w:t>
      </w:r>
      <w:r w:rsidR="00E92B00" w:rsidRPr="00C60F5D">
        <w:rPr>
          <w:rFonts w:ascii="Times New Roman" w:hAnsi="Times New Roman" w:cs="Times New Roman"/>
          <w:sz w:val="24"/>
          <w:szCs w:val="24"/>
        </w:rPr>
        <w:t>spadek</w:t>
      </w:r>
      <w:r w:rsidR="00636CFF" w:rsidRPr="00C60F5D">
        <w:rPr>
          <w:rFonts w:ascii="Times New Roman" w:hAnsi="Times New Roman" w:cs="Times New Roman"/>
          <w:sz w:val="24"/>
          <w:szCs w:val="24"/>
        </w:rPr>
        <w:t xml:space="preserve"> o </w:t>
      </w:r>
      <w:r w:rsidR="00E92B00" w:rsidRPr="00C60F5D">
        <w:rPr>
          <w:rFonts w:ascii="Times New Roman" w:hAnsi="Times New Roman" w:cs="Times New Roman"/>
          <w:sz w:val="24"/>
          <w:szCs w:val="24"/>
        </w:rPr>
        <w:t>321</w:t>
      </w:r>
      <w:r w:rsidR="0090576F" w:rsidRPr="00C60F5D">
        <w:rPr>
          <w:rFonts w:ascii="Times New Roman" w:hAnsi="Times New Roman" w:cs="Times New Roman"/>
          <w:sz w:val="24"/>
          <w:szCs w:val="24"/>
        </w:rPr>
        <w:t xml:space="preserve"> tj.</w:t>
      </w:r>
      <w:r w:rsidR="00C519AC" w:rsidRPr="00C60F5D">
        <w:rPr>
          <w:rFonts w:ascii="Times New Roman" w:hAnsi="Times New Roman" w:cs="Times New Roman"/>
          <w:sz w:val="24"/>
          <w:szCs w:val="24"/>
        </w:rPr>
        <w:t xml:space="preserve"> o </w:t>
      </w:r>
      <w:r w:rsidR="00E92B00" w:rsidRPr="00C60F5D">
        <w:rPr>
          <w:rFonts w:ascii="Times New Roman" w:hAnsi="Times New Roman" w:cs="Times New Roman"/>
          <w:sz w:val="24"/>
          <w:szCs w:val="24"/>
        </w:rPr>
        <w:t>2</w:t>
      </w:r>
      <w:r w:rsidR="0090576F" w:rsidRPr="00C60F5D">
        <w:rPr>
          <w:rFonts w:ascii="Times New Roman" w:hAnsi="Times New Roman" w:cs="Times New Roman"/>
          <w:sz w:val="24"/>
          <w:szCs w:val="24"/>
        </w:rPr>
        <w:t>,</w:t>
      </w:r>
      <w:r w:rsidR="00E92B00" w:rsidRPr="00C60F5D">
        <w:rPr>
          <w:rFonts w:ascii="Times New Roman" w:hAnsi="Times New Roman" w:cs="Times New Roman"/>
          <w:sz w:val="24"/>
          <w:szCs w:val="24"/>
        </w:rPr>
        <w:t>9</w:t>
      </w:r>
      <w:r w:rsidR="008F2E68">
        <w:rPr>
          <w:rFonts w:ascii="Times New Roman" w:hAnsi="Times New Roman" w:cs="Times New Roman"/>
          <w:sz w:val="24"/>
          <w:szCs w:val="24"/>
        </w:rPr>
        <w:t xml:space="preserve"> proc.</w:t>
      </w:r>
      <w:r w:rsidR="0090576F" w:rsidRPr="00C60F5D">
        <w:rPr>
          <w:rFonts w:ascii="Times New Roman" w:hAnsi="Times New Roman" w:cs="Times New Roman"/>
          <w:sz w:val="24"/>
          <w:szCs w:val="24"/>
        </w:rPr>
        <w:t xml:space="preserve"> (</w:t>
      </w:r>
      <w:r w:rsidR="00660EF8">
        <w:rPr>
          <w:rFonts w:ascii="Times New Roman" w:hAnsi="Times New Roman" w:cs="Times New Roman"/>
          <w:sz w:val="24"/>
          <w:szCs w:val="24"/>
        </w:rPr>
        <w:t xml:space="preserve">stan na dzień </w:t>
      </w:r>
      <w:r w:rsidR="00636CFF" w:rsidRPr="00C60F5D">
        <w:rPr>
          <w:rFonts w:ascii="Times New Roman" w:hAnsi="Times New Roman" w:cs="Times New Roman"/>
          <w:sz w:val="24"/>
          <w:szCs w:val="24"/>
        </w:rPr>
        <w:t>31</w:t>
      </w:r>
      <w:r w:rsidR="00660EF8">
        <w:rPr>
          <w:rFonts w:ascii="Times New Roman" w:hAnsi="Times New Roman" w:cs="Times New Roman"/>
          <w:sz w:val="24"/>
          <w:szCs w:val="24"/>
        </w:rPr>
        <w:t>.</w:t>
      </w:r>
      <w:r w:rsidR="00C75048" w:rsidRPr="00C60F5D">
        <w:rPr>
          <w:rFonts w:ascii="Times New Roman" w:hAnsi="Times New Roman" w:cs="Times New Roman"/>
          <w:sz w:val="24"/>
          <w:szCs w:val="24"/>
        </w:rPr>
        <w:t xml:space="preserve"> </w:t>
      </w:r>
      <w:r w:rsidR="00636CFF" w:rsidRPr="00C60F5D">
        <w:rPr>
          <w:rFonts w:ascii="Times New Roman" w:hAnsi="Times New Roman" w:cs="Times New Roman"/>
          <w:sz w:val="24"/>
          <w:szCs w:val="24"/>
        </w:rPr>
        <w:t>XII</w:t>
      </w:r>
      <w:r w:rsidR="00660EF8">
        <w:rPr>
          <w:rFonts w:ascii="Times New Roman" w:hAnsi="Times New Roman" w:cs="Times New Roman"/>
          <w:sz w:val="24"/>
          <w:szCs w:val="24"/>
        </w:rPr>
        <w:t>.</w:t>
      </w:r>
      <w:r w:rsidR="00C75048" w:rsidRPr="00C60F5D">
        <w:rPr>
          <w:rFonts w:ascii="Times New Roman" w:hAnsi="Times New Roman" w:cs="Times New Roman"/>
          <w:sz w:val="24"/>
          <w:szCs w:val="24"/>
        </w:rPr>
        <w:t xml:space="preserve"> 20</w:t>
      </w:r>
      <w:r w:rsidR="00E92B00" w:rsidRPr="00C60F5D">
        <w:rPr>
          <w:rFonts w:ascii="Times New Roman" w:hAnsi="Times New Roman" w:cs="Times New Roman"/>
          <w:sz w:val="24"/>
          <w:szCs w:val="24"/>
        </w:rPr>
        <w:t>20</w:t>
      </w:r>
      <w:r w:rsidR="00636CFF" w:rsidRPr="00C60F5D">
        <w:rPr>
          <w:rFonts w:ascii="Times New Roman" w:hAnsi="Times New Roman" w:cs="Times New Roman"/>
          <w:sz w:val="24"/>
          <w:szCs w:val="24"/>
        </w:rPr>
        <w:t>=100</w:t>
      </w:r>
      <w:r w:rsidR="008F2E68">
        <w:rPr>
          <w:rFonts w:ascii="Times New Roman" w:hAnsi="Times New Roman" w:cs="Times New Roman"/>
          <w:sz w:val="24"/>
          <w:szCs w:val="24"/>
        </w:rPr>
        <w:t xml:space="preserve"> proc.</w:t>
      </w:r>
      <w:r w:rsidR="00C4233F" w:rsidRPr="00C60F5D">
        <w:rPr>
          <w:rFonts w:ascii="Times New Roman" w:hAnsi="Times New Roman" w:cs="Times New Roman"/>
          <w:sz w:val="24"/>
          <w:szCs w:val="24"/>
        </w:rPr>
        <w:t>).</w:t>
      </w:r>
    </w:p>
    <w:p w:rsidR="00A033D7" w:rsidRPr="00D62B23" w:rsidRDefault="00A033D7" w:rsidP="00BA374B">
      <w:pPr>
        <w:pStyle w:val="Tekstpodstawowywcity"/>
        <w:spacing w:after="0" w:line="240" w:lineRule="auto"/>
        <w:ind w:left="0"/>
        <w:jc w:val="both"/>
        <w:rPr>
          <w:rFonts w:ascii="Times New Roman" w:hAnsi="Times New Roman" w:cs="Times New Roman"/>
          <w:sz w:val="16"/>
          <w:szCs w:val="16"/>
          <w:highlight w:val="yellow"/>
        </w:rPr>
      </w:pPr>
    </w:p>
    <w:p w:rsidR="0067454E" w:rsidRPr="00BC2F62" w:rsidRDefault="0067454E"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0" w:name="_Toc81396073"/>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Wolne miejsca pracy</w:t>
      </w:r>
      <w:r w:rsidR="00AE5712"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i </w:t>
      </w:r>
      <w:r w:rsidR="002F6C19"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miejsca </w:t>
      </w:r>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aktywizacji zawodowej</w:t>
      </w:r>
      <w:bookmarkEnd w:id="20"/>
    </w:p>
    <w:p w:rsidR="00640A1B" w:rsidRDefault="00640A1B" w:rsidP="00BA374B">
      <w:pPr>
        <w:pStyle w:val="Tekstpodstawowywcity"/>
        <w:spacing w:after="0" w:line="240" w:lineRule="auto"/>
        <w:ind w:left="0"/>
        <w:jc w:val="both"/>
        <w:rPr>
          <w:noProof/>
          <w:highlight w:val="yellow"/>
          <w:lang w:eastAsia="pl-PL"/>
        </w:rPr>
      </w:pPr>
    </w:p>
    <w:p w:rsidR="00C60F5D" w:rsidRPr="00D62B23" w:rsidRDefault="00C60F5D" w:rsidP="00C60F5D">
      <w:pPr>
        <w:pStyle w:val="Tekstpodstawowywcity"/>
        <w:spacing w:after="0" w:line="240" w:lineRule="auto"/>
        <w:ind w:left="0"/>
        <w:jc w:val="center"/>
        <w:rPr>
          <w:rFonts w:ascii="Times New Roman" w:hAnsi="Times New Roman" w:cs="Times New Roman"/>
          <w:sz w:val="16"/>
          <w:szCs w:val="16"/>
          <w:highlight w:val="yellow"/>
        </w:rPr>
      </w:pPr>
      <w:r w:rsidRPr="00C60F5D">
        <w:rPr>
          <w:noProof/>
          <w:lang w:eastAsia="pl-PL"/>
        </w:rPr>
        <w:drawing>
          <wp:inline distT="0" distB="0" distL="0" distR="0" wp14:anchorId="0E55DD40" wp14:editId="0F158C63">
            <wp:extent cx="4974336" cy="5413248"/>
            <wp:effectExtent l="0" t="0" r="0" b="0"/>
            <wp:docPr id="709" name="Obraz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974590" cy="5413524"/>
                    </a:xfrm>
                    <a:prstGeom prst="rect">
                      <a:avLst/>
                    </a:prstGeom>
                    <a:noFill/>
                    <a:ln>
                      <a:noFill/>
                    </a:ln>
                  </pic:spPr>
                </pic:pic>
              </a:graphicData>
            </a:graphic>
          </wp:inline>
        </w:drawing>
      </w:r>
    </w:p>
    <w:p w:rsidR="00A84BA7" w:rsidRPr="00D62B23" w:rsidRDefault="00A84BA7">
      <w:pPr>
        <w:rPr>
          <w:rFonts w:ascii="Times New Roman" w:hAnsi="Times New Roman" w:cs="Times New Roman"/>
          <w:sz w:val="16"/>
          <w:szCs w:val="16"/>
          <w:highlight w:val="yellow"/>
        </w:rPr>
      </w:pPr>
      <w:r w:rsidRPr="00D62B23">
        <w:rPr>
          <w:rFonts w:ascii="Times New Roman" w:hAnsi="Times New Roman" w:cs="Times New Roman"/>
          <w:sz w:val="16"/>
          <w:szCs w:val="16"/>
          <w:highlight w:val="yellow"/>
        </w:rPr>
        <w:br w:type="page"/>
      </w:r>
    </w:p>
    <w:p w:rsidR="00A84BA7" w:rsidRPr="00D62B23" w:rsidRDefault="00A84BA7" w:rsidP="00A84BA7">
      <w:pPr>
        <w:pStyle w:val="Tekstpodstawowywcity"/>
        <w:spacing w:after="0" w:line="240" w:lineRule="auto"/>
        <w:ind w:left="0"/>
        <w:jc w:val="both"/>
        <w:rPr>
          <w:rFonts w:ascii="Times New Roman" w:hAnsi="Times New Roman" w:cs="Times New Roman"/>
          <w:sz w:val="16"/>
          <w:szCs w:val="16"/>
          <w:highlight w:val="yellow"/>
        </w:rPr>
      </w:pPr>
    </w:p>
    <w:p w:rsidR="00A84BA7" w:rsidRPr="00C60F5D" w:rsidRDefault="00A033D7" w:rsidP="00A033D7">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60F5D">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Wolne miejsca pracy i miejsca aktywizacji zawodowej</w:t>
      </w:r>
    </w:p>
    <w:p w:rsidR="00A033D7" w:rsidRPr="00C60F5D" w:rsidRDefault="00C60F5D" w:rsidP="00A033D7">
      <w:pPr>
        <w:pStyle w:val="Default"/>
        <w:jc w:val="center"/>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eastAsia="pl-PL"/>
        </w:rPr>
        <w:drawing>
          <wp:anchor distT="0" distB="0" distL="114300" distR="114300" simplePos="0" relativeHeight="251859968" behindDoc="1" locked="0" layoutInCell="1" allowOverlap="1" wp14:anchorId="48B764EA" wp14:editId="3EA752A1">
            <wp:simplePos x="0" y="0"/>
            <wp:positionH relativeFrom="column">
              <wp:posOffset>231775</wp:posOffset>
            </wp:positionH>
            <wp:positionV relativeFrom="paragraph">
              <wp:posOffset>107315</wp:posOffset>
            </wp:positionV>
            <wp:extent cx="5629910" cy="2402205"/>
            <wp:effectExtent l="0" t="0" r="8890" b="0"/>
            <wp:wrapTight wrapText="bothSides">
              <wp:wrapPolygon edited="0">
                <wp:start x="73" y="343"/>
                <wp:lineTo x="0" y="14389"/>
                <wp:lineTo x="292" y="17129"/>
                <wp:lineTo x="292" y="18328"/>
                <wp:lineTo x="585" y="19870"/>
                <wp:lineTo x="877" y="19870"/>
                <wp:lineTo x="877" y="20555"/>
                <wp:lineTo x="3581" y="21412"/>
                <wp:lineTo x="5409" y="21412"/>
                <wp:lineTo x="21561" y="21412"/>
                <wp:lineTo x="21561" y="11819"/>
                <wp:lineTo x="1242" y="11648"/>
                <wp:lineTo x="1242" y="6167"/>
                <wp:lineTo x="5920" y="6167"/>
                <wp:lineTo x="7601" y="5481"/>
                <wp:lineTo x="7528" y="3426"/>
                <wp:lineTo x="9501" y="3255"/>
                <wp:lineTo x="9209" y="1713"/>
                <wp:lineTo x="1169" y="343"/>
                <wp:lineTo x="73" y="343"/>
              </wp:wrapPolygon>
            </wp:wrapTight>
            <wp:docPr id="715" name="Wykres 7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r w:rsidR="00A033D7" w:rsidRPr="00C60F5D">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(oferty pracy) zgłoszone</w:t>
      </w:r>
      <w:r w:rsidR="00A84BA7" w:rsidRPr="00C60F5D">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033D7" w:rsidRPr="00C60F5D">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do PUP w </w:t>
      </w:r>
      <w:r w:rsidR="00445F33">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033D7" w:rsidRPr="00C60F5D">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 półroczach 1999 – 20</w:t>
      </w:r>
      <w:r w:rsidR="00A84BA7" w:rsidRPr="00C60F5D">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Pr="00C60F5D">
        <w:rPr>
          <w:b/>
          <w:caps/>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p>
    <w:p w:rsidR="00143549" w:rsidRDefault="00143549"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Default="00C60F5D" w:rsidP="00143549">
      <w:pPr>
        <w:pStyle w:val="Default"/>
        <w:rPr>
          <w:sz w:val="16"/>
          <w:szCs w:val="16"/>
          <w:highlight w:val="yellow"/>
        </w:rPr>
      </w:pPr>
    </w:p>
    <w:p w:rsidR="00C60F5D" w:rsidRPr="00D62B23" w:rsidRDefault="00C60F5D" w:rsidP="00143549">
      <w:pPr>
        <w:pStyle w:val="Default"/>
        <w:rPr>
          <w:sz w:val="16"/>
          <w:szCs w:val="16"/>
          <w:highlight w:val="yellow"/>
        </w:rPr>
      </w:pPr>
    </w:p>
    <w:p w:rsidR="008E7DEA" w:rsidRPr="00C60F5D" w:rsidRDefault="00C851A5" w:rsidP="00614E9A">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C60F5D">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E7DEA" w:rsidRPr="00C60F5D" w:rsidRDefault="008E7DEA" w:rsidP="008E7DEA">
      <w:pPr>
        <w:pStyle w:val="Tekstpodstawowywcity"/>
        <w:spacing w:after="0" w:line="360" w:lineRule="auto"/>
        <w:ind w:left="0"/>
        <w:jc w:val="both"/>
        <w:rPr>
          <w:rFonts w:ascii="Times New Roman" w:hAnsi="Times New Roman" w:cs="Times New Roman"/>
          <w:sz w:val="18"/>
          <w:szCs w:val="18"/>
        </w:rPr>
      </w:pPr>
      <w:r w:rsidRPr="00C60F5D">
        <w:rPr>
          <w:rFonts w:ascii="Times New Roman" w:hAnsi="Times New Roman" w:cs="Times New Roman"/>
          <w:sz w:val="18"/>
          <w:szCs w:val="18"/>
        </w:rPr>
        <w:t>(na podstawie danych</w:t>
      </w:r>
      <w:r w:rsidR="00AE5712" w:rsidRPr="00C60F5D">
        <w:rPr>
          <w:rFonts w:ascii="Times New Roman" w:hAnsi="Times New Roman" w:cs="Times New Roman"/>
          <w:sz w:val="18"/>
          <w:szCs w:val="18"/>
        </w:rPr>
        <w:t xml:space="preserve"> z </w:t>
      </w:r>
      <w:r w:rsidR="00D6428C" w:rsidRPr="00C60F5D">
        <w:rPr>
          <w:rFonts w:ascii="Times New Roman" w:hAnsi="Times New Roman" w:cs="Times New Roman"/>
          <w:sz w:val="18"/>
          <w:szCs w:val="18"/>
        </w:rPr>
        <w:t>t</w:t>
      </w:r>
      <w:r w:rsidRPr="00C60F5D">
        <w:rPr>
          <w:rFonts w:ascii="Times New Roman" w:hAnsi="Times New Roman" w:cs="Times New Roman"/>
          <w:sz w:val="18"/>
          <w:szCs w:val="18"/>
        </w:rPr>
        <w:t xml:space="preserve">abeli </w:t>
      </w:r>
      <w:r w:rsidR="00332B4F" w:rsidRPr="00C60F5D">
        <w:rPr>
          <w:rFonts w:ascii="Times New Roman" w:hAnsi="Times New Roman" w:cs="Times New Roman"/>
          <w:sz w:val="18"/>
          <w:szCs w:val="18"/>
        </w:rPr>
        <w:t>XX</w:t>
      </w:r>
      <w:r w:rsidR="00AE5712" w:rsidRPr="00C60F5D">
        <w:rPr>
          <w:rFonts w:ascii="Times New Roman" w:hAnsi="Times New Roman" w:cs="Times New Roman"/>
          <w:sz w:val="18"/>
          <w:szCs w:val="18"/>
        </w:rPr>
        <w:t xml:space="preserve"> i </w:t>
      </w:r>
      <w:r w:rsidR="00D6428C" w:rsidRPr="00C60F5D">
        <w:rPr>
          <w:rFonts w:ascii="Times New Roman" w:hAnsi="Times New Roman" w:cs="Times New Roman"/>
          <w:sz w:val="18"/>
          <w:szCs w:val="18"/>
        </w:rPr>
        <w:t>w</w:t>
      </w:r>
      <w:r w:rsidR="00DC2FC5" w:rsidRPr="00C60F5D">
        <w:rPr>
          <w:rFonts w:ascii="Times New Roman" w:hAnsi="Times New Roman" w:cs="Times New Roman"/>
          <w:sz w:val="18"/>
          <w:szCs w:val="18"/>
        </w:rPr>
        <w:t>ykresu</w:t>
      </w:r>
      <w:r w:rsidRPr="00C60F5D">
        <w:rPr>
          <w:rFonts w:ascii="Times New Roman" w:hAnsi="Times New Roman" w:cs="Times New Roman"/>
          <w:sz w:val="18"/>
          <w:szCs w:val="18"/>
        </w:rPr>
        <w:t>)</w:t>
      </w:r>
    </w:p>
    <w:p w:rsidR="00D6428C" w:rsidRPr="00D62B23" w:rsidRDefault="00D6428C" w:rsidP="008E7DEA">
      <w:pPr>
        <w:pStyle w:val="Tekstpodstawowywcity"/>
        <w:spacing w:after="0" w:line="360" w:lineRule="auto"/>
        <w:ind w:left="0"/>
        <w:jc w:val="both"/>
        <w:rPr>
          <w:rFonts w:ascii="Times New Roman" w:hAnsi="Times New Roman" w:cs="Times New Roman"/>
          <w:sz w:val="16"/>
          <w:szCs w:val="16"/>
          <w:highlight w:val="yellow"/>
        </w:rPr>
      </w:pPr>
    </w:p>
    <w:p w:rsidR="00CC119B" w:rsidRPr="00F66143" w:rsidRDefault="00E07000" w:rsidP="00C71750">
      <w:pPr>
        <w:pStyle w:val="Bezodstpw"/>
        <w:numPr>
          <w:ilvl w:val="0"/>
          <w:numId w:val="10"/>
        </w:numPr>
        <w:spacing w:line="360" w:lineRule="auto"/>
        <w:jc w:val="both"/>
        <w:rPr>
          <w:rFonts w:ascii="Times New Roman" w:hAnsi="Times New Roman" w:cs="Times New Roman"/>
          <w:sz w:val="24"/>
          <w:szCs w:val="24"/>
        </w:rPr>
      </w:pPr>
      <w:r w:rsidRPr="00F66143">
        <w:rPr>
          <w:rFonts w:ascii="Times New Roman" w:hAnsi="Times New Roman" w:cs="Times New Roman"/>
          <w:sz w:val="24"/>
          <w:szCs w:val="24"/>
        </w:rPr>
        <w:t>W</w:t>
      </w:r>
      <w:r w:rsidR="00547C1E" w:rsidRPr="00F66143">
        <w:rPr>
          <w:rFonts w:ascii="Times New Roman" w:hAnsi="Times New Roman" w:cs="Times New Roman"/>
          <w:sz w:val="24"/>
          <w:szCs w:val="24"/>
        </w:rPr>
        <w:t xml:space="preserve"> stosunku do I półrocza 20</w:t>
      </w:r>
      <w:r w:rsidR="00C60F5D" w:rsidRPr="00F66143">
        <w:rPr>
          <w:rFonts w:ascii="Times New Roman" w:hAnsi="Times New Roman" w:cs="Times New Roman"/>
          <w:sz w:val="24"/>
          <w:szCs w:val="24"/>
        </w:rPr>
        <w:t>20</w:t>
      </w:r>
      <w:r w:rsidR="00547C1E" w:rsidRPr="00F66143">
        <w:rPr>
          <w:rFonts w:ascii="Times New Roman" w:hAnsi="Times New Roman" w:cs="Times New Roman"/>
          <w:sz w:val="24"/>
          <w:szCs w:val="24"/>
        </w:rPr>
        <w:t xml:space="preserve"> r</w:t>
      </w:r>
      <w:r w:rsidR="00357A2C" w:rsidRPr="00F66143">
        <w:rPr>
          <w:rFonts w:ascii="Times New Roman" w:hAnsi="Times New Roman" w:cs="Times New Roman"/>
          <w:sz w:val="24"/>
          <w:szCs w:val="24"/>
        </w:rPr>
        <w:t>oku</w:t>
      </w:r>
      <w:r w:rsidR="00547C1E" w:rsidRPr="00F66143">
        <w:rPr>
          <w:rFonts w:ascii="Times New Roman" w:hAnsi="Times New Roman" w:cs="Times New Roman"/>
          <w:sz w:val="24"/>
          <w:szCs w:val="24"/>
        </w:rPr>
        <w:t xml:space="preserve"> odnotowano </w:t>
      </w:r>
      <w:r w:rsidR="00CC119B" w:rsidRPr="00F66143">
        <w:rPr>
          <w:rFonts w:ascii="Times New Roman" w:hAnsi="Times New Roman" w:cs="Times New Roman"/>
          <w:sz w:val="24"/>
          <w:szCs w:val="24"/>
        </w:rPr>
        <w:t>wzrost</w:t>
      </w:r>
      <w:r w:rsidR="00547C1E" w:rsidRPr="00F66143">
        <w:rPr>
          <w:rFonts w:ascii="Times New Roman" w:hAnsi="Times New Roman" w:cs="Times New Roman"/>
          <w:sz w:val="24"/>
          <w:szCs w:val="24"/>
        </w:rPr>
        <w:t xml:space="preserve"> o </w:t>
      </w:r>
      <w:r w:rsidR="00CC119B" w:rsidRPr="00F66143">
        <w:rPr>
          <w:rFonts w:ascii="Times New Roman" w:hAnsi="Times New Roman" w:cs="Times New Roman"/>
          <w:sz w:val="24"/>
          <w:szCs w:val="24"/>
        </w:rPr>
        <w:t>8951</w:t>
      </w:r>
      <w:r w:rsidR="00547C1E" w:rsidRPr="00F66143">
        <w:rPr>
          <w:rFonts w:ascii="Times New Roman" w:hAnsi="Times New Roman" w:cs="Times New Roman"/>
          <w:sz w:val="24"/>
          <w:szCs w:val="24"/>
        </w:rPr>
        <w:t xml:space="preserve"> ofert pracy.</w:t>
      </w:r>
      <w:r w:rsidRPr="00F66143">
        <w:rPr>
          <w:rFonts w:ascii="Times New Roman" w:hAnsi="Times New Roman" w:cs="Times New Roman"/>
          <w:sz w:val="24"/>
          <w:szCs w:val="24"/>
        </w:rPr>
        <w:t xml:space="preserve"> </w:t>
      </w:r>
      <w:r w:rsidR="00D92058" w:rsidRPr="00F66143">
        <w:rPr>
          <w:rFonts w:ascii="Times New Roman" w:hAnsi="Times New Roman" w:cs="Times New Roman"/>
          <w:sz w:val="24"/>
          <w:szCs w:val="24"/>
        </w:rPr>
        <w:t xml:space="preserve">Porównując dane w szerszym zakresie </w:t>
      </w:r>
      <w:r w:rsidR="00C55829" w:rsidRPr="00F66143">
        <w:rPr>
          <w:rFonts w:ascii="Times New Roman" w:hAnsi="Times New Roman" w:cs="Times New Roman"/>
          <w:sz w:val="24"/>
          <w:szCs w:val="24"/>
        </w:rPr>
        <w:t>czasowym</w:t>
      </w:r>
      <w:r w:rsidR="00F66143" w:rsidRPr="00F66143">
        <w:rPr>
          <w:rFonts w:ascii="Times New Roman" w:hAnsi="Times New Roman" w:cs="Times New Roman"/>
          <w:sz w:val="24"/>
          <w:szCs w:val="24"/>
        </w:rPr>
        <w:t xml:space="preserve"> (I półrocze 1999 – I </w:t>
      </w:r>
      <w:r w:rsidR="00F66143">
        <w:rPr>
          <w:rFonts w:ascii="Times New Roman" w:hAnsi="Times New Roman" w:cs="Times New Roman"/>
          <w:sz w:val="24"/>
          <w:szCs w:val="24"/>
        </w:rPr>
        <w:t>półrocza 2021)</w:t>
      </w:r>
      <w:r w:rsidRPr="00F66143">
        <w:rPr>
          <w:rFonts w:ascii="Times New Roman" w:hAnsi="Times New Roman" w:cs="Times New Roman"/>
          <w:sz w:val="24"/>
          <w:szCs w:val="24"/>
        </w:rPr>
        <w:t xml:space="preserve"> </w:t>
      </w:r>
      <w:r w:rsidR="00915B61" w:rsidRPr="00F66143">
        <w:rPr>
          <w:rFonts w:ascii="Times New Roman" w:hAnsi="Times New Roman" w:cs="Times New Roman"/>
          <w:sz w:val="24"/>
          <w:szCs w:val="24"/>
        </w:rPr>
        <w:t xml:space="preserve">najniższą liczbę </w:t>
      </w:r>
      <w:r w:rsidR="00547C1E" w:rsidRPr="00F66143">
        <w:rPr>
          <w:rFonts w:ascii="Times New Roman" w:hAnsi="Times New Roman" w:cs="Times New Roman"/>
          <w:sz w:val="24"/>
          <w:szCs w:val="24"/>
        </w:rPr>
        <w:t>ofert</w:t>
      </w:r>
      <w:r w:rsidR="00D92058" w:rsidRPr="00F66143">
        <w:rPr>
          <w:rFonts w:ascii="Times New Roman" w:hAnsi="Times New Roman" w:cs="Times New Roman"/>
          <w:sz w:val="24"/>
          <w:szCs w:val="24"/>
        </w:rPr>
        <w:t xml:space="preserve"> </w:t>
      </w:r>
      <w:r w:rsidR="00915B61" w:rsidRPr="00F66143">
        <w:rPr>
          <w:rFonts w:ascii="Times New Roman" w:hAnsi="Times New Roman" w:cs="Times New Roman"/>
          <w:sz w:val="24"/>
          <w:szCs w:val="24"/>
        </w:rPr>
        <w:t xml:space="preserve">dla analizowanego przedziału </w:t>
      </w:r>
      <w:r w:rsidR="00C55829" w:rsidRPr="00F66143">
        <w:rPr>
          <w:rFonts w:ascii="Times New Roman" w:hAnsi="Times New Roman" w:cs="Times New Roman"/>
          <w:sz w:val="24"/>
          <w:szCs w:val="24"/>
        </w:rPr>
        <w:t xml:space="preserve">odnotowano </w:t>
      </w:r>
      <w:r w:rsidR="00915B61" w:rsidRPr="00F66143">
        <w:rPr>
          <w:rFonts w:ascii="Times New Roman" w:hAnsi="Times New Roman" w:cs="Times New Roman"/>
          <w:sz w:val="24"/>
          <w:szCs w:val="24"/>
        </w:rPr>
        <w:t xml:space="preserve">w </w:t>
      </w:r>
      <w:r w:rsidR="00547C1E" w:rsidRPr="00F66143">
        <w:rPr>
          <w:rFonts w:ascii="Times New Roman" w:hAnsi="Times New Roman" w:cs="Times New Roman"/>
          <w:sz w:val="24"/>
          <w:szCs w:val="24"/>
        </w:rPr>
        <w:t>I</w:t>
      </w:r>
      <w:r w:rsidR="00D92058" w:rsidRPr="00F66143">
        <w:rPr>
          <w:rFonts w:ascii="Times New Roman" w:hAnsi="Times New Roman" w:cs="Times New Roman"/>
          <w:sz w:val="24"/>
          <w:szCs w:val="24"/>
        </w:rPr>
        <w:t> </w:t>
      </w:r>
      <w:r w:rsidR="00547C1E" w:rsidRPr="00F66143">
        <w:rPr>
          <w:rFonts w:ascii="Times New Roman" w:hAnsi="Times New Roman" w:cs="Times New Roman"/>
          <w:sz w:val="24"/>
          <w:szCs w:val="24"/>
        </w:rPr>
        <w:t>p</w:t>
      </w:r>
      <w:r w:rsidR="00C55829" w:rsidRPr="00F66143">
        <w:rPr>
          <w:rFonts w:ascii="Times New Roman" w:hAnsi="Times New Roman" w:cs="Times New Roman"/>
          <w:sz w:val="24"/>
          <w:szCs w:val="24"/>
        </w:rPr>
        <w:t xml:space="preserve">ółroczu </w:t>
      </w:r>
      <w:r w:rsidR="00547C1E" w:rsidRPr="00F66143">
        <w:rPr>
          <w:rFonts w:ascii="Times New Roman" w:hAnsi="Times New Roman" w:cs="Times New Roman"/>
          <w:sz w:val="24"/>
          <w:szCs w:val="24"/>
        </w:rPr>
        <w:t>2001 r</w:t>
      </w:r>
      <w:r w:rsidR="00CE5FE2" w:rsidRPr="00F66143">
        <w:rPr>
          <w:rFonts w:ascii="Times New Roman" w:hAnsi="Times New Roman" w:cs="Times New Roman"/>
          <w:sz w:val="24"/>
          <w:szCs w:val="24"/>
        </w:rPr>
        <w:t>oku</w:t>
      </w:r>
      <w:r w:rsidR="00547C1E" w:rsidRPr="00F66143">
        <w:rPr>
          <w:rFonts w:ascii="Times New Roman" w:hAnsi="Times New Roman" w:cs="Times New Roman"/>
          <w:sz w:val="24"/>
          <w:szCs w:val="24"/>
        </w:rPr>
        <w:t xml:space="preserve"> (12 461 ofert). Kolejny spadek nastąpił w</w:t>
      </w:r>
      <w:r w:rsidR="003115EF" w:rsidRPr="00F66143">
        <w:rPr>
          <w:rFonts w:ascii="Times New Roman" w:hAnsi="Times New Roman" w:cs="Times New Roman"/>
          <w:sz w:val="24"/>
          <w:szCs w:val="24"/>
        </w:rPr>
        <w:t> </w:t>
      </w:r>
      <w:r w:rsidR="00547C1E" w:rsidRPr="00F66143">
        <w:rPr>
          <w:rFonts w:ascii="Times New Roman" w:hAnsi="Times New Roman" w:cs="Times New Roman"/>
          <w:sz w:val="24"/>
          <w:szCs w:val="24"/>
        </w:rPr>
        <w:t>I</w:t>
      </w:r>
      <w:r w:rsidR="003115EF" w:rsidRPr="00F66143">
        <w:rPr>
          <w:rFonts w:ascii="Times New Roman" w:hAnsi="Times New Roman" w:cs="Times New Roman"/>
          <w:sz w:val="24"/>
          <w:szCs w:val="24"/>
        </w:rPr>
        <w:t> </w:t>
      </w:r>
      <w:r w:rsidR="00547C1E" w:rsidRPr="00F66143">
        <w:rPr>
          <w:rFonts w:ascii="Times New Roman" w:hAnsi="Times New Roman" w:cs="Times New Roman"/>
          <w:sz w:val="24"/>
          <w:szCs w:val="24"/>
        </w:rPr>
        <w:t xml:space="preserve">półroczu 2012 </w:t>
      </w:r>
      <w:r w:rsidR="003115EF" w:rsidRPr="00F66143">
        <w:rPr>
          <w:rFonts w:ascii="Times New Roman" w:hAnsi="Times New Roman" w:cs="Times New Roman"/>
          <w:sz w:val="24"/>
          <w:szCs w:val="24"/>
        </w:rPr>
        <w:t>r</w:t>
      </w:r>
      <w:r w:rsidR="00CE5FE2" w:rsidRPr="00F66143">
        <w:rPr>
          <w:rFonts w:ascii="Times New Roman" w:hAnsi="Times New Roman" w:cs="Times New Roman"/>
          <w:sz w:val="24"/>
          <w:szCs w:val="24"/>
        </w:rPr>
        <w:t>oku.</w:t>
      </w:r>
      <w:r w:rsidR="00547C1E" w:rsidRPr="00F66143">
        <w:rPr>
          <w:rFonts w:ascii="Times New Roman" w:hAnsi="Times New Roman" w:cs="Times New Roman"/>
          <w:sz w:val="24"/>
          <w:szCs w:val="24"/>
        </w:rPr>
        <w:t xml:space="preserve"> Powyższe spadki zwracają uwagę na cykl</w:t>
      </w:r>
      <w:r w:rsidR="00915B61" w:rsidRPr="00F66143">
        <w:rPr>
          <w:rFonts w:ascii="Times New Roman" w:hAnsi="Times New Roman" w:cs="Times New Roman"/>
          <w:sz w:val="24"/>
          <w:szCs w:val="24"/>
        </w:rPr>
        <w:t>e</w:t>
      </w:r>
      <w:r w:rsidR="00547C1E" w:rsidRPr="00F66143">
        <w:rPr>
          <w:rFonts w:ascii="Times New Roman" w:hAnsi="Times New Roman" w:cs="Times New Roman"/>
          <w:sz w:val="24"/>
          <w:szCs w:val="24"/>
        </w:rPr>
        <w:t xml:space="preserve"> </w:t>
      </w:r>
      <w:r w:rsidR="00357A2C" w:rsidRPr="00F66143">
        <w:rPr>
          <w:rFonts w:ascii="Times New Roman" w:hAnsi="Times New Roman" w:cs="Times New Roman"/>
          <w:sz w:val="24"/>
          <w:szCs w:val="24"/>
        </w:rPr>
        <w:t xml:space="preserve">zbliżone do </w:t>
      </w:r>
      <w:r w:rsidR="00547C1E" w:rsidRPr="00F66143">
        <w:rPr>
          <w:rFonts w:ascii="Times New Roman" w:hAnsi="Times New Roman" w:cs="Times New Roman"/>
          <w:sz w:val="24"/>
          <w:szCs w:val="24"/>
        </w:rPr>
        <w:t>dekad.</w:t>
      </w:r>
    </w:p>
    <w:p w:rsidR="00547C1E" w:rsidRPr="00CC119B" w:rsidRDefault="00CC119B" w:rsidP="00C71750">
      <w:pPr>
        <w:pStyle w:val="Bezodstpw"/>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I półroczu 2020 roku odnotowano również znaczący spadek liczby ofert w porównaniu do okresu I półrocza 2019 roku. </w:t>
      </w:r>
      <w:r w:rsidR="009C6A70">
        <w:rPr>
          <w:rFonts w:ascii="Times New Roman" w:hAnsi="Times New Roman" w:cs="Times New Roman"/>
          <w:sz w:val="24"/>
          <w:szCs w:val="24"/>
        </w:rPr>
        <w:t xml:space="preserve">Przyczyną opisywanego zjawiska był początek </w:t>
      </w:r>
      <w:r>
        <w:rPr>
          <w:rFonts w:ascii="Times New Roman" w:hAnsi="Times New Roman" w:cs="Times New Roman"/>
          <w:sz w:val="24"/>
          <w:szCs w:val="24"/>
        </w:rPr>
        <w:t xml:space="preserve">pandemii. </w:t>
      </w:r>
    </w:p>
    <w:p w:rsidR="004E0E65" w:rsidRPr="004E0E65" w:rsidRDefault="0067454E" w:rsidP="00004257">
      <w:pPr>
        <w:pStyle w:val="Bezodstpw"/>
        <w:numPr>
          <w:ilvl w:val="0"/>
          <w:numId w:val="10"/>
        </w:numPr>
        <w:spacing w:line="360" w:lineRule="auto"/>
        <w:jc w:val="both"/>
        <w:rPr>
          <w:rFonts w:ascii="Times New Roman" w:hAnsi="Times New Roman" w:cs="Times New Roman"/>
          <w:sz w:val="24"/>
          <w:szCs w:val="24"/>
        </w:rPr>
      </w:pPr>
      <w:r w:rsidRPr="004E0E65">
        <w:rPr>
          <w:rFonts w:ascii="Times New Roman" w:hAnsi="Times New Roman" w:cs="Times New Roman"/>
          <w:sz w:val="24"/>
          <w:szCs w:val="24"/>
        </w:rPr>
        <w:t>W</w:t>
      </w:r>
      <w:r w:rsidR="008A7EA9" w:rsidRPr="004E0E65">
        <w:rPr>
          <w:rFonts w:ascii="Times New Roman" w:hAnsi="Times New Roman" w:cs="Times New Roman"/>
          <w:sz w:val="24"/>
          <w:szCs w:val="24"/>
        </w:rPr>
        <w:t> </w:t>
      </w:r>
      <w:r w:rsidR="00B55F30" w:rsidRPr="004E0E65">
        <w:rPr>
          <w:rFonts w:ascii="Times New Roman" w:hAnsi="Times New Roman" w:cs="Times New Roman"/>
          <w:sz w:val="24"/>
          <w:szCs w:val="24"/>
        </w:rPr>
        <w:t xml:space="preserve">I półroczu </w:t>
      </w:r>
      <w:r w:rsidRPr="004E0E65">
        <w:rPr>
          <w:rFonts w:ascii="Times New Roman" w:hAnsi="Times New Roman" w:cs="Times New Roman"/>
          <w:sz w:val="24"/>
          <w:szCs w:val="24"/>
        </w:rPr>
        <w:t>20</w:t>
      </w:r>
      <w:r w:rsidR="00357A2C" w:rsidRPr="004E0E65">
        <w:rPr>
          <w:rFonts w:ascii="Times New Roman" w:hAnsi="Times New Roman" w:cs="Times New Roman"/>
          <w:sz w:val="24"/>
          <w:szCs w:val="24"/>
        </w:rPr>
        <w:t>2</w:t>
      </w:r>
      <w:r w:rsidR="00CC119B" w:rsidRPr="004E0E65">
        <w:rPr>
          <w:rFonts w:ascii="Times New Roman" w:hAnsi="Times New Roman" w:cs="Times New Roman"/>
          <w:sz w:val="24"/>
          <w:szCs w:val="24"/>
        </w:rPr>
        <w:t>1</w:t>
      </w:r>
      <w:r w:rsidR="00AE5712" w:rsidRPr="004E0E65">
        <w:rPr>
          <w:rFonts w:ascii="Times New Roman" w:hAnsi="Times New Roman" w:cs="Times New Roman"/>
          <w:sz w:val="24"/>
          <w:szCs w:val="24"/>
        </w:rPr>
        <w:t> </w:t>
      </w:r>
      <w:r w:rsidR="00B55F30" w:rsidRPr="004E0E65">
        <w:rPr>
          <w:rFonts w:ascii="Times New Roman" w:hAnsi="Times New Roman" w:cs="Times New Roman"/>
          <w:sz w:val="24"/>
          <w:szCs w:val="24"/>
        </w:rPr>
        <w:t>r</w:t>
      </w:r>
      <w:r w:rsidR="00357A2C" w:rsidRPr="004E0E65">
        <w:rPr>
          <w:rFonts w:ascii="Times New Roman" w:hAnsi="Times New Roman" w:cs="Times New Roman"/>
          <w:sz w:val="24"/>
          <w:szCs w:val="24"/>
        </w:rPr>
        <w:t>oku</w:t>
      </w:r>
      <w:r w:rsidRPr="004E0E65">
        <w:rPr>
          <w:rFonts w:ascii="Times New Roman" w:hAnsi="Times New Roman" w:cs="Times New Roman"/>
          <w:sz w:val="24"/>
          <w:szCs w:val="24"/>
        </w:rPr>
        <w:t xml:space="preserve"> pracodawcy zgłosili do powiatowych urzędów pracy </w:t>
      </w:r>
      <w:r w:rsidR="00CC119B" w:rsidRPr="004E0E65">
        <w:rPr>
          <w:rFonts w:ascii="Times New Roman" w:hAnsi="Times New Roman" w:cs="Times New Roman"/>
          <w:sz w:val="24"/>
          <w:szCs w:val="24"/>
        </w:rPr>
        <w:t>24927</w:t>
      </w:r>
      <w:r w:rsidRPr="004E0E65">
        <w:rPr>
          <w:rFonts w:ascii="Times New Roman" w:hAnsi="Times New Roman" w:cs="Times New Roman"/>
          <w:sz w:val="24"/>
          <w:szCs w:val="24"/>
        </w:rPr>
        <w:t xml:space="preserve"> wolnych miejsc pracy</w:t>
      </w:r>
      <w:r w:rsidR="00AE5712" w:rsidRPr="004E0E65">
        <w:rPr>
          <w:rFonts w:ascii="Times New Roman" w:hAnsi="Times New Roman" w:cs="Times New Roman"/>
          <w:sz w:val="24"/>
          <w:szCs w:val="24"/>
        </w:rPr>
        <w:t xml:space="preserve"> i </w:t>
      </w:r>
      <w:r w:rsidRPr="004E0E65">
        <w:rPr>
          <w:rFonts w:ascii="Times New Roman" w:hAnsi="Times New Roman" w:cs="Times New Roman"/>
          <w:sz w:val="24"/>
          <w:szCs w:val="24"/>
        </w:rPr>
        <w:t>miejsc aktywizacji zawodowej,</w:t>
      </w:r>
      <w:r w:rsidR="00AE5712" w:rsidRPr="004E0E65">
        <w:rPr>
          <w:rFonts w:ascii="Times New Roman" w:hAnsi="Times New Roman" w:cs="Times New Roman"/>
          <w:sz w:val="24"/>
          <w:szCs w:val="24"/>
        </w:rPr>
        <w:t xml:space="preserve"> z </w:t>
      </w:r>
      <w:r w:rsidRPr="004E0E65">
        <w:rPr>
          <w:rFonts w:ascii="Times New Roman" w:hAnsi="Times New Roman" w:cs="Times New Roman"/>
          <w:sz w:val="24"/>
          <w:szCs w:val="24"/>
        </w:rPr>
        <w:t xml:space="preserve">których </w:t>
      </w:r>
      <w:r w:rsidR="00CC119B" w:rsidRPr="004E0E65">
        <w:rPr>
          <w:rFonts w:ascii="Times New Roman" w:hAnsi="Times New Roman" w:cs="Times New Roman"/>
          <w:sz w:val="24"/>
          <w:szCs w:val="24"/>
        </w:rPr>
        <w:t>39</w:t>
      </w:r>
      <w:r w:rsidR="00CE5FE2" w:rsidRPr="004E0E65">
        <w:rPr>
          <w:rFonts w:ascii="Times New Roman" w:hAnsi="Times New Roman" w:cs="Times New Roman"/>
          <w:sz w:val="24"/>
          <w:szCs w:val="24"/>
        </w:rPr>
        <w:t>,</w:t>
      </w:r>
      <w:r w:rsidR="00CC119B" w:rsidRPr="004E0E65">
        <w:rPr>
          <w:rFonts w:ascii="Times New Roman" w:hAnsi="Times New Roman" w:cs="Times New Roman"/>
          <w:sz w:val="24"/>
          <w:szCs w:val="24"/>
        </w:rPr>
        <w:t>7</w:t>
      </w:r>
      <w:r w:rsidR="008F2E68">
        <w:rPr>
          <w:rFonts w:ascii="Times New Roman" w:hAnsi="Times New Roman" w:cs="Times New Roman"/>
          <w:sz w:val="24"/>
          <w:szCs w:val="24"/>
        </w:rPr>
        <w:t xml:space="preserve"> proc.</w:t>
      </w:r>
      <w:r w:rsidRPr="004E0E65">
        <w:rPr>
          <w:rFonts w:ascii="Times New Roman" w:hAnsi="Times New Roman" w:cs="Times New Roman"/>
          <w:sz w:val="24"/>
          <w:szCs w:val="24"/>
        </w:rPr>
        <w:t xml:space="preserve"> było ofertami pracy subsydiowanej</w:t>
      </w:r>
      <w:r w:rsidR="003115EF" w:rsidRPr="004E0E65">
        <w:rPr>
          <w:rFonts w:ascii="Times New Roman" w:hAnsi="Times New Roman" w:cs="Times New Roman"/>
          <w:sz w:val="24"/>
          <w:szCs w:val="24"/>
        </w:rPr>
        <w:t>. W analogicznym okresie ubr. o</w:t>
      </w:r>
      <w:r w:rsidR="00DC246C" w:rsidRPr="004E0E65">
        <w:rPr>
          <w:rFonts w:ascii="Times New Roman" w:hAnsi="Times New Roman" w:cs="Times New Roman"/>
          <w:sz w:val="24"/>
          <w:szCs w:val="24"/>
        </w:rPr>
        <w:t xml:space="preserve">ferty subsydiowane </w:t>
      </w:r>
      <w:r w:rsidR="006C57B2" w:rsidRPr="004E0E65">
        <w:rPr>
          <w:rFonts w:ascii="Times New Roman" w:hAnsi="Times New Roman" w:cs="Times New Roman"/>
          <w:sz w:val="24"/>
          <w:szCs w:val="24"/>
        </w:rPr>
        <w:t xml:space="preserve">stanowiły </w:t>
      </w:r>
      <w:r w:rsidR="00CC119B" w:rsidRPr="004E0E65">
        <w:rPr>
          <w:rFonts w:ascii="Times New Roman" w:hAnsi="Times New Roman" w:cs="Times New Roman"/>
          <w:sz w:val="24"/>
          <w:szCs w:val="24"/>
        </w:rPr>
        <w:t>40</w:t>
      </w:r>
      <w:r w:rsidRPr="004E0E65">
        <w:rPr>
          <w:rFonts w:ascii="Times New Roman" w:hAnsi="Times New Roman" w:cs="Times New Roman"/>
          <w:sz w:val="24"/>
          <w:szCs w:val="24"/>
        </w:rPr>
        <w:t>,</w:t>
      </w:r>
      <w:r w:rsidR="003115EF" w:rsidRPr="004E0E65">
        <w:rPr>
          <w:rFonts w:ascii="Times New Roman" w:hAnsi="Times New Roman" w:cs="Times New Roman"/>
          <w:sz w:val="24"/>
          <w:szCs w:val="24"/>
        </w:rPr>
        <w:t>9</w:t>
      </w:r>
      <w:r w:rsidR="008F2E68">
        <w:rPr>
          <w:rFonts w:ascii="Times New Roman" w:hAnsi="Times New Roman" w:cs="Times New Roman"/>
          <w:sz w:val="24"/>
          <w:szCs w:val="24"/>
        </w:rPr>
        <w:t xml:space="preserve"> proc.</w:t>
      </w:r>
      <w:r w:rsidRPr="004E0E65">
        <w:rPr>
          <w:rFonts w:ascii="Times New Roman" w:hAnsi="Times New Roman" w:cs="Times New Roman"/>
          <w:sz w:val="24"/>
          <w:szCs w:val="24"/>
        </w:rPr>
        <w:t xml:space="preserve"> ogółu </w:t>
      </w:r>
      <w:r w:rsidR="00DC2FC5" w:rsidRPr="004E0E65">
        <w:rPr>
          <w:rFonts w:ascii="Times New Roman" w:hAnsi="Times New Roman" w:cs="Times New Roman"/>
          <w:sz w:val="24"/>
          <w:szCs w:val="24"/>
        </w:rPr>
        <w:t>zgłoszonych</w:t>
      </w:r>
      <w:r w:rsidRPr="004E0E65">
        <w:rPr>
          <w:rFonts w:ascii="Times New Roman" w:hAnsi="Times New Roman" w:cs="Times New Roman"/>
          <w:sz w:val="24"/>
          <w:szCs w:val="24"/>
        </w:rPr>
        <w:t>.</w:t>
      </w:r>
      <w:r w:rsidR="00022E6E" w:rsidRPr="004E0E65">
        <w:rPr>
          <w:rFonts w:ascii="Times New Roman" w:hAnsi="Times New Roman" w:cs="Times New Roman"/>
          <w:sz w:val="24"/>
          <w:szCs w:val="24"/>
        </w:rPr>
        <w:t xml:space="preserve"> </w:t>
      </w:r>
      <w:r w:rsidR="004520F6" w:rsidRPr="004E0E65">
        <w:rPr>
          <w:rFonts w:ascii="Times New Roman" w:hAnsi="Times New Roman" w:cs="Times New Roman"/>
          <w:sz w:val="24"/>
          <w:szCs w:val="24"/>
        </w:rPr>
        <w:t>„</w:t>
      </w:r>
      <w:r w:rsidR="003115EF" w:rsidRPr="004E0E65">
        <w:rPr>
          <w:rFonts w:ascii="Times New Roman" w:hAnsi="Times New Roman" w:cs="Times New Roman"/>
          <w:sz w:val="24"/>
          <w:szCs w:val="24"/>
        </w:rPr>
        <w:t>O</w:t>
      </w:r>
      <w:r w:rsidR="004520F6" w:rsidRPr="004E0E65">
        <w:rPr>
          <w:rFonts w:ascii="Times New Roman" w:hAnsi="Times New Roman" w:cs="Times New Roman"/>
          <w:sz w:val="24"/>
          <w:szCs w:val="24"/>
        </w:rPr>
        <w:t>dpływ” bezrobotnych</w:t>
      </w:r>
      <w:r w:rsidR="00AE5712" w:rsidRPr="004E0E65">
        <w:rPr>
          <w:rFonts w:ascii="Times New Roman" w:hAnsi="Times New Roman" w:cs="Times New Roman"/>
          <w:sz w:val="24"/>
          <w:szCs w:val="24"/>
        </w:rPr>
        <w:t xml:space="preserve"> z </w:t>
      </w:r>
      <w:r w:rsidR="004520F6" w:rsidRPr="004E0E65">
        <w:rPr>
          <w:rFonts w:ascii="Times New Roman" w:hAnsi="Times New Roman" w:cs="Times New Roman"/>
          <w:sz w:val="24"/>
          <w:szCs w:val="24"/>
        </w:rPr>
        <w:t>powodu podjęcia pracy pokazuje</w:t>
      </w:r>
      <w:r w:rsidR="00004257" w:rsidRPr="004E0E65">
        <w:rPr>
          <w:rFonts w:ascii="Times New Roman" w:hAnsi="Times New Roman" w:cs="Times New Roman"/>
          <w:sz w:val="24"/>
          <w:szCs w:val="24"/>
        </w:rPr>
        <w:t xml:space="preserve"> stan realizacji </w:t>
      </w:r>
      <w:r w:rsidR="004E0E65" w:rsidRPr="004E0E65">
        <w:rPr>
          <w:rFonts w:ascii="Times New Roman" w:hAnsi="Times New Roman" w:cs="Times New Roman"/>
          <w:sz w:val="24"/>
          <w:szCs w:val="24"/>
        </w:rPr>
        <w:t xml:space="preserve">przydzielanych przez PUP </w:t>
      </w:r>
      <w:r w:rsidR="00004257" w:rsidRPr="004E0E65">
        <w:rPr>
          <w:rFonts w:ascii="Times New Roman" w:hAnsi="Times New Roman" w:cs="Times New Roman"/>
          <w:sz w:val="24"/>
          <w:szCs w:val="24"/>
        </w:rPr>
        <w:t xml:space="preserve">subsydiów. </w:t>
      </w:r>
      <w:r w:rsidR="004E0E65" w:rsidRPr="004E0E65">
        <w:rPr>
          <w:rFonts w:ascii="Times New Roman" w:hAnsi="Times New Roman" w:cs="Times New Roman"/>
          <w:sz w:val="24"/>
          <w:szCs w:val="24"/>
        </w:rPr>
        <w:t>Bezrobotni  wyrejestrowani z powodu podjęcia pracy subsydiowanej to 11</w:t>
      </w:r>
      <w:r w:rsidR="004520F6" w:rsidRPr="004E0E65">
        <w:rPr>
          <w:rFonts w:ascii="Times New Roman" w:hAnsi="Times New Roman" w:cs="Times New Roman"/>
          <w:sz w:val="24"/>
          <w:szCs w:val="24"/>
        </w:rPr>
        <w:t>,</w:t>
      </w:r>
      <w:r w:rsidR="004E0E65" w:rsidRPr="004E0E65">
        <w:rPr>
          <w:rFonts w:ascii="Times New Roman" w:hAnsi="Times New Roman" w:cs="Times New Roman"/>
          <w:sz w:val="24"/>
          <w:szCs w:val="24"/>
        </w:rPr>
        <w:t>8</w:t>
      </w:r>
      <w:r w:rsidR="008F2E68">
        <w:rPr>
          <w:rFonts w:ascii="Times New Roman" w:hAnsi="Times New Roman" w:cs="Times New Roman"/>
          <w:sz w:val="24"/>
          <w:szCs w:val="24"/>
        </w:rPr>
        <w:t xml:space="preserve"> proc.</w:t>
      </w:r>
      <w:r w:rsidR="00AE5712" w:rsidRPr="004E0E65">
        <w:rPr>
          <w:rFonts w:ascii="Times New Roman" w:hAnsi="Times New Roman" w:cs="Times New Roman"/>
          <w:sz w:val="24"/>
          <w:szCs w:val="24"/>
        </w:rPr>
        <w:t xml:space="preserve"> </w:t>
      </w:r>
      <w:r w:rsidR="004E0E65" w:rsidRPr="004E0E65">
        <w:rPr>
          <w:rFonts w:ascii="Times New Roman" w:hAnsi="Times New Roman" w:cs="Times New Roman"/>
          <w:sz w:val="24"/>
          <w:szCs w:val="24"/>
        </w:rPr>
        <w:t xml:space="preserve">ogółu odpływu </w:t>
      </w:r>
      <w:r w:rsidR="00004257" w:rsidRPr="004E0E65">
        <w:rPr>
          <w:rFonts w:ascii="Times New Roman" w:hAnsi="Times New Roman" w:cs="Times New Roman"/>
          <w:sz w:val="24"/>
          <w:szCs w:val="24"/>
        </w:rPr>
        <w:t xml:space="preserve">tj. </w:t>
      </w:r>
      <w:r w:rsidR="004E0E65" w:rsidRPr="004E0E65">
        <w:rPr>
          <w:rFonts w:ascii="Times New Roman" w:hAnsi="Times New Roman" w:cs="Times New Roman"/>
          <w:sz w:val="24"/>
          <w:szCs w:val="24"/>
        </w:rPr>
        <w:t>5672</w:t>
      </w:r>
      <w:r w:rsidR="00F94DE3" w:rsidRPr="004E0E65">
        <w:rPr>
          <w:rFonts w:ascii="Times New Roman" w:hAnsi="Times New Roman" w:cs="Times New Roman"/>
          <w:sz w:val="24"/>
          <w:szCs w:val="24"/>
        </w:rPr>
        <w:t xml:space="preserve"> os</w:t>
      </w:r>
      <w:r w:rsidR="004E0E65" w:rsidRPr="004E0E65">
        <w:rPr>
          <w:rFonts w:ascii="Times New Roman" w:hAnsi="Times New Roman" w:cs="Times New Roman"/>
          <w:sz w:val="24"/>
          <w:szCs w:val="24"/>
        </w:rPr>
        <w:t>o</w:t>
      </w:r>
      <w:r w:rsidR="00F94DE3" w:rsidRPr="004E0E65">
        <w:rPr>
          <w:rFonts w:ascii="Times New Roman" w:hAnsi="Times New Roman" w:cs="Times New Roman"/>
          <w:sz w:val="24"/>
          <w:szCs w:val="24"/>
        </w:rPr>
        <w:t>b</w:t>
      </w:r>
      <w:r w:rsidR="004E0E65" w:rsidRPr="004E0E65">
        <w:rPr>
          <w:rFonts w:ascii="Times New Roman" w:hAnsi="Times New Roman" w:cs="Times New Roman"/>
          <w:sz w:val="24"/>
          <w:szCs w:val="24"/>
        </w:rPr>
        <w:t>y</w:t>
      </w:r>
      <w:r w:rsidR="00C434CC" w:rsidRPr="004E0E65">
        <w:rPr>
          <w:rFonts w:ascii="Times New Roman" w:hAnsi="Times New Roman" w:cs="Times New Roman"/>
          <w:sz w:val="24"/>
          <w:szCs w:val="24"/>
        </w:rPr>
        <w:t>.</w:t>
      </w:r>
    </w:p>
    <w:p w:rsidR="004520F6" w:rsidRPr="004E0E65" w:rsidRDefault="00C434CC" w:rsidP="00004257">
      <w:pPr>
        <w:pStyle w:val="Bezodstpw"/>
        <w:numPr>
          <w:ilvl w:val="0"/>
          <w:numId w:val="10"/>
        </w:numPr>
        <w:spacing w:line="360" w:lineRule="auto"/>
        <w:jc w:val="both"/>
        <w:rPr>
          <w:rFonts w:ascii="Times New Roman" w:hAnsi="Times New Roman" w:cs="Times New Roman"/>
          <w:sz w:val="24"/>
          <w:szCs w:val="24"/>
        </w:rPr>
      </w:pPr>
      <w:r w:rsidRPr="004E0E65">
        <w:rPr>
          <w:rFonts w:ascii="Times New Roman" w:hAnsi="Times New Roman" w:cs="Times New Roman"/>
          <w:sz w:val="24"/>
          <w:szCs w:val="24"/>
        </w:rPr>
        <w:t xml:space="preserve">Zatrudnienie niesubsydiowane podjęło w omawianym półroczu </w:t>
      </w:r>
      <w:r w:rsidR="004E0E65" w:rsidRPr="004E0E65">
        <w:rPr>
          <w:rFonts w:ascii="Times New Roman" w:hAnsi="Times New Roman" w:cs="Times New Roman"/>
          <w:sz w:val="24"/>
          <w:szCs w:val="24"/>
        </w:rPr>
        <w:t>25180</w:t>
      </w:r>
      <w:r w:rsidRPr="004E0E65">
        <w:rPr>
          <w:rFonts w:ascii="Times New Roman" w:hAnsi="Times New Roman" w:cs="Times New Roman"/>
          <w:sz w:val="24"/>
          <w:szCs w:val="24"/>
        </w:rPr>
        <w:t xml:space="preserve"> </w:t>
      </w:r>
      <w:r w:rsidR="00004257" w:rsidRPr="004E0E65">
        <w:rPr>
          <w:rFonts w:ascii="Times New Roman" w:hAnsi="Times New Roman" w:cs="Times New Roman"/>
          <w:sz w:val="24"/>
          <w:szCs w:val="24"/>
        </w:rPr>
        <w:t>bezrobotnych</w:t>
      </w:r>
      <w:r w:rsidR="004520F6" w:rsidRPr="004E0E65">
        <w:rPr>
          <w:rFonts w:ascii="Times New Roman" w:hAnsi="Times New Roman" w:cs="Times New Roman"/>
          <w:sz w:val="24"/>
          <w:szCs w:val="24"/>
        </w:rPr>
        <w:t>.</w:t>
      </w:r>
    </w:p>
    <w:p w:rsidR="004520F6" w:rsidRPr="00F879C8" w:rsidRDefault="0067454E" w:rsidP="00160DBC">
      <w:pPr>
        <w:pStyle w:val="Bezodstpw"/>
        <w:numPr>
          <w:ilvl w:val="0"/>
          <w:numId w:val="10"/>
        </w:numPr>
        <w:spacing w:line="360" w:lineRule="auto"/>
        <w:jc w:val="both"/>
        <w:rPr>
          <w:rFonts w:ascii="Times New Roman" w:hAnsi="Times New Roman" w:cs="Times New Roman"/>
          <w:sz w:val="24"/>
          <w:szCs w:val="24"/>
        </w:rPr>
      </w:pPr>
      <w:r w:rsidRPr="00F879C8">
        <w:rPr>
          <w:rFonts w:ascii="Times New Roman" w:hAnsi="Times New Roman" w:cs="Times New Roman"/>
          <w:sz w:val="24"/>
          <w:szCs w:val="24"/>
        </w:rPr>
        <w:t xml:space="preserve">Spośród ogólnej liczby ofert </w:t>
      </w:r>
      <w:r w:rsidR="00B6796D" w:rsidRPr="00F879C8">
        <w:rPr>
          <w:rFonts w:ascii="Times New Roman" w:hAnsi="Times New Roman" w:cs="Times New Roman"/>
          <w:sz w:val="24"/>
          <w:szCs w:val="24"/>
        </w:rPr>
        <w:t xml:space="preserve">pracy </w:t>
      </w:r>
      <w:r w:rsidRPr="00F879C8">
        <w:rPr>
          <w:rFonts w:ascii="Times New Roman" w:hAnsi="Times New Roman" w:cs="Times New Roman"/>
          <w:sz w:val="24"/>
          <w:szCs w:val="24"/>
        </w:rPr>
        <w:t>zgłoszonych</w:t>
      </w:r>
      <w:r w:rsidR="00755177" w:rsidRPr="00F879C8">
        <w:rPr>
          <w:rFonts w:ascii="Times New Roman" w:hAnsi="Times New Roman" w:cs="Times New Roman"/>
          <w:sz w:val="24"/>
          <w:szCs w:val="24"/>
        </w:rPr>
        <w:t xml:space="preserve"> </w:t>
      </w:r>
      <w:r w:rsidR="00AE5712" w:rsidRPr="00F879C8">
        <w:rPr>
          <w:rFonts w:ascii="Times New Roman" w:hAnsi="Times New Roman" w:cs="Times New Roman"/>
          <w:sz w:val="24"/>
          <w:szCs w:val="24"/>
        </w:rPr>
        <w:t>w</w:t>
      </w:r>
      <w:r w:rsidR="00755177" w:rsidRPr="00F879C8">
        <w:rPr>
          <w:rFonts w:ascii="Times New Roman" w:hAnsi="Times New Roman" w:cs="Times New Roman"/>
          <w:sz w:val="24"/>
          <w:szCs w:val="24"/>
        </w:rPr>
        <w:t xml:space="preserve"> </w:t>
      </w:r>
      <w:r w:rsidR="00236AC9" w:rsidRPr="00F879C8">
        <w:rPr>
          <w:rFonts w:ascii="Times New Roman" w:hAnsi="Times New Roman" w:cs="Times New Roman"/>
          <w:sz w:val="24"/>
          <w:szCs w:val="24"/>
        </w:rPr>
        <w:t>I półroczu 20</w:t>
      </w:r>
      <w:r w:rsidR="00467F13" w:rsidRPr="00F879C8">
        <w:rPr>
          <w:rFonts w:ascii="Times New Roman" w:hAnsi="Times New Roman" w:cs="Times New Roman"/>
          <w:sz w:val="24"/>
          <w:szCs w:val="24"/>
        </w:rPr>
        <w:t>2</w:t>
      </w:r>
      <w:r w:rsidR="004E0E65" w:rsidRPr="00F879C8">
        <w:rPr>
          <w:rFonts w:ascii="Times New Roman" w:hAnsi="Times New Roman" w:cs="Times New Roman"/>
          <w:sz w:val="24"/>
          <w:szCs w:val="24"/>
        </w:rPr>
        <w:t>1</w:t>
      </w:r>
      <w:r w:rsidR="00AE5712" w:rsidRPr="00F879C8">
        <w:rPr>
          <w:rFonts w:ascii="Times New Roman" w:hAnsi="Times New Roman" w:cs="Times New Roman"/>
          <w:sz w:val="24"/>
          <w:szCs w:val="24"/>
        </w:rPr>
        <w:t> r</w:t>
      </w:r>
      <w:r w:rsidR="00467F13" w:rsidRPr="00F879C8">
        <w:rPr>
          <w:rFonts w:ascii="Times New Roman" w:hAnsi="Times New Roman" w:cs="Times New Roman"/>
          <w:sz w:val="24"/>
          <w:szCs w:val="24"/>
        </w:rPr>
        <w:t>oku</w:t>
      </w:r>
      <w:r w:rsidRPr="00F879C8">
        <w:rPr>
          <w:rFonts w:ascii="Times New Roman" w:hAnsi="Times New Roman" w:cs="Times New Roman"/>
          <w:sz w:val="24"/>
          <w:szCs w:val="24"/>
        </w:rPr>
        <w:t xml:space="preserve"> </w:t>
      </w:r>
      <w:r w:rsidR="004B383E" w:rsidRPr="00F879C8">
        <w:rPr>
          <w:rFonts w:ascii="Times New Roman" w:hAnsi="Times New Roman" w:cs="Times New Roman"/>
          <w:sz w:val="24"/>
          <w:szCs w:val="24"/>
        </w:rPr>
        <w:t>(</w:t>
      </w:r>
      <w:r w:rsidR="004E0E65" w:rsidRPr="00F879C8">
        <w:rPr>
          <w:rFonts w:ascii="Times New Roman" w:hAnsi="Times New Roman" w:cs="Times New Roman"/>
          <w:sz w:val="24"/>
          <w:szCs w:val="24"/>
        </w:rPr>
        <w:t>24927</w:t>
      </w:r>
      <w:r w:rsidR="004B383E" w:rsidRPr="00F879C8">
        <w:rPr>
          <w:rFonts w:ascii="Times New Roman" w:hAnsi="Times New Roman" w:cs="Times New Roman"/>
          <w:sz w:val="24"/>
          <w:szCs w:val="24"/>
        </w:rPr>
        <w:t>)</w:t>
      </w:r>
      <w:r w:rsidR="00845B6B" w:rsidRPr="00F879C8">
        <w:rPr>
          <w:rFonts w:ascii="Times New Roman" w:hAnsi="Times New Roman" w:cs="Times New Roman"/>
          <w:sz w:val="24"/>
          <w:szCs w:val="24"/>
        </w:rPr>
        <w:t xml:space="preserve"> </w:t>
      </w:r>
      <w:r w:rsidR="00B6796D" w:rsidRPr="00F879C8">
        <w:rPr>
          <w:rFonts w:ascii="Times New Roman" w:hAnsi="Times New Roman" w:cs="Times New Roman"/>
          <w:sz w:val="24"/>
          <w:szCs w:val="24"/>
        </w:rPr>
        <w:t>z sektora publicznego pochodziło</w:t>
      </w:r>
      <w:r w:rsidR="00236AC9" w:rsidRPr="00F879C8">
        <w:rPr>
          <w:rFonts w:ascii="Times New Roman" w:hAnsi="Times New Roman" w:cs="Times New Roman"/>
          <w:sz w:val="24"/>
          <w:szCs w:val="24"/>
        </w:rPr>
        <w:t xml:space="preserve"> </w:t>
      </w:r>
      <w:r w:rsidR="00F879C8" w:rsidRPr="00F879C8">
        <w:rPr>
          <w:rFonts w:ascii="Times New Roman" w:hAnsi="Times New Roman" w:cs="Times New Roman"/>
          <w:sz w:val="24"/>
          <w:szCs w:val="24"/>
        </w:rPr>
        <w:t>3691</w:t>
      </w:r>
      <w:r w:rsidR="00DC246C" w:rsidRPr="00F879C8">
        <w:rPr>
          <w:rFonts w:ascii="Times New Roman" w:hAnsi="Times New Roman" w:cs="Times New Roman"/>
          <w:sz w:val="24"/>
          <w:szCs w:val="24"/>
        </w:rPr>
        <w:t xml:space="preserve"> </w:t>
      </w:r>
      <w:r w:rsidR="004E0E65" w:rsidRPr="00F879C8">
        <w:rPr>
          <w:rFonts w:ascii="Times New Roman" w:hAnsi="Times New Roman" w:cs="Times New Roman"/>
          <w:sz w:val="24"/>
          <w:szCs w:val="24"/>
        </w:rPr>
        <w:t xml:space="preserve">tj. </w:t>
      </w:r>
      <w:r w:rsidR="00F879C8" w:rsidRPr="00F879C8">
        <w:rPr>
          <w:rFonts w:ascii="Times New Roman" w:hAnsi="Times New Roman" w:cs="Times New Roman"/>
          <w:sz w:val="24"/>
          <w:szCs w:val="24"/>
        </w:rPr>
        <w:t>14</w:t>
      </w:r>
      <w:r w:rsidRPr="00F879C8">
        <w:rPr>
          <w:rFonts w:ascii="Times New Roman" w:hAnsi="Times New Roman" w:cs="Times New Roman"/>
          <w:sz w:val="24"/>
          <w:szCs w:val="24"/>
        </w:rPr>
        <w:t>,</w:t>
      </w:r>
      <w:r w:rsidR="00F879C8" w:rsidRPr="00F879C8">
        <w:rPr>
          <w:rFonts w:ascii="Times New Roman" w:hAnsi="Times New Roman" w:cs="Times New Roman"/>
          <w:sz w:val="24"/>
          <w:szCs w:val="24"/>
        </w:rPr>
        <w:t>8</w:t>
      </w:r>
      <w:r w:rsidR="008F2E68">
        <w:rPr>
          <w:rFonts w:ascii="Times New Roman" w:hAnsi="Times New Roman" w:cs="Times New Roman"/>
          <w:sz w:val="24"/>
          <w:szCs w:val="24"/>
        </w:rPr>
        <w:t xml:space="preserve"> proc.</w:t>
      </w:r>
      <w:r w:rsidR="00B6796D" w:rsidRPr="00F879C8">
        <w:rPr>
          <w:rFonts w:ascii="Times New Roman" w:hAnsi="Times New Roman" w:cs="Times New Roman"/>
          <w:sz w:val="24"/>
          <w:szCs w:val="24"/>
        </w:rPr>
        <w:t xml:space="preserve"> ogółu ofert</w:t>
      </w:r>
      <w:r w:rsidR="00AE5A38" w:rsidRPr="00F879C8">
        <w:rPr>
          <w:rFonts w:ascii="Times New Roman" w:hAnsi="Times New Roman" w:cs="Times New Roman"/>
          <w:sz w:val="24"/>
          <w:szCs w:val="24"/>
        </w:rPr>
        <w:t xml:space="preserve">. </w:t>
      </w:r>
      <w:r w:rsidR="003975E2" w:rsidRPr="00F879C8">
        <w:rPr>
          <w:rFonts w:ascii="Times New Roman" w:hAnsi="Times New Roman" w:cs="Times New Roman"/>
          <w:sz w:val="24"/>
          <w:szCs w:val="24"/>
        </w:rPr>
        <w:t>Niewielką</w:t>
      </w:r>
      <w:r w:rsidR="00AE5A38" w:rsidRPr="00F879C8">
        <w:rPr>
          <w:rFonts w:ascii="Times New Roman" w:hAnsi="Times New Roman" w:cs="Times New Roman"/>
          <w:sz w:val="24"/>
          <w:szCs w:val="24"/>
        </w:rPr>
        <w:t xml:space="preserve"> liczbę ofert sektora publicznego </w:t>
      </w:r>
      <w:r w:rsidR="00CF668F" w:rsidRPr="00F879C8">
        <w:rPr>
          <w:rFonts w:ascii="Times New Roman" w:hAnsi="Times New Roman" w:cs="Times New Roman"/>
          <w:sz w:val="24"/>
          <w:szCs w:val="24"/>
        </w:rPr>
        <w:t xml:space="preserve">warunkuje </w:t>
      </w:r>
      <w:r w:rsidR="00210254" w:rsidRPr="00F879C8">
        <w:rPr>
          <w:rFonts w:ascii="Times New Roman" w:hAnsi="Times New Roman" w:cs="Times New Roman"/>
          <w:sz w:val="24"/>
          <w:szCs w:val="24"/>
        </w:rPr>
        <w:t>struktur</w:t>
      </w:r>
      <w:r w:rsidR="00CF668F" w:rsidRPr="00F879C8">
        <w:rPr>
          <w:rFonts w:ascii="Times New Roman" w:hAnsi="Times New Roman" w:cs="Times New Roman"/>
          <w:sz w:val="24"/>
          <w:szCs w:val="24"/>
        </w:rPr>
        <w:t>a</w:t>
      </w:r>
      <w:r w:rsidR="004520F6" w:rsidRPr="00F879C8">
        <w:rPr>
          <w:rFonts w:ascii="Times New Roman" w:hAnsi="Times New Roman" w:cs="Times New Roman"/>
          <w:sz w:val="24"/>
          <w:szCs w:val="24"/>
        </w:rPr>
        <w:t xml:space="preserve"> zatrudnienia</w:t>
      </w:r>
      <w:r w:rsidR="00CF668F" w:rsidRPr="00F879C8">
        <w:rPr>
          <w:rFonts w:ascii="Times New Roman" w:hAnsi="Times New Roman" w:cs="Times New Roman"/>
          <w:sz w:val="24"/>
          <w:szCs w:val="24"/>
        </w:rPr>
        <w:t>.</w:t>
      </w:r>
      <w:r w:rsidR="004B383E" w:rsidRPr="00F879C8">
        <w:rPr>
          <w:rFonts w:ascii="Times New Roman" w:hAnsi="Times New Roman" w:cs="Times New Roman"/>
          <w:sz w:val="24"/>
          <w:szCs w:val="24"/>
        </w:rPr>
        <w:t xml:space="preserve"> </w:t>
      </w:r>
      <w:r w:rsidR="00AE5A38" w:rsidRPr="00F879C8">
        <w:rPr>
          <w:rFonts w:ascii="Times New Roman" w:hAnsi="Times New Roman" w:cs="Times New Roman"/>
          <w:sz w:val="24"/>
          <w:szCs w:val="24"/>
        </w:rPr>
        <w:t xml:space="preserve">Więcej pracowników zatrudniają firmy prywatne, które tworzą </w:t>
      </w:r>
      <w:r w:rsidR="00F879C8" w:rsidRPr="00F879C8">
        <w:rPr>
          <w:rFonts w:ascii="Times New Roman" w:hAnsi="Times New Roman" w:cs="Times New Roman"/>
          <w:sz w:val="24"/>
          <w:szCs w:val="24"/>
        </w:rPr>
        <w:t xml:space="preserve">również </w:t>
      </w:r>
      <w:r w:rsidR="00AE5A38" w:rsidRPr="00F879C8">
        <w:rPr>
          <w:rFonts w:ascii="Times New Roman" w:hAnsi="Times New Roman" w:cs="Times New Roman"/>
          <w:sz w:val="24"/>
          <w:szCs w:val="24"/>
        </w:rPr>
        <w:t xml:space="preserve">więcej miejsc pracy. </w:t>
      </w:r>
      <w:r w:rsidR="0000028C" w:rsidRPr="00F879C8">
        <w:rPr>
          <w:rFonts w:ascii="Times New Roman" w:hAnsi="Times New Roman" w:cs="Times New Roman"/>
          <w:sz w:val="24"/>
          <w:szCs w:val="24"/>
        </w:rPr>
        <w:t xml:space="preserve">W sektorze publicznym odnotowano </w:t>
      </w:r>
      <w:r w:rsidR="00323E1B" w:rsidRPr="00F879C8">
        <w:rPr>
          <w:rFonts w:ascii="Times New Roman" w:hAnsi="Times New Roman" w:cs="Times New Roman"/>
          <w:sz w:val="24"/>
          <w:szCs w:val="24"/>
        </w:rPr>
        <w:t>29</w:t>
      </w:r>
      <w:r w:rsidR="0000028C" w:rsidRPr="00F879C8">
        <w:rPr>
          <w:rFonts w:ascii="Times New Roman" w:hAnsi="Times New Roman" w:cs="Times New Roman"/>
          <w:sz w:val="24"/>
          <w:szCs w:val="24"/>
        </w:rPr>
        <w:t>,</w:t>
      </w:r>
      <w:r w:rsidR="00F879C8" w:rsidRPr="00F879C8">
        <w:rPr>
          <w:rFonts w:ascii="Times New Roman" w:hAnsi="Times New Roman" w:cs="Times New Roman"/>
          <w:sz w:val="24"/>
          <w:szCs w:val="24"/>
        </w:rPr>
        <w:t>6</w:t>
      </w:r>
      <w:r w:rsidR="008F2E68">
        <w:rPr>
          <w:rFonts w:ascii="Times New Roman" w:hAnsi="Times New Roman" w:cs="Times New Roman"/>
          <w:sz w:val="24"/>
          <w:szCs w:val="24"/>
        </w:rPr>
        <w:t xml:space="preserve"> proc.</w:t>
      </w:r>
      <w:r w:rsidR="0000028C" w:rsidRPr="00F879C8">
        <w:rPr>
          <w:rFonts w:ascii="Times New Roman" w:hAnsi="Times New Roman" w:cs="Times New Roman"/>
          <w:sz w:val="24"/>
          <w:szCs w:val="24"/>
        </w:rPr>
        <w:t xml:space="preserve"> zatrudnionych</w:t>
      </w:r>
      <w:r w:rsidR="00AE5A38" w:rsidRPr="00F879C8">
        <w:rPr>
          <w:rFonts w:ascii="Times New Roman" w:hAnsi="Times New Roman" w:cs="Times New Roman"/>
          <w:sz w:val="24"/>
          <w:szCs w:val="24"/>
        </w:rPr>
        <w:t xml:space="preserve"> w gospodarce narodowej</w:t>
      </w:r>
      <w:r w:rsidR="0000028C" w:rsidRPr="00F879C8">
        <w:rPr>
          <w:rFonts w:ascii="Times New Roman" w:hAnsi="Times New Roman" w:cs="Times New Roman"/>
          <w:sz w:val="24"/>
          <w:szCs w:val="24"/>
        </w:rPr>
        <w:t xml:space="preserve">, </w:t>
      </w:r>
      <w:r w:rsidR="009B118C" w:rsidRPr="00F879C8">
        <w:rPr>
          <w:rFonts w:ascii="Times New Roman" w:hAnsi="Times New Roman" w:cs="Times New Roman"/>
          <w:sz w:val="24"/>
          <w:szCs w:val="24"/>
        </w:rPr>
        <w:t>a</w:t>
      </w:r>
      <w:r w:rsidR="00F57AD4" w:rsidRPr="00F879C8">
        <w:rPr>
          <w:rFonts w:ascii="Times New Roman" w:hAnsi="Times New Roman" w:cs="Times New Roman"/>
          <w:sz w:val="24"/>
          <w:szCs w:val="24"/>
        </w:rPr>
        <w:t> </w:t>
      </w:r>
      <w:r w:rsidR="0000028C" w:rsidRPr="00F879C8">
        <w:rPr>
          <w:rFonts w:ascii="Times New Roman" w:hAnsi="Times New Roman" w:cs="Times New Roman"/>
          <w:sz w:val="24"/>
          <w:szCs w:val="24"/>
        </w:rPr>
        <w:t>w</w:t>
      </w:r>
      <w:r w:rsidR="00F57AD4" w:rsidRPr="00F879C8">
        <w:rPr>
          <w:rFonts w:ascii="Times New Roman" w:hAnsi="Times New Roman" w:cs="Times New Roman"/>
          <w:sz w:val="24"/>
          <w:szCs w:val="24"/>
        </w:rPr>
        <w:t> </w:t>
      </w:r>
      <w:r w:rsidR="0000028C" w:rsidRPr="00F879C8">
        <w:rPr>
          <w:rFonts w:ascii="Times New Roman" w:hAnsi="Times New Roman" w:cs="Times New Roman"/>
          <w:sz w:val="24"/>
          <w:szCs w:val="24"/>
        </w:rPr>
        <w:t xml:space="preserve">prywatnym </w:t>
      </w:r>
      <w:r w:rsidR="00323E1B" w:rsidRPr="00F879C8">
        <w:rPr>
          <w:rFonts w:ascii="Times New Roman" w:hAnsi="Times New Roman" w:cs="Times New Roman"/>
          <w:sz w:val="24"/>
          <w:szCs w:val="24"/>
        </w:rPr>
        <w:t>70</w:t>
      </w:r>
      <w:r w:rsidR="0000028C" w:rsidRPr="00F879C8">
        <w:rPr>
          <w:rFonts w:ascii="Times New Roman" w:hAnsi="Times New Roman" w:cs="Times New Roman"/>
          <w:sz w:val="24"/>
          <w:szCs w:val="24"/>
        </w:rPr>
        <w:t>,</w:t>
      </w:r>
      <w:r w:rsidR="00F879C8" w:rsidRPr="00F879C8">
        <w:rPr>
          <w:rFonts w:ascii="Times New Roman" w:hAnsi="Times New Roman" w:cs="Times New Roman"/>
          <w:sz w:val="24"/>
          <w:szCs w:val="24"/>
        </w:rPr>
        <w:t>4</w:t>
      </w:r>
      <w:r w:rsidR="008F2E68">
        <w:rPr>
          <w:rFonts w:ascii="Times New Roman" w:hAnsi="Times New Roman" w:cs="Times New Roman"/>
          <w:sz w:val="24"/>
          <w:szCs w:val="24"/>
        </w:rPr>
        <w:t xml:space="preserve"> proc.</w:t>
      </w:r>
      <w:r w:rsidR="009B118C" w:rsidRPr="00F879C8">
        <w:rPr>
          <w:rFonts w:ascii="Times New Roman" w:hAnsi="Times New Roman" w:cs="Times New Roman"/>
          <w:sz w:val="24"/>
          <w:szCs w:val="24"/>
        </w:rPr>
        <w:t xml:space="preserve"> (ostatnie </w:t>
      </w:r>
      <w:r w:rsidR="003017C3" w:rsidRPr="00F879C8">
        <w:rPr>
          <w:rFonts w:ascii="Times New Roman" w:hAnsi="Times New Roman" w:cs="Times New Roman"/>
          <w:sz w:val="24"/>
          <w:szCs w:val="24"/>
        </w:rPr>
        <w:t xml:space="preserve">dostępne </w:t>
      </w:r>
      <w:r w:rsidR="009B118C" w:rsidRPr="00F879C8">
        <w:rPr>
          <w:rFonts w:ascii="Times New Roman" w:hAnsi="Times New Roman" w:cs="Times New Roman"/>
          <w:sz w:val="24"/>
          <w:szCs w:val="24"/>
        </w:rPr>
        <w:t xml:space="preserve">dane </w:t>
      </w:r>
      <w:r w:rsidR="00F57AD4" w:rsidRPr="00F879C8">
        <w:rPr>
          <w:rFonts w:ascii="Times New Roman" w:hAnsi="Times New Roman" w:cs="Times New Roman"/>
          <w:sz w:val="24"/>
          <w:szCs w:val="24"/>
        </w:rPr>
        <w:t xml:space="preserve">dla </w:t>
      </w:r>
      <w:r w:rsidR="009B118C" w:rsidRPr="00F879C8">
        <w:rPr>
          <w:rFonts w:ascii="Times New Roman" w:hAnsi="Times New Roman" w:cs="Times New Roman"/>
          <w:sz w:val="24"/>
          <w:szCs w:val="24"/>
        </w:rPr>
        <w:t>201</w:t>
      </w:r>
      <w:r w:rsidR="00F879C8">
        <w:rPr>
          <w:rFonts w:ascii="Times New Roman" w:hAnsi="Times New Roman" w:cs="Times New Roman"/>
          <w:sz w:val="24"/>
          <w:szCs w:val="24"/>
        </w:rPr>
        <w:t>9</w:t>
      </w:r>
      <w:r w:rsidR="00F57AD4" w:rsidRPr="00F879C8">
        <w:rPr>
          <w:rFonts w:ascii="Times New Roman" w:hAnsi="Times New Roman" w:cs="Times New Roman"/>
          <w:sz w:val="24"/>
          <w:szCs w:val="24"/>
        </w:rPr>
        <w:t xml:space="preserve"> r</w:t>
      </w:r>
      <w:r w:rsidR="00952A4C" w:rsidRPr="00F879C8">
        <w:rPr>
          <w:rFonts w:ascii="Times New Roman" w:hAnsi="Times New Roman" w:cs="Times New Roman"/>
          <w:sz w:val="24"/>
          <w:szCs w:val="24"/>
        </w:rPr>
        <w:t>oku,</w:t>
      </w:r>
      <w:r w:rsidR="00F57AD4" w:rsidRPr="00F879C8">
        <w:rPr>
          <w:rFonts w:ascii="Times New Roman" w:hAnsi="Times New Roman" w:cs="Times New Roman"/>
          <w:sz w:val="24"/>
          <w:szCs w:val="24"/>
        </w:rPr>
        <w:t xml:space="preserve"> BDL</w:t>
      </w:r>
      <w:r w:rsidR="009B118C" w:rsidRPr="00F879C8">
        <w:rPr>
          <w:rFonts w:ascii="Times New Roman" w:hAnsi="Times New Roman" w:cs="Times New Roman"/>
          <w:sz w:val="24"/>
          <w:szCs w:val="24"/>
        </w:rPr>
        <w:t>).</w:t>
      </w:r>
    </w:p>
    <w:p w:rsidR="001B425D" w:rsidRPr="001B425D" w:rsidRDefault="001B425D" w:rsidP="00A52016">
      <w:pPr>
        <w:pStyle w:val="Bezodstpw"/>
        <w:numPr>
          <w:ilvl w:val="0"/>
          <w:numId w:val="10"/>
        </w:numPr>
        <w:spacing w:line="360" w:lineRule="auto"/>
        <w:jc w:val="both"/>
        <w:rPr>
          <w:rFonts w:ascii="Times New Roman" w:hAnsi="Times New Roman" w:cs="Times New Roman"/>
          <w:sz w:val="24"/>
          <w:szCs w:val="24"/>
        </w:rPr>
      </w:pPr>
      <w:r w:rsidRPr="001B425D">
        <w:rPr>
          <w:rFonts w:ascii="Times New Roman" w:hAnsi="Times New Roman" w:cs="Times New Roman"/>
          <w:sz w:val="24"/>
          <w:szCs w:val="24"/>
        </w:rPr>
        <w:lastRenderedPageBreak/>
        <w:t xml:space="preserve">Odnotowano </w:t>
      </w:r>
      <w:r w:rsidR="0067454E" w:rsidRPr="001B425D">
        <w:rPr>
          <w:rFonts w:ascii="Times New Roman" w:hAnsi="Times New Roman" w:cs="Times New Roman"/>
          <w:sz w:val="24"/>
          <w:szCs w:val="24"/>
        </w:rPr>
        <w:t>znaczne zróżnicowanie przestrzenne ilości ofert zgłaszanych do publicznego pośrednictwa pracy.</w:t>
      </w:r>
    </w:p>
    <w:p w:rsidR="00A52016" w:rsidRPr="00C675BA" w:rsidRDefault="00134B6F" w:rsidP="00A52016">
      <w:pPr>
        <w:pStyle w:val="Bezodstpw"/>
        <w:numPr>
          <w:ilvl w:val="0"/>
          <w:numId w:val="10"/>
        </w:numPr>
        <w:spacing w:line="360" w:lineRule="auto"/>
        <w:jc w:val="both"/>
        <w:rPr>
          <w:rFonts w:ascii="Times New Roman" w:hAnsi="Times New Roman" w:cs="Times New Roman"/>
          <w:sz w:val="24"/>
          <w:szCs w:val="24"/>
        </w:rPr>
      </w:pPr>
      <w:r w:rsidRPr="00C675BA">
        <w:rPr>
          <w:rFonts w:ascii="Times New Roman" w:hAnsi="Times New Roman" w:cs="Times New Roman"/>
          <w:sz w:val="24"/>
          <w:szCs w:val="24"/>
        </w:rPr>
        <w:t>W</w:t>
      </w:r>
      <w:r w:rsidR="00926A24">
        <w:rPr>
          <w:rFonts w:ascii="Times New Roman" w:hAnsi="Times New Roman" w:cs="Times New Roman"/>
          <w:sz w:val="24"/>
          <w:szCs w:val="24"/>
        </w:rPr>
        <w:t xml:space="preserve"> </w:t>
      </w:r>
      <w:r w:rsidR="00236AC9" w:rsidRPr="00C675BA">
        <w:rPr>
          <w:rFonts w:ascii="Times New Roman" w:hAnsi="Times New Roman" w:cs="Times New Roman"/>
          <w:sz w:val="24"/>
          <w:szCs w:val="24"/>
        </w:rPr>
        <w:t xml:space="preserve">I półroczu </w:t>
      </w:r>
      <w:r w:rsidR="008E77BF" w:rsidRPr="00C675BA">
        <w:rPr>
          <w:rFonts w:ascii="Times New Roman" w:hAnsi="Times New Roman" w:cs="Times New Roman"/>
          <w:sz w:val="24"/>
          <w:szCs w:val="24"/>
        </w:rPr>
        <w:t>20</w:t>
      </w:r>
      <w:r w:rsidRPr="00C675BA">
        <w:rPr>
          <w:rFonts w:ascii="Times New Roman" w:hAnsi="Times New Roman" w:cs="Times New Roman"/>
          <w:sz w:val="24"/>
          <w:szCs w:val="24"/>
        </w:rPr>
        <w:t>2</w:t>
      </w:r>
      <w:r w:rsidR="0089613F" w:rsidRPr="00C675BA">
        <w:rPr>
          <w:rFonts w:ascii="Times New Roman" w:hAnsi="Times New Roman" w:cs="Times New Roman"/>
          <w:sz w:val="24"/>
          <w:szCs w:val="24"/>
        </w:rPr>
        <w:t>1</w:t>
      </w:r>
      <w:r w:rsidR="00926A24">
        <w:rPr>
          <w:rFonts w:ascii="Times New Roman" w:hAnsi="Times New Roman" w:cs="Times New Roman"/>
          <w:sz w:val="24"/>
          <w:szCs w:val="24"/>
        </w:rPr>
        <w:t xml:space="preserve"> </w:t>
      </w:r>
      <w:r w:rsidR="00AE5712" w:rsidRPr="00C675BA">
        <w:rPr>
          <w:rFonts w:ascii="Times New Roman" w:hAnsi="Times New Roman" w:cs="Times New Roman"/>
          <w:sz w:val="24"/>
          <w:szCs w:val="24"/>
        </w:rPr>
        <w:t>r</w:t>
      </w:r>
      <w:r w:rsidRPr="00C675BA">
        <w:rPr>
          <w:rFonts w:ascii="Times New Roman" w:hAnsi="Times New Roman" w:cs="Times New Roman"/>
          <w:sz w:val="24"/>
          <w:szCs w:val="24"/>
        </w:rPr>
        <w:t>oku</w:t>
      </w:r>
      <w:r w:rsidR="0067454E" w:rsidRPr="00C675BA">
        <w:rPr>
          <w:rFonts w:ascii="Times New Roman" w:hAnsi="Times New Roman" w:cs="Times New Roman"/>
          <w:sz w:val="24"/>
          <w:szCs w:val="24"/>
        </w:rPr>
        <w:t xml:space="preserve"> najwięcej wolnych miejsc pracy</w:t>
      </w:r>
      <w:r w:rsidR="00AE5712" w:rsidRPr="00C675BA">
        <w:rPr>
          <w:rFonts w:ascii="Times New Roman" w:hAnsi="Times New Roman" w:cs="Times New Roman"/>
          <w:sz w:val="24"/>
          <w:szCs w:val="24"/>
        </w:rPr>
        <w:t xml:space="preserve"> i </w:t>
      </w:r>
      <w:r w:rsidR="0067454E" w:rsidRPr="00C675BA">
        <w:rPr>
          <w:rFonts w:ascii="Times New Roman" w:hAnsi="Times New Roman" w:cs="Times New Roman"/>
          <w:sz w:val="24"/>
          <w:szCs w:val="24"/>
        </w:rPr>
        <w:t>miejsc aktywizacji zawodowej zgłosili pracodawcy</w:t>
      </w:r>
      <w:r w:rsidR="00AE5712" w:rsidRPr="00C675BA">
        <w:rPr>
          <w:rFonts w:ascii="Times New Roman" w:hAnsi="Times New Roman" w:cs="Times New Roman"/>
          <w:sz w:val="24"/>
          <w:szCs w:val="24"/>
        </w:rPr>
        <w:t xml:space="preserve"> z</w:t>
      </w:r>
      <w:r w:rsidR="00926A24">
        <w:rPr>
          <w:rFonts w:ascii="Times New Roman" w:hAnsi="Times New Roman" w:cs="Times New Roman"/>
          <w:sz w:val="24"/>
          <w:szCs w:val="24"/>
        </w:rPr>
        <w:t xml:space="preserve"> </w:t>
      </w:r>
      <w:r w:rsidR="0067454E" w:rsidRPr="00C675BA">
        <w:rPr>
          <w:rFonts w:ascii="Times New Roman" w:hAnsi="Times New Roman" w:cs="Times New Roman"/>
          <w:sz w:val="24"/>
          <w:szCs w:val="24"/>
        </w:rPr>
        <w:t xml:space="preserve">terenu następujących </w:t>
      </w:r>
      <w:r w:rsidR="00CF668F" w:rsidRPr="00C675BA">
        <w:rPr>
          <w:rFonts w:ascii="Times New Roman" w:hAnsi="Times New Roman" w:cs="Times New Roman"/>
          <w:sz w:val="24"/>
          <w:szCs w:val="24"/>
        </w:rPr>
        <w:t xml:space="preserve">jednostek administracyjnych – </w:t>
      </w:r>
      <w:r w:rsidR="00A52016" w:rsidRPr="00C675BA">
        <w:rPr>
          <w:rFonts w:ascii="Times New Roman" w:hAnsi="Times New Roman" w:cs="Times New Roman"/>
          <w:sz w:val="24"/>
          <w:szCs w:val="24"/>
        </w:rPr>
        <w:t>m. Rzesz</w:t>
      </w:r>
      <w:r w:rsidR="00187C2C">
        <w:rPr>
          <w:rFonts w:ascii="Times New Roman" w:hAnsi="Times New Roman" w:cs="Times New Roman"/>
          <w:sz w:val="24"/>
          <w:szCs w:val="24"/>
        </w:rPr>
        <w:t>owa</w:t>
      </w:r>
      <w:r w:rsidR="00A52016" w:rsidRPr="00C675BA">
        <w:rPr>
          <w:rFonts w:ascii="Times New Roman" w:hAnsi="Times New Roman" w:cs="Times New Roman"/>
          <w:sz w:val="24"/>
          <w:szCs w:val="24"/>
        </w:rPr>
        <w:t xml:space="preserve"> </w:t>
      </w:r>
      <w:r w:rsidR="00C675BA" w:rsidRPr="00C675BA">
        <w:rPr>
          <w:rFonts w:ascii="Times New Roman" w:hAnsi="Times New Roman" w:cs="Times New Roman"/>
          <w:sz w:val="24"/>
          <w:szCs w:val="24"/>
        </w:rPr>
        <w:t>(3761</w:t>
      </w:r>
      <w:r w:rsidR="00A52016" w:rsidRPr="00C675BA">
        <w:rPr>
          <w:rFonts w:ascii="Times New Roman" w:hAnsi="Times New Roman" w:cs="Times New Roman"/>
          <w:sz w:val="24"/>
          <w:szCs w:val="24"/>
        </w:rPr>
        <w:t xml:space="preserve"> ofert), powi</w:t>
      </w:r>
      <w:r w:rsidR="00187C2C">
        <w:rPr>
          <w:rFonts w:ascii="Times New Roman" w:hAnsi="Times New Roman" w:cs="Times New Roman"/>
          <w:sz w:val="24"/>
          <w:szCs w:val="24"/>
        </w:rPr>
        <w:t xml:space="preserve">atu </w:t>
      </w:r>
      <w:r w:rsidR="00A52016" w:rsidRPr="00C675BA">
        <w:rPr>
          <w:rFonts w:ascii="Times New Roman" w:hAnsi="Times New Roman" w:cs="Times New Roman"/>
          <w:sz w:val="24"/>
          <w:szCs w:val="24"/>
        </w:rPr>
        <w:t>mielecki</w:t>
      </w:r>
      <w:r w:rsidR="00187C2C">
        <w:rPr>
          <w:rFonts w:ascii="Times New Roman" w:hAnsi="Times New Roman" w:cs="Times New Roman"/>
          <w:sz w:val="24"/>
          <w:szCs w:val="24"/>
        </w:rPr>
        <w:t>ego</w:t>
      </w:r>
      <w:r w:rsidR="00A52016" w:rsidRPr="00C675BA">
        <w:rPr>
          <w:rFonts w:ascii="Times New Roman" w:hAnsi="Times New Roman" w:cs="Times New Roman"/>
          <w:sz w:val="24"/>
          <w:szCs w:val="24"/>
        </w:rPr>
        <w:t xml:space="preserve"> (</w:t>
      </w:r>
      <w:r w:rsidR="00C675BA" w:rsidRPr="00C675BA">
        <w:rPr>
          <w:rFonts w:ascii="Times New Roman" w:hAnsi="Times New Roman" w:cs="Times New Roman"/>
          <w:sz w:val="24"/>
          <w:szCs w:val="24"/>
        </w:rPr>
        <w:t>3754</w:t>
      </w:r>
      <w:r w:rsidR="00A52016" w:rsidRPr="00C675BA">
        <w:rPr>
          <w:rFonts w:ascii="Times New Roman" w:hAnsi="Times New Roman" w:cs="Times New Roman"/>
          <w:sz w:val="24"/>
          <w:szCs w:val="24"/>
        </w:rPr>
        <w:t>)</w:t>
      </w:r>
      <w:r w:rsidR="00187C2C">
        <w:rPr>
          <w:rFonts w:ascii="Times New Roman" w:hAnsi="Times New Roman" w:cs="Times New Roman"/>
          <w:sz w:val="24"/>
          <w:szCs w:val="24"/>
        </w:rPr>
        <w:t xml:space="preserve"> </w:t>
      </w:r>
      <w:r w:rsidR="00B15FAF" w:rsidRPr="00C675BA">
        <w:rPr>
          <w:rFonts w:ascii="Times New Roman" w:hAnsi="Times New Roman" w:cs="Times New Roman"/>
          <w:sz w:val="24"/>
          <w:szCs w:val="24"/>
        </w:rPr>
        <w:t>i</w:t>
      </w:r>
      <w:r w:rsidR="00187C2C">
        <w:rPr>
          <w:rFonts w:ascii="Times New Roman" w:hAnsi="Times New Roman" w:cs="Times New Roman"/>
          <w:sz w:val="24"/>
          <w:szCs w:val="24"/>
        </w:rPr>
        <w:t xml:space="preserve"> </w:t>
      </w:r>
      <w:r w:rsidR="00A52016" w:rsidRPr="00C675BA">
        <w:rPr>
          <w:rFonts w:ascii="Times New Roman" w:hAnsi="Times New Roman" w:cs="Times New Roman"/>
          <w:sz w:val="24"/>
          <w:szCs w:val="24"/>
        </w:rPr>
        <w:t>dębicki</w:t>
      </w:r>
      <w:r w:rsidR="00187C2C">
        <w:rPr>
          <w:rFonts w:ascii="Times New Roman" w:hAnsi="Times New Roman" w:cs="Times New Roman"/>
          <w:sz w:val="24"/>
          <w:szCs w:val="24"/>
        </w:rPr>
        <w:t>ego</w:t>
      </w:r>
      <w:r w:rsidR="00A52016" w:rsidRPr="00C675BA">
        <w:rPr>
          <w:rFonts w:ascii="Times New Roman" w:hAnsi="Times New Roman" w:cs="Times New Roman"/>
          <w:sz w:val="24"/>
          <w:szCs w:val="24"/>
        </w:rPr>
        <w:t xml:space="preserve"> (</w:t>
      </w:r>
      <w:r w:rsidR="00C675BA" w:rsidRPr="00C675BA">
        <w:rPr>
          <w:rFonts w:ascii="Times New Roman" w:hAnsi="Times New Roman" w:cs="Times New Roman"/>
          <w:sz w:val="24"/>
          <w:szCs w:val="24"/>
        </w:rPr>
        <w:t>1958</w:t>
      </w:r>
      <w:r w:rsidR="00A52016" w:rsidRPr="00C675BA">
        <w:rPr>
          <w:rFonts w:ascii="Times New Roman" w:hAnsi="Times New Roman" w:cs="Times New Roman"/>
          <w:sz w:val="24"/>
          <w:szCs w:val="24"/>
        </w:rPr>
        <w:t>)</w:t>
      </w:r>
      <w:r w:rsidR="00A677B5" w:rsidRPr="00C675BA">
        <w:rPr>
          <w:rFonts w:ascii="Times New Roman" w:hAnsi="Times New Roman" w:cs="Times New Roman"/>
          <w:sz w:val="24"/>
          <w:szCs w:val="24"/>
        </w:rPr>
        <w:t xml:space="preserve">. </w:t>
      </w:r>
      <w:r w:rsidR="00ED09E8" w:rsidRPr="00C675BA">
        <w:rPr>
          <w:rFonts w:ascii="Times New Roman" w:hAnsi="Times New Roman" w:cs="Times New Roman"/>
          <w:sz w:val="24"/>
          <w:szCs w:val="24"/>
        </w:rPr>
        <w:t>Najmniej</w:t>
      </w:r>
      <w:r w:rsidR="00C675BA" w:rsidRPr="00C675BA">
        <w:rPr>
          <w:rFonts w:ascii="Times New Roman" w:hAnsi="Times New Roman" w:cs="Times New Roman"/>
          <w:sz w:val="24"/>
          <w:szCs w:val="24"/>
        </w:rPr>
        <w:t xml:space="preserve"> z </w:t>
      </w:r>
      <w:r w:rsidR="00ED09E8" w:rsidRPr="00C675BA">
        <w:rPr>
          <w:rFonts w:ascii="Times New Roman" w:hAnsi="Times New Roman" w:cs="Times New Roman"/>
          <w:sz w:val="24"/>
          <w:szCs w:val="24"/>
        </w:rPr>
        <w:t>powiat</w:t>
      </w:r>
      <w:r w:rsidR="00C675BA" w:rsidRPr="00C675BA">
        <w:rPr>
          <w:rFonts w:ascii="Times New Roman" w:hAnsi="Times New Roman" w:cs="Times New Roman"/>
          <w:sz w:val="24"/>
          <w:szCs w:val="24"/>
        </w:rPr>
        <w:t>ów</w:t>
      </w:r>
      <w:r w:rsidR="00ED09E8" w:rsidRPr="00C675BA">
        <w:rPr>
          <w:rFonts w:ascii="Times New Roman" w:hAnsi="Times New Roman" w:cs="Times New Roman"/>
          <w:sz w:val="24"/>
          <w:szCs w:val="24"/>
        </w:rPr>
        <w:t xml:space="preserve"> </w:t>
      </w:r>
      <w:r w:rsidR="00C675BA" w:rsidRPr="00C675BA">
        <w:rPr>
          <w:rFonts w:ascii="Times New Roman" w:hAnsi="Times New Roman" w:cs="Times New Roman"/>
          <w:sz w:val="24"/>
          <w:szCs w:val="24"/>
        </w:rPr>
        <w:t xml:space="preserve">bieszczadzkiego (290), przemyskiego (318), </w:t>
      </w:r>
      <w:r w:rsidR="00A52016" w:rsidRPr="00C675BA">
        <w:rPr>
          <w:rFonts w:ascii="Times New Roman" w:hAnsi="Times New Roman" w:cs="Times New Roman"/>
          <w:sz w:val="24"/>
          <w:szCs w:val="24"/>
        </w:rPr>
        <w:t>leski</w:t>
      </w:r>
      <w:r w:rsidR="00C675BA" w:rsidRPr="00C675BA">
        <w:rPr>
          <w:rFonts w:ascii="Times New Roman" w:hAnsi="Times New Roman" w:cs="Times New Roman"/>
          <w:sz w:val="24"/>
          <w:szCs w:val="24"/>
        </w:rPr>
        <w:t>ego</w:t>
      </w:r>
      <w:r w:rsidR="00A52016" w:rsidRPr="00C675BA">
        <w:rPr>
          <w:rFonts w:ascii="Times New Roman" w:hAnsi="Times New Roman" w:cs="Times New Roman"/>
          <w:sz w:val="24"/>
          <w:szCs w:val="24"/>
        </w:rPr>
        <w:t xml:space="preserve"> (</w:t>
      </w:r>
      <w:r w:rsidR="00C675BA" w:rsidRPr="00C675BA">
        <w:rPr>
          <w:rFonts w:ascii="Times New Roman" w:hAnsi="Times New Roman" w:cs="Times New Roman"/>
          <w:sz w:val="24"/>
          <w:szCs w:val="24"/>
        </w:rPr>
        <w:t>379</w:t>
      </w:r>
      <w:r w:rsidR="00A52016" w:rsidRPr="00C675BA">
        <w:rPr>
          <w:rFonts w:ascii="Times New Roman" w:hAnsi="Times New Roman" w:cs="Times New Roman"/>
          <w:sz w:val="24"/>
          <w:szCs w:val="24"/>
        </w:rPr>
        <w:t>),</w:t>
      </w:r>
      <w:r w:rsidR="00C675BA" w:rsidRPr="00C675BA">
        <w:rPr>
          <w:rFonts w:ascii="Times New Roman" w:hAnsi="Times New Roman" w:cs="Times New Roman"/>
          <w:sz w:val="24"/>
          <w:szCs w:val="24"/>
        </w:rPr>
        <w:t xml:space="preserve"> brzozowskiego (477), m. Krosna (485), powiatu </w:t>
      </w:r>
      <w:r w:rsidR="00407421" w:rsidRPr="00C675BA">
        <w:rPr>
          <w:rFonts w:ascii="Times New Roman" w:hAnsi="Times New Roman" w:cs="Times New Roman"/>
          <w:sz w:val="24"/>
          <w:szCs w:val="24"/>
        </w:rPr>
        <w:t>krośnieński</w:t>
      </w:r>
      <w:r w:rsidR="00C675BA" w:rsidRPr="00C675BA">
        <w:rPr>
          <w:rFonts w:ascii="Times New Roman" w:hAnsi="Times New Roman" w:cs="Times New Roman"/>
          <w:sz w:val="24"/>
          <w:szCs w:val="24"/>
        </w:rPr>
        <w:t>ego</w:t>
      </w:r>
      <w:r w:rsidR="00407421" w:rsidRPr="00C675BA">
        <w:rPr>
          <w:rFonts w:ascii="Times New Roman" w:hAnsi="Times New Roman" w:cs="Times New Roman"/>
          <w:sz w:val="24"/>
          <w:szCs w:val="24"/>
        </w:rPr>
        <w:t xml:space="preserve"> </w:t>
      </w:r>
      <w:r w:rsidR="00A52016" w:rsidRPr="00C675BA">
        <w:rPr>
          <w:rFonts w:ascii="Times New Roman" w:hAnsi="Times New Roman" w:cs="Times New Roman"/>
          <w:sz w:val="24"/>
          <w:szCs w:val="24"/>
        </w:rPr>
        <w:t>(</w:t>
      </w:r>
      <w:r w:rsidR="00C675BA" w:rsidRPr="00C675BA">
        <w:rPr>
          <w:rFonts w:ascii="Times New Roman" w:hAnsi="Times New Roman" w:cs="Times New Roman"/>
          <w:sz w:val="24"/>
          <w:szCs w:val="24"/>
        </w:rPr>
        <w:t>508</w:t>
      </w:r>
      <w:r w:rsidR="00A52016" w:rsidRPr="00C675BA">
        <w:rPr>
          <w:rFonts w:ascii="Times New Roman" w:hAnsi="Times New Roman" w:cs="Times New Roman"/>
          <w:sz w:val="24"/>
          <w:szCs w:val="24"/>
        </w:rPr>
        <w:t>),</w:t>
      </w:r>
      <w:r w:rsidR="00C675BA" w:rsidRPr="00C675BA">
        <w:rPr>
          <w:rFonts w:ascii="Times New Roman" w:hAnsi="Times New Roman" w:cs="Times New Roman"/>
          <w:sz w:val="24"/>
          <w:szCs w:val="24"/>
        </w:rPr>
        <w:t xml:space="preserve"> m. Przemyśla (525), </w:t>
      </w:r>
      <w:r w:rsidR="00187C2C">
        <w:rPr>
          <w:rFonts w:ascii="Times New Roman" w:hAnsi="Times New Roman" w:cs="Times New Roman"/>
          <w:sz w:val="24"/>
          <w:szCs w:val="24"/>
        </w:rPr>
        <w:t xml:space="preserve">powiatu </w:t>
      </w:r>
      <w:r w:rsidR="00C675BA" w:rsidRPr="00C675BA">
        <w:rPr>
          <w:rFonts w:ascii="Times New Roman" w:hAnsi="Times New Roman" w:cs="Times New Roman"/>
          <w:sz w:val="24"/>
          <w:szCs w:val="24"/>
        </w:rPr>
        <w:t xml:space="preserve">lubaczowskiego (538), tarnobrzeskiego (575), m. Tarnobrzega (670) i powiatu </w:t>
      </w:r>
      <w:r w:rsidR="00407421" w:rsidRPr="00C675BA">
        <w:rPr>
          <w:rFonts w:ascii="Times New Roman" w:hAnsi="Times New Roman" w:cs="Times New Roman"/>
          <w:sz w:val="24"/>
          <w:szCs w:val="24"/>
        </w:rPr>
        <w:t xml:space="preserve">jasielskiego </w:t>
      </w:r>
      <w:r w:rsidR="00A52016" w:rsidRPr="00C675BA">
        <w:rPr>
          <w:rFonts w:ascii="Times New Roman" w:hAnsi="Times New Roman" w:cs="Times New Roman"/>
          <w:sz w:val="24"/>
          <w:szCs w:val="24"/>
        </w:rPr>
        <w:t>(</w:t>
      </w:r>
      <w:r w:rsidR="00C675BA" w:rsidRPr="00C675BA">
        <w:rPr>
          <w:rFonts w:ascii="Times New Roman" w:hAnsi="Times New Roman" w:cs="Times New Roman"/>
          <w:sz w:val="24"/>
          <w:szCs w:val="24"/>
        </w:rPr>
        <w:t>701</w:t>
      </w:r>
      <w:r w:rsidR="00A52016" w:rsidRPr="00C675BA">
        <w:rPr>
          <w:rFonts w:ascii="Times New Roman" w:hAnsi="Times New Roman" w:cs="Times New Roman"/>
          <w:sz w:val="24"/>
          <w:szCs w:val="24"/>
        </w:rPr>
        <w:t>)</w:t>
      </w:r>
      <w:r w:rsidR="00407421" w:rsidRPr="00C675BA">
        <w:rPr>
          <w:rFonts w:ascii="Times New Roman" w:hAnsi="Times New Roman" w:cs="Times New Roman"/>
          <w:sz w:val="24"/>
          <w:szCs w:val="24"/>
        </w:rPr>
        <w:t>.</w:t>
      </w:r>
    </w:p>
    <w:p w:rsidR="0089613F" w:rsidRPr="00C675BA" w:rsidRDefault="0089613F" w:rsidP="00A52016">
      <w:pPr>
        <w:pStyle w:val="Bezodstpw"/>
        <w:numPr>
          <w:ilvl w:val="0"/>
          <w:numId w:val="10"/>
        </w:numPr>
        <w:spacing w:line="360" w:lineRule="auto"/>
        <w:jc w:val="both"/>
        <w:rPr>
          <w:rFonts w:ascii="Times New Roman" w:hAnsi="Times New Roman" w:cs="Times New Roman"/>
          <w:sz w:val="24"/>
          <w:szCs w:val="24"/>
        </w:rPr>
      </w:pPr>
      <w:r w:rsidRPr="00C675BA">
        <w:rPr>
          <w:rFonts w:ascii="Times New Roman" w:hAnsi="Times New Roman" w:cs="Times New Roman"/>
          <w:sz w:val="24"/>
          <w:szCs w:val="24"/>
        </w:rPr>
        <w:t>Wolne miejsca pracy i</w:t>
      </w:r>
      <w:r w:rsidR="00926A24">
        <w:rPr>
          <w:rFonts w:ascii="Times New Roman" w:hAnsi="Times New Roman" w:cs="Times New Roman"/>
          <w:sz w:val="24"/>
          <w:szCs w:val="24"/>
        </w:rPr>
        <w:t xml:space="preserve"> </w:t>
      </w:r>
      <w:r w:rsidRPr="00C675BA">
        <w:rPr>
          <w:rFonts w:ascii="Times New Roman" w:hAnsi="Times New Roman" w:cs="Times New Roman"/>
          <w:sz w:val="24"/>
          <w:szCs w:val="24"/>
        </w:rPr>
        <w:t>miejsca aktywizacji zawodowej, które zostały subsydiowane ze środków Funduszu Pracy łagodziły w pewnym zakresie trudną sytuację na lokalnych rynkach pracy w województwie podkarpackim.</w:t>
      </w:r>
    </w:p>
    <w:p w:rsidR="00B36E9E" w:rsidRPr="00CC0FE9" w:rsidRDefault="00C71750" w:rsidP="00B92319">
      <w:pPr>
        <w:pStyle w:val="Bezodstpw"/>
        <w:numPr>
          <w:ilvl w:val="0"/>
          <w:numId w:val="10"/>
        </w:numPr>
        <w:spacing w:line="360" w:lineRule="auto"/>
        <w:jc w:val="both"/>
        <w:rPr>
          <w:rFonts w:ascii="Times New Roman" w:hAnsi="Times New Roman" w:cs="Times New Roman"/>
          <w:sz w:val="16"/>
          <w:szCs w:val="16"/>
        </w:rPr>
      </w:pPr>
      <w:r w:rsidRPr="00CC0FE9">
        <w:rPr>
          <w:rFonts w:ascii="Times New Roman" w:hAnsi="Times New Roman" w:cs="Times New Roman"/>
          <w:sz w:val="24"/>
          <w:szCs w:val="24"/>
        </w:rPr>
        <w:t>W</w:t>
      </w:r>
      <w:r w:rsidR="007120B2" w:rsidRPr="00CC0FE9">
        <w:rPr>
          <w:rFonts w:ascii="Times New Roman" w:hAnsi="Times New Roman" w:cs="Times New Roman"/>
          <w:sz w:val="24"/>
          <w:szCs w:val="24"/>
        </w:rPr>
        <w:t xml:space="preserve"> </w:t>
      </w:r>
      <w:r w:rsidR="00F353CD" w:rsidRPr="00CC0FE9">
        <w:rPr>
          <w:rFonts w:ascii="Times New Roman" w:hAnsi="Times New Roman" w:cs="Times New Roman"/>
          <w:sz w:val="24"/>
          <w:szCs w:val="24"/>
        </w:rPr>
        <w:t xml:space="preserve">I półroczu </w:t>
      </w:r>
      <w:r w:rsidR="007120B2" w:rsidRPr="00CC0FE9">
        <w:rPr>
          <w:rFonts w:ascii="Times New Roman" w:hAnsi="Times New Roman" w:cs="Times New Roman"/>
          <w:sz w:val="24"/>
          <w:szCs w:val="24"/>
        </w:rPr>
        <w:t>20</w:t>
      </w:r>
      <w:r w:rsidR="00AA6413" w:rsidRPr="00CC0FE9">
        <w:rPr>
          <w:rFonts w:ascii="Times New Roman" w:hAnsi="Times New Roman" w:cs="Times New Roman"/>
          <w:sz w:val="24"/>
          <w:szCs w:val="24"/>
        </w:rPr>
        <w:t>2</w:t>
      </w:r>
      <w:r w:rsidR="0089613F" w:rsidRPr="00CC0FE9">
        <w:rPr>
          <w:rFonts w:ascii="Times New Roman" w:hAnsi="Times New Roman" w:cs="Times New Roman"/>
          <w:sz w:val="24"/>
          <w:szCs w:val="24"/>
        </w:rPr>
        <w:t>1</w:t>
      </w:r>
      <w:r w:rsidR="007120B2" w:rsidRPr="00CC0FE9">
        <w:rPr>
          <w:rFonts w:ascii="Times New Roman" w:hAnsi="Times New Roman" w:cs="Times New Roman"/>
          <w:sz w:val="24"/>
          <w:szCs w:val="24"/>
        </w:rPr>
        <w:t xml:space="preserve"> </w:t>
      </w:r>
      <w:r w:rsidR="0067454E" w:rsidRPr="00CC0FE9">
        <w:rPr>
          <w:rFonts w:ascii="Times New Roman" w:hAnsi="Times New Roman" w:cs="Times New Roman"/>
          <w:sz w:val="24"/>
          <w:szCs w:val="24"/>
        </w:rPr>
        <w:t>r</w:t>
      </w:r>
      <w:r w:rsidR="00AA6413" w:rsidRPr="00CC0FE9">
        <w:rPr>
          <w:rFonts w:ascii="Times New Roman" w:hAnsi="Times New Roman" w:cs="Times New Roman"/>
          <w:sz w:val="24"/>
          <w:szCs w:val="24"/>
        </w:rPr>
        <w:t>oku</w:t>
      </w:r>
      <w:r w:rsidR="0067454E" w:rsidRPr="00CC0FE9">
        <w:rPr>
          <w:rFonts w:ascii="Times New Roman" w:hAnsi="Times New Roman" w:cs="Times New Roman"/>
          <w:sz w:val="24"/>
          <w:szCs w:val="24"/>
        </w:rPr>
        <w:t xml:space="preserve"> największy udział ofert subsydiowanych</w:t>
      </w:r>
      <w:r w:rsidR="00AE5712" w:rsidRPr="00CC0FE9">
        <w:rPr>
          <w:rFonts w:ascii="Times New Roman" w:hAnsi="Times New Roman" w:cs="Times New Roman"/>
          <w:sz w:val="24"/>
          <w:szCs w:val="24"/>
        </w:rPr>
        <w:t xml:space="preserve"> w </w:t>
      </w:r>
      <w:r w:rsidR="0067454E" w:rsidRPr="00CC0FE9">
        <w:rPr>
          <w:rFonts w:ascii="Times New Roman" w:hAnsi="Times New Roman" w:cs="Times New Roman"/>
          <w:sz w:val="24"/>
          <w:szCs w:val="24"/>
        </w:rPr>
        <w:t>ogólnej liczbie wolnych miejsc pracy</w:t>
      </w:r>
      <w:r w:rsidR="00320177" w:rsidRPr="00CC0FE9">
        <w:rPr>
          <w:rFonts w:ascii="Times New Roman" w:hAnsi="Times New Roman" w:cs="Times New Roman"/>
          <w:sz w:val="24"/>
          <w:szCs w:val="24"/>
        </w:rPr>
        <w:t xml:space="preserve"> </w:t>
      </w:r>
      <w:r w:rsidR="00AE5712" w:rsidRPr="00CC0FE9">
        <w:rPr>
          <w:rFonts w:ascii="Times New Roman" w:hAnsi="Times New Roman" w:cs="Times New Roman"/>
          <w:sz w:val="24"/>
          <w:szCs w:val="24"/>
        </w:rPr>
        <w:t>i</w:t>
      </w:r>
      <w:r w:rsidR="00320177" w:rsidRPr="00CC0FE9">
        <w:rPr>
          <w:rFonts w:ascii="Times New Roman" w:hAnsi="Times New Roman" w:cs="Times New Roman"/>
          <w:sz w:val="24"/>
          <w:szCs w:val="24"/>
        </w:rPr>
        <w:t xml:space="preserve"> </w:t>
      </w:r>
      <w:r w:rsidR="0067454E" w:rsidRPr="00CC0FE9">
        <w:rPr>
          <w:rFonts w:ascii="Times New Roman" w:hAnsi="Times New Roman" w:cs="Times New Roman"/>
          <w:sz w:val="24"/>
          <w:szCs w:val="24"/>
        </w:rPr>
        <w:t>aktywizacji zawodowej odnotowano</w:t>
      </w:r>
      <w:r w:rsidR="00AE5712" w:rsidRPr="00CC0FE9">
        <w:rPr>
          <w:rFonts w:ascii="Times New Roman" w:hAnsi="Times New Roman" w:cs="Times New Roman"/>
          <w:sz w:val="24"/>
          <w:szCs w:val="24"/>
        </w:rPr>
        <w:t xml:space="preserve"> w </w:t>
      </w:r>
      <w:r w:rsidR="0067454E" w:rsidRPr="00CC0FE9">
        <w:rPr>
          <w:rFonts w:ascii="Times New Roman" w:hAnsi="Times New Roman" w:cs="Times New Roman"/>
          <w:sz w:val="24"/>
          <w:szCs w:val="24"/>
        </w:rPr>
        <w:t xml:space="preserve">powiatach </w:t>
      </w:r>
      <w:r w:rsidR="00C735C8" w:rsidRPr="00CC0FE9">
        <w:rPr>
          <w:rFonts w:ascii="Times New Roman" w:hAnsi="Times New Roman" w:cs="Times New Roman"/>
          <w:sz w:val="24"/>
          <w:szCs w:val="24"/>
        </w:rPr>
        <w:t>brzozowskim</w:t>
      </w:r>
      <w:r w:rsidR="00997E7A" w:rsidRPr="00CC0FE9">
        <w:rPr>
          <w:rFonts w:ascii="Times New Roman" w:hAnsi="Times New Roman" w:cs="Times New Roman"/>
          <w:sz w:val="24"/>
          <w:szCs w:val="24"/>
        </w:rPr>
        <w:t xml:space="preserve"> (</w:t>
      </w:r>
      <w:r w:rsidR="00C735C8" w:rsidRPr="00CC0FE9">
        <w:rPr>
          <w:rFonts w:ascii="Times New Roman" w:hAnsi="Times New Roman" w:cs="Times New Roman"/>
          <w:sz w:val="24"/>
          <w:szCs w:val="24"/>
        </w:rPr>
        <w:t>8</w:t>
      </w:r>
      <w:r w:rsidR="00187C2C" w:rsidRPr="00CC0FE9">
        <w:rPr>
          <w:rFonts w:ascii="Times New Roman" w:hAnsi="Times New Roman" w:cs="Times New Roman"/>
          <w:sz w:val="24"/>
          <w:szCs w:val="24"/>
        </w:rPr>
        <w:t>4</w:t>
      </w:r>
      <w:r w:rsidR="00BC70D5" w:rsidRPr="00CC0FE9">
        <w:rPr>
          <w:rFonts w:ascii="Times New Roman" w:hAnsi="Times New Roman" w:cs="Times New Roman"/>
          <w:sz w:val="24"/>
          <w:szCs w:val="24"/>
        </w:rPr>
        <w:t>,</w:t>
      </w:r>
      <w:r w:rsidR="00187C2C" w:rsidRPr="00CC0FE9">
        <w:rPr>
          <w:rFonts w:ascii="Times New Roman" w:hAnsi="Times New Roman" w:cs="Times New Roman"/>
          <w:sz w:val="24"/>
          <w:szCs w:val="24"/>
        </w:rPr>
        <w:t>7</w:t>
      </w:r>
      <w:r w:rsidR="008F2E68">
        <w:rPr>
          <w:rFonts w:ascii="Times New Roman" w:hAnsi="Times New Roman" w:cs="Times New Roman"/>
          <w:sz w:val="24"/>
          <w:szCs w:val="24"/>
        </w:rPr>
        <w:t xml:space="preserve"> proc.</w:t>
      </w:r>
      <w:r w:rsidR="00997E7A" w:rsidRPr="00CC0FE9">
        <w:rPr>
          <w:rFonts w:ascii="Times New Roman" w:hAnsi="Times New Roman" w:cs="Times New Roman"/>
          <w:sz w:val="24"/>
          <w:szCs w:val="24"/>
        </w:rPr>
        <w:t>),</w:t>
      </w:r>
      <w:r w:rsidR="00187C2C" w:rsidRPr="00CC0FE9">
        <w:rPr>
          <w:rFonts w:ascii="Times New Roman" w:hAnsi="Times New Roman" w:cs="Times New Roman"/>
          <w:sz w:val="24"/>
          <w:szCs w:val="24"/>
        </w:rPr>
        <w:t xml:space="preserve"> przemyskim (83,3</w:t>
      </w:r>
      <w:r w:rsidR="008F2E68">
        <w:rPr>
          <w:rFonts w:ascii="Times New Roman" w:hAnsi="Times New Roman" w:cs="Times New Roman"/>
          <w:sz w:val="24"/>
          <w:szCs w:val="24"/>
        </w:rPr>
        <w:t xml:space="preserve"> proc.</w:t>
      </w:r>
      <w:r w:rsidR="00187C2C" w:rsidRPr="00CC0FE9">
        <w:rPr>
          <w:rFonts w:ascii="Times New Roman" w:hAnsi="Times New Roman" w:cs="Times New Roman"/>
          <w:sz w:val="24"/>
          <w:szCs w:val="24"/>
        </w:rPr>
        <w:t xml:space="preserve">), </w:t>
      </w:r>
      <w:r w:rsidR="00C735C8" w:rsidRPr="00CC0FE9">
        <w:rPr>
          <w:rFonts w:ascii="Times New Roman" w:hAnsi="Times New Roman" w:cs="Times New Roman"/>
          <w:sz w:val="24"/>
          <w:szCs w:val="24"/>
        </w:rPr>
        <w:t>przeworskim</w:t>
      </w:r>
      <w:r w:rsidR="00997E7A" w:rsidRPr="00CC0FE9">
        <w:rPr>
          <w:rFonts w:ascii="Times New Roman" w:hAnsi="Times New Roman" w:cs="Times New Roman"/>
          <w:sz w:val="24"/>
          <w:szCs w:val="24"/>
        </w:rPr>
        <w:t xml:space="preserve"> (</w:t>
      </w:r>
      <w:r w:rsidR="00BC70D5" w:rsidRPr="00CC0FE9">
        <w:rPr>
          <w:rFonts w:ascii="Times New Roman" w:hAnsi="Times New Roman" w:cs="Times New Roman"/>
          <w:sz w:val="24"/>
          <w:szCs w:val="24"/>
        </w:rPr>
        <w:t>7</w:t>
      </w:r>
      <w:r w:rsidR="00187C2C" w:rsidRPr="00CC0FE9">
        <w:rPr>
          <w:rFonts w:ascii="Times New Roman" w:hAnsi="Times New Roman" w:cs="Times New Roman"/>
          <w:sz w:val="24"/>
          <w:szCs w:val="24"/>
        </w:rPr>
        <w:t>1</w:t>
      </w:r>
      <w:r w:rsidR="00BC70D5" w:rsidRPr="00CC0FE9">
        <w:rPr>
          <w:rFonts w:ascii="Times New Roman" w:hAnsi="Times New Roman" w:cs="Times New Roman"/>
          <w:sz w:val="24"/>
          <w:szCs w:val="24"/>
        </w:rPr>
        <w:t>,</w:t>
      </w:r>
      <w:r w:rsidR="00187C2C" w:rsidRPr="00CC0FE9">
        <w:rPr>
          <w:rFonts w:ascii="Times New Roman" w:hAnsi="Times New Roman" w:cs="Times New Roman"/>
          <w:sz w:val="24"/>
          <w:szCs w:val="24"/>
        </w:rPr>
        <w:t>7</w:t>
      </w:r>
      <w:r w:rsidR="008F2E68">
        <w:rPr>
          <w:rFonts w:ascii="Times New Roman" w:hAnsi="Times New Roman" w:cs="Times New Roman"/>
          <w:sz w:val="24"/>
          <w:szCs w:val="24"/>
        </w:rPr>
        <w:t xml:space="preserve"> proc.</w:t>
      </w:r>
      <w:r w:rsidR="00997E7A" w:rsidRPr="00CC0FE9">
        <w:rPr>
          <w:rFonts w:ascii="Times New Roman" w:hAnsi="Times New Roman" w:cs="Times New Roman"/>
          <w:sz w:val="24"/>
          <w:szCs w:val="24"/>
        </w:rPr>
        <w:t>),</w:t>
      </w:r>
      <w:r w:rsidR="00187C2C" w:rsidRPr="00CC0FE9">
        <w:rPr>
          <w:rFonts w:ascii="Times New Roman" w:hAnsi="Times New Roman" w:cs="Times New Roman"/>
          <w:sz w:val="24"/>
          <w:szCs w:val="24"/>
        </w:rPr>
        <w:t xml:space="preserve"> lubaczowskim </w:t>
      </w:r>
      <w:r w:rsidR="00997E7A" w:rsidRPr="00CC0FE9">
        <w:rPr>
          <w:rFonts w:ascii="Times New Roman" w:hAnsi="Times New Roman" w:cs="Times New Roman"/>
          <w:sz w:val="24"/>
          <w:szCs w:val="24"/>
        </w:rPr>
        <w:t>(</w:t>
      </w:r>
      <w:r w:rsidR="00187C2C" w:rsidRPr="00CC0FE9">
        <w:rPr>
          <w:rFonts w:ascii="Times New Roman" w:hAnsi="Times New Roman" w:cs="Times New Roman"/>
          <w:sz w:val="24"/>
          <w:szCs w:val="24"/>
        </w:rPr>
        <w:t>71</w:t>
      </w:r>
      <w:r w:rsidR="00BC70D5" w:rsidRPr="00CC0FE9">
        <w:rPr>
          <w:rFonts w:ascii="Times New Roman" w:hAnsi="Times New Roman" w:cs="Times New Roman"/>
          <w:sz w:val="24"/>
          <w:szCs w:val="24"/>
        </w:rPr>
        <w:t>,</w:t>
      </w:r>
      <w:r w:rsidR="00187C2C" w:rsidRPr="00CC0FE9">
        <w:rPr>
          <w:rFonts w:ascii="Times New Roman" w:hAnsi="Times New Roman" w:cs="Times New Roman"/>
          <w:sz w:val="24"/>
          <w:szCs w:val="24"/>
        </w:rPr>
        <w:t>6</w:t>
      </w:r>
      <w:r w:rsidR="008F2E68">
        <w:rPr>
          <w:rFonts w:ascii="Times New Roman" w:hAnsi="Times New Roman" w:cs="Times New Roman"/>
          <w:sz w:val="24"/>
          <w:szCs w:val="24"/>
        </w:rPr>
        <w:t> proc.</w:t>
      </w:r>
      <w:r w:rsidR="00997E7A" w:rsidRPr="00CC0FE9">
        <w:rPr>
          <w:rFonts w:ascii="Times New Roman" w:hAnsi="Times New Roman" w:cs="Times New Roman"/>
          <w:sz w:val="24"/>
          <w:szCs w:val="24"/>
        </w:rPr>
        <w:t xml:space="preserve">), </w:t>
      </w:r>
      <w:r w:rsidR="00187C2C" w:rsidRPr="00CC0FE9">
        <w:rPr>
          <w:rFonts w:ascii="Times New Roman" w:hAnsi="Times New Roman" w:cs="Times New Roman"/>
          <w:sz w:val="24"/>
          <w:szCs w:val="24"/>
        </w:rPr>
        <w:t>jasielskim</w:t>
      </w:r>
      <w:r w:rsidR="00997E7A" w:rsidRPr="00CC0FE9">
        <w:rPr>
          <w:rFonts w:ascii="Times New Roman" w:hAnsi="Times New Roman" w:cs="Times New Roman"/>
          <w:sz w:val="24"/>
          <w:szCs w:val="24"/>
        </w:rPr>
        <w:t xml:space="preserve"> (</w:t>
      </w:r>
      <w:r w:rsidR="00BC70D5" w:rsidRPr="00CC0FE9">
        <w:rPr>
          <w:rFonts w:ascii="Times New Roman" w:hAnsi="Times New Roman" w:cs="Times New Roman"/>
          <w:sz w:val="24"/>
          <w:szCs w:val="24"/>
        </w:rPr>
        <w:t>6</w:t>
      </w:r>
      <w:r w:rsidR="00B36E9E" w:rsidRPr="00CC0FE9">
        <w:rPr>
          <w:rFonts w:ascii="Times New Roman" w:hAnsi="Times New Roman" w:cs="Times New Roman"/>
          <w:sz w:val="24"/>
          <w:szCs w:val="24"/>
        </w:rPr>
        <w:t>6,0</w:t>
      </w:r>
      <w:r w:rsidR="008F2E68">
        <w:rPr>
          <w:rFonts w:ascii="Times New Roman" w:hAnsi="Times New Roman" w:cs="Times New Roman"/>
          <w:sz w:val="24"/>
          <w:szCs w:val="24"/>
        </w:rPr>
        <w:t xml:space="preserve"> proc.</w:t>
      </w:r>
      <w:r w:rsidR="00997E7A" w:rsidRPr="00CC0FE9">
        <w:rPr>
          <w:rFonts w:ascii="Times New Roman" w:hAnsi="Times New Roman" w:cs="Times New Roman"/>
          <w:sz w:val="24"/>
          <w:szCs w:val="24"/>
        </w:rPr>
        <w:t>)</w:t>
      </w:r>
      <w:r w:rsidR="00457AC3" w:rsidRPr="00CC0FE9">
        <w:rPr>
          <w:rFonts w:ascii="Times New Roman" w:hAnsi="Times New Roman" w:cs="Times New Roman"/>
          <w:sz w:val="24"/>
          <w:szCs w:val="24"/>
        </w:rPr>
        <w:t xml:space="preserve">, </w:t>
      </w:r>
      <w:r w:rsidR="00187C2C" w:rsidRPr="00CC0FE9">
        <w:rPr>
          <w:rFonts w:ascii="Times New Roman" w:hAnsi="Times New Roman" w:cs="Times New Roman"/>
          <w:sz w:val="24"/>
          <w:szCs w:val="24"/>
        </w:rPr>
        <w:t>m. Przemyślu (65,5</w:t>
      </w:r>
      <w:r w:rsidR="008F2E68">
        <w:rPr>
          <w:rFonts w:ascii="Times New Roman" w:hAnsi="Times New Roman" w:cs="Times New Roman"/>
          <w:sz w:val="24"/>
          <w:szCs w:val="24"/>
        </w:rPr>
        <w:t xml:space="preserve"> proc.</w:t>
      </w:r>
      <w:r w:rsidR="00187C2C" w:rsidRPr="00CC0FE9">
        <w:rPr>
          <w:rFonts w:ascii="Times New Roman" w:hAnsi="Times New Roman" w:cs="Times New Roman"/>
          <w:sz w:val="24"/>
          <w:szCs w:val="24"/>
        </w:rPr>
        <w:t>), łańcuckim (65,4</w:t>
      </w:r>
      <w:r w:rsidR="008F2E68">
        <w:rPr>
          <w:rFonts w:ascii="Times New Roman" w:hAnsi="Times New Roman" w:cs="Times New Roman"/>
          <w:sz w:val="24"/>
          <w:szCs w:val="24"/>
        </w:rPr>
        <w:t xml:space="preserve"> proc.</w:t>
      </w:r>
      <w:r w:rsidR="00187C2C" w:rsidRPr="00CC0FE9">
        <w:rPr>
          <w:rFonts w:ascii="Times New Roman" w:hAnsi="Times New Roman" w:cs="Times New Roman"/>
          <w:sz w:val="24"/>
          <w:szCs w:val="24"/>
        </w:rPr>
        <w:t xml:space="preserve">), </w:t>
      </w:r>
      <w:r w:rsidR="00B36E9E" w:rsidRPr="00CC0FE9">
        <w:rPr>
          <w:rFonts w:ascii="Times New Roman" w:hAnsi="Times New Roman" w:cs="Times New Roman"/>
          <w:sz w:val="24"/>
          <w:szCs w:val="24"/>
        </w:rPr>
        <w:t>niżańskim</w:t>
      </w:r>
      <w:r w:rsidR="00997E7A" w:rsidRPr="00CC0FE9">
        <w:rPr>
          <w:rFonts w:ascii="Times New Roman" w:hAnsi="Times New Roman" w:cs="Times New Roman"/>
          <w:sz w:val="24"/>
          <w:szCs w:val="24"/>
        </w:rPr>
        <w:t xml:space="preserve"> (</w:t>
      </w:r>
      <w:r w:rsidR="00BC70D5" w:rsidRPr="00CC0FE9">
        <w:rPr>
          <w:rFonts w:ascii="Times New Roman" w:hAnsi="Times New Roman" w:cs="Times New Roman"/>
          <w:sz w:val="24"/>
          <w:szCs w:val="24"/>
        </w:rPr>
        <w:t>6</w:t>
      </w:r>
      <w:r w:rsidR="00187C2C" w:rsidRPr="00CC0FE9">
        <w:rPr>
          <w:rFonts w:ascii="Times New Roman" w:hAnsi="Times New Roman" w:cs="Times New Roman"/>
          <w:sz w:val="24"/>
          <w:szCs w:val="24"/>
        </w:rPr>
        <w:t>4</w:t>
      </w:r>
      <w:r w:rsidR="00BC70D5" w:rsidRPr="00CC0FE9">
        <w:rPr>
          <w:rFonts w:ascii="Times New Roman" w:hAnsi="Times New Roman" w:cs="Times New Roman"/>
          <w:sz w:val="24"/>
          <w:szCs w:val="24"/>
        </w:rPr>
        <w:t>,</w:t>
      </w:r>
      <w:r w:rsidR="00187C2C" w:rsidRPr="00CC0FE9">
        <w:rPr>
          <w:rFonts w:ascii="Times New Roman" w:hAnsi="Times New Roman" w:cs="Times New Roman"/>
          <w:sz w:val="24"/>
          <w:szCs w:val="24"/>
        </w:rPr>
        <w:t>4</w:t>
      </w:r>
      <w:r w:rsidR="008F2E68">
        <w:rPr>
          <w:rFonts w:ascii="Times New Roman" w:hAnsi="Times New Roman" w:cs="Times New Roman"/>
          <w:sz w:val="24"/>
          <w:szCs w:val="24"/>
        </w:rPr>
        <w:t xml:space="preserve"> proc.</w:t>
      </w:r>
      <w:r w:rsidR="00997E7A" w:rsidRPr="00CC0FE9">
        <w:rPr>
          <w:rFonts w:ascii="Times New Roman" w:hAnsi="Times New Roman" w:cs="Times New Roman"/>
          <w:sz w:val="24"/>
          <w:szCs w:val="24"/>
        </w:rPr>
        <w:t xml:space="preserve">) i </w:t>
      </w:r>
      <w:r w:rsidR="00187C2C" w:rsidRPr="00CC0FE9">
        <w:rPr>
          <w:rFonts w:ascii="Times New Roman" w:hAnsi="Times New Roman" w:cs="Times New Roman"/>
          <w:sz w:val="24"/>
          <w:szCs w:val="24"/>
        </w:rPr>
        <w:t>bieszczadzkim (60,0</w:t>
      </w:r>
      <w:r w:rsidR="008F2E68">
        <w:rPr>
          <w:rFonts w:ascii="Times New Roman" w:hAnsi="Times New Roman" w:cs="Times New Roman"/>
          <w:sz w:val="24"/>
          <w:szCs w:val="24"/>
        </w:rPr>
        <w:t xml:space="preserve"> proc.</w:t>
      </w:r>
      <w:r w:rsidR="00187C2C" w:rsidRPr="00CC0FE9">
        <w:rPr>
          <w:rFonts w:ascii="Times New Roman" w:hAnsi="Times New Roman" w:cs="Times New Roman"/>
          <w:sz w:val="24"/>
          <w:szCs w:val="24"/>
        </w:rPr>
        <w:t>)</w:t>
      </w:r>
      <w:r w:rsidR="00997E7A" w:rsidRPr="00CC0FE9">
        <w:rPr>
          <w:rFonts w:ascii="Times New Roman" w:hAnsi="Times New Roman" w:cs="Times New Roman"/>
          <w:sz w:val="24"/>
          <w:szCs w:val="24"/>
        </w:rPr>
        <w:t xml:space="preserve">. </w:t>
      </w:r>
      <w:r w:rsidR="00DD3E2A" w:rsidRPr="00CC0FE9">
        <w:rPr>
          <w:rFonts w:ascii="Times New Roman" w:hAnsi="Times New Roman" w:cs="Times New Roman"/>
          <w:sz w:val="24"/>
          <w:szCs w:val="24"/>
        </w:rPr>
        <w:t xml:space="preserve">Najniższy udział miejsc pracy subsydiowanej w ogólnej liczbie ofert pracy zgłoszonych do PUP przez pracodawców odnotowano w </w:t>
      </w:r>
      <w:r w:rsidR="00997E7A" w:rsidRPr="00CC0FE9">
        <w:rPr>
          <w:rFonts w:ascii="Times New Roman" w:hAnsi="Times New Roman" w:cs="Times New Roman"/>
          <w:sz w:val="24"/>
          <w:szCs w:val="24"/>
        </w:rPr>
        <w:t>m. Rzeszów (</w:t>
      </w:r>
      <w:r w:rsidR="00BC70D5" w:rsidRPr="00CC0FE9">
        <w:rPr>
          <w:rFonts w:ascii="Times New Roman" w:hAnsi="Times New Roman" w:cs="Times New Roman"/>
          <w:sz w:val="24"/>
          <w:szCs w:val="24"/>
        </w:rPr>
        <w:t>1</w:t>
      </w:r>
      <w:r w:rsidR="00187C2C" w:rsidRPr="00CC0FE9">
        <w:rPr>
          <w:rFonts w:ascii="Times New Roman" w:hAnsi="Times New Roman" w:cs="Times New Roman"/>
          <w:sz w:val="24"/>
          <w:szCs w:val="24"/>
        </w:rPr>
        <w:t>3</w:t>
      </w:r>
      <w:r w:rsidR="00BC70D5" w:rsidRPr="00CC0FE9">
        <w:rPr>
          <w:rFonts w:ascii="Times New Roman" w:hAnsi="Times New Roman" w:cs="Times New Roman"/>
          <w:sz w:val="24"/>
          <w:szCs w:val="24"/>
        </w:rPr>
        <w:t>,</w:t>
      </w:r>
      <w:r w:rsidR="00187C2C" w:rsidRPr="00CC0FE9">
        <w:rPr>
          <w:rFonts w:ascii="Times New Roman" w:hAnsi="Times New Roman" w:cs="Times New Roman"/>
          <w:sz w:val="24"/>
          <w:szCs w:val="24"/>
        </w:rPr>
        <w:t>5</w:t>
      </w:r>
      <w:r w:rsidR="00640239">
        <w:rPr>
          <w:rFonts w:ascii="Times New Roman" w:hAnsi="Times New Roman" w:cs="Times New Roman"/>
          <w:sz w:val="24"/>
          <w:szCs w:val="24"/>
        </w:rPr>
        <w:t xml:space="preserve"> proc.</w:t>
      </w:r>
      <w:r w:rsidR="00997E7A" w:rsidRPr="00CC0FE9">
        <w:rPr>
          <w:rFonts w:ascii="Times New Roman" w:hAnsi="Times New Roman" w:cs="Times New Roman"/>
          <w:sz w:val="24"/>
          <w:szCs w:val="24"/>
        </w:rPr>
        <w:t xml:space="preserve">), powiecie </w:t>
      </w:r>
      <w:r w:rsidR="00B36E9E" w:rsidRPr="00CC0FE9">
        <w:rPr>
          <w:rFonts w:ascii="Times New Roman" w:hAnsi="Times New Roman" w:cs="Times New Roman"/>
          <w:sz w:val="24"/>
          <w:szCs w:val="24"/>
        </w:rPr>
        <w:t xml:space="preserve">dębickim </w:t>
      </w:r>
      <w:r w:rsidR="00997E7A" w:rsidRPr="00CC0FE9">
        <w:rPr>
          <w:rFonts w:ascii="Times New Roman" w:hAnsi="Times New Roman" w:cs="Times New Roman"/>
          <w:sz w:val="24"/>
          <w:szCs w:val="24"/>
        </w:rPr>
        <w:t>(</w:t>
      </w:r>
      <w:r w:rsidR="003959D8" w:rsidRPr="00CC0FE9">
        <w:rPr>
          <w:rFonts w:ascii="Times New Roman" w:hAnsi="Times New Roman" w:cs="Times New Roman"/>
          <w:sz w:val="24"/>
          <w:szCs w:val="24"/>
        </w:rPr>
        <w:t>19</w:t>
      </w:r>
      <w:r w:rsidR="00BC70D5" w:rsidRPr="00CC0FE9">
        <w:rPr>
          <w:rFonts w:ascii="Times New Roman" w:hAnsi="Times New Roman" w:cs="Times New Roman"/>
          <w:sz w:val="24"/>
          <w:szCs w:val="24"/>
        </w:rPr>
        <w:t>,</w:t>
      </w:r>
      <w:r w:rsidR="003959D8" w:rsidRPr="00CC0FE9">
        <w:rPr>
          <w:rFonts w:ascii="Times New Roman" w:hAnsi="Times New Roman" w:cs="Times New Roman"/>
          <w:sz w:val="24"/>
          <w:szCs w:val="24"/>
        </w:rPr>
        <w:t>8</w:t>
      </w:r>
      <w:r w:rsidR="00640239">
        <w:rPr>
          <w:rFonts w:ascii="Times New Roman" w:hAnsi="Times New Roman" w:cs="Times New Roman"/>
          <w:sz w:val="24"/>
          <w:szCs w:val="24"/>
        </w:rPr>
        <w:t xml:space="preserve"> proc.</w:t>
      </w:r>
      <w:r w:rsidR="00997E7A" w:rsidRPr="00CC0FE9">
        <w:rPr>
          <w:rFonts w:ascii="Times New Roman" w:hAnsi="Times New Roman" w:cs="Times New Roman"/>
          <w:sz w:val="24"/>
          <w:szCs w:val="24"/>
        </w:rPr>
        <w:t xml:space="preserve">), </w:t>
      </w:r>
      <w:r w:rsidR="003959D8" w:rsidRPr="00CC0FE9">
        <w:rPr>
          <w:rFonts w:ascii="Times New Roman" w:hAnsi="Times New Roman" w:cs="Times New Roman"/>
          <w:sz w:val="24"/>
          <w:szCs w:val="24"/>
        </w:rPr>
        <w:t>mieleckim (22,0</w:t>
      </w:r>
      <w:r w:rsidR="00640239">
        <w:rPr>
          <w:rFonts w:ascii="Times New Roman" w:hAnsi="Times New Roman" w:cs="Times New Roman"/>
          <w:sz w:val="24"/>
          <w:szCs w:val="24"/>
        </w:rPr>
        <w:t> proc.</w:t>
      </w:r>
      <w:r w:rsidR="003959D8" w:rsidRPr="00CC0FE9">
        <w:rPr>
          <w:rFonts w:ascii="Times New Roman" w:hAnsi="Times New Roman" w:cs="Times New Roman"/>
          <w:sz w:val="24"/>
          <w:szCs w:val="24"/>
        </w:rPr>
        <w:t xml:space="preserve">), </w:t>
      </w:r>
      <w:r w:rsidR="00CC0FE9" w:rsidRPr="00CC0FE9">
        <w:rPr>
          <w:rFonts w:ascii="Times New Roman" w:hAnsi="Times New Roman" w:cs="Times New Roman"/>
          <w:sz w:val="24"/>
          <w:szCs w:val="24"/>
        </w:rPr>
        <w:t>rzeszowskim (30,8</w:t>
      </w:r>
      <w:r w:rsidR="00640239">
        <w:rPr>
          <w:rFonts w:ascii="Times New Roman" w:hAnsi="Times New Roman" w:cs="Times New Roman"/>
          <w:sz w:val="24"/>
          <w:szCs w:val="24"/>
        </w:rPr>
        <w:t xml:space="preserve"> proc.</w:t>
      </w:r>
      <w:r w:rsidR="00CC0FE9" w:rsidRPr="00CC0FE9">
        <w:rPr>
          <w:rFonts w:ascii="Times New Roman" w:hAnsi="Times New Roman" w:cs="Times New Roman"/>
          <w:sz w:val="24"/>
          <w:szCs w:val="24"/>
        </w:rPr>
        <w:t>), sanockim (31,4</w:t>
      </w:r>
      <w:r w:rsidR="00640239">
        <w:rPr>
          <w:rFonts w:ascii="Times New Roman" w:hAnsi="Times New Roman" w:cs="Times New Roman"/>
          <w:sz w:val="24"/>
          <w:szCs w:val="24"/>
        </w:rPr>
        <w:t xml:space="preserve"> proc.</w:t>
      </w:r>
      <w:r w:rsidR="00CC0FE9" w:rsidRPr="00CC0FE9">
        <w:rPr>
          <w:rFonts w:ascii="Times New Roman" w:hAnsi="Times New Roman" w:cs="Times New Roman"/>
          <w:sz w:val="24"/>
          <w:szCs w:val="24"/>
        </w:rPr>
        <w:t>), leskim (33,0</w:t>
      </w:r>
      <w:r w:rsidR="00640239">
        <w:rPr>
          <w:rFonts w:ascii="Times New Roman" w:hAnsi="Times New Roman" w:cs="Times New Roman"/>
          <w:sz w:val="24"/>
          <w:szCs w:val="24"/>
        </w:rPr>
        <w:t xml:space="preserve"> proc.</w:t>
      </w:r>
      <w:r w:rsidR="00CC0FE9" w:rsidRPr="00CC0FE9">
        <w:rPr>
          <w:rFonts w:ascii="Times New Roman" w:hAnsi="Times New Roman" w:cs="Times New Roman"/>
          <w:sz w:val="24"/>
          <w:szCs w:val="24"/>
        </w:rPr>
        <w:t>), krośnieńskim (35,8</w:t>
      </w:r>
      <w:r w:rsidR="00640239">
        <w:rPr>
          <w:rFonts w:ascii="Times New Roman" w:hAnsi="Times New Roman" w:cs="Times New Roman"/>
          <w:sz w:val="24"/>
          <w:szCs w:val="24"/>
        </w:rPr>
        <w:t xml:space="preserve"> proc.</w:t>
      </w:r>
      <w:r w:rsidR="00CC0FE9" w:rsidRPr="00CC0FE9">
        <w:rPr>
          <w:rFonts w:ascii="Times New Roman" w:hAnsi="Times New Roman" w:cs="Times New Roman"/>
          <w:sz w:val="24"/>
          <w:szCs w:val="24"/>
        </w:rPr>
        <w:t xml:space="preserve">), </w:t>
      </w:r>
      <w:r w:rsidR="00B36E9E" w:rsidRPr="00CC0FE9">
        <w:rPr>
          <w:rFonts w:ascii="Times New Roman" w:hAnsi="Times New Roman" w:cs="Times New Roman"/>
          <w:sz w:val="24"/>
          <w:szCs w:val="24"/>
        </w:rPr>
        <w:t xml:space="preserve">m. </w:t>
      </w:r>
      <w:r w:rsidR="00CC0FE9" w:rsidRPr="00CC0FE9">
        <w:rPr>
          <w:rFonts w:ascii="Times New Roman" w:hAnsi="Times New Roman" w:cs="Times New Roman"/>
          <w:sz w:val="24"/>
          <w:szCs w:val="24"/>
        </w:rPr>
        <w:t>Tarnobrzegu (36,1</w:t>
      </w:r>
      <w:r w:rsidR="00640239">
        <w:rPr>
          <w:rFonts w:ascii="Times New Roman" w:hAnsi="Times New Roman" w:cs="Times New Roman"/>
          <w:sz w:val="24"/>
          <w:szCs w:val="24"/>
        </w:rPr>
        <w:t xml:space="preserve"> proc.</w:t>
      </w:r>
      <w:r w:rsidR="00CC0FE9" w:rsidRPr="00CC0FE9">
        <w:rPr>
          <w:rFonts w:ascii="Times New Roman" w:hAnsi="Times New Roman" w:cs="Times New Roman"/>
          <w:sz w:val="24"/>
          <w:szCs w:val="24"/>
        </w:rPr>
        <w:t xml:space="preserve">) i w m. </w:t>
      </w:r>
      <w:r w:rsidR="00B36E9E" w:rsidRPr="00CC0FE9">
        <w:rPr>
          <w:rFonts w:ascii="Times New Roman" w:hAnsi="Times New Roman" w:cs="Times New Roman"/>
          <w:sz w:val="24"/>
          <w:szCs w:val="24"/>
        </w:rPr>
        <w:t>Kro</w:t>
      </w:r>
      <w:r w:rsidR="00CC0FE9" w:rsidRPr="00CC0FE9">
        <w:rPr>
          <w:rFonts w:ascii="Times New Roman" w:hAnsi="Times New Roman" w:cs="Times New Roman"/>
          <w:sz w:val="24"/>
          <w:szCs w:val="24"/>
        </w:rPr>
        <w:t>śnie</w:t>
      </w:r>
      <w:r w:rsidR="00B36E9E" w:rsidRPr="00CC0FE9">
        <w:rPr>
          <w:rFonts w:ascii="Times New Roman" w:hAnsi="Times New Roman" w:cs="Times New Roman"/>
          <w:sz w:val="24"/>
          <w:szCs w:val="24"/>
        </w:rPr>
        <w:t xml:space="preserve"> (</w:t>
      </w:r>
      <w:r w:rsidR="00CC0FE9" w:rsidRPr="00CC0FE9">
        <w:rPr>
          <w:rFonts w:ascii="Times New Roman" w:hAnsi="Times New Roman" w:cs="Times New Roman"/>
          <w:sz w:val="24"/>
          <w:szCs w:val="24"/>
        </w:rPr>
        <w:t>39,6</w:t>
      </w:r>
      <w:r w:rsidR="00640239">
        <w:rPr>
          <w:rFonts w:ascii="Times New Roman" w:hAnsi="Times New Roman" w:cs="Times New Roman"/>
          <w:sz w:val="24"/>
          <w:szCs w:val="24"/>
        </w:rPr>
        <w:t xml:space="preserve"> proc.</w:t>
      </w:r>
      <w:r w:rsidR="00B36E9E" w:rsidRPr="00CC0FE9">
        <w:rPr>
          <w:rFonts w:ascii="Times New Roman" w:hAnsi="Times New Roman" w:cs="Times New Roman"/>
          <w:sz w:val="24"/>
          <w:szCs w:val="24"/>
        </w:rPr>
        <w:t>)</w:t>
      </w:r>
      <w:r w:rsidR="00CC0FE9" w:rsidRPr="00CC0FE9">
        <w:rPr>
          <w:rFonts w:ascii="Times New Roman" w:hAnsi="Times New Roman" w:cs="Times New Roman"/>
          <w:sz w:val="24"/>
          <w:szCs w:val="24"/>
        </w:rPr>
        <w:t>.</w:t>
      </w:r>
    </w:p>
    <w:p w:rsidR="00057890" w:rsidRPr="00CC0FE9" w:rsidRDefault="00CF668F" w:rsidP="00B92319">
      <w:pPr>
        <w:pStyle w:val="Bezodstpw"/>
        <w:numPr>
          <w:ilvl w:val="0"/>
          <w:numId w:val="10"/>
        </w:numPr>
        <w:spacing w:line="360" w:lineRule="auto"/>
        <w:jc w:val="both"/>
        <w:rPr>
          <w:rFonts w:ascii="Times New Roman" w:hAnsi="Times New Roman" w:cs="Times New Roman"/>
          <w:sz w:val="16"/>
          <w:szCs w:val="16"/>
        </w:rPr>
      </w:pPr>
      <w:r w:rsidRPr="00CC0FE9">
        <w:rPr>
          <w:rFonts w:ascii="Times New Roman" w:hAnsi="Times New Roman" w:cs="Times New Roman"/>
          <w:sz w:val="24"/>
          <w:szCs w:val="24"/>
        </w:rPr>
        <w:t>W</w:t>
      </w:r>
      <w:r w:rsidR="00926A24">
        <w:rPr>
          <w:rFonts w:ascii="Times New Roman" w:hAnsi="Times New Roman" w:cs="Times New Roman"/>
          <w:sz w:val="24"/>
          <w:szCs w:val="24"/>
        </w:rPr>
        <w:t xml:space="preserve"> </w:t>
      </w:r>
      <w:r w:rsidR="00F353CD" w:rsidRPr="00CC0FE9">
        <w:rPr>
          <w:rFonts w:ascii="Times New Roman" w:hAnsi="Times New Roman" w:cs="Times New Roman"/>
          <w:sz w:val="24"/>
          <w:szCs w:val="24"/>
        </w:rPr>
        <w:t>I półroczu 20</w:t>
      </w:r>
      <w:r w:rsidR="00221DC4" w:rsidRPr="00CC0FE9">
        <w:rPr>
          <w:rFonts w:ascii="Times New Roman" w:hAnsi="Times New Roman" w:cs="Times New Roman"/>
          <w:sz w:val="24"/>
          <w:szCs w:val="24"/>
        </w:rPr>
        <w:t>2</w:t>
      </w:r>
      <w:r w:rsidR="0089613F" w:rsidRPr="00CC0FE9">
        <w:rPr>
          <w:rFonts w:ascii="Times New Roman" w:hAnsi="Times New Roman" w:cs="Times New Roman"/>
          <w:sz w:val="24"/>
          <w:szCs w:val="24"/>
        </w:rPr>
        <w:t>1</w:t>
      </w:r>
      <w:r w:rsidR="00726157" w:rsidRPr="00CC0FE9">
        <w:rPr>
          <w:rFonts w:ascii="Times New Roman" w:hAnsi="Times New Roman" w:cs="Times New Roman"/>
          <w:sz w:val="24"/>
          <w:szCs w:val="24"/>
        </w:rPr>
        <w:t xml:space="preserve"> </w:t>
      </w:r>
      <w:r w:rsidRPr="00CC0FE9">
        <w:rPr>
          <w:rFonts w:ascii="Times New Roman" w:hAnsi="Times New Roman" w:cs="Times New Roman"/>
          <w:sz w:val="24"/>
          <w:szCs w:val="24"/>
        </w:rPr>
        <w:t>r</w:t>
      </w:r>
      <w:r w:rsidR="00221DC4" w:rsidRPr="00CC0FE9">
        <w:rPr>
          <w:rFonts w:ascii="Times New Roman" w:hAnsi="Times New Roman" w:cs="Times New Roman"/>
          <w:sz w:val="24"/>
          <w:szCs w:val="24"/>
        </w:rPr>
        <w:t>oku</w:t>
      </w:r>
      <w:r w:rsidR="00726157" w:rsidRPr="00CC0FE9">
        <w:rPr>
          <w:rFonts w:ascii="Times New Roman" w:hAnsi="Times New Roman" w:cs="Times New Roman"/>
          <w:sz w:val="24"/>
          <w:szCs w:val="24"/>
        </w:rPr>
        <w:t xml:space="preserve"> na jedno wolne miejsce pracy</w:t>
      </w:r>
      <w:r w:rsidR="00AE5712" w:rsidRPr="00CC0FE9">
        <w:rPr>
          <w:rFonts w:ascii="Times New Roman" w:hAnsi="Times New Roman" w:cs="Times New Roman"/>
          <w:sz w:val="24"/>
          <w:szCs w:val="24"/>
        </w:rPr>
        <w:t xml:space="preserve"> i </w:t>
      </w:r>
      <w:r w:rsidR="00726157" w:rsidRPr="00CC0FE9">
        <w:rPr>
          <w:rFonts w:ascii="Times New Roman" w:hAnsi="Times New Roman" w:cs="Times New Roman"/>
          <w:sz w:val="24"/>
          <w:szCs w:val="24"/>
        </w:rPr>
        <w:t xml:space="preserve">miejsce aktywizacji zawodowej przypadało średnio </w:t>
      </w:r>
      <w:r w:rsidR="009E2903">
        <w:rPr>
          <w:rFonts w:ascii="Times New Roman" w:hAnsi="Times New Roman" w:cs="Times New Roman"/>
          <w:sz w:val="24"/>
          <w:szCs w:val="24"/>
        </w:rPr>
        <w:t>20</w:t>
      </w:r>
      <w:r w:rsidR="00905783" w:rsidRPr="00CC0FE9">
        <w:rPr>
          <w:rFonts w:ascii="Times New Roman" w:hAnsi="Times New Roman" w:cs="Times New Roman"/>
          <w:sz w:val="24"/>
          <w:szCs w:val="24"/>
        </w:rPr>
        <w:t>,</w:t>
      </w:r>
      <w:r w:rsidR="00057890" w:rsidRPr="00CC0FE9">
        <w:rPr>
          <w:rFonts w:ascii="Times New Roman" w:hAnsi="Times New Roman" w:cs="Times New Roman"/>
          <w:sz w:val="24"/>
          <w:szCs w:val="24"/>
        </w:rPr>
        <w:t>8</w:t>
      </w:r>
      <w:r w:rsidR="00AA2532" w:rsidRPr="00CC0FE9">
        <w:rPr>
          <w:rFonts w:ascii="Times New Roman" w:hAnsi="Times New Roman" w:cs="Times New Roman"/>
          <w:sz w:val="24"/>
          <w:szCs w:val="24"/>
        </w:rPr>
        <w:t xml:space="preserve"> </w:t>
      </w:r>
      <w:r w:rsidR="00726157" w:rsidRPr="00CC0FE9">
        <w:rPr>
          <w:rFonts w:ascii="Times New Roman" w:hAnsi="Times New Roman" w:cs="Times New Roman"/>
          <w:sz w:val="24"/>
          <w:szCs w:val="24"/>
        </w:rPr>
        <w:t xml:space="preserve">bezrobotnych (w </w:t>
      </w:r>
      <w:r w:rsidR="00F353CD" w:rsidRPr="00CC0FE9">
        <w:rPr>
          <w:rFonts w:ascii="Times New Roman" w:hAnsi="Times New Roman" w:cs="Times New Roman"/>
          <w:sz w:val="24"/>
          <w:szCs w:val="24"/>
        </w:rPr>
        <w:t>I półroczu 2</w:t>
      </w:r>
      <w:r w:rsidR="00CC0FE9" w:rsidRPr="00CC0FE9">
        <w:rPr>
          <w:rFonts w:ascii="Times New Roman" w:hAnsi="Times New Roman" w:cs="Times New Roman"/>
          <w:sz w:val="24"/>
          <w:szCs w:val="24"/>
        </w:rPr>
        <w:t>020</w:t>
      </w:r>
      <w:r w:rsidR="00726157" w:rsidRPr="00CC0FE9">
        <w:rPr>
          <w:rFonts w:ascii="Times New Roman" w:hAnsi="Times New Roman" w:cs="Times New Roman"/>
          <w:sz w:val="24"/>
          <w:szCs w:val="24"/>
        </w:rPr>
        <w:t xml:space="preserve"> r</w:t>
      </w:r>
      <w:r w:rsidR="00221DC4" w:rsidRPr="00CC0FE9">
        <w:rPr>
          <w:rFonts w:ascii="Times New Roman" w:hAnsi="Times New Roman" w:cs="Times New Roman"/>
          <w:sz w:val="24"/>
          <w:szCs w:val="24"/>
        </w:rPr>
        <w:t>oku</w:t>
      </w:r>
      <w:r w:rsidR="00726157" w:rsidRPr="00CC0FE9">
        <w:rPr>
          <w:rFonts w:ascii="Times New Roman" w:hAnsi="Times New Roman" w:cs="Times New Roman"/>
          <w:sz w:val="24"/>
          <w:szCs w:val="24"/>
        </w:rPr>
        <w:t xml:space="preserve"> – </w:t>
      </w:r>
      <w:r w:rsidR="00CC0FE9" w:rsidRPr="00CC0FE9">
        <w:rPr>
          <w:rFonts w:ascii="Times New Roman" w:hAnsi="Times New Roman" w:cs="Times New Roman"/>
          <w:sz w:val="24"/>
          <w:szCs w:val="24"/>
        </w:rPr>
        <w:t>30</w:t>
      </w:r>
      <w:r w:rsidR="00905783" w:rsidRPr="00CC0FE9">
        <w:rPr>
          <w:rFonts w:ascii="Times New Roman" w:hAnsi="Times New Roman" w:cs="Times New Roman"/>
          <w:sz w:val="24"/>
          <w:szCs w:val="24"/>
        </w:rPr>
        <w:t>,</w:t>
      </w:r>
      <w:r w:rsidR="009E2903">
        <w:rPr>
          <w:rFonts w:ascii="Times New Roman" w:hAnsi="Times New Roman" w:cs="Times New Roman"/>
          <w:sz w:val="24"/>
          <w:szCs w:val="24"/>
        </w:rPr>
        <w:t>8</w:t>
      </w:r>
      <w:r w:rsidR="00726157" w:rsidRPr="00CC0FE9">
        <w:rPr>
          <w:rFonts w:ascii="Times New Roman" w:hAnsi="Times New Roman" w:cs="Times New Roman"/>
          <w:sz w:val="24"/>
          <w:szCs w:val="24"/>
        </w:rPr>
        <w:t xml:space="preserve"> bezrobotnych).</w:t>
      </w:r>
    </w:p>
    <w:p w:rsidR="00B92319" w:rsidRPr="009E2903" w:rsidRDefault="00726157" w:rsidP="00B92319">
      <w:pPr>
        <w:pStyle w:val="Bezodstpw"/>
        <w:numPr>
          <w:ilvl w:val="0"/>
          <w:numId w:val="10"/>
        </w:numPr>
        <w:spacing w:line="360" w:lineRule="auto"/>
        <w:jc w:val="both"/>
        <w:rPr>
          <w:rFonts w:ascii="Times New Roman" w:hAnsi="Times New Roman" w:cs="Times New Roman"/>
          <w:sz w:val="16"/>
          <w:szCs w:val="16"/>
        </w:rPr>
      </w:pPr>
      <w:r w:rsidRPr="00CC0FE9">
        <w:rPr>
          <w:rFonts w:ascii="Times New Roman" w:hAnsi="Times New Roman" w:cs="Times New Roman"/>
          <w:sz w:val="24"/>
          <w:szCs w:val="24"/>
        </w:rPr>
        <w:t>Sytuacja</w:t>
      </w:r>
      <w:r w:rsidR="00AE5712" w:rsidRPr="00CC0FE9">
        <w:rPr>
          <w:rFonts w:ascii="Times New Roman" w:hAnsi="Times New Roman" w:cs="Times New Roman"/>
          <w:sz w:val="24"/>
          <w:szCs w:val="24"/>
        </w:rPr>
        <w:t xml:space="preserve"> </w:t>
      </w:r>
      <w:r w:rsidRPr="00CC0FE9">
        <w:rPr>
          <w:rFonts w:ascii="Times New Roman" w:hAnsi="Times New Roman" w:cs="Times New Roman"/>
          <w:sz w:val="24"/>
          <w:szCs w:val="24"/>
        </w:rPr>
        <w:t>była najkorzystniejsz</w:t>
      </w:r>
      <w:r w:rsidR="001231FA" w:rsidRPr="00CC0FE9">
        <w:rPr>
          <w:rFonts w:ascii="Times New Roman" w:hAnsi="Times New Roman" w:cs="Times New Roman"/>
          <w:sz w:val="24"/>
          <w:szCs w:val="24"/>
        </w:rPr>
        <w:t xml:space="preserve">a </w:t>
      </w:r>
      <w:r w:rsidRPr="00CC0FE9">
        <w:rPr>
          <w:rFonts w:ascii="Times New Roman" w:hAnsi="Times New Roman" w:cs="Times New Roman"/>
          <w:sz w:val="24"/>
          <w:szCs w:val="24"/>
        </w:rPr>
        <w:t>w</w:t>
      </w:r>
      <w:r w:rsidR="001231FA" w:rsidRPr="00CC0FE9">
        <w:rPr>
          <w:rFonts w:ascii="Times New Roman" w:hAnsi="Times New Roman" w:cs="Times New Roman"/>
          <w:sz w:val="24"/>
          <w:szCs w:val="24"/>
        </w:rPr>
        <w:t xml:space="preserve"> </w:t>
      </w:r>
      <w:r w:rsidR="001B5D0B" w:rsidRPr="00CC0FE9">
        <w:rPr>
          <w:rFonts w:ascii="Times New Roman" w:hAnsi="Times New Roman" w:cs="Times New Roman"/>
          <w:sz w:val="24"/>
          <w:szCs w:val="24"/>
        </w:rPr>
        <w:t>m</w:t>
      </w:r>
      <w:r w:rsidR="00DD3E2A" w:rsidRPr="00CC0FE9">
        <w:rPr>
          <w:rFonts w:ascii="Times New Roman" w:hAnsi="Times New Roman" w:cs="Times New Roman"/>
          <w:sz w:val="24"/>
          <w:szCs w:val="24"/>
        </w:rPr>
        <w:t>iastach, gdzie następuje rozwój, funkcjonuj</w:t>
      </w:r>
      <w:r w:rsidR="000A6FDC" w:rsidRPr="00CC0FE9">
        <w:rPr>
          <w:rFonts w:ascii="Times New Roman" w:hAnsi="Times New Roman" w:cs="Times New Roman"/>
          <w:sz w:val="24"/>
          <w:szCs w:val="24"/>
        </w:rPr>
        <w:t>ą</w:t>
      </w:r>
      <w:r w:rsidR="00DD3E2A" w:rsidRPr="00CC0FE9">
        <w:rPr>
          <w:rFonts w:ascii="Times New Roman" w:hAnsi="Times New Roman" w:cs="Times New Roman"/>
          <w:sz w:val="24"/>
          <w:szCs w:val="24"/>
        </w:rPr>
        <w:t xml:space="preserve"> </w:t>
      </w:r>
      <w:r w:rsidR="00F353CD" w:rsidRPr="00CC0FE9">
        <w:rPr>
          <w:rFonts w:ascii="Times New Roman" w:hAnsi="Times New Roman" w:cs="Times New Roman"/>
          <w:sz w:val="24"/>
          <w:szCs w:val="24"/>
        </w:rPr>
        <w:t xml:space="preserve">firmy </w:t>
      </w:r>
      <w:r w:rsidR="00733CA1" w:rsidRPr="00CC0FE9">
        <w:rPr>
          <w:rFonts w:ascii="Times New Roman" w:hAnsi="Times New Roman" w:cs="Times New Roman"/>
          <w:sz w:val="24"/>
          <w:szCs w:val="24"/>
        </w:rPr>
        <w:t>high-tech</w:t>
      </w:r>
      <w:r w:rsidR="00221DC4" w:rsidRPr="00CC0FE9">
        <w:rPr>
          <w:rFonts w:ascii="Times New Roman" w:hAnsi="Times New Roman" w:cs="Times New Roman"/>
          <w:sz w:val="24"/>
          <w:szCs w:val="24"/>
        </w:rPr>
        <w:t xml:space="preserve"> i</w:t>
      </w:r>
      <w:r w:rsidR="00DD3E2A" w:rsidRPr="00CC0FE9">
        <w:rPr>
          <w:rFonts w:ascii="Times New Roman" w:hAnsi="Times New Roman" w:cs="Times New Roman"/>
          <w:sz w:val="24"/>
          <w:szCs w:val="24"/>
        </w:rPr>
        <w:t xml:space="preserve"> </w:t>
      </w:r>
      <w:r w:rsidR="00CC0FE9" w:rsidRPr="00CC0FE9">
        <w:rPr>
          <w:rFonts w:ascii="Times New Roman" w:hAnsi="Times New Roman" w:cs="Times New Roman"/>
          <w:sz w:val="24"/>
          <w:szCs w:val="24"/>
        </w:rPr>
        <w:t xml:space="preserve">wysoko wykwalifikowane </w:t>
      </w:r>
      <w:r w:rsidR="00DD3E2A" w:rsidRPr="00CC0FE9">
        <w:rPr>
          <w:rFonts w:ascii="Times New Roman" w:hAnsi="Times New Roman" w:cs="Times New Roman"/>
          <w:sz w:val="24"/>
          <w:szCs w:val="24"/>
        </w:rPr>
        <w:t xml:space="preserve">usługi </w:t>
      </w:r>
      <w:r w:rsidR="00733CA1" w:rsidRPr="00CC0FE9">
        <w:rPr>
          <w:rFonts w:ascii="Times New Roman" w:hAnsi="Times New Roman" w:cs="Times New Roman"/>
          <w:sz w:val="24"/>
          <w:szCs w:val="24"/>
        </w:rPr>
        <w:t>np. medyczne czy finansowe</w:t>
      </w:r>
      <w:r w:rsidR="00221DC4" w:rsidRPr="00CC0FE9">
        <w:rPr>
          <w:rFonts w:ascii="Times New Roman" w:hAnsi="Times New Roman" w:cs="Times New Roman"/>
          <w:sz w:val="24"/>
          <w:szCs w:val="24"/>
        </w:rPr>
        <w:t xml:space="preserve">. </w:t>
      </w:r>
      <w:r w:rsidR="0089613F" w:rsidRPr="00CC0FE9">
        <w:rPr>
          <w:rFonts w:ascii="Times New Roman" w:hAnsi="Times New Roman" w:cs="Times New Roman"/>
          <w:sz w:val="24"/>
          <w:szCs w:val="24"/>
        </w:rPr>
        <w:t xml:space="preserve">Rozwój równomierny </w:t>
      </w:r>
      <w:r w:rsidR="00CC0FE9" w:rsidRPr="00CC0FE9">
        <w:rPr>
          <w:rFonts w:ascii="Times New Roman" w:hAnsi="Times New Roman" w:cs="Times New Roman"/>
          <w:sz w:val="24"/>
          <w:szCs w:val="24"/>
        </w:rPr>
        <w:t xml:space="preserve">całej gospodarki tj </w:t>
      </w:r>
      <w:r w:rsidR="0089613F" w:rsidRPr="00CC0FE9">
        <w:rPr>
          <w:rFonts w:ascii="Times New Roman" w:hAnsi="Times New Roman" w:cs="Times New Roman"/>
          <w:sz w:val="24"/>
          <w:szCs w:val="24"/>
        </w:rPr>
        <w:t>u</w:t>
      </w:r>
      <w:r w:rsidR="00057890" w:rsidRPr="00CC0FE9">
        <w:rPr>
          <w:rFonts w:ascii="Times New Roman" w:hAnsi="Times New Roman" w:cs="Times New Roman"/>
          <w:sz w:val="24"/>
          <w:szCs w:val="24"/>
        </w:rPr>
        <w:t xml:space="preserve">sług, </w:t>
      </w:r>
      <w:r w:rsidR="00221DC4" w:rsidRPr="00CC0FE9">
        <w:rPr>
          <w:rFonts w:ascii="Times New Roman" w:hAnsi="Times New Roman" w:cs="Times New Roman"/>
          <w:sz w:val="24"/>
          <w:szCs w:val="24"/>
        </w:rPr>
        <w:t>produkcj</w:t>
      </w:r>
      <w:r w:rsidR="0089613F" w:rsidRPr="00CC0FE9">
        <w:rPr>
          <w:rFonts w:ascii="Times New Roman" w:hAnsi="Times New Roman" w:cs="Times New Roman"/>
          <w:sz w:val="24"/>
          <w:szCs w:val="24"/>
        </w:rPr>
        <w:t>i</w:t>
      </w:r>
      <w:r w:rsidR="00057890" w:rsidRPr="00CC0FE9">
        <w:rPr>
          <w:rFonts w:ascii="Times New Roman" w:hAnsi="Times New Roman" w:cs="Times New Roman"/>
          <w:sz w:val="24"/>
          <w:szCs w:val="24"/>
        </w:rPr>
        <w:t xml:space="preserve"> </w:t>
      </w:r>
      <w:r w:rsidR="00CC0FE9" w:rsidRPr="00CC0FE9">
        <w:rPr>
          <w:rFonts w:ascii="Times New Roman" w:hAnsi="Times New Roman" w:cs="Times New Roman"/>
          <w:sz w:val="24"/>
          <w:szCs w:val="24"/>
        </w:rPr>
        <w:t xml:space="preserve">rolnictwa </w:t>
      </w:r>
      <w:r w:rsidR="00221DC4" w:rsidRPr="00CC0FE9">
        <w:rPr>
          <w:rFonts w:ascii="Times New Roman" w:hAnsi="Times New Roman" w:cs="Times New Roman"/>
          <w:sz w:val="24"/>
          <w:szCs w:val="24"/>
        </w:rPr>
        <w:t>i</w:t>
      </w:r>
      <w:r w:rsidR="00057890" w:rsidRPr="00CC0FE9">
        <w:rPr>
          <w:rFonts w:ascii="Times New Roman" w:hAnsi="Times New Roman" w:cs="Times New Roman"/>
          <w:sz w:val="24"/>
          <w:szCs w:val="24"/>
        </w:rPr>
        <w:t xml:space="preserve"> </w:t>
      </w:r>
      <w:r w:rsidR="00221DC4" w:rsidRPr="00CC0FE9">
        <w:rPr>
          <w:rFonts w:ascii="Times New Roman" w:hAnsi="Times New Roman" w:cs="Times New Roman"/>
          <w:sz w:val="24"/>
          <w:szCs w:val="24"/>
        </w:rPr>
        <w:t>handl</w:t>
      </w:r>
      <w:r w:rsidR="0089613F" w:rsidRPr="00CC0FE9">
        <w:rPr>
          <w:rFonts w:ascii="Times New Roman" w:hAnsi="Times New Roman" w:cs="Times New Roman"/>
          <w:sz w:val="24"/>
          <w:szCs w:val="24"/>
        </w:rPr>
        <w:t>u</w:t>
      </w:r>
      <w:r w:rsidR="00CC0FE9" w:rsidRPr="00CC0FE9">
        <w:rPr>
          <w:rFonts w:ascii="Times New Roman" w:hAnsi="Times New Roman" w:cs="Times New Roman"/>
          <w:sz w:val="24"/>
          <w:szCs w:val="24"/>
        </w:rPr>
        <w:t xml:space="preserve"> – </w:t>
      </w:r>
      <w:r w:rsidR="0089613F" w:rsidRPr="00CC0FE9">
        <w:rPr>
          <w:rFonts w:ascii="Times New Roman" w:hAnsi="Times New Roman" w:cs="Times New Roman"/>
          <w:sz w:val="24"/>
          <w:szCs w:val="24"/>
        </w:rPr>
        <w:t>p</w:t>
      </w:r>
      <w:r w:rsidR="00905783" w:rsidRPr="00CC0FE9">
        <w:rPr>
          <w:rFonts w:ascii="Times New Roman" w:hAnsi="Times New Roman" w:cs="Times New Roman"/>
          <w:sz w:val="24"/>
          <w:szCs w:val="24"/>
        </w:rPr>
        <w:t>rzeciwdziała monokultur</w:t>
      </w:r>
      <w:r w:rsidR="00063F39" w:rsidRPr="00CC0FE9">
        <w:rPr>
          <w:rFonts w:ascii="Times New Roman" w:hAnsi="Times New Roman" w:cs="Times New Roman"/>
          <w:sz w:val="24"/>
          <w:szCs w:val="24"/>
        </w:rPr>
        <w:t xml:space="preserve">ze przemysłowej </w:t>
      </w:r>
      <w:r w:rsidR="0089613F" w:rsidRPr="00CC0FE9">
        <w:rPr>
          <w:rFonts w:ascii="Times New Roman" w:hAnsi="Times New Roman" w:cs="Times New Roman"/>
          <w:sz w:val="24"/>
          <w:szCs w:val="24"/>
        </w:rPr>
        <w:t xml:space="preserve">i </w:t>
      </w:r>
      <w:r w:rsidR="00063F39" w:rsidRPr="00CC0FE9">
        <w:rPr>
          <w:rFonts w:ascii="Times New Roman" w:hAnsi="Times New Roman" w:cs="Times New Roman"/>
          <w:sz w:val="24"/>
          <w:szCs w:val="24"/>
        </w:rPr>
        <w:t>w</w:t>
      </w:r>
      <w:r w:rsidR="00905783" w:rsidRPr="00CC0FE9">
        <w:rPr>
          <w:rFonts w:ascii="Times New Roman" w:hAnsi="Times New Roman" w:cs="Times New Roman"/>
          <w:sz w:val="24"/>
          <w:szCs w:val="24"/>
        </w:rPr>
        <w:t>pływa korzystnie na trwałe ograniczenie bezrobocia.</w:t>
      </w:r>
      <w:r w:rsidR="0089613F" w:rsidRPr="00CC0FE9">
        <w:rPr>
          <w:rFonts w:ascii="Times New Roman" w:hAnsi="Times New Roman" w:cs="Times New Roman"/>
          <w:sz w:val="24"/>
          <w:szCs w:val="24"/>
        </w:rPr>
        <w:t xml:space="preserve"> Odnotowano niską liczbę </w:t>
      </w:r>
      <w:r w:rsidR="00905783" w:rsidRPr="00CC0FE9">
        <w:rPr>
          <w:rFonts w:ascii="Times New Roman" w:hAnsi="Times New Roman" w:cs="Times New Roman"/>
          <w:sz w:val="24"/>
          <w:szCs w:val="24"/>
        </w:rPr>
        <w:t xml:space="preserve">bezrobotnych w przeliczeniu na 1 ofertę pracy </w:t>
      </w:r>
      <w:r w:rsidR="0089613F" w:rsidRPr="00CC0FE9">
        <w:rPr>
          <w:rFonts w:ascii="Times New Roman" w:hAnsi="Times New Roman" w:cs="Times New Roman"/>
          <w:sz w:val="24"/>
          <w:szCs w:val="24"/>
        </w:rPr>
        <w:t>w powiatach o</w:t>
      </w:r>
      <w:r w:rsidR="009E2903">
        <w:rPr>
          <w:rFonts w:ascii="Times New Roman" w:hAnsi="Times New Roman" w:cs="Times New Roman"/>
          <w:sz w:val="24"/>
          <w:szCs w:val="24"/>
        </w:rPr>
        <w:t> </w:t>
      </w:r>
      <w:r w:rsidR="0089613F" w:rsidRPr="00CC0FE9">
        <w:rPr>
          <w:rFonts w:ascii="Times New Roman" w:hAnsi="Times New Roman" w:cs="Times New Roman"/>
          <w:sz w:val="24"/>
          <w:szCs w:val="24"/>
        </w:rPr>
        <w:t xml:space="preserve">zróżnicowanej </w:t>
      </w:r>
      <w:r w:rsidR="009E2903">
        <w:rPr>
          <w:rFonts w:ascii="Times New Roman" w:hAnsi="Times New Roman" w:cs="Times New Roman"/>
          <w:sz w:val="24"/>
          <w:szCs w:val="24"/>
        </w:rPr>
        <w:t>gospodarce</w:t>
      </w:r>
      <w:r w:rsidR="0089613F" w:rsidRPr="00CC0FE9">
        <w:rPr>
          <w:rFonts w:ascii="Times New Roman" w:hAnsi="Times New Roman" w:cs="Times New Roman"/>
          <w:sz w:val="24"/>
          <w:szCs w:val="24"/>
        </w:rPr>
        <w:t xml:space="preserve">. Są to np. </w:t>
      </w:r>
      <w:r w:rsidR="00912147" w:rsidRPr="00CC0FE9">
        <w:rPr>
          <w:rFonts w:ascii="Times New Roman" w:hAnsi="Times New Roman" w:cs="Times New Roman"/>
          <w:sz w:val="24"/>
          <w:szCs w:val="24"/>
        </w:rPr>
        <w:t xml:space="preserve">powiat </w:t>
      </w:r>
      <w:r w:rsidR="00912147" w:rsidRPr="009E2903">
        <w:rPr>
          <w:rFonts w:ascii="Times New Roman" w:hAnsi="Times New Roman" w:cs="Times New Roman"/>
          <w:sz w:val="24"/>
          <w:szCs w:val="24"/>
        </w:rPr>
        <w:t>mielecki (</w:t>
      </w:r>
      <w:r w:rsidR="00CC0FE9" w:rsidRPr="009E2903">
        <w:rPr>
          <w:rFonts w:ascii="Times New Roman" w:hAnsi="Times New Roman" w:cs="Times New Roman"/>
          <w:sz w:val="24"/>
          <w:szCs w:val="24"/>
        </w:rPr>
        <w:t>5</w:t>
      </w:r>
      <w:r w:rsidR="00912147" w:rsidRPr="009E2903">
        <w:rPr>
          <w:rFonts w:ascii="Times New Roman" w:hAnsi="Times New Roman" w:cs="Times New Roman"/>
          <w:sz w:val="24"/>
          <w:szCs w:val="24"/>
        </w:rPr>
        <w:t>,</w:t>
      </w:r>
      <w:r w:rsidR="009E2903" w:rsidRPr="009E2903">
        <w:rPr>
          <w:rFonts w:ascii="Times New Roman" w:hAnsi="Times New Roman" w:cs="Times New Roman"/>
          <w:sz w:val="24"/>
          <w:szCs w:val="24"/>
        </w:rPr>
        <w:t>5</w:t>
      </w:r>
      <w:r w:rsidR="00912147" w:rsidRPr="009E2903">
        <w:rPr>
          <w:rFonts w:ascii="Times New Roman" w:hAnsi="Times New Roman" w:cs="Times New Roman"/>
          <w:sz w:val="24"/>
          <w:szCs w:val="24"/>
        </w:rPr>
        <w:t xml:space="preserve"> bezrobotnego na 1 wolne miejsce pracy i miejsce aktywizacji zawodowej), </w:t>
      </w:r>
      <w:r w:rsidR="009E2903" w:rsidRPr="009E2903">
        <w:rPr>
          <w:rFonts w:ascii="Times New Roman" w:hAnsi="Times New Roman" w:cs="Times New Roman"/>
          <w:sz w:val="24"/>
          <w:szCs w:val="24"/>
        </w:rPr>
        <w:t xml:space="preserve">dębicki (10,4), </w:t>
      </w:r>
      <w:r w:rsidR="00912147" w:rsidRPr="009E2903">
        <w:rPr>
          <w:rFonts w:ascii="Times New Roman" w:hAnsi="Times New Roman" w:cs="Times New Roman"/>
          <w:sz w:val="24"/>
          <w:szCs w:val="24"/>
        </w:rPr>
        <w:t>m. Krosno (</w:t>
      </w:r>
      <w:r w:rsidR="009E2903" w:rsidRPr="009E2903">
        <w:rPr>
          <w:rFonts w:ascii="Times New Roman" w:hAnsi="Times New Roman" w:cs="Times New Roman"/>
          <w:sz w:val="24"/>
          <w:szCs w:val="24"/>
        </w:rPr>
        <w:t>11</w:t>
      </w:r>
      <w:r w:rsidR="00912147" w:rsidRPr="009E2903">
        <w:rPr>
          <w:rFonts w:ascii="Times New Roman" w:hAnsi="Times New Roman" w:cs="Times New Roman"/>
          <w:sz w:val="24"/>
          <w:szCs w:val="24"/>
        </w:rPr>
        <w:t>,</w:t>
      </w:r>
      <w:r w:rsidR="009E2903" w:rsidRPr="009E2903">
        <w:rPr>
          <w:rFonts w:ascii="Times New Roman" w:hAnsi="Times New Roman" w:cs="Times New Roman"/>
          <w:sz w:val="24"/>
          <w:szCs w:val="24"/>
        </w:rPr>
        <w:t>5</w:t>
      </w:r>
      <w:r w:rsidR="00912147" w:rsidRPr="009E2903">
        <w:rPr>
          <w:rFonts w:ascii="Times New Roman" w:hAnsi="Times New Roman" w:cs="Times New Roman"/>
          <w:sz w:val="24"/>
          <w:szCs w:val="24"/>
        </w:rPr>
        <w:t xml:space="preserve">) </w:t>
      </w:r>
      <w:r w:rsidR="009E2903">
        <w:rPr>
          <w:rFonts w:ascii="Times New Roman" w:hAnsi="Times New Roman" w:cs="Times New Roman"/>
          <w:sz w:val="24"/>
          <w:szCs w:val="24"/>
        </w:rPr>
        <w:t>i</w:t>
      </w:r>
      <w:r w:rsidR="00912147" w:rsidRPr="009E2903">
        <w:rPr>
          <w:rFonts w:ascii="Times New Roman" w:hAnsi="Times New Roman" w:cs="Times New Roman"/>
          <w:sz w:val="24"/>
          <w:szCs w:val="24"/>
        </w:rPr>
        <w:t xml:space="preserve"> m. Rzeszów (</w:t>
      </w:r>
      <w:r w:rsidR="009E2903" w:rsidRPr="009E2903">
        <w:rPr>
          <w:rFonts w:ascii="Times New Roman" w:hAnsi="Times New Roman" w:cs="Times New Roman"/>
          <w:sz w:val="24"/>
          <w:szCs w:val="24"/>
        </w:rPr>
        <w:t>12</w:t>
      </w:r>
      <w:r w:rsidR="00912147" w:rsidRPr="009E2903">
        <w:rPr>
          <w:rFonts w:ascii="Times New Roman" w:hAnsi="Times New Roman" w:cs="Times New Roman"/>
          <w:sz w:val="24"/>
          <w:szCs w:val="24"/>
        </w:rPr>
        <w:t>,</w:t>
      </w:r>
      <w:r w:rsidR="009E2903" w:rsidRPr="009E2903">
        <w:rPr>
          <w:rFonts w:ascii="Times New Roman" w:hAnsi="Times New Roman" w:cs="Times New Roman"/>
          <w:sz w:val="24"/>
          <w:szCs w:val="24"/>
        </w:rPr>
        <w:t>0</w:t>
      </w:r>
      <w:r w:rsidR="00912147" w:rsidRPr="009E2903">
        <w:rPr>
          <w:rFonts w:ascii="Times New Roman" w:hAnsi="Times New Roman" w:cs="Times New Roman"/>
          <w:sz w:val="24"/>
          <w:szCs w:val="24"/>
        </w:rPr>
        <w:t>).</w:t>
      </w:r>
    </w:p>
    <w:p w:rsidR="006838F8" w:rsidRDefault="006838F8" w:rsidP="00C578C6">
      <w:pPr>
        <w:pStyle w:val="Bezodstpw"/>
        <w:jc w:val="both"/>
        <w:rPr>
          <w:rFonts w:ascii="Times New Roman" w:hAnsi="Times New Roman" w:cs="Times New Roman"/>
          <w:sz w:val="16"/>
          <w:szCs w:val="16"/>
          <w:highlight w:val="yellow"/>
        </w:rPr>
      </w:pPr>
    </w:p>
    <w:p w:rsidR="007B6C6E" w:rsidRDefault="0089613F" w:rsidP="007B6C6E">
      <w:pPr>
        <w:pStyle w:val="Bezodstpw"/>
        <w:jc w:val="both"/>
        <w:rPr>
          <w:rFonts w:ascii="Times New Roman" w:hAnsi="Times New Roman" w:cs="Times New Roman"/>
          <w:sz w:val="16"/>
          <w:szCs w:val="16"/>
          <w:highlight w:val="yellow"/>
        </w:rPr>
      </w:pPr>
      <w:r w:rsidRPr="0089613F">
        <w:rPr>
          <w:noProof/>
          <w:lang w:eastAsia="pl-PL"/>
        </w:rPr>
        <w:lastRenderedPageBreak/>
        <w:drawing>
          <wp:inline distT="0" distB="0" distL="0" distR="0" wp14:anchorId="3419BA5D" wp14:editId="5A0F4D63">
            <wp:extent cx="5757062" cy="1133856"/>
            <wp:effectExtent l="0" t="0" r="0" b="9525"/>
            <wp:docPr id="719" name="Obraz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86262" cy="1139607"/>
                    </a:xfrm>
                    <a:prstGeom prst="rect">
                      <a:avLst/>
                    </a:prstGeom>
                    <a:noFill/>
                    <a:ln>
                      <a:noFill/>
                    </a:ln>
                  </pic:spPr>
                </pic:pic>
              </a:graphicData>
            </a:graphic>
          </wp:inline>
        </w:drawing>
      </w:r>
      <w:r w:rsidR="00591550" w:rsidRPr="00591550">
        <w:rPr>
          <w:noProof/>
          <w:lang w:eastAsia="pl-PL"/>
        </w:rPr>
        <w:drawing>
          <wp:inline distT="0" distB="0" distL="0" distR="0" wp14:anchorId="1818B35F" wp14:editId="06A60647">
            <wp:extent cx="5756524" cy="7593177"/>
            <wp:effectExtent l="0" t="0" r="0" b="8255"/>
            <wp:docPr id="721" name="Obraz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57748" cy="7594792"/>
                    </a:xfrm>
                    <a:prstGeom prst="rect">
                      <a:avLst/>
                    </a:prstGeom>
                    <a:noFill/>
                    <a:ln>
                      <a:noFill/>
                    </a:ln>
                  </pic:spPr>
                </pic:pic>
              </a:graphicData>
            </a:graphic>
          </wp:inline>
        </w:drawing>
      </w:r>
    </w:p>
    <w:p w:rsidR="00926A24" w:rsidRDefault="00926A24">
      <w:pPr>
        <w:rPr>
          <w:rFonts w:ascii="Times New Roman" w:hAnsi="Times New Roman" w:cs="Times New Roman"/>
          <w:sz w:val="16"/>
          <w:szCs w:val="16"/>
          <w:highlight w:val="yellow"/>
        </w:rPr>
      </w:pPr>
      <w:r>
        <w:rPr>
          <w:rFonts w:ascii="Times New Roman" w:hAnsi="Times New Roman" w:cs="Times New Roman"/>
          <w:sz w:val="16"/>
          <w:szCs w:val="16"/>
          <w:highlight w:val="yellow"/>
        </w:rPr>
        <w:br w:type="page"/>
      </w:r>
    </w:p>
    <w:p w:rsidR="00AC4ECD" w:rsidRPr="00591550" w:rsidRDefault="003775BD" w:rsidP="00D2627B">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91550">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lastRenderedPageBreak/>
        <w:t>Wnioski</w:t>
      </w:r>
    </w:p>
    <w:p w:rsidR="00AC4ECD" w:rsidRPr="00591550" w:rsidRDefault="00AC4ECD" w:rsidP="00D2627B">
      <w:pPr>
        <w:pStyle w:val="Tekstpodstawowywcity"/>
        <w:pBdr>
          <w:bottom w:val="single" w:sz="4" w:space="1" w:color="auto"/>
        </w:pBdr>
        <w:spacing w:after="0" w:line="360" w:lineRule="auto"/>
        <w:ind w:left="0"/>
        <w:jc w:val="both"/>
        <w:rPr>
          <w:rFonts w:ascii="Times New Roman" w:hAnsi="Times New Roman" w:cs="Times New Roman"/>
          <w:sz w:val="16"/>
          <w:szCs w:val="16"/>
        </w:rPr>
      </w:pPr>
      <w:r w:rsidRPr="00591550">
        <w:rPr>
          <w:rFonts w:ascii="Times New Roman" w:hAnsi="Times New Roman" w:cs="Times New Roman"/>
          <w:sz w:val="16"/>
          <w:szCs w:val="16"/>
        </w:rPr>
        <w:t>(na podstawie danych</w:t>
      </w:r>
      <w:r w:rsidR="00AE5712" w:rsidRPr="00591550">
        <w:rPr>
          <w:rFonts w:ascii="Times New Roman" w:hAnsi="Times New Roman" w:cs="Times New Roman"/>
          <w:sz w:val="16"/>
          <w:szCs w:val="16"/>
        </w:rPr>
        <w:t xml:space="preserve"> z </w:t>
      </w:r>
      <w:r w:rsidRPr="00591550">
        <w:rPr>
          <w:rFonts w:ascii="Times New Roman" w:hAnsi="Times New Roman" w:cs="Times New Roman"/>
          <w:sz w:val="16"/>
          <w:szCs w:val="16"/>
        </w:rPr>
        <w:t xml:space="preserve">Tabeli </w:t>
      </w:r>
      <w:r w:rsidR="00BC5E80" w:rsidRPr="00591550">
        <w:rPr>
          <w:rFonts w:ascii="Times New Roman" w:hAnsi="Times New Roman" w:cs="Times New Roman"/>
          <w:sz w:val="16"/>
          <w:szCs w:val="16"/>
        </w:rPr>
        <w:t>XX</w:t>
      </w:r>
      <w:r w:rsidR="00591550" w:rsidRPr="00591550">
        <w:rPr>
          <w:rFonts w:ascii="Times New Roman" w:hAnsi="Times New Roman" w:cs="Times New Roman"/>
          <w:sz w:val="16"/>
          <w:szCs w:val="16"/>
        </w:rPr>
        <w:t>II</w:t>
      </w:r>
      <w:r w:rsidR="003775BD" w:rsidRPr="00591550">
        <w:rPr>
          <w:rFonts w:ascii="Times New Roman" w:hAnsi="Times New Roman" w:cs="Times New Roman"/>
          <w:sz w:val="16"/>
          <w:szCs w:val="16"/>
        </w:rPr>
        <w:t>)</w:t>
      </w:r>
    </w:p>
    <w:p w:rsidR="00F95E99" w:rsidRPr="00D62B23" w:rsidRDefault="00F95E99" w:rsidP="00C578C6">
      <w:pPr>
        <w:pStyle w:val="Bezodstpw"/>
        <w:jc w:val="both"/>
        <w:rPr>
          <w:rFonts w:ascii="Times New Roman" w:hAnsi="Times New Roman" w:cs="Times New Roman"/>
          <w:sz w:val="16"/>
          <w:szCs w:val="16"/>
          <w:highlight w:val="yellow"/>
        </w:rPr>
      </w:pPr>
    </w:p>
    <w:p w:rsidR="007B6C6E" w:rsidRPr="00D62B23" w:rsidRDefault="007B6C6E" w:rsidP="00C578C6">
      <w:pPr>
        <w:pStyle w:val="Bezodstpw"/>
        <w:jc w:val="both"/>
        <w:rPr>
          <w:rFonts w:ascii="Times New Roman" w:hAnsi="Times New Roman" w:cs="Times New Roman"/>
          <w:sz w:val="16"/>
          <w:szCs w:val="16"/>
          <w:highlight w:val="yellow"/>
        </w:rPr>
      </w:pPr>
    </w:p>
    <w:p w:rsidR="004E736C" w:rsidRPr="00FB1599" w:rsidRDefault="00AC4ECD" w:rsidP="004E736C">
      <w:pPr>
        <w:pStyle w:val="Bezodstpw"/>
        <w:numPr>
          <w:ilvl w:val="0"/>
          <w:numId w:val="10"/>
        </w:numPr>
        <w:spacing w:line="360" w:lineRule="auto"/>
        <w:jc w:val="both"/>
        <w:rPr>
          <w:rFonts w:ascii="Times New Roman" w:hAnsi="Times New Roman" w:cs="Times New Roman"/>
          <w:sz w:val="24"/>
          <w:szCs w:val="24"/>
        </w:rPr>
      </w:pPr>
      <w:r w:rsidRPr="00FB1599">
        <w:rPr>
          <w:rFonts w:ascii="Times New Roman" w:hAnsi="Times New Roman" w:cs="Times New Roman"/>
          <w:sz w:val="24"/>
          <w:szCs w:val="24"/>
        </w:rPr>
        <w:t>Wolne miejsca pracy</w:t>
      </w:r>
      <w:r w:rsidR="003B23E0" w:rsidRPr="00FB1599">
        <w:rPr>
          <w:rFonts w:ascii="Times New Roman" w:hAnsi="Times New Roman" w:cs="Times New Roman"/>
          <w:sz w:val="24"/>
          <w:szCs w:val="24"/>
        </w:rPr>
        <w:t xml:space="preserve"> </w:t>
      </w:r>
      <w:r w:rsidR="00AE5712" w:rsidRPr="00FB1599">
        <w:rPr>
          <w:rFonts w:ascii="Times New Roman" w:hAnsi="Times New Roman" w:cs="Times New Roman"/>
          <w:sz w:val="24"/>
          <w:szCs w:val="24"/>
        </w:rPr>
        <w:t>i</w:t>
      </w:r>
      <w:r w:rsidR="003B23E0" w:rsidRPr="00FB1599">
        <w:rPr>
          <w:rFonts w:ascii="Times New Roman" w:hAnsi="Times New Roman" w:cs="Times New Roman"/>
          <w:sz w:val="24"/>
          <w:szCs w:val="24"/>
        </w:rPr>
        <w:t xml:space="preserve"> </w:t>
      </w:r>
      <w:r w:rsidRPr="00FB1599">
        <w:rPr>
          <w:rFonts w:ascii="Times New Roman" w:hAnsi="Times New Roman" w:cs="Times New Roman"/>
          <w:sz w:val="24"/>
          <w:szCs w:val="24"/>
        </w:rPr>
        <w:t>miejsca aktywizacji zawodowej adresowane były najczęściej do osób bezrobotnych</w:t>
      </w:r>
      <w:r w:rsidR="009426A0" w:rsidRPr="00FB1599">
        <w:rPr>
          <w:rFonts w:ascii="Times New Roman" w:hAnsi="Times New Roman" w:cs="Times New Roman"/>
          <w:sz w:val="24"/>
          <w:szCs w:val="24"/>
        </w:rPr>
        <w:t xml:space="preserve"> </w:t>
      </w:r>
      <w:r w:rsidR="00AE5712" w:rsidRPr="00FB1599">
        <w:rPr>
          <w:rFonts w:ascii="Times New Roman" w:hAnsi="Times New Roman" w:cs="Times New Roman"/>
          <w:sz w:val="24"/>
          <w:szCs w:val="24"/>
        </w:rPr>
        <w:t>z</w:t>
      </w:r>
      <w:r w:rsidR="009426A0" w:rsidRPr="00FB1599">
        <w:rPr>
          <w:rFonts w:ascii="Times New Roman" w:hAnsi="Times New Roman" w:cs="Times New Roman"/>
          <w:sz w:val="24"/>
          <w:szCs w:val="24"/>
        </w:rPr>
        <w:t xml:space="preserve"> </w:t>
      </w:r>
      <w:r w:rsidRPr="00FB1599">
        <w:rPr>
          <w:rFonts w:ascii="Times New Roman" w:hAnsi="Times New Roman" w:cs="Times New Roman"/>
          <w:sz w:val="24"/>
          <w:szCs w:val="24"/>
        </w:rPr>
        <w:t>następujących grup zawodów</w:t>
      </w:r>
      <w:r w:rsidR="00F0272E" w:rsidRPr="00FB1599">
        <w:rPr>
          <w:rFonts w:ascii="Times New Roman" w:hAnsi="Times New Roman" w:cs="Times New Roman"/>
          <w:sz w:val="24"/>
          <w:szCs w:val="24"/>
        </w:rPr>
        <w:t>:</w:t>
      </w:r>
      <w:r w:rsidRPr="00FB1599">
        <w:rPr>
          <w:rFonts w:ascii="Times New Roman" w:hAnsi="Times New Roman" w:cs="Times New Roman"/>
          <w:sz w:val="24"/>
          <w:szCs w:val="24"/>
        </w:rPr>
        <w:t xml:space="preserve"> </w:t>
      </w:r>
      <w:r w:rsidR="00D74447" w:rsidRPr="00FB1599">
        <w:rPr>
          <w:rFonts w:ascii="Times New Roman" w:hAnsi="Times New Roman" w:cs="Times New Roman"/>
          <w:sz w:val="24"/>
          <w:szCs w:val="24"/>
        </w:rPr>
        <w:t>robotnicy przemysłowi i</w:t>
      </w:r>
      <w:r w:rsidR="002A6FDF" w:rsidRPr="00FB1599">
        <w:rPr>
          <w:rFonts w:ascii="Times New Roman" w:hAnsi="Times New Roman" w:cs="Times New Roman"/>
          <w:sz w:val="24"/>
          <w:szCs w:val="24"/>
        </w:rPr>
        <w:t xml:space="preserve"> </w:t>
      </w:r>
      <w:r w:rsidR="00D74447" w:rsidRPr="00FB1599">
        <w:rPr>
          <w:rFonts w:ascii="Times New Roman" w:hAnsi="Times New Roman" w:cs="Times New Roman"/>
          <w:sz w:val="24"/>
          <w:szCs w:val="24"/>
        </w:rPr>
        <w:t xml:space="preserve">rzemieślnicy – </w:t>
      </w:r>
      <w:r w:rsidR="00C551C8" w:rsidRPr="00FB1599">
        <w:rPr>
          <w:rFonts w:ascii="Times New Roman" w:hAnsi="Times New Roman" w:cs="Times New Roman"/>
          <w:sz w:val="24"/>
          <w:szCs w:val="24"/>
        </w:rPr>
        <w:t>6427</w:t>
      </w:r>
      <w:r w:rsidR="00D74447" w:rsidRPr="00FB1599">
        <w:rPr>
          <w:rFonts w:ascii="Times New Roman" w:hAnsi="Times New Roman" w:cs="Times New Roman"/>
          <w:sz w:val="24"/>
          <w:szCs w:val="24"/>
        </w:rPr>
        <w:t xml:space="preserve"> (2</w:t>
      </w:r>
      <w:r w:rsidR="00C551C8" w:rsidRPr="00FB1599">
        <w:rPr>
          <w:rFonts w:ascii="Times New Roman" w:hAnsi="Times New Roman" w:cs="Times New Roman"/>
          <w:sz w:val="24"/>
          <w:szCs w:val="24"/>
        </w:rPr>
        <w:t>5</w:t>
      </w:r>
      <w:r w:rsidR="00D74447" w:rsidRPr="00FB1599">
        <w:rPr>
          <w:rFonts w:ascii="Times New Roman" w:hAnsi="Times New Roman" w:cs="Times New Roman"/>
          <w:sz w:val="24"/>
          <w:szCs w:val="24"/>
        </w:rPr>
        <w:t>,</w:t>
      </w:r>
      <w:r w:rsidR="00C551C8" w:rsidRPr="00FB1599">
        <w:rPr>
          <w:rFonts w:ascii="Times New Roman" w:hAnsi="Times New Roman" w:cs="Times New Roman"/>
          <w:sz w:val="24"/>
          <w:szCs w:val="24"/>
        </w:rPr>
        <w:t>9</w:t>
      </w:r>
      <w:r w:rsidR="00640239">
        <w:rPr>
          <w:rFonts w:ascii="Times New Roman" w:hAnsi="Times New Roman" w:cs="Times New Roman"/>
          <w:sz w:val="24"/>
          <w:szCs w:val="24"/>
        </w:rPr>
        <w:t xml:space="preserve"> proc.</w:t>
      </w:r>
      <w:r w:rsidR="00D74447" w:rsidRPr="00FB1599">
        <w:rPr>
          <w:rFonts w:ascii="Times New Roman" w:hAnsi="Times New Roman" w:cs="Times New Roman"/>
          <w:sz w:val="24"/>
          <w:szCs w:val="24"/>
        </w:rPr>
        <w:t xml:space="preserve"> ogółu zgłoszonych do PUP ofert pracy), pracownicy usług</w:t>
      </w:r>
      <w:r w:rsidR="00640239">
        <w:rPr>
          <w:rFonts w:ascii="Times New Roman" w:hAnsi="Times New Roman" w:cs="Times New Roman"/>
          <w:sz w:val="24"/>
          <w:szCs w:val="24"/>
        </w:rPr>
        <w:t xml:space="preserve"> </w:t>
      </w:r>
      <w:r w:rsidR="00D74447" w:rsidRPr="00FB1599">
        <w:rPr>
          <w:rFonts w:ascii="Times New Roman" w:hAnsi="Times New Roman" w:cs="Times New Roman"/>
          <w:sz w:val="24"/>
          <w:szCs w:val="24"/>
        </w:rPr>
        <w:t>i</w:t>
      </w:r>
      <w:r w:rsidR="00640239">
        <w:rPr>
          <w:rFonts w:ascii="Times New Roman" w:hAnsi="Times New Roman" w:cs="Times New Roman"/>
          <w:sz w:val="24"/>
          <w:szCs w:val="24"/>
        </w:rPr>
        <w:t> </w:t>
      </w:r>
      <w:r w:rsidR="00D74447" w:rsidRPr="00FB1599">
        <w:rPr>
          <w:rFonts w:ascii="Times New Roman" w:hAnsi="Times New Roman" w:cs="Times New Roman"/>
          <w:sz w:val="24"/>
          <w:szCs w:val="24"/>
        </w:rPr>
        <w:t xml:space="preserve"> sprzedawcy </w:t>
      </w:r>
      <w:r w:rsidRPr="00FB1599">
        <w:rPr>
          <w:rFonts w:ascii="Times New Roman" w:hAnsi="Times New Roman" w:cs="Times New Roman"/>
          <w:sz w:val="24"/>
          <w:szCs w:val="24"/>
        </w:rPr>
        <w:t xml:space="preserve">– </w:t>
      </w:r>
      <w:r w:rsidR="00FB1599" w:rsidRPr="00FB1599">
        <w:rPr>
          <w:rFonts w:ascii="Times New Roman" w:hAnsi="Times New Roman" w:cs="Times New Roman"/>
          <w:sz w:val="24"/>
          <w:szCs w:val="24"/>
        </w:rPr>
        <w:t>4778</w:t>
      </w:r>
      <w:r w:rsidRPr="00FB1599">
        <w:rPr>
          <w:rFonts w:ascii="Times New Roman" w:hAnsi="Times New Roman" w:cs="Times New Roman"/>
          <w:sz w:val="24"/>
          <w:szCs w:val="24"/>
        </w:rPr>
        <w:t xml:space="preserve"> (</w:t>
      </w:r>
      <w:r w:rsidR="00FB1599" w:rsidRPr="00FB1599">
        <w:rPr>
          <w:rFonts w:ascii="Times New Roman" w:hAnsi="Times New Roman" w:cs="Times New Roman"/>
          <w:sz w:val="24"/>
          <w:szCs w:val="24"/>
        </w:rPr>
        <w:t>19</w:t>
      </w:r>
      <w:r w:rsidRPr="00FB1599">
        <w:rPr>
          <w:rFonts w:ascii="Times New Roman" w:hAnsi="Times New Roman" w:cs="Times New Roman"/>
          <w:sz w:val="24"/>
          <w:szCs w:val="24"/>
        </w:rPr>
        <w:t>,</w:t>
      </w:r>
      <w:r w:rsidR="00FB1599" w:rsidRPr="00FB1599">
        <w:rPr>
          <w:rFonts w:ascii="Times New Roman" w:hAnsi="Times New Roman" w:cs="Times New Roman"/>
          <w:sz w:val="24"/>
          <w:szCs w:val="24"/>
        </w:rPr>
        <w:t>2</w:t>
      </w:r>
      <w:r w:rsidR="00640239">
        <w:rPr>
          <w:rFonts w:ascii="Times New Roman" w:hAnsi="Times New Roman" w:cs="Times New Roman"/>
          <w:sz w:val="24"/>
          <w:szCs w:val="24"/>
        </w:rPr>
        <w:t xml:space="preserve"> proc.</w:t>
      </w:r>
      <w:r w:rsidRPr="00FB1599">
        <w:rPr>
          <w:rFonts w:ascii="Times New Roman" w:hAnsi="Times New Roman" w:cs="Times New Roman"/>
          <w:sz w:val="24"/>
          <w:szCs w:val="24"/>
        </w:rPr>
        <w:t>),</w:t>
      </w:r>
      <w:r w:rsidR="00ED4A4B" w:rsidRPr="00FB1599">
        <w:rPr>
          <w:rFonts w:ascii="Times New Roman" w:hAnsi="Times New Roman" w:cs="Times New Roman"/>
          <w:sz w:val="24"/>
          <w:szCs w:val="24"/>
        </w:rPr>
        <w:t xml:space="preserve"> </w:t>
      </w:r>
      <w:r w:rsidR="009426A0" w:rsidRPr="00FB1599">
        <w:rPr>
          <w:rFonts w:ascii="Times New Roman" w:hAnsi="Times New Roman" w:cs="Times New Roman"/>
          <w:sz w:val="24"/>
          <w:szCs w:val="24"/>
        </w:rPr>
        <w:t xml:space="preserve">pracownicy przy pracach prostych </w:t>
      </w:r>
      <w:r w:rsidRPr="00FB1599">
        <w:rPr>
          <w:rFonts w:ascii="Times New Roman" w:hAnsi="Times New Roman" w:cs="Times New Roman"/>
          <w:sz w:val="24"/>
          <w:szCs w:val="24"/>
        </w:rPr>
        <w:t>–</w:t>
      </w:r>
      <w:r w:rsidR="009426A0" w:rsidRPr="00FB1599">
        <w:rPr>
          <w:rFonts w:ascii="Times New Roman" w:hAnsi="Times New Roman" w:cs="Times New Roman"/>
          <w:sz w:val="24"/>
          <w:szCs w:val="24"/>
        </w:rPr>
        <w:t xml:space="preserve"> </w:t>
      </w:r>
      <w:r w:rsidR="0014339B" w:rsidRPr="00FB1599">
        <w:rPr>
          <w:rFonts w:ascii="Times New Roman" w:hAnsi="Times New Roman" w:cs="Times New Roman"/>
          <w:sz w:val="24"/>
          <w:szCs w:val="24"/>
        </w:rPr>
        <w:t>3</w:t>
      </w:r>
      <w:r w:rsidR="00FB1599" w:rsidRPr="00FB1599">
        <w:rPr>
          <w:rFonts w:ascii="Times New Roman" w:hAnsi="Times New Roman" w:cs="Times New Roman"/>
          <w:sz w:val="24"/>
          <w:szCs w:val="24"/>
        </w:rPr>
        <w:t>409</w:t>
      </w:r>
      <w:r w:rsidRPr="00FB1599">
        <w:rPr>
          <w:rFonts w:ascii="Times New Roman" w:hAnsi="Times New Roman" w:cs="Times New Roman"/>
          <w:sz w:val="24"/>
          <w:szCs w:val="24"/>
        </w:rPr>
        <w:t xml:space="preserve"> (</w:t>
      </w:r>
      <w:r w:rsidR="00FB1599" w:rsidRPr="00FB1599">
        <w:rPr>
          <w:rFonts w:ascii="Times New Roman" w:hAnsi="Times New Roman" w:cs="Times New Roman"/>
          <w:sz w:val="24"/>
          <w:szCs w:val="24"/>
        </w:rPr>
        <w:t>13</w:t>
      </w:r>
      <w:r w:rsidR="0014339B" w:rsidRPr="00FB1599">
        <w:rPr>
          <w:rFonts w:ascii="Times New Roman" w:hAnsi="Times New Roman" w:cs="Times New Roman"/>
          <w:sz w:val="24"/>
          <w:szCs w:val="24"/>
        </w:rPr>
        <w:t>,</w:t>
      </w:r>
      <w:r w:rsidR="00FB1599" w:rsidRPr="00FB1599">
        <w:rPr>
          <w:rFonts w:ascii="Times New Roman" w:hAnsi="Times New Roman" w:cs="Times New Roman"/>
          <w:sz w:val="24"/>
          <w:szCs w:val="24"/>
        </w:rPr>
        <w:t>7</w:t>
      </w:r>
      <w:r w:rsidR="00640239">
        <w:rPr>
          <w:rFonts w:ascii="Times New Roman" w:hAnsi="Times New Roman" w:cs="Times New Roman"/>
          <w:sz w:val="24"/>
          <w:szCs w:val="24"/>
        </w:rPr>
        <w:t xml:space="preserve"> proc.</w:t>
      </w:r>
      <w:r w:rsidRPr="00FB1599">
        <w:rPr>
          <w:rFonts w:ascii="Times New Roman" w:hAnsi="Times New Roman" w:cs="Times New Roman"/>
          <w:sz w:val="24"/>
          <w:szCs w:val="24"/>
        </w:rPr>
        <w:t xml:space="preserve">), </w:t>
      </w:r>
      <w:r w:rsidR="002D6A99" w:rsidRPr="00FB1599">
        <w:rPr>
          <w:rFonts w:ascii="Times New Roman" w:hAnsi="Times New Roman" w:cs="Times New Roman"/>
          <w:sz w:val="24"/>
          <w:szCs w:val="24"/>
        </w:rPr>
        <w:t xml:space="preserve">pracownicy biurowi – </w:t>
      </w:r>
      <w:r w:rsidR="00FB1599" w:rsidRPr="00FB1599">
        <w:rPr>
          <w:rFonts w:ascii="Times New Roman" w:hAnsi="Times New Roman" w:cs="Times New Roman"/>
          <w:sz w:val="24"/>
          <w:szCs w:val="24"/>
        </w:rPr>
        <w:t>3264</w:t>
      </w:r>
      <w:r w:rsidR="002D6A99" w:rsidRPr="00FB1599">
        <w:rPr>
          <w:rFonts w:ascii="Times New Roman" w:hAnsi="Times New Roman" w:cs="Times New Roman"/>
          <w:sz w:val="24"/>
          <w:szCs w:val="24"/>
        </w:rPr>
        <w:t xml:space="preserve"> (1</w:t>
      </w:r>
      <w:r w:rsidR="0014339B" w:rsidRPr="00FB1599">
        <w:rPr>
          <w:rFonts w:ascii="Times New Roman" w:hAnsi="Times New Roman" w:cs="Times New Roman"/>
          <w:sz w:val="24"/>
          <w:szCs w:val="24"/>
        </w:rPr>
        <w:t>3</w:t>
      </w:r>
      <w:r w:rsidR="002D6A99" w:rsidRPr="00FB1599">
        <w:rPr>
          <w:rFonts w:ascii="Times New Roman" w:hAnsi="Times New Roman" w:cs="Times New Roman"/>
          <w:sz w:val="24"/>
          <w:szCs w:val="24"/>
        </w:rPr>
        <w:t>,</w:t>
      </w:r>
      <w:r w:rsidR="00FB1599" w:rsidRPr="00FB1599">
        <w:rPr>
          <w:rFonts w:ascii="Times New Roman" w:hAnsi="Times New Roman" w:cs="Times New Roman"/>
          <w:sz w:val="24"/>
          <w:szCs w:val="24"/>
        </w:rPr>
        <w:t>1</w:t>
      </w:r>
      <w:r w:rsidR="00640239">
        <w:rPr>
          <w:rFonts w:ascii="Times New Roman" w:hAnsi="Times New Roman" w:cs="Times New Roman"/>
          <w:sz w:val="24"/>
          <w:szCs w:val="24"/>
        </w:rPr>
        <w:t xml:space="preserve"> proc.</w:t>
      </w:r>
      <w:r w:rsidR="002D6A99" w:rsidRPr="00FB1599">
        <w:rPr>
          <w:rFonts w:ascii="Times New Roman" w:hAnsi="Times New Roman" w:cs="Times New Roman"/>
          <w:sz w:val="24"/>
          <w:szCs w:val="24"/>
        </w:rPr>
        <w:t xml:space="preserve">), </w:t>
      </w:r>
      <w:r w:rsidR="00FB1599" w:rsidRPr="00FB1599">
        <w:rPr>
          <w:rFonts w:ascii="Times New Roman" w:hAnsi="Times New Roman" w:cs="Times New Roman"/>
          <w:sz w:val="24"/>
          <w:szCs w:val="24"/>
        </w:rPr>
        <w:t xml:space="preserve">operatorzy i monterzy maszyn i urządzeń </w:t>
      </w:r>
      <w:r w:rsidR="00FA0C9C" w:rsidRPr="00FB1599">
        <w:rPr>
          <w:rFonts w:ascii="Times New Roman" w:hAnsi="Times New Roman" w:cs="Times New Roman"/>
          <w:sz w:val="24"/>
          <w:szCs w:val="24"/>
        </w:rPr>
        <w:t xml:space="preserve">– </w:t>
      </w:r>
      <w:r w:rsidR="00FB1599" w:rsidRPr="00FB1599">
        <w:rPr>
          <w:rFonts w:ascii="Times New Roman" w:hAnsi="Times New Roman" w:cs="Times New Roman"/>
          <w:sz w:val="24"/>
          <w:szCs w:val="24"/>
        </w:rPr>
        <w:t>2822</w:t>
      </w:r>
      <w:r w:rsidR="00FA0C9C" w:rsidRPr="00FB1599">
        <w:rPr>
          <w:rFonts w:ascii="Times New Roman" w:hAnsi="Times New Roman" w:cs="Times New Roman"/>
          <w:sz w:val="24"/>
          <w:szCs w:val="24"/>
        </w:rPr>
        <w:t xml:space="preserve"> (</w:t>
      </w:r>
      <w:r w:rsidR="002D6A99" w:rsidRPr="00FB1599">
        <w:rPr>
          <w:rFonts w:ascii="Times New Roman" w:hAnsi="Times New Roman" w:cs="Times New Roman"/>
          <w:sz w:val="24"/>
          <w:szCs w:val="24"/>
        </w:rPr>
        <w:t>1</w:t>
      </w:r>
      <w:r w:rsidR="00FB1599" w:rsidRPr="00FB1599">
        <w:rPr>
          <w:rFonts w:ascii="Times New Roman" w:hAnsi="Times New Roman" w:cs="Times New Roman"/>
          <w:sz w:val="24"/>
          <w:szCs w:val="24"/>
        </w:rPr>
        <w:t>1</w:t>
      </w:r>
      <w:r w:rsidR="00FA0C9C" w:rsidRPr="00FB1599">
        <w:rPr>
          <w:rFonts w:ascii="Times New Roman" w:hAnsi="Times New Roman" w:cs="Times New Roman"/>
          <w:sz w:val="24"/>
          <w:szCs w:val="24"/>
        </w:rPr>
        <w:t>,</w:t>
      </w:r>
      <w:r w:rsidR="00FB1599" w:rsidRPr="00FB1599">
        <w:rPr>
          <w:rFonts w:ascii="Times New Roman" w:hAnsi="Times New Roman" w:cs="Times New Roman"/>
          <w:sz w:val="24"/>
          <w:szCs w:val="24"/>
        </w:rPr>
        <w:t>4</w:t>
      </w:r>
      <w:r w:rsidR="00640239">
        <w:rPr>
          <w:rFonts w:ascii="Times New Roman" w:hAnsi="Times New Roman" w:cs="Times New Roman"/>
          <w:sz w:val="24"/>
          <w:szCs w:val="24"/>
        </w:rPr>
        <w:t xml:space="preserve"> proc.</w:t>
      </w:r>
      <w:r w:rsidR="00FA0C9C" w:rsidRPr="00FB1599">
        <w:rPr>
          <w:rFonts w:ascii="Times New Roman" w:hAnsi="Times New Roman" w:cs="Times New Roman"/>
          <w:sz w:val="24"/>
          <w:szCs w:val="24"/>
        </w:rPr>
        <w:t>)</w:t>
      </w:r>
      <w:r w:rsidR="00FB1599" w:rsidRPr="00FB1599">
        <w:rPr>
          <w:rFonts w:ascii="Times New Roman" w:hAnsi="Times New Roman" w:cs="Times New Roman"/>
          <w:sz w:val="24"/>
          <w:szCs w:val="24"/>
        </w:rPr>
        <w:t xml:space="preserve">, technicy i inny średni personel – </w:t>
      </w:r>
      <w:r w:rsidRPr="00FB1599">
        <w:rPr>
          <w:rFonts w:ascii="Times New Roman" w:hAnsi="Times New Roman" w:cs="Times New Roman"/>
          <w:sz w:val="24"/>
          <w:szCs w:val="24"/>
        </w:rPr>
        <w:t xml:space="preserve"> </w:t>
      </w:r>
      <w:r w:rsidR="00FB1599" w:rsidRPr="00FB1599">
        <w:rPr>
          <w:rFonts w:ascii="Times New Roman" w:hAnsi="Times New Roman" w:cs="Times New Roman"/>
          <w:sz w:val="24"/>
          <w:szCs w:val="24"/>
        </w:rPr>
        <w:t>2150 (8,7</w:t>
      </w:r>
      <w:r w:rsidR="00640239">
        <w:rPr>
          <w:rFonts w:ascii="Times New Roman" w:hAnsi="Times New Roman" w:cs="Times New Roman"/>
          <w:sz w:val="24"/>
          <w:szCs w:val="24"/>
        </w:rPr>
        <w:t xml:space="preserve"> proc.</w:t>
      </w:r>
      <w:r w:rsidR="00FB1599" w:rsidRPr="00FB1599">
        <w:rPr>
          <w:rFonts w:ascii="Times New Roman" w:hAnsi="Times New Roman" w:cs="Times New Roman"/>
          <w:sz w:val="24"/>
          <w:szCs w:val="24"/>
        </w:rPr>
        <w:t>).</w:t>
      </w:r>
    </w:p>
    <w:p w:rsidR="00591550" w:rsidRPr="00D62B23" w:rsidRDefault="00591550" w:rsidP="00591550">
      <w:pPr>
        <w:pStyle w:val="Bezodstpw"/>
        <w:jc w:val="both"/>
        <w:rPr>
          <w:rFonts w:ascii="Times New Roman" w:hAnsi="Times New Roman" w:cs="Times New Roman"/>
          <w:sz w:val="16"/>
          <w:szCs w:val="16"/>
          <w:highlight w:val="yellow"/>
        </w:rPr>
      </w:pPr>
    </w:p>
    <w:p w:rsidR="00591550" w:rsidRPr="00D62B23" w:rsidRDefault="00591550" w:rsidP="00591550">
      <w:pPr>
        <w:pStyle w:val="Bezodstpw"/>
        <w:jc w:val="both"/>
        <w:rPr>
          <w:rFonts w:ascii="Times New Roman" w:hAnsi="Times New Roman" w:cs="Times New Roman"/>
          <w:sz w:val="16"/>
          <w:szCs w:val="16"/>
          <w:highlight w:val="yellow"/>
        </w:rPr>
      </w:pPr>
    </w:p>
    <w:p w:rsidR="002648C9" w:rsidRPr="00BC2F62" w:rsidRDefault="002648C9"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1" w:name="_Toc81396074"/>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Wydatki</w:t>
      </w:r>
      <w:r w:rsidR="00AE5712"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Funduszu Pracy na aktywne</w:t>
      </w:r>
      <w:r w:rsidR="003219F9">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60C3B"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i </w:t>
      </w:r>
      <w:r w:rsidR="00EF7C43"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pasywne </w:t>
      </w:r>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formy</w:t>
      </w:r>
      <w:r w:rsidR="00FB1599">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promocji</w:t>
      </w:r>
      <w:r w:rsidR="00992E19"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zatrudnienia</w:t>
      </w:r>
      <w:bookmarkEnd w:id="21"/>
    </w:p>
    <w:p w:rsidR="00F95E99" w:rsidRPr="00D62B23" w:rsidRDefault="00F95E99" w:rsidP="004E736C">
      <w:pPr>
        <w:pStyle w:val="Default"/>
        <w:rPr>
          <w:noProof/>
          <w:sz w:val="16"/>
          <w:szCs w:val="16"/>
          <w:highlight w:val="yellow"/>
          <w:lang w:eastAsia="pl-PL"/>
        </w:rPr>
      </w:pPr>
    </w:p>
    <w:p w:rsidR="00B732A0" w:rsidRPr="00D62B23" w:rsidRDefault="00D87693" w:rsidP="004E736C">
      <w:pPr>
        <w:pStyle w:val="Default"/>
        <w:rPr>
          <w:noProof/>
          <w:sz w:val="16"/>
          <w:szCs w:val="16"/>
          <w:highlight w:val="yellow"/>
          <w:lang w:eastAsia="pl-PL"/>
        </w:rPr>
      </w:pPr>
      <w:r w:rsidRPr="00D87693">
        <w:rPr>
          <w:noProof/>
          <w:lang w:eastAsia="pl-PL"/>
        </w:rPr>
        <w:drawing>
          <wp:inline distT="0" distB="0" distL="0" distR="0" wp14:anchorId="2A4B7F33" wp14:editId="2D5BA437">
            <wp:extent cx="5757062" cy="5508346"/>
            <wp:effectExtent l="0" t="0" r="0" b="0"/>
            <wp:docPr id="722" name="Obraz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59450" cy="5510631"/>
                    </a:xfrm>
                    <a:prstGeom prst="rect">
                      <a:avLst/>
                    </a:prstGeom>
                    <a:noFill/>
                    <a:ln>
                      <a:noFill/>
                    </a:ln>
                  </pic:spPr>
                </pic:pic>
              </a:graphicData>
            </a:graphic>
          </wp:inline>
        </w:drawing>
      </w:r>
    </w:p>
    <w:p w:rsidR="00390D4C" w:rsidRPr="00D62B23" w:rsidRDefault="00390D4C">
      <w:pPr>
        <w:rPr>
          <w:rFonts w:ascii="Times New Roman" w:hAnsi="Times New Roman" w:cs="Times New Roman"/>
          <w:sz w:val="16"/>
          <w:szCs w:val="16"/>
          <w:highlight w:val="yellow"/>
        </w:rPr>
      </w:pPr>
      <w:r w:rsidRPr="00D62B23">
        <w:rPr>
          <w:rFonts w:ascii="Times New Roman" w:hAnsi="Times New Roman" w:cs="Times New Roman"/>
          <w:sz w:val="16"/>
          <w:szCs w:val="16"/>
          <w:highlight w:val="yellow"/>
        </w:rPr>
        <w:br w:type="page"/>
      </w:r>
    </w:p>
    <w:p w:rsidR="00390D4C" w:rsidRDefault="00D87693" w:rsidP="00390D4C">
      <w:pPr>
        <w:pStyle w:val="Bezodstpw"/>
        <w:jc w:val="both"/>
        <w:rPr>
          <w:rFonts w:ascii="Times New Roman" w:hAnsi="Times New Roman" w:cs="Times New Roman"/>
          <w:sz w:val="16"/>
          <w:szCs w:val="16"/>
          <w:highlight w:val="yellow"/>
        </w:rPr>
      </w:pPr>
      <w:r w:rsidRPr="00D87693">
        <w:rPr>
          <w:noProof/>
          <w:lang w:eastAsia="pl-PL"/>
        </w:rPr>
        <w:lastRenderedPageBreak/>
        <w:drawing>
          <wp:inline distT="0" distB="0" distL="0" distR="0" wp14:anchorId="2FB79FE8" wp14:editId="327E5D86">
            <wp:extent cx="5759450" cy="1516497"/>
            <wp:effectExtent l="0" t="0" r="0" b="7620"/>
            <wp:docPr id="723" name="Obraz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59450" cy="1516497"/>
                    </a:xfrm>
                    <a:prstGeom prst="rect">
                      <a:avLst/>
                    </a:prstGeom>
                    <a:noFill/>
                    <a:ln>
                      <a:noFill/>
                    </a:ln>
                  </pic:spPr>
                </pic:pic>
              </a:graphicData>
            </a:graphic>
          </wp:inline>
        </w:drawing>
      </w:r>
    </w:p>
    <w:p w:rsidR="00D87693" w:rsidRPr="00D62B23" w:rsidRDefault="00D87693" w:rsidP="00390D4C">
      <w:pPr>
        <w:pStyle w:val="Bezodstpw"/>
        <w:jc w:val="both"/>
        <w:rPr>
          <w:rFonts w:ascii="Times New Roman" w:hAnsi="Times New Roman" w:cs="Times New Roman"/>
          <w:sz w:val="16"/>
          <w:szCs w:val="16"/>
          <w:highlight w:val="yellow"/>
        </w:rPr>
      </w:pPr>
    </w:p>
    <w:p w:rsidR="00AF5B75" w:rsidRPr="00D62B23" w:rsidRDefault="00D87693" w:rsidP="00AF5B75">
      <w:pPr>
        <w:pStyle w:val="Default"/>
        <w:rPr>
          <w:sz w:val="16"/>
          <w:szCs w:val="16"/>
          <w:highlight w:val="yellow"/>
        </w:rPr>
      </w:pPr>
      <w:r w:rsidRPr="00D87693">
        <w:rPr>
          <w:noProof/>
          <w:lang w:eastAsia="pl-PL"/>
        </w:rPr>
        <w:drawing>
          <wp:inline distT="0" distB="0" distL="0" distR="0" wp14:anchorId="34D6BA24" wp14:editId="2CAFD677">
            <wp:extent cx="5759450" cy="5265008"/>
            <wp:effectExtent l="0" t="0" r="0" b="0"/>
            <wp:docPr id="724" name="Obraz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59450" cy="5265008"/>
                    </a:xfrm>
                    <a:prstGeom prst="rect">
                      <a:avLst/>
                    </a:prstGeom>
                    <a:noFill/>
                    <a:ln>
                      <a:noFill/>
                    </a:ln>
                  </pic:spPr>
                </pic:pic>
              </a:graphicData>
            </a:graphic>
          </wp:inline>
        </w:drawing>
      </w:r>
    </w:p>
    <w:p w:rsidR="00390D4C" w:rsidRPr="00D62B23" w:rsidRDefault="00390D4C" w:rsidP="00AF5B75">
      <w:pPr>
        <w:pStyle w:val="Default"/>
        <w:rPr>
          <w:sz w:val="16"/>
          <w:szCs w:val="16"/>
          <w:highlight w:val="yellow"/>
        </w:rPr>
      </w:pPr>
    </w:p>
    <w:p w:rsidR="003F048D" w:rsidRPr="00D87693" w:rsidRDefault="00DD4FBC" w:rsidP="00333DBD">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D87693">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w:t>
      </w:r>
      <w:r w:rsidR="008260E7" w:rsidRPr="00D87693">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nioski</w:t>
      </w:r>
    </w:p>
    <w:p w:rsidR="003F048D" w:rsidRPr="00D87693" w:rsidRDefault="003F048D" w:rsidP="003F048D">
      <w:pPr>
        <w:pStyle w:val="Tekstpodstawowywcity"/>
        <w:spacing w:after="0" w:line="360" w:lineRule="auto"/>
        <w:ind w:left="0"/>
        <w:jc w:val="both"/>
        <w:rPr>
          <w:rFonts w:ascii="Times New Roman" w:hAnsi="Times New Roman" w:cs="Times New Roman"/>
          <w:sz w:val="16"/>
          <w:szCs w:val="16"/>
        </w:rPr>
      </w:pPr>
      <w:r w:rsidRPr="00D87693">
        <w:rPr>
          <w:rFonts w:ascii="Times New Roman" w:hAnsi="Times New Roman" w:cs="Times New Roman"/>
          <w:sz w:val="16"/>
          <w:szCs w:val="16"/>
        </w:rPr>
        <w:t>(na podstawie danych</w:t>
      </w:r>
      <w:r w:rsidR="00AE5712" w:rsidRPr="00D87693">
        <w:rPr>
          <w:rFonts w:ascii="Times New Roman" w:hAnsi="Times New Roman" w:cs="Times New Roman"/>
          <w:sz w:val="16"/>
          <w:szCs w:val="16"/>
        </w:rPr>
        <w:t xml:space="preserve"> z </w:t>
      </w:r>
      <w:r w:rsidR="008E60D0" w:rsidRPr="00D87693">
        <w:rPr>
          <w:rFonts w:ascii="Times New Roman" w:hAnsi="Times New Roman" w:cs="Times New Roman"/>
          <w:sz w:val="16"/>
          <w:szCs w:val="16"/>
        </w:rPr>
        <w:t>t</w:t>
      </w:r>
      <w:r w:rsidRPr="00D87693">
        <w:rPr>
          <w:rFonts w:ascii="Times New Roman" w:hAnsi="Times New Roman" w:cs="Times New Roman"/>
          <w:sz w:val="16"/>
          <w:szCs w:val="16"/>
        </w:rPr>
        <w:t>abel</w:t>
      </w:r>
      <w:r w:rsidR="008E60D0" w:rsidRPr="00D87693">
        <w:rPr>
          <w:rFonts w:ascii="Times New Roman" w:hAnsi="Times New Roman" w:cs="Times New Roman"/>
          <w:sz w:val="16"/>
          <w:szCs w:val="16"/>
        </w:rPr>
        <w:t>:</w:t>
      </w:r>
      <w:r w:rsidRPr="00D87693">
        <w:rPr>
          <w:rFonts w:ascii="Times New Roman" w:hAnsi="Times New Roman" w:cs="Times New Roman"/>
          <w:sz w:val="16"/>
          <w:szCs w:val="16"/>
        </w:rPr>
        <w:t xml:space="preserve"> </w:t>
      </w:r>
      <w:r w:rsidR="00FB1599">
        <w:rPr>
          <w:rFonts w:ascii="Times New Roman" w:hAnsi="Times New Roman" w:cs="Times New Roman"/>
          <w:sz w:val="16"/>
          <w:szCs w:val="16"/>
        </w:rPr>
        <w:t xml:space="preserve">XXIII i </w:t>
      </w:r>
      <w:r w:rsidR="000177FF" w:rsidRPr="00D87693">
        <w:rPr>
          <w:rFonts w:ascii="Times New Roman" w:hAnsi="Times New Roman" w:cs="Times New Roman"/>
          <w:sz w:val="16"/>
          <w:szCs w:val="16"/>
        </w:rPr>
        <w:t>XX</w:t>
      </w:r>
      <w:r w:rsidR="00D87693">
        <w:rPr>
          <w:rFonts w:ascii="Times New Roman" w:hAnsi="Times New Roman" w:cs="Times New Roman"/>
          <w:sz w:val="16"/>
          <w:szCs w:val="16"/>
        </w:rPr>
        <w:t>I</w:t>
      </w:r>
      <w:r w:rsidR="000177FF" w:rsidRPr="00D87693">
        <w:rPr>
          <w:rFonts w:ascii="Times New Roman" w:hAnsi="Times New Roman" w:cs="Times New Roman"/>
          <w:sz w:val="16"/>
          <w:szCs w:val="16"/>
        </w:rPr>
        <w:t>V</w:t>
      </w:r>
      <w:r w:rsidRPr="00D87693">
        <w:rPr>
          <w:rFonts w:ascii="Times New Roman" w:hAnsi="Times New Roman" w:cs="Times New Roman"/>
          <w:sz w:val="16"/>
          <w:szCs w:val="16"/>
        </w:rPr>
        <w:t>)</w:t>
      </w:r>
    </w:p>
    <w:p w:rsidR="00DD4FBC" w:rsidRPr="00D62B23" w:rsidRDefault="00DD4FBC" w:rsidP="003F048D">
      <w:pPr>
        <w:pStyle w:val="Tekstpodstawowywcity"/>
        <w:spacing w:after="0" w:line="360" w:lineRule="auto"/>
        <w:ind w:left="0"/>
        <w:jc w:val="both"/>
        <w:rPr>
          <w:rFonts w:ascii="Times New Roman" w:hAnsi="Times New Roman" w:cs="Times New Roman"/>
          <w:sz w:val="16"/>
          <w:szCs w:val="16"/>
          <w:highlight w:val="yellow"/>
        </w:rPr>
      </w:pPr>
    </w:p>
    <w:p w:rsidR="00CF668F" w:rsidRPr="00FB1599" w:rsidRDefault="002648C9" w:rsidP="00160DBC">
      <w:pPr>
        <w:pStyle w:val="Bezodstpw"/>
        <w:numPr>
          <w:ilvl w:val="0"/>
          <w:numId w:val="10"/>
        </w:numPr>
        <w:spacing w:line="360" w:lineRule="auto"/>
        <w:jc w:val="both"/>
        <w:rPr>
          <w:rFonts w:ascii="Times New Roman" w:hAnsi="Times New Roman" w:cs="Times New Roman"/>
          <w:sz w:val="24"/>
          <w:szCs w:val="24"/>
        </w:rPr>
      </w:pPr>
      <w:r w:rsidRPr="00FB1599">
        <w:rPr>
          <w:rFonts w:ascii="Times New Roman" w:hAnsi="Times New Roman" w:cs="Times New Roman"/>
          <w:sz w:val="24"/>
          <w:szCs w:val="24"/>
        </w:rPr>
        <w:t>Na działania</w:t>
      </w:r>
      <w:r w:rsidR="00AE5712" w:rsidRPr="00FB1599">
        <w:rPr>
          <w:rFonts w:ascii="Times New Roman" w:hAnsi="Times New Roman" w:cs="Times New Roman"/>
          <w:sz w:val="24"/>
          <w:szCs w:val="24"/>
        </w:rPr>
        <w:t xml:space="preserve"> w</w:t>
      </w:r>
      <w:r w:rsidR="00DD4FBC" w:rsidRPr="00FB1599">
        <w:rPr>
          <w:rFonts w:ascii="Times New Roman" w:hAnsi="Times New Roman" w:cs="Times New Roman"/>
          <w:sz w:val="24"/>
          <w:szCs w:val="24"/>
        </w:rPr>
        <w:t xml:space="preserve"> </w:t>
      </w:r>
      <w:r w:rsidR="008260E7" w:rsidRPr="00FB1599">
        <w:rPr>
          <w:rFonts w:ascii="Times New Roman" w:hAnsi="Times New Roman" w:cs="Times New Roman"/>
          <w:sz w:val="24"/>
          <w:szCs w:val="24"/>
        </w:rPr>
        <w:t xml:space="preserve">zakresie realizacji </w:t>
      </w:r>
      <w:r w:rsidR="008260E7" w:rsidRPr="00FB1599">
        <w:rPr>
          <w:rFonts w:ascii="Times New Roman" w:hAnsi="Times New Roman" w:cs="Times New Roman"/>
          <w:b/>
          <w:sz w:val="24"/>
          <w:szCs w:val="24"/>
        </w:rPr>
        <w:t xml:space="preserve">aktywnych </w:t>
      </w:r>
      <w:r w:rsidR="004673D1" w:rsidRPr="00FB1599">
        <w:rPr>
          <w:rFonts w:ascii="Times New Roman" w:hAnsi="Times New Roman" w:cs="Times New Roman"/>
          <w:b/>
          <w:sz w:val="24"/>
          <w:szCs w:val="24"/>
        </w:rPr>
        <w:t xml:space="preserve">i pasywnych </w:t>
      </w:r>
      <w:r w:rsidR="008260E7" w:rsidRPr="00FB1599">
        <w:rPr>
          <w:rFonts w:ascii="Times New Roman" w:hAnsi="Times New Roman" w:cs="Times New Roman"/>
          <w:b/>
          <w:sz w:val="24"/>
          <w:szCs w:val="24"/>
        </w:rPr>
        <w:t>form promocji zatrudnienia</w:t>
      </w:r>
      <w:r w:rsidR="0058364B" w:rsidRPr="00FB1599">
        <w:rPr>
          <w:rFonts w:ascii="Times New Roman" w:hAnsi="Times New Roman" w:cs="Times New Roman"/>
          <w:b/>
          <w:sz w:val="24"/>
          <w:szCs w:val="24"/>
        </w:rPr>
        <w:t xml:space="preserve"> oraz interwencję w związku z pandemią w ramach pomocy dla pracodawców</w:t>
      </w:r>
      <w:r w:rsidR="008260E7" w:rsidRPr="00FB1599">
        <w:rPr>
          <w:rFonts w:ascii="Times New Roman" w:hAnsi="Times New Roman" w:cs="Times New Roman"/>
          <w:sz w:val="24"/>
          <w:szCs w:val="24"/>
        </w:rPr>
        <w:t xml:space="preserve"> </w:t>
      </w:r>
      <w:r w:rsidRPr="00FB1599">
        <w:rPr>
          <w:rFonts w:ascii="Times New Roman" w:hAnsi="Times New Roman" w:cs="Times New Roman"/>
          <w:sz w:val="24"/>
          <w:szCs w:val="24"/>
        </w:rPr>
        <w:t>wydatkowano</w:t>
      </w:r>
      <w:r w:rsidR="00AE5712" w:rsidRPr="00FB1599">
        <w:rPr>
          <w:rFonts w:ascii="Times New Roman" w:hAnsi="Times New Roman" w:cs="Times New Roman"/>
          <w:sz w:val="24"/>
          <w:szCs w:val="24"/>
        </w:rPr>
        <w:t xml:space="preserve"> z</w:t>
      </w:r>
      <w:r w:rsidR="00DD4FBC" w:rsidRPr="00FB1599">
        <w:rPr>
          <w:rFonts w:ascii="Times New Roman" w:hAnsi="Times New Roman" w:cs="Times New Roman"/>
          <w:sz w:val="24"/>
          <w:szCs w:val="24"/>
        </w:rPr>
        <w:t xml:space="preserve"> </w:t>
      </w:r>
      <w:r w:rsidRPr="00FB1599">
        <w:rPr>
          <w:rFonts w:ascii="Times New Roman" w:hAnsi="Times New Roman" w:cs="Times New Roman"/>
          <w:sz w:val="24"/>
          <w:szCs w:val="24"/>
        </w:rPr>
        <w:t xml:space="preserve">Funduszu Pracy łącznie </w:t>
      </w:r>
      <w:r w:rsidR="004673D1" w:rsidRPr="00FB1599">
        <w:rPr>
          <w:rFonts w:ascii="Times New Roman" w:hAnsi="Times New Roman" w:cs="Times New Roman"/>
          <w:sz w:val="24"/>
          <w:szCs w:val="24"/>
        </w:rPr>
        <w:t>kwo</w:t>
      </w:r>
      <w:r w:rsidR="00ED67E7" w:rsidRPr="00FB1599">
        <w:rPr>
          <w:rFonts w:ascii="Times New Roman" w:hAnsi="Times New Roman" w:cs="Times New Roman"/>
          <w:sz w:val="24"/>
          <w:szCs w:val="24"/>
        </w:rPr>
        <w:t>tę</w:t>
      </w:r>
      <w:r w:rsidR="004673D1" w:rsidRPr="00FB1599">
        <w:rPr>
          <w:rFonts w:ascii="Times New Roman" w:hAnsi="Times New Roman" w:cs="Times New Roman"/>
          <w:sz w:val="24"/>
          <w:szCs w:val="24"/>
        </w:rPr>
        <w:t xml:space="preserve"> </w:t>
      </w:r>
      <w:r w:rsidR="00FB1599" w:rsidRPr="00FB1599">
        <w:rPr>
          <w:rFonts w:ascii="Times New Roman" w:hAnsi="Times New Roman" w:cs="Times New Roman"/>
          <w:sz w:val="24"/>
          <w:szCs w:val="24"/>
        </w:rPr>
        <w:t>366</w:t>
      </w:r>
      <w:r w:rsidRPr="00FB1599">
        <w:rPr>
          <w:rFonts w:ascii="Times New Roman" w:hAnsi="Times New Roman" w:cs="Times New Roman"/>
          <w:sz w:val="24"/>
          <w:szCs w:val="24"/>
        </w:rPr>
        <w:t>,</w:t>
      </w:r>
      <w:r w:rsidR="00FB1599" w:rsidRPr="00FB1599">
        <w:rPr>
          <w:rFonts w:ascii="Times New Roman" w:hAnsi="Times New Roman" w:cs="Times New Roman"/>
          <w:sz w:val="24"/>
          <w:szCs w:val="24"/>
        </w:rPr>
        <w:t>20</w:t>
      </w:r>
      <w:r w:rsidR="008260E7" w:rsidRPr="00FB1599">
        <w:rPr>
          <w:rFonts w:ascii="Times New Roman" w:hAnsi="Times New Roman" w:cs="Times New Roman"/>
          <w:sz w:val="24"/>
          <w:szCs w:val="24"/>
        </w:rPr>
        <w:t xml:space="preserve"> mln zł</w:t>
      </w:r>
      <w:r w:rsidRPr="00FB1599">
        <w:rPr>
          <w:rFonts w:ascii="Times New Roman" w:hAnsi="Times New Roman" w:cs="Times New Roman"/>
          <w:sz w:val="24"/>
          <w:szCs w:val="24"/>
        </w:rPr>
        <w:t xml:space="preserve"> (w </w:t>
      </w:r>
      <w:r w:rsidR="000250B5" w:rsidRPr="00FB1599">
        <w:rPr>
          <w:rFonts w:ascii="Times New Roman" w:hAnsi="Times New Roman" w:cs="Times New Roman"/>
          <w:sz w:val="24"/>
          <w:szCs w:val="24"/>
        </w:rPr>
        <w:t xml:space="preserve">I półroczu </w:t>
      </w:r>
      <w:r w:rsidRPr="00FB1599">
        <w:rPr>
          <w:rFonts w:ascii="Times New Roman" w:hAnsi="Times New Roman" w:cs="Times New Roman"/>
          <w:sz w:val="24"/>
          <w:szCs w:val="24"/>
        </w:rPr>
        <w:t>20</w:t>
      </w:r>
      <w:r w:rsidR="00FB1599" w:rsidRPr="00FB1599">
        <w:rPr>
          <w:rFonts w:ascii="Times New Roman" w:hAnsi="Times New Roman" w:cs="Times New Roman"/>
          <w:sz w:val="24"/>
          <w:szCs w:val="24"/>
        </w:rPr>
        <w:t>20</w:t>
      </w:r>
      <w:r w:rsidR="009C4968" w:rsidRPr="00FB1599">
        <w:rPr>
          <w:rFonts w:ascii="Times New Roman" w:hAnsi="Times New Roman" w:cs="Times New Roman"/>
          <w:sz w:val="24"/>
          <w:szCs w:val="24"/>
        </w:rPr>
        <w:t xml:space="preserve"> r</w:t>
      </w:r>
      <w:r w:rsidR="0014339B" w:rsidRPr="00FB1599">
        <w:rPr>
          <w:rFonts w:ascii="Times New Roman" w:hAnsi="Times New Roman" w:cs="Times New Roman"/>
          <w:sz w:val="24"/>
          <w:szCs w:val="24"/>
        </w:rPr>
        <w:t>oku</w:t>
      </w:r>
      <w:r w:rsidR="00EF4A76" w:rsidRPr="00FB1599">
        <w:rPr>
          <w:rFonts w:ascii="Times New Roman" w:hAnsi="Times New Roman" w:cs="Times New Roman"/>
          <w:sz w:val="24"/>
          <w:szCs w:val="24"/>
        </w:rPr>
        <w:t xml:space="preserve"> </w:t>
      </w:r>
      <w:r w:rsidR="009C4968" w:rsidRPr="00FB1599">
        <w:rPr>
          <w:rFonts w:ascii="Times New Roman" w:hAnsi="Times New Roman" w:cs="Times New Roman"/>
          <w:sz w:val="24"/>
          <w:szCs w:val="24"/>
        </w:rPr>
        <w:t>–</w:t>
      </w:r>
      <w:r w:rsidR="00EF4A76" w:rsidRPr="00FB1599">
        <w:rPr>
          <w:rFonts w:ascii="Times New Roman" w:hAnsi="Times New Roman" w:cs="Times New Roman"/>
          <w:sz w:val="24"/>
          <w:szCs w:val="24"/>
        </w:rPr>
        <w:t xml:space="preserve"> </w:t>
      </w:r>
      <w:r w:rsidR="00FB1599" w:rsidRPr="00FB1599">
        <w:rPr>
          <w:rFonts w:ascii="Times New Roman" w:hAnsi="Times New Roman" w:cs="Times New Roman"/>
          <w:sz w:val="24"/>
          <w:szCs w:val="24"/>
        </w:rPr>
        <w:t>621</w:t>
      </w:r>
      <w:r w:rsidRPr="00FB1599">
        <w:rPr>
          <w:rFonts w:ascii="Times New Roman" w:hAnsi="Times New Roman" w:cs="Times New Roman"/>
          <w:sz w:val="24"/>
          <w:szCs w:val="24"/>
        </w:rPr>
        <w:t>,</w:t>
      </w:r>
      <w:r w:rsidR="00FB1599" w:rsidRPr="00FB1599">
        <w:rPr>
          <w:rFonts w:ascii="Times New Roman" w:hAnsi="Times New Roman" w:cs="Times New Roman"/>
          <w:sz w:val="24"/>
          <w:szCs w:val="24"/>
        </w:rPr>
        <w:t>96</w:t>
      </w:r>
      <w:r w:rsidRPr="00FB1599">
        <w:rPr>
          <w:rFonts w:ascii="Times New Roman" w:hAnsi="Times New Roman" w:cs="Times New Roman"/>
          <w:sz w:val="24"/>
          <w:szCs w:val="24"/>
        </w:rPr>
        <w:t xml:space="preserve"> mln zł).</w:t>
      </w:r>
    </w:p>
    <w:p w:rsidR="004A21FA" w:rsidRPr="00FB1599" w:rsidRDefault="00271C62" w:rsidP="004A21FA">
      <w:pPr>
        <w:pStyle w:val="Bezodstpw"/>
        <w:numPr>
          <w:ilvl w:val="0"/>
          <w:numId w:val="10"/>
        </w:numPr>
        <w:spacing w:line="360" w:lineRule="auto"/>
        <w:jc w:val="both"/>
        <w:rPr>
          <w:rFonts w:ascii="Times New Roman" w:hAnsi="Times New Roman" w:cs="Times New Roman"/>
          <w:sz w:val="24"/>
          <w:szCs w:val="24"/>
        </w:rPr>
      </w:pPr>
      <w:r w:rsidRPr="00FB1599">
        <w:rPr>
          <w:rFonts w:ascii="Times New Roman" w:hAnsi="Times New Roman" w:cs="Times New Roman"/>
          <w:sz w:val="24"/>
          <w:szCs w:val="24"/>
        </w:rPr>
        <w:lastRenderedPageBreak/>
        <w:t>W I półroczu 202</w:t>
      </w:r>
      <w:r w:rsidR="00FB1599" w:rsidRPr="00FB1599">
        <w:rPr>
          <w:rFonts w:ascii="Times New Roman" w:hAnsi="Times New Roman" w:cs="Times New Roman"/>
          <w:sz w:val="24"/>
          <w:szCs w:val="24"/>
        </w:rPr>
        <w:t>1</w:t>
      </w:r>
      <w:r w:rsidRPr="00FB1599">
        <w:rPr>
          <w:rFonts w:ascii="Times New Roman" w:hAnsi="Times New Roman" w:cs="Times New Roman"/>
          <w:sz w:val="24"/>
          <w:szCs w:val="24"/>
        </w:rPr>
        <w:t xml:space="preserve"> roku </w:t>
      </w:r>
      <w:r w:rsidR="004A21FA" w:rsidRPr="00FB1599">
        <w:rPr>
          <w:rFonts w:ascii="Times New Roman" w:hAnsi="Times New Roman" w:cs="Times New Roman"/>
          <w:sz w:val="24"/>
          <w:szCs w:val="24"/>
        </w:rPr>
        <w:t xml:space="preserve">z Funduszu Pracy w ramach interwencji w związku z pandemią COVID–19 w ramach pomocy dla pracodawców (art. 15zzd, 15zzda, 15zzb, 15zzc, 15zze i 15zze2) </w:t>
      </w:r>
      <w:r w:rsidRPr="00FB1599">
        <w:rPr>
          <w:rFonts w:ascii="Times New Roman" w:hAnsi="Times New Roman" w:cs="Times New Roman"/>
          <w:sz w:val="24"/>
          <w:szCs w:val="24"/>
        </w:rPr>
        <w:t xml:space="preserve">wydatkowano </w:t>
      </w:r>
      <w:r w:rsidR="004A21FA" w:rsidRPr="00FB1599">
        <w:rPr>
          <w:rFonts w:ascii="Times New Roman" w:hAnsi="Times New Roman" w:cs="Times New Roman"/>
          <w:sz w:val="24"/>
          <w:szCs w:val="24"/>
        </w:rPr>
        <w:t xml:space="preserve">kwotę </w:t>
      </w:r>
      <w:r w:rsidR="00FB1599" w:rsidRPr="00FB1599">
        <w:rPr>
          <w:rFonts w:ascii="Times New Roman" w:hAnsi="Times New Roman" w:cs="Times New Roman"/>
          <w:b/>
          <w:sz w:val="24"/>
          <w:szCs w:val="24"/>
        </w:rPr>
        <w:t>15</w:t>
      </w:r>
      <w:r w:rsidR="00AE25AF" w:rsidRPr="00FB1599">
        <w:rPr>
          <w:rFonts w:ascii="Times New Roman" w:hAnsi="Times New Roman" w:cs="Times New Roman"/>
          <w:b/>
          <w:sz w:val="24"/>
          <w:szCs w:val="24"/>
        </w:rPr>
        <w:t>9</w:t>
      </w:r>
      <w:r w:rsidR="004A21FA" w:rsidRPr="00FB1599">
        <w:rPr>
          <w:rFonts w:ascii="Times New Roman" w:hAnsi="Times New Roman" w:cs="Times New Roman"/>
          <w:b/>
          <w:sz w:val="24"/>
          <w:szCs w:val="24"/>
        </w:rPr>
        <w:t>,</w:t>
      </w:r>
      <w:r w:rsidR="00FB1599" w:rsidRPr="00FB1599">
        <w:rPr>
          <w:rFonts w:ascii="Times New Roman" w:hAnsi="Times New Roman" w:cs="Times New Roman"/>
          <w:b/>
          <w:sz w:val="24"/>
          <w:szCs w:val="24"/>
        </w:rPr>
        <w:t>77</w:t>
      </w:r>
      <w:r w:rsidR="004A21FA" w:rsidRPr="00FB1599">
        <w:rPr>
          <w:rFonts w:ascii="Times New Roman" w:hAnsi="Times New Roman" w:cs="Times New Roman"/>
          <w:sz w:val="24"/>
          <w:szCs w:val="24"/>
        </w:rPr>
        <w:t xml:space="preserve"> mln zł tj. </w:t>
      </w:r>
      <w:r w:rsidR="00FB1599" w:rsidRPr="00FB1599">
        <w:rPr>
          <w:rFonts w:ascii="Times New Roman" w:hAnsi="Times New Roman" w:cs="Times New Roman"/>
          <w:sz w:val="24"/>
          <w:szCs w:val="24"/>
        </w:rPr>
        <w:t>43</w:t>
      </w:r>
      <w:r w:rsidR="004A21FA" w:rsidRPr="00FB1599">
        <w:rPr>
          <w:rFonts w:ascii="Times New Roman" w:hAnsi="Times New Roman" w:cs="Times New Roman"/>
          <w:sz w:val="24"/>
          <w:szCs w:val="24"/>
        </w:rPr>
        <w:t>,</w:t>
      </w:r>
      <w:r w:rsidR="00AE25AF" w:rsidRPr="00FB1599">
        <w:rPr>
          <w:rFonts w:ascii="Times New Roman" w:hAnsi="Times New Roman" w:cs="Times New Roman"/>
          <w:sz w:val="24"/>
          <w:szCs w:val="24"/>
        </w:rPr>
        <w:t>6</w:t>
      </w:r>
      <w:r w:rsidR="00FB1599" w:rsidRPr="00FB1599">
        <w:rPr>
          <w:rFonts w:ascii="Times New Roman" w:hAnsi="Times New Roman" w:cs="Times New Roman"/>
          <w:sz w:val="24"/>
          <w:szCs w:val="24"/>
        </w:rPr>
        <w:t>3</w:t>
      </w:r>
      <w:r w:rsidR="00640239">
        <w:rPr>
          <w:rFonts w:ascii="Times New Roman" w:hAnsi="Times New Roman" w:cs="Times New Roman"/>
          <w:sz w:val="24"/>
          <w:szCs w:val="24"/>
        </w:rPr>
        <w:t xml:space="preserve"> proc.</w:t>
      </w:r>
      <w:r w:rsidR="004A21FA" w:rsidRPr="00FB1599">
        <w:rPr>
          <w:rFonts w:ascii="Times New Roman" w:hAnsi="Times New Roman" w:cs="Times New Roman"/>
          <w:sz w:val="24"/>
          <w:szCs w:val="24"/>
        </w:rPr>
        <w:t xml:space="preserve"> ogółu wydatków w ramach FP</w:t>
      </w:r>
      <w:r w:rsidR="00D17993" w:rsidRPr="00FB1599">
        <w:rPr>
          <w:rFonts w:ascii="Times New Roman" w:hAnsi="Times New Roman" w:cs="Times New Roman"/>
          <w:sz w:val="24"/>
          <w:szCs w:val="24"/>
        </w:rPr>
        <w:t>.</w:t>
      </w:r>
    </w:p>
    <w:p w:rsidR="004A21FA" w:rsidRPr="00D62B23" w:rsidRDefault="004A21FA" w:rsidP="00AE25AF">
      <w:pPr>
        <w:pStyle w:val="Bezodstpw"/>
        <w:jc w:val="both"/>
        <w:rPr>
          <w:rFonts w:ascii="Times New Roman" w:hAnsi="Times New Roman" w:cs="Times New Roman"/>
          <w:sz w:val="16"/>
          <w:szCs w:val="16"/>
          <w:highlight w:val="yellow"/>
        </w:rPr>
      </w:pPr>
    </w:p>
    <w:p w:rsidR="0058364B" w:rsidRPr="00D62B23" w:rsidRDefault="0058364B" w:rsidP="00AE25AF">
      <w:pPr>
        <w:pStyle w:val="Bezodstpw"/>
        <w:jc w:val="both"/>
        <w:rPr>
          <w:rFonts w:ascii="Times New Roman" w:hAnsi="Times New Roman" w:cs="Times New Roman"/>
          <w:sz w:val="16"/>
          <w:szCs w:val="16"/>
          <w:highlight w:val="yellow"/>
        </w:rPr>
      </w:pPr>
    </w:p>
    <w:p w:rsidR="002648C9" w:rsidRPr="00EA7BFC" w:rsidRDefault="00CF668F" w:rsidP="00D0702E">
      <w:pPr>
        <w:pStyle w:val="Bezodstpw"/>
        <w:numPr>
          <w:ilvl w:val="0"/>
          <w:numId w:val="10"/>
        </w:numPr>
        <w:spacing w:line="360" w:lineRule="auto"/>
        <w:jc w:val="both"/>
        <w:rPr>
          <w:rFonts w:ascii="Times New Roman" w:hAnsi="Times New Roman" w:cs="Times New Roman"/>
          <w:sz w:val="24"/>
          <w:szCs w:val="24"/>
        </w:rPr>
      </w:pPr>
      <w:r w:rsidRPr="00EA7BFC">
        <w:rPr>
          <w:rFonts w:ascii="Times New Roman" w:hAnsi="Times New Roman" w:cs="Times New Roman"/>
          <w:sz w:val="24"/>
          <w:szCs w:val="24"/>
        </w:rPr>
        <w:t>W I półroczu 20</w:t>
      </w:r>
      <w:r w:rsidR="0014339B" w:rsidRPr="00EA7BFC">
        <w:rPr>
          <w:rFonts w:ascii="Times New Roman" w:hAnsi="Times New Roman" w:cs="Times New Roman"/>
          <w:sz w:val="24"/>
          <w:szCs w:val="24"/>
        </w:rPr>
        <w:t>2</w:t>
      </w:r>
      <w:r w:rsidR="00FB1599" w:rsidRPr="00EA7BFC">
        <w:rPr>
          <w:rFonts w:ascii="Times New Roman" w:hAnsi="Times New Roman" w:cs="Times New Roman"/>
          <w:sz w:val="24"/>
          <w:szCs w:val="24"/>
        </w:rPr>
        <w:t>1</w:t>
      </w:r>
      <w:r w:rsidRPr="00EA7BFC">
        <w:rPr>
          <w:rFonts w:ascii="Times New Roman" w:hAnsi="Times New Roman" w:cs="Times New Roman"/>
          <w:sz w:val="24"/>
          <w:szCs w:val="24"/>
        </w:rPr>
        <w:t xml:space="preserve"> r</w:t>
      </w:r>
      <w:r w:rsidR="0014339B" w:rsidRPr="00EA7BFC">
        <w:rPr>
          <w:rFonts w:ascii="Times New Roman" w:hAnsi="Times New Roman" w:cs="Times New Roman"/>
          <w:sz w:val="24"/>
          <w:szCs w:val="24"/>
        </w:rPr>
        <w:t>oku</w:t>
      </w:r>
      <w:r w:rsidRPr="00EA7BFC">
        <w:rPr>
          <w:rFonts w:ascii="Times New Roman" w:hAnsi="Times New Roman" w:cs="Times New Roman"/>
          <w:sz w:val="24"/>
          <w:szCs w:val="24"/>
        </w:rPr>
        <w:t xml:space="preserve"> w</w:t>
      </w:r>
      <w:r w:rsidR="004673D1" w:rsidRPr="00EA7BFC">
        <w:rPr>
          <w:rFonts w:ascii="Times New Roman" w:hAnsi="Times New Roman" w:cs="Times New Roman"/>
          <w:sz w:val="24"/>
          <w:szCs w:val="24"/>
        </w:rPr>
        <w:t xml:space="preserve">ydatki </w:t>
      </w:r>
      <w:r w:rsidRPr="00EA7BFC">
        <w:rPr>
          <w:rFonts w:ascii="Times New Roman" w:hAnsi="Times New Roman" w:cs="Times New Roman"/>
          <w:sz w:val="24"/>
          <w:szCs w:val="24"/>
        </w:rPr>
        <w:t xml:space="preserve">na aktywne </w:t>
      </w:r>
      <w:r w:rsidR="004673D1" w:rsidRPr="00EA7BFC">
        <w:rPr>
          <w:rFonts w:ascii="Times New Roman" w:hAnsi="Times New Roman" w:cs="Times New Roman"/>
          <w:sz w:val="24"/>
          <w:szCs w:val="24"/>
        </w:rPr>
        <w:t>form</w:t>
      </w:r>
      <w:r w:rsidRPr="00EA7BFC">
        <w:rPr>
          <w:rFonts w:ascii="Times New Roman" w:hAnsi="Times New Roman" w:cs="Times New Roman"/>
          <w:sz w:val="24"/>
          <w:szCs w:val="24"/>
        </w:rPr>
        <w:t>y</w:t>
      </w:r>
      <w:r w:rsidR="004673D1" w:rsidRPr="00EA7BFC">
        <w:rPr>
          <w:rFonts w:ascii="Times New Roman" w:hAnsi="Times New Roman" w:cs="Times New Roman"/>
          <w:sz w:val="24"/>
          <w:szCs w:val="24"/>
        </w:rPr>
        <w:t xml:space="preserve"> stanowiły </w:t>
      </w:r>
      <w:r w:rsidR="00846195" w:rsidRPr="00EA7BFC">
        <w:rPr>
          <w:rFonts w:ascii="Times New Roman" w:hAnsi="Times New Roman" w:cs="Times New Roman"/>
          <w:sz w:val="24"/>
          <w:szCs w:val="24"/>
        </w:rPr>
        <w:t>89</w:t>
      </w:r>
      <w:r w:rsidR="004673D1" w:rsidRPr="00EA7BFC">
        <w:rPr>
          <w:rFonts w:ascii="Times New Roman" w:hAnsi="Times New Roman" w:cs="Times New Roman"/>
          <w:sz w:val="24"/>
          <w:szCs w:val="24"/>
        </w:rPr>
        <w:t>,</w:t>
      </w:r>
      <w:r w:rsidR="00EA7BFC" w:rsidRPr="00EA7BFC">
        <w:rPr>
          <w:rFonts w:ascii="Times New Roman" w:hAnsi="Times New Roman" w:cs="Times New Roman"/>
          <w:sz w:val="24"/>
          <w:szCs w:val="24"/>
        </w:rPr>
        <w:t>94</w:t>
      </w:r>
      <w:r w:rsidR="004673D1" w:rsidRPr="00EA7BFC">
        <w:rPr>
          <w:rFonts w:ascii="Times New Roman" w:hAnsi="Times New Roman" w:cs="Times New Roman"/>
          <w:sz w:val="24"/>
          <w:szCs w:val="24"/>
        </w:rPr>
        <w:t xml:space="preserve"> mln zł tj. </w:t>
      </w:r>
      <w:r w:rsidR="00EA7BFC" w:rsidRPr="00EA7BFC">
        <w:rPr>
          <w:rFonts w:ascii="Times New Roman" w:hAnsi="Times New Roman" w:cs="Times New Roman"/>
          <w:sz w:val="24"/>
          <w:szCs w:val="24"/>
        </w:rPr>
        <w:t>24</w:t>
      </w:r>
      <w:r w:rsidR="004673D1" w:rsidRPr="00EA7BFC">
        <w:rPr>
          <w:rFonts w:ascii="Times New Roman" w:hAnsi="Times New Roman" w:cs="Times New Roman"/>
          <w:sz w:val="24"/>
          <w:szCs w:val="24"/>
        </w:rPr>
        <w:t>,</w:t>
      </w:r>
      <w:r w:rsidR="00EA7BFC" w:rsidRPr="00EA7BFC">
        <w:rPr>
          <w:rFonts w:ascii="Times New Roman" w:hAnsi="Times New Roman" w:cs="Times New Roman"/>
          <w:sz w:val="24"/>
          <w:szCs w:val="24"/>
        </w:rPr>
        <w:t>56</w:t>
      </w:r>
      <w:r w:rsidR="00640239">
        <w:rPr>
          <w:rFonts w:ascii="Times New Roman" w:hAnsi="Times New Roman" w:cs="Times New Roman"/>
          <w:sz w:val="24"/>
          <w:szCs w:val="24"/>
        </w:rPr>
        <w:t xml:space="preserve"> proc.</w:t>
      </w:r>
      <w:r w:rsidR="004673D1" w:rsidRPr="00EA7BFC">
        <w:rPr>
          <w:rFonts w:ascii="Times New Roman" w:hAnsi="Times New Roman" w:cs="Times New Roman"/>
          <w:sz w:val="24"/>
          <w:szCs w:val="24"/>
        </w:rPr>
        <w:t xml:space="preserve"> ogółu wydatków FP.</w:t>
      </w:r>
      <w:r w:rsidR="00967E9A" w:rsidRPr="00EA7BFC">
        <w:rPr>
          <w:rFonts w:ascii="Times New Roman" w:hAnsi="Times New Roman" w:cs="Times New Roman"/>
          <w:sz w:val="24"/>
          <w:szCs w:val="24"/>
        </w:rPr>
        <w:t xml:space="preserve"> </w:t>
      </w:r>
      <w:r w:rsidR="00A05D34" w:rsidRPr="00EA7BFC">
        <w:rPr>
          <w:rFonts w:ascii="Times New Roman" w:hAnsi="Times New Roman" w:cs="Times New Roman"/>
          <w:sz w:val="24"/>
          <w:szCs w:val="24"/>
        </w:rPr>
        <w:t>Z</w:t>
      </w:r>
      <w:r w:rsidR="00DD4FBC" w:rsidRPr="00EA7BFC">
        <w:rPr>
          <w:rFonts w:ascii="Times New Roman" w:hAnsi="Times New Roman" w:cs="Times New Roman"/>
          <w:sz w:val="24"/>
          <w:szCs w:val="24"/>
        </w:rPr>
        <w:t xml:space="preserve"> </w:t>
      </w:r>
      <w:r w:rsidR="002648C9" w:rsidRPr="00EA7BFC">
        <w:rPr>
          <w:rFonts w:ascii="Times New Roman" w:hAnsi="Times New Roman" w:cs="Times New Roman"/>
          <w:sz w:val="24"/>
          <w:szCs w:val="24"/>
        </w:rPr>
        <w:t>kwoty</w:t>
      </w:r>
      <w:r w:rsidR="007E17AF" w:rsidRPr="00EA7BFC">
        <w:rPr>
          <w:rFonts w:ascii="Times New Roman" w:hAnsi="Times New Roman" w:cs="Times New Roman"/>
          <w:sz w:val="24"/>
          <w:szCs w:val="24"/>
        </w:rPr>
        <w:t xml:space="preserve"> </w:t>
      </w:r>
      <w:r w:rsidR="00EA7BFC" w:rsidRPr="00EA7BFC">
        <w:rPr>
          <w:rFonts w:ascii="Times New Roman" w:hAnsi="Times New Roman" w:cs="Times New Roman"/>
          <w:sz w:val="24"/>
          <w:szCs w:val="24"/>
        </w:rPr>
        <w:t>89</w:t>
      </w:r>
      <w:r w:rsidR="00B761C8" w:rsidRPr="00EA7BFC">
        <w:rPr>
          <w:rFonts w:ascii="Times New Roman" w:hAnsi="Times New Roman" w:cs="Times New Roman"/>
          <w:sz w:val="24"/>
          <w:szCs w:val="24"/>
        </w:rPr>
        <w:t>,</w:t>
      </w:r>
      <w:r w:rsidR="00EA7BFC" w:rsidRPr="00EA7BFC">
        <w:rPr>
          <w:rFonts w:ascii="Times New Roman" w:hAnsi="Times New Roman" w:cs="Times New Roman"/>
          <w:sz w:val="24"/>
          <w:szCs w:val="24"/>
        </w:rPr>
        <w:t>94</w:t>
      </w:r>
      <w:r w:rsidR="00B761C8" w:rsidRPr="00EA7BFC">
        <w:rPr>
          <w:rFonts w:ascii="Times New Roman" w:hAnsi="Times New Roman" w:cs="Times New Roman"/>
          <w:sz w:val="24"/>
          <w:szCs w:val="24"/>
        </w:rPr>
        <w:t xml:space="preserve"> mln zł </w:t>
      </w:r>
      <w:r w:rsidR="00830271" w:rsidRPr="00EA7BFC">
        <w:rPr>
          <w:rFonts w:ascii="Times New Roman" w:hAnsi="Times New Roman" w:cs="Times New Roman"/>
          <w:sz w:val="24"/>
          <w:szCs w:val="24"/>
        </w:rPr>
        <w:t>najbardziej istotn</w:t>
      </w:r>
      <w:r w:rsidR="00D0702E" w:rsidRPr="00EA7BFC">
        <w:rPr>
          <w:rFonts w:ascii="Times New Roman" w:hAnsi="Times New Roman" w:cs="Times New Roman"/>
          <w:sz w:val="24"/>
          <w:szCs w:val="24"/>
        </w:rPr>
        <w:t>e</w:t>
      </w:r>
      <w:r w:rsidR="00830271" w:rsidRPr="00EA7BFC">
        <w:rPr>
          <w:rFonts w:ascii="Times New Roman" w:hAnsi="Times New Roman" w:cs="Times New Roman"/>
          <w:sz w:val="24"/>
          <w:szCs w:val="24"/>
        </w:rPr>
        <w:t xml:space="preserve"> wydatki </w:t>
      </w:r>
      <w:r w:rsidR="00EA7BFC">
        <w:rPr>
          <w:rFonts w:ascii="Times New Roman" w:hAnsi="Times New Roman" w:cs="Times New Roman"/>
          <w:sz w:val="24"/>
          <w:szCs w:val="24"/>
        </w:rPr>
        <w:t xml:space="preserve">poniesiono na </w:t>
      </w:r>
      <w:r w:rsidR="00D0702E" w:rsidRPr="00EA7BFC">
        <w:rPr>
          <w:rFonts w:ascii="Times New Roman" w:hAnsi="Times New Roman" w:cs="Times New Roman"/>
          <w:sz w:val="24"/>
          <w:szCs w:val="24"/>
        </w:rPr>
        <w:t>poniż</w:t>
      </w:r>
      <w:r w:rsidR="00EA7BFC">
        <w:rPr>
          <w:rFonts w:ascii="Times New Roman" w:hAnsi="Times New Roman" w:cs="Times New Roman"/>
          <w:sz w:val="24"/>
          <w:szCs w:val="24"/>
        </w:rPr>
        <w:t xml:space="preserve">sze </w:t>
      </w:r>
      <w:r w:rsidR="00830271" w:rsidRPr="00EA7BFC">
        <w:rPr>
          <w:rFonts w:ascii="Times New Roman" w:hAnsi="Times New Roman" w:cs="Times New Roman"/>
          <w:sz w:val="24"/>
          <w:szCs w:val="24"/>
        </w:rPr>
        <w:t>aktywn</w:t>
      </w:r>
      <w:r w:rsidR="00D0702E" w:rsidRPr="00EA7BFC">
        <w:rPr>
          <w:rFonts w:ascii="Times New Roman" w:hAnsi="Times New Roman" w:cs="Times New Roman"/>
          <w:sz w:val="24"/>
          <w:szCs w:val="24"/>
        </w:rPr>
        <w:t>e</w:t>
      </w:r>
      <w:r w:rsidR="00830271" w:rsidRPr="00EA7BFC">
        <w:rPr>
          <w:rFonts w:ascii="Times New Roman" w:hAnsi="Times New Roman" w:cs="Times New Roman"/>
          <w:sz w:val="24"/>
          <w:szCs w:val="24"/>
        </w:rPr>
        <w:t xml:space="preserve"> form</w:t>
      </w:r>
      <w:r w:rsidR="00D0702E" w:rsidRPr="00EA7BFC">
        <w:rPr>
          <w:rFonts w:ascii="Times New Roman" w:hAnsi="Times New Roman" w:cs="Times New Roman"/>
          <w:sz w:val="24"/>
          <w:szCs w:val="24"/>
        </w:rPr>
        <w:t>y w województwie podkarpackim</w:t>
      </w:r>
      <w:r w:rsidR="009B26E7" w:rsidRPr="00EA7BFC">
        <w:rPr>
          <w:rFonts w:ascii="Times New Roman" w:hAnsi="Times New Roman" w:cs="Times New Roman"/>
          <w:sz w:val="24"/>
          <w:szCs w:val="24"/>
        </w:rPr>
        <w:t>:</w:t>
      </w:r>
    </w:p>
    <w:p w:rsidR="00967E9A" w:rsidRDefault="00967E9A" w:rsidP="00967E9A">
      <w:pPr>
        <w:pStyle w:val="Bezodstpw"/>
        <w:jc w:val="both"/>
        <w:rPr>
          <w:rFonts w:ascii="Times New Roman" w:hAnsi="Times New Roman" w:cs="Times New Roman"/>
          <w:sz w:val="16"/>
          <w:szCs w:val="16"/>
          <w:highlight w:val="yellow"/>
        </w:rPr>
      </w:pPr>
    </w:p>
    <w:p w:rsidR="00FB1599" w:rsidRPr="00D62B23" w:rsidRDefault="00FB1599" w:rsidP="00967E9A">
      <w:pPr>
        <w:pStyle w:val="Bezodstpw"/>
        <w:jc w:val="both"/>
        <w:rPr>
          <w:rFonts w:ascii="Times New Roman" w:hAnsi="Times New Roman" w:cs="Times New Roman"/>
          <w:sz w:val="16"/>
          <w:szCs w:val="16"/>
          <w:highlight w:val="yellow"/>
        </w:rPr>
      </w:pPr>
    </w:p>
    <w:p w:rsidR="0014339B" w:rsidRPr="00EA7BFC" w:rsidRDefault="0014339B" w:rsidP="0014339B">
      <w:pPr>
        <w:pStyle w:val="Default"/>
        <w:numPr>
          <w:ilvl w:val="0"/>
          <w:numId w:val="31"/>
        </w:numPr>
        <w:spacing w:line="360" w:lineRule="auto"/>
        <w:jc w:val="both"/>
      </w:pPr>
      <w:r w:rsidRPr="00EA7BFC">
        <w:rPr>
          <w:b/>
        </w:rPr>
        <w:t>staże – 2</w:t>
      </w:r>
      <w:r w:rsidR="00EA7BFC" w:rsidRPr="00EA7BFC">
        <w:rPr>
          <w:b/>
        </w:rPr>
        <w:t>8</w:t>
      </w:r>
      <w:r w:rsidRPr="00EA7BFC">
        <w:rPr>
          <w:b/>
        </w:rPr>
        <w:t>,</w:t>
      </w:r>
      <w:r w:rsidR="00EA7BFC" w:rsidRPr="00EA7BFC">
        <w:rPr>
          <w:b/>
        </w:rPr>
        <w:t>92</w:t>
      </w:r>
      <w:r w:rsidRPr="00EA7BFC">
        <w:rPr>
          <w:b/>
        </w:rPr>
        <w:t xml:space="preserve"> mln</w:t>
      </w:r>
      <w:r w:rsidRPr="00EA7BFC">
        <w:t xml:space="preserve"> zł tj. </w:t>
      </w:r>
      <w:r w:rsidR="00EA7BFC" w:rsidRPr="00EA7BFC">
        <w:t>7</w:t>
      </w:r>
      <w:r w:rsidRPr="00EA7BFC">
        <w:t>,</w:t>
      </w:r>
      <w:r w:rsidR="00EA7BFC" w:rsidRPr="00EA7BFC">
        <w:t>90</w:t>
      </w:r>
      <w:r w:rsidR="00640239">
        <w:t xml:space="preserve"> proc.</w:t>
      </w:r>
      <w:r w:rsidRPr="00EA7BFC">
        <w:t xml:space="preserve"> ogółu wydatków w ramach FP, co stanowi jednocześnie </w:t>
      </w:r>
      <w:r w:rsidR="00EA7BFC" w:rsidRPr="00EA7BFC">
        <w:t>11</w:t>
      </w:r>
      <w:r w:rsidRPr="00EA7BFC">
        <w:t>,</w:t>
      </w:r>
      <w:r w:rsidR="00EA7BFC" w:rsidRPr="00EA7BFC">
        <w:t>58</w:t>
      </w:r>
      <w:r w:rsidR="00640239">
        <w:t xml:space="preserve"> proc.</w:t>
      </w:r>
      <w:r w:rsidRPr="00EA7BFC">
        <w:t xml:space="preserve"> wydatków na aktywne formy,</w:t>
      </w:r>
    </w:p>
    <w:p w:rsidR="00F0272E" w:rsidRPr="00EA7BFC" w:rsidRDefault="00F0272E" w:rsidP="00F0272E">
      <w:pPr>
        <w:pStyle w:val="Default"/>
        <w:numPr>
          <w:ilvl w:val="0"/>
          <w:numId w:val="31"/>
        </w:numPr>
        <w:spacing w:line="360" w:lineRule="auto"/>
        <w:jc w:val="both"/>
      </w:pPr>
      <w:r w:rsidRPr="00EA7BFC">
        <w:rPr>
          <w:b/>
        </w:rPr>
        <w:t xml:space="preserve">podjęcia działalności gospodarczej przez bezrobotnych – </w:t>
      </w:r>
      <w:r w:rsidR="00EA7BFC" w:rsidRPr="00EA7BFC">
        <w:rPr>
          <w:b/>
        </w:rPr>
        <w:t>23</w:t>
      </w:r>
      <w:r w:rsidRPr="00EA7BFC">
        <w:rPr>
          <w:b/>
        </w:rPr>
        <w:t>,</w:t>
      </w:r>
      <w:r w:rsidR="00EA7BFC" w:rsidRPr="00EA7BFC">
        <w:rPr>
          <w:b/>
        </w:rPr>
        <w:t>11</w:t>
      </w:r>
      <w:r w:rsidRPr="00EA7BFC">
        <w:rPr>
          <w:b/>
        </w:rPr>
        <w:t xml:space="preserve"> mln zł </w:t>
      </w:r>
      <w:r w:rsidRPr="00EA7BFC">
        <w:t xml:space="preserve">tj. </w:t>
      </w:r>
      <w:r w:rsidR="00EA7BFC" w:rsidRPr="00EA7BFC">
        <w:t>6</w:t>
      </w:r>
      <w:r w:rsidRPr="00EA7BFC">
        <w:t>,</w:t>
      </w:r>
      <w:r w:rsidR="00EA7BFC" w:rsidRPr="00EA7BFC">
        <w:t>31</w:t>
      </w:r>
      <w:r w:rsidR="00640239">
        <w:t xml:space="preserve"> proc.</w:t>
      </w:r>
      <w:r w:rsidRPr="00EA7BFC">
        <w:t xml:space="preserve"> wydatków w ramach FP i jednocześnie </w:t>
      </w:r>
      <w:r w:rsidR="00EA7BFC" w:rsidRPr="00EA7BFC">
        <w:t>9</w:t>
      </w:r>
      <w:r w:rsidRPr="00EA7BFC">
        <w:t>,</w:t>
      </w:r>
      <w:r w:rsidR="00EA7BFC" w:rsidRPr="00EA7BFC">
        <w:t>25</w:t>
      </w:r>
      <w:r w:rsidR="00640239">
        <w:t xml:space="preserve"> proc.</w:t>
      </w:r>
      <w:r w:rsidRPr="00EA7BFC">
        <w:t xml:space="preserve"> ogółu aktywnych form,</w:t>
      </w:r>
    </w:p>
    <w:p w:rsidR="00D35AA5" w:rsidRPr="00EA7BFC" w:rsidRDefault="00C30222" w:rsidP="000250B5">
      <w:pPr>
        <w:pStyle w:val="Default"/>
        <w:numPr>
          <w:ilvl w:val="0"/>
          <w:numId w:val="31"/>
        </w:numPr>
        <w:spacing w:line="360" w:lineRule="auto"/>
        <w:jc w:val="both"/>
      </w:pPr>
      <w:r w:rsidRPr="00EA7BFC">
        <w:rPr>
          <w:b/>
        </w:rPr>
        <w:t xml:space="preserve">Wsparcie zatrudnienia osób młodych tj. </w:t>
      </w:r>
      <w:r w:rsidR="00D0702E" w:rsidRPr="00EA7BFC">
        <w:rPr>
          <w:b/>
        </w:rPr>
        <w:t xml:space="preserve">refundacja pracodawcom </w:t>
      </w:r>
      <w:r w:rsidR="000250B5" w:rsidRPr="00EA7BFC">
        <w:rPr>
          <w:b/>
        </w:rPr>
        <w:t xml:space="preserve">wynagrodzeń </w:t>
      </w:r>
      <w:r w:rsidR="00D0702E" w:rsidRPr="00EA7BFC">
        <w:rPr>
          <w:b/>
        </w:rPr>
        <w:t>dla bezrobotnych d</w:t>
      </w:r>
      <w:r w:rsidR="000250B5" w:rsidRPr="00EA7BFC">
        <w:rPr>
          <w:b/>
        </w:rPr>
        <w:t>o 30 roku życia</w:t>
      </w:r>
      <w:r w:rsidR="00D35AA5" w:rsidRPr="00EA7BFC">
        <w:rPr>
          <w:b/>
        </w:rPr>
        <w:t xml:space="preserve"> (główna składowa kategorii „pozostałe aktywne formy”)</w:t>
      </w:r>
      <w:r w:rsidR="000250B5" w:rsidRPr="00EA7BFC">
        <w:rPr>
          <w:b/>
        </w:rPr>
        <w:t xml:space="preserve"> – </w:t>
      </w:r>
      <w:r w:rsidR="00EA7BFC" w:rsidRPr="00EA7BFC">
        <w:rPr>
          <w:b/>
        </w:rPr>
        <w:t>10</w:t>
      </w:r>
      <w:r w:rsidR="000250B5" w:rsidRPr="00EA7BFC">
        <w:rPr>
          <w:b/>
        </w:rPr>
        <w:t>,</w:t>
      </w:r>
      <w:r w:rsidR="00EA7BFC" w:rsidRPr="00EA7BFC">
        <w:rPr>
          <w:b/>
        </w:rPr>
        <w:t>22</w:t>
      </w:r>
      <w:r w:rsidR="000250B5" w:rsidRPr="00EA7BFC">
        <w:rPr>
          <w:b/>
        </w:rPr>
        <w:t xml:space="preserve"> mln zł</w:t>
      </w:r>
      <w:r w:rsidRPr="00EA7BFC">
        <w:t xml:space="preserve"> – </w:t>
      </w:r>
      <w:r w:rsidR="00EA7BFC" w:rsidRPr="00EA7BFC">
        <w:t>2</w:t>
      </w:r>
      <w:r w:rsidR="000250B5" w:rsidRPr="00EA7BFC">
        <w:t>,</w:t>
      </w:r>
      <w:r w:rsidR="00EA7BFC" w:rsidRPr="00EA7BFC">
        <w:t>79</w:t>
      </w:r>
      <w:r w:rsidR="00640239">
        <w:t xml:space="preserve"> proc.</w:t>
      </w:r>
      <w:r w:rsidR="000250B5" w:rsidRPr="00EA7BFC">
        <w:t xml:space="preserve"> wydatków </w:t>
      </w:r>
      <w:r w:rsidRPr="00EA7BFC">
        <w:t>f</w:t>
      </w:r>
      <w:r w:rsidR="00D35AA5" w:rsidRPr="00EA7BFC">
        <w:t>unduszu pracy</w:t>
      </w:r>
      <w:r w:rsidR="000250B5" w:rsidRPr="00EA7BFC">
        <w:t xml:space="preserve">, co stanowi jednocześnie </w:t>
      </w:r>
      <w:r w:rsidR="00EA7BFC" w:rsidRPr="00EA7BFC">
        <w:t>4</w:t>
      </w:r>
      <w:r w:rsidR="000250B5" w:rsidRPr="00EA7BFC">
        <w:t>,</w:t>
      </w:r>
      <w:r w:rsidR="00EA7BFC" w:rsidRPr="00EA7BFC">
        <w:t>0</w:t>
      </w:r>
      <w:r w:rsidR="004A21FA" w:rsidRPr="00EA7BFC">
        <w:t>9</w:t>
      </w:r>
      <w:r w:rsidR="00640239">
        <w:t xml:space="preserve"> proc.</w:t>
      </w:r>
      <w:r w:rsidR="000250B5" w:rsidRPr="00EA7BFC">
        <w:t xml:space="preserve"> </w:t>
      </w:r>
      <w:r w:rsidR="00D35AA5" w:rsidRPr="00EA7BFC">
        <w:t xml:space="preserve">środków </w:t>
      </w:r>
      <w:r w:rsidR="000250B5" w:rsidRPr="00EA7BFC">
        <w:t>na aktywne formy,</w:t>
      </w:r>
    </w:p>
    <w:p w:rsidR="004A21FA" w:rsidRPr="00EA7BFC" w:rsidRDefault="004A21FA" w:rsidP="004A21FA">
      <w:pPr>
        <w:pStyle w:val="Default"/>
        <w:numPr>
          <w:ilvl w:val="0"/>
          <w:numId w:val="31"/>
        </w:numPr>
        <w:spacing w:line="360" w:lineRule="auto"/>
        <w:jc w:val="both"/>
      </w:pPr>
      <w:r w:rsidRPr="00EA7BFC">
        <w:rPr>
          <w:b/>
        </w:rPr>
        <w:t xml:space="preserve">prace interwencyjne </w:t>
      </w:r>
      <w:r w:rsidR="00EA7BFC" w:rsidRPr="00EA7BFC">
        <w:rPr>
          <w:b/>
        </w:rPr>
        <w:t>8</w:t>
      </w:r>
      <w:r w:rsidRPr="00EA7BFC">
        <w:rPr>
          <w:b/>
        </w:rPr>
        <w:t>,</w:t>
      </w:r>
      <w:r w:rsidR="00EA7BFC" w:rsidRPr="00EA7BFC">
        <w:rPr>
          <w:b/>
        </w:rPr>
        <w:t>72</w:t>
      </w:r>
      <w:r w:rsidRPr="00EA7BFC">
        <w:rPr>
          <w:b/>
        </w:rPr>
        <w:t xml:space="preserve"> mln zł</w:t>
      </w:r>
      <w:r w:rsidRPr="00EA7BFC">
        <w:t xml:space="preserve"> (</w:t>
      </w:r>
      <w:r w:rsidR="00EA7BFC" w:rsidRPr="00EA7BFC">
        <w:t>2</w:t>
      </w:r>
      <w:r w:rsidRPr="00EA7BFC">
        <w:t>,</w:t>
      </w:r>
      <w:r w:rsidR="00EA7BFC" w:rsidRPr="00EA7BFC">
        <w:t>38</w:t>
      </w:r>
      <w:r w:rsidR="00640239">
        <w:t xml:space="preserve"> proc.</w:t>
      </w:r>
      <w:r w:rsidRPr="00EA7BFC">
        <w:t>) – (</w:t>
      </w:r>
      <w:r w:rsidR="00EA7BFC" w:rsidRPr="00EA7BFC">
        <w:t>3</w:t>
      </w:r>
      <w:r w:rsidRPr="00EA7BFC">
        <w:t>,</w:t>
      </w:r>
      <w:r w:rsidR="00EA7BFC" w:rsidRPr="00EA7BFC">
        <w:t>49</w:t>
      </w:r>
      <w:r w:rsidR="00640239">
        <w:t xml:space="preserve"> proc.</w:t>
      </w:r>
      <w:r w:rsidRPr="00EA7BFC">
        <w:t xml:space="preserve"> aktywnych form), </w:t>
      </w:r>
    </w:p>
    <w:p w:rsidR="008A5362" w:rsidRPr="00EA7BFC" w:rsidRDefault="008A5362" w:rsidP="008A5362">
      <w:pPr>
        <w:pStyle w:val="Default"/>
        <w:numPr>
          <w:ilvl w:val="0"/>
          <w:numId w:val="31"/>
        </w:numPr>
        <w:spacing w:line="360" w:lineRule="auto"/>
        <w:jc w:val="both"/>
      </w:pPr>
      <w:r w:rsidRPr="00EA7BFC">
        <w:rPr>
          <w:b/>
        </w:rPr>
        <w:t xml:space="preserve">środki dla pracodawców na wyposażenie i doposażenie nowo utworzonych miejsc pracy </w:t>
      </w:r>
      <w:r w:rsidR="00EA7BFC" w:rsidRPr="00EA7BFC">
        <w:rPr>
          <w:b/>
        </w:rPr>
        <w:t>11</w:t>
      </w:r>
      <w:r w:rsidRPr="00EA7BFC">
        <w:rPr>
          <w:b/>
        </w:rPr>
        <w:t>,</w:t>
      </w:r>
      <w:r w:rsidR="00EA7BFC" w:rsidRPr="00EA7BFC">
        <w:rPr>
          <w:b/>
        </w:rPr>
        <w:t>21</w:t>
      </w:r>
      <w:r w:rsidRPr="00EA7BFC">
        <w:rPr>
          <w:b/>
        </w:rPr>
        <w:t xml:space="preserve"> mln zł</w:t>
      </w:r>
      <w:r w:rsidRPr="00EA7BFC">
        <w:t xml:space="preserve"> (</w:t>
      </w:r>
      <w:r w:rsidR="00EA7BFC" w:rsidRPr="00EA7BFC">
        <w:t>3</w:t>
      </w:r>
      <w:r w:rsidRPr="00EA7BFC">
        <w:t>,</w:t>
      </w:r>
      <w:r w:rsidR="00EA7BFC" w:rsidRPr="00EA7BFC">
        <w:t>06</w:t>
      </w:r>
      <w:r w:rsidR="00640239">
        <w:t xml:space="preserve"> proc.</w:t>
      </w:r>
      <w:r w:rsidRPr="00EA7BFC">
        <w:t>) – (</w:t>
      </w:r>
      <w:r w:rsidR="00EA7BFC" w:rsidRPr="00EA7BFC">
        <w:t>4</w:t>
      </w:r>
      <w:r w:rsidRPr="00EA7BFC">
        <w:t>,</w:t>
      </w:r>
      <w:r w:rsidR="00EA7BFC" w:rsidRPr="00EA7BFC">
        <w:t>49</w:t>
      </w:r>
      <w:r w:rsidR="00640239">
        <w:t xml:space="preserve"> proc.</w:t>
      </w:r>
      <w:r w:rsidRPr="00EA7BFC">
        <w:t xml:space="preserve"> aktywnych form). </w:t>
      </w:r>
    </w:p>
    <w:p w:rsidR="0058364B" w:rsidRDefault="0058364B" w:rsidP="00DD4FBC">
      <w:pPr>
        <w:pStyle w:val="Default"/>
        <w:spacing w:line="360" w:lineRule="auto"/>
        <w:jc w:val="both"/>
        <w:rPr>
          <w:sz w:val="16"/>
          <w:szCs w:val="16"/>
          <w:highlight w:val="yellow"/>
        </w:rPr>
      </w:pPr>
    </w:p>
    <w:p w:rsidR="00FB1599" w:rsidRDefault="00FB1599" w:rsidP="00DD4FBC">
      <w:pPr>
        <w:pStyle w:val="Default"/>
        <w:spacing w:line="360" w:lineRule="auto"/>
        <w:jc w:val="both"/>
        <w:rPr>
          <w:sz w:val="16"/>
          <w:szCs w:val="16"/>
          <w:highlight w:val="yellow"/>
        </w:rPr>
      </w:pPr>
    </w:p>
    <w:p w:rsidR="00830271" w:rsidRPr="00846195" w:rsidRDefault="008515B9" w:rsidP="004673D1">
      <w:pPr>
        <w:pStyle w:val="Default"/>
        <w:spacing w:line="360" w:lineRule="auto"/>
        <w:ind w:left="357" w:firstLine="709"/>
        <w:jc w:val="both"/>
      </w:pPr>
      <w:r w:rsidRPr="00846195">
        <w:t xml:space="preserve">Najwięcej osób bezrobotnych </w:t>
      </w:r>
      <w:r w:rsidR="004673D1" w:rsidRPr="00846195">
        <w:t xml:space="preserve">wyrejestrowano z ewidencji bezrobotnych w PUP </w:t>
      </w:r>
      <w:r w:rsidR="00AE5712" w:rsidRPr="00846195">
        <w:t>z </w:t>
      </w:r>
      <w:r w:rsidR="004673D1" w:rsidRPr="00846195">
        <w:t xml:space="preserve">powodu rozpoczęcia </w:t>
      </w:r>
      <w:r w:rsidRPr="00846195">
        <w:t>następując</w:t>
      </w:r>
      <w:r w:rsidR="004673D1" w:rsidRPr="00846195">
        <w:t>ych</w:t>
      </w:r>
      <w:r w:rsidRPr="00846195">
        <w:t xml:space="preserve"> form</w:t>
      </w:r>
      <w:r w:rsidR="004673D1" w:rsidRPr="00846195">
        <w:t>y</w:t>
      </w:r>
      <w:r w:rsidRPr="00846195">
        <w:t xml:space="preserve"> </w:t>
      </w:r>
      <w:r w:rsidR="004673D1" w:rsidRPr="00846195">
        <w:t>aktywnych</w:t>
      </w:r>
      <w:r w:rsidRPr="00846195">
        <w:t>:</w:t>
      </w:r>
    </w:p>
    <w:p w:rsidR="0058364B" w:rsidRDefault="0058364B" w:rsidP="0058364B">
      <w:pPr>
        <w:pStyle w:val="Bezodstpw"/>
        <w:jc w:val="both"/>
        <w:rPr>
          <w:rFonts w:ascii="Times New Roman" w:hAnsi="Times New Roman" w:cs="Times New Roman"/>
          <w:sz w:val="16"/>
          <w:szCs w:val="16"/>
          <w:highlight w:val="yellow"/>
        </w:rPr>
      </w:pPr>
    </w:p>
    <w:p w:rsidR="00FB1599" w:rsidRPr="00D62B23" w:rsidRDefault="00FB1599" w:rsidP="0058364B">
      <w:pPr>
        <w:pStyle w:val="Bezodstpw"/>
        <w:jc w:val="both"/>
        <w:rPr>
          <w:rFonts w:ascii="Times New Roman" w:hAnsi="Times New Roman" w:cs="Times New Roman"/>
          <w:sz w:val="16"/>
          <w:szCs w:val="16"/>
          <w:highlight w:val="yellow"/>
        </w:rPr>
      </w:pPr>
    </w:p>
    <w:p w:rsidR="00830271" w:rsidRPr="00EA7BFC" w:rsidRDefault="008515B9" w:rsidP="00DA0823">
      <w:pPr>
        <w:pStyle w:val="Default"/>
        <w:numPr>
          <w:ilvl w:val="0"/>
          <w:numId w:val="32"/>
        </w:numPr>
        <w:spacing w:line="360" w:lineRule="auto"/>
        <w:ind w:left="1491" w:hanging="357"/>
        <w:jc w:val="both"/>
      </w:pPr>
      <w:r w:rsidRPr="00EA7BFC">
        <w:t>staż</w:t>
      </w:r>
      <w:r w:rsidR="00754F8F" w:rsidRPr="00EA7BFC">
        <w:t>y</w:t>
      </w:r>
      <w:r w:rsidRPr="00EA7BFC">
        <w:t xml:space="preserve"> (</w:t>
      </w:r>
      <w:r w:rsidR="00EA7BFC" w:rsidRPr="00EA7BFC">
        <w:t>40</w:t>
      </w:r>
      <w:r w:rsidR="00435EA4" w:rsidRPr="00EA7BFC">
        <w:t>65</w:t>
      </w:r>
      <w:r w:rsidR="006C4273">
        <w:t xml:space="preserve"> bezrobotnych</w:t>
      </w:r>
      <w:r w:rsidRPr="00EA7BFC">
        <w:t>),</w:t>
      </w:r>
    </w:p>
    <w:p w:rsidR="002D1CFD" w:rsidRPr="00EA7BFC" w:rsidRDefault="002D1CFD" w:rsidP="002D1CFD">
      <w:pPr>
        <w:pStyle w:val="Default"/>
        <w:numPr>
          <w:ilvl w:val="0"/>
          <w:numId w:val="32"/>
        </w:numPr>
        <w:spacing w:line="360" w:lineRule="auto"/>
        <w:ind w:left="1491" w:hanging="357"/>
        <w:jc w:val="both"/>
      </w:pPr>
      <w:r w:rsidRPr="00EA7BFC">
        <w:t>prac interwencyjnych (</w:t>
      </w:r>
      <w:r w:rsidR="00435EA4" w:rsidRPr="00EA7BFC">
        <w:t>1</w:t>
      </w:r>
      <w:r w:rsidR="00EA7BFC" w:rsidRPr="00EA7BFC">
        <w:t>999</w:t>
      </w:r>
      <w:r w:rsidRPr="00EA7BFC">
        <w:t>),</w:t>
      </w:r>
    </w:p>
    <w:p w:rsidR="00435EA4" w:rsidRPr="00EA7BFC" w:rsidRDefault="00435EA4" w:rsidP="00435EA4">
      <w:pPr>
        <w:pStyle w:val="Default"/>
        <w:numPr>
          <w:ilvl w:val="0"/>
          <w:numId w:val="32"/>
        </w:numPr>
        <w:spacing w:line="360" w:lineRule="auto"/>
        <w:ind w:left="1491" w:hanging="357"/>
        <w:jc w:val="both"/>
      </w:pPr>
      <w:r w:rsidRPr="00EA7BFC">
        <w:t>zatrudnienia bezrobotnych przy realizacji robót publicznych (</w:t>
      </w:r>
      <w:r w:rsidR="00EA7BFC" w:rsidRPr="00EA7BFC">
        <w:t>1149</w:t>
      </w:r>
      <w:r w:rsidRPr="00EA7BFC">
        <w:t>),</w:t>
      </w:r>
    </w:p>
    <w:p w:rsidR="00EA7BFC" w:rsidRPr="00EA7BFC" w:rsidRDefault="00EA7BFC" w:rsidP="00EA7BFC">
      <w:pPr>
        <w:pStyle w:val="Default"/>
        <w:numPr>
          <w:ilvl w:val="0"/>
          <w:numId w:val="32"/>
        </w:numPr>
        <w:spacing w:line="360" w:lineRule="auto"/>
        <w:ind w:left="1491" w:hanging="357"/>
        <w:jc w:val="both"/>
      </w:pPr>
      <w:r w:rsidRPr="00EA7BFC">
        <w:t>utworzenia własnej działalności gospodarczej (1041).</w:t>
      </w:r>
    </w:p>
    <w:p w:rsidR="00435EA4" w:rsidRPr="00EA7BFC" w:rsidRDefault="00435EA4" w:rsidP="00435EA4">
      <w:pPr>
        <w:pStyle w:val="Default"/>
        <w:numPr>
          <w:ilvl w:val="0"/>
          <w:numId w:val="32"/>
        </w:numPr>
        <w:spacing w:line="360" w:lineRule="auto"/>
        <w:ind w:left="1491" w:hanging="357"/>
        <w:jc w:val="both"/>
      </w:pPr>
      <w:r w:rsidRPr="00EA7BFC">
        <w:t>refundacji kosztów utworzenia stanowiska pracy (</w:t>
      </w:r>
      <w:r w:rsidR="00EA7BFC" w:rsidRPr="00EA7BFC">
        <w:t>835</w:t>
      </w:r>
      <w:r w:rsidRPr="00EA7BFC">
        <w:t>),</w:t>
      </w:r>
    </w:p>
    <w:p w:rsidR="001E12C2" w:rsidRPr="00D62B23" w:rsidRDefault="001E12C2" w:rsidP="001E12C2">
      <w:pPr>
        <w:pStyle w:val="Default"/>
        <w:jc w:val="both"/>
        <w:rPr>
          <w:sz w:val="16"/>
          <w:szCs w:val="16"/>
          <w:highlight w:val="yellow"/>
        </w:rPr>
      </w:pPr>
    </w:p>
    <w:p w:rsidR="001E12C2" w:rsidRPr="00D62B23" w:rsidRDefault="001E12C2">
      <w:pPr>
        <w:rPr>
          <w:rFonts w:ascii="Times New Roman" w:hAnsi="Times New Roman" w:cs="Times New Roman"/>
          <w:color w:val="000000"/>
          <w:sz w:val="16"/>
          <w:szCs w:val="16"/>
          <w:highlight w:val="yellow"/>
        </w:rPr>
      </w:pPr>
      <w:r w:rsidRPr="00D62B23">
        <w:rPr>
          <w:sz w:val="16"/>
          <w:szCs w:val="16"/>
          <w:highlight w:val="yellow"/>
        </w:rPr>
        <w:br w:type="page"/>
      </w:r>
    </w:p>
    <w:p w:rsidR="00DA0823" w:rsidRPr="00BC2F62" w:rsidRDefault="0096006B" w:rsidP="00860322">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2" w:name="_Toc81396075"/>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Zwolnienia</w:t>
      </w:r>
      <w:r w:rsidR="00AE5712"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z </w:t>
      </w:r>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przyczyn niedotyczących pracowników</w:t>
      </w:r>
      <w:bookmarkEnd w:id="22"/>
    </w:p>
    <w:p w:rsidR="003B15C6" w:rsidRPr="00D62B23" w:rsidRDefault="003B15C6" w:rsidP="003B15C6">
      <w:pPr>
        <w:pStyle w:val="Default"/>
        <w:jc w:val="both"/>
        <w:rPr>
          <w:sz w:val="16"/>
          <w:szCs w:val="16"/>
          <w:highlight w:val="yellow"/>
        </w:rPr>
      </w:pPr>
    </w:p>
    <w:p w:rsidR="00096E3D" w:rsidRPr="00D62B23" w:rsidRDefault="00D87693" w:rsidP="00BB12AB">
      <w:pPr>
        <w:spacing w:after="0" w:line="240" w:lineRule="auto"/>
        <w:rPr>
          <w:rFonts w:ascii="Times New Roman" w:hAnsi="Times New Roman" w:cs="Times New Roman"/>
          <w:bCs/>
          <w:color w:val="000000"/>
          <w:szCs w:val="24"/>
          <w:highlight w:val="yellow"/>
        </w:rPr>
      </w:pPr>
      <w:r w:rsidRPr="00D87693">
        <w:rPr>
          <w:noProof/>
          <w:lang w:eastAsia="pl-PL"/>
        </w:rPr>
        <w:drawing>
          <wp:inline distT="0" distB="0" distL="0" distR="0" wp14:anchorId="70C34F78" wp14:editId="0FCCB04C">
            <wp:extent cx="5759450" cy="331759"/>
            <wp:effectExtent l="0" t="0" r="0" b="0"/>
            <wp:docPr id="726" name="Obraz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759450" cy="331759"/>
                    </a:xfrm>
                    <a:prstGeom prst="rect">
                      <a:avLst/>
                    </a:prstGeom>
                    <a:noFill/>
                    <a:ln>
                      <a:noFill/>
                    </a:ln>
                  </pic:spPr>
                </pic:pic>
              </a:graphicData>
            </a:graphic>
          </wp:inline>
        </w:drawing>
      </w:r>
    </w:p>
    <w:p w:rsidR="003B15C6" w:rsidRPr="00D62B23" w:rsidRDefault="003B15C6" w:rsidP="00BB12AB">
      <w:pPr>
        <w:spacing w:after="0" w:line="240" w:lineRule="auto"/>
        <w:rPr>
          <w:rFonts w:ascii="Times New Roman" w:hAnsi="Times New Roman" w:cs="Times New Roman"/>
          <w:bCs/>
          <w:color w:val="000000"/>
          <w:sz w:val="18"/>
          <w:szCs w:val="18"/>
          <w:highlight w:val="yellow"/>
        </w:rPr>
      </w:pPr>
    </w:p>
    <w:p w:rsidR="00096E3D" w:rsidRPr="00D62B23" w:rsidRDefault="001704E9" w:rsidP="00BB12AB">
      <w:pPr>
        <w:spacing w:after="0" w:line="240" w:lineRule="auto"/>
        <w:rPr>
          <w:rFonts w:ascii="Times New Roman" w:hAnsi="Times New Roman" w:cs="Times New Roman"/>
          <w:bCs/>
          <w:color w:val="000000"/>
          <w:szCs w:val="24"/>
          <w:highlight w:val="yellow"/>
        </w:rPr>
      </w:pPr>
      <w:r w:rsidRPr="00D62B23">
        <w:rPr>
          <w:rFonts w:ascii="Times New Roman" w:hAnsi="Times New Roman" w:cs="Times New Roman"/>
          <w:bCs/>
          <w:noProof/>
          <w:color w:val="000000"/>
          <w:sz w:val="18"/>
          <w:szCs w:val="18"/>
          <w:highlight w:val="yellow"/>
          <w:lang w:eastAsia="pl-PL"/>
        </w:rPr>
        <mc:AlternateContent>
          <mc:Choice Requires="wps">
            <w:drawing>
              <wp:anchor distT="0" distB="0" distL="114300" distR="114300" simplePos="0" relativeHeight="251856896" behindDoc="0" locked="0" layoutInCell="1" allowOverlap="1" wp14:anchorId="3A941745" wp14:editId="5E4D8CBA">
                <wp:simplePos x="0" y="0"/>
                <wp:positionH relativeFrom="column">
                  <wp:posOffset>2255520</wp:posOffset>
                </wp:positionH>
                <wp:positionV relativeFrom="paragraph">
                  <wp:posOffset>138430</wp:posOffset>
                </wp:positionV>
                <wp:extent cx="3810000" cy="596900"/>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96900"/>
                        </a:xfrm>
                        <a:prstGeom prst="rect">
                          <a:avLst/>
                        </a:prstGeom>
                        <a:noFill/>
                        <a:ln w="9525">
                          <a:noFill/>
                          <a:miter lim="800000"/>
                          <a:headEnd/>
                          <a:tailEnd/>
                        </a:ln>
                      </wps:spPr>
                      <wps:txbx>
                        <w:txbxContent>
                          <w:p w:rsidR="00077ACD" w:rsidRDefault="00077ACD" w:rsidP="001704E9">
                            <w:pPr>
                              <w:spacing w:after="0" w:line="240" w:lineRule="auto"/>
                              <w:rPr>
                                <w:rFonts w:ascii="Times New Roman" w:hAnsi="Times New Roman" w:cs="Times New Roman"/>
                                <w:bCs/>
                                <w:color w:val="000000"/>
                                <w:szCs w:val="24"/>
                              </w:rPr>
                            </w:pPr>
                            <w:r w:rsidRPr="001E12C2">
                              <w:rPr>
                                <w:rFonts w:ascii="Times New Roman" w:hAnsi="Times New Roman" w:cs="Times New Roman"/>
                                <w:bCs/>
                                <w:color w:val="000000"/>
                                <w:szCs w:val="24"/>
                              </w:rPr>
                              <w:t>Osoby zgłoszone oraz zwolnione z przyczyn</w:t>
                            </w:r>
                          </w:p>
                          <w:p w:rsidR="00077ACD" w:rsidRDefault="00077ACD" w:rsidP="001704E9">
                            <w:pPr>
                              <w:spacing w:after="0" w:line="240" w:lineRule="auto"/>
                              <w:rPr>
                                <w:rFonts w:ascii="Times New Roman" w:hAnsi="Times New Roman" w:cs="Times New Roman"/>
                                <w:bCs/>
                                <w:color w:val="000000"/>
                                <w:szCs w:val="24"/>
                              </w:rPr>
                            </w:pPr>
                            <w:r w:rsidRPr="001E12C2">
                              <w:rPr>
                                <w:rFonts w:ascii="Times New Roman" w:hAnsi="Times New Roman" w:cs="Times New Roman"/>
                                <w:bCs/>
                                <w:color w:val="000000"/>
                                <w:szCs w:val="24"/>
                              </w:rPr>
                              <w:t>niedotyczących pracowników w województwie podkarpackim</w:t>
                            </w:r>
                          </w:p>
                          <w:p w:rsidR="00077ACD" w:rsidRDefault="00077ACD" w:rsidP="001704E9">
                            <w:pPr>
                              <w:spacing w:after="0" w:line="240" w:lineRule="auto"/>
                            </w:pPr>
                            <w:r w:rsidRPr="001E12C2">
                              <w:rPr>
                                <w:rFonts w:ascii="Times New Roman" w:hAnsi="Times New Roman" w:cs="Times New Roman"/>
                                <w:bCs/>
                                <w:color w:val="000000"/>
                                <w:szCs w:val="24"/>
                              </w:rPr>
                              <w:t>w</w:t>
                            </w:r>
                            <w:r>
                              <w:rPr>
                                <w:rFonts w:ascii="Times New Roman" w:hAnsi="Times New Roman" w:cs="Times New Roman"/>
                                <w:bCs/>
                                <w:color w:val="000000"/>
                                <w:szCs w:val="24"/>
                              </w:rPr>
                              <w:t xml:space="preserve"> </w:t>
                            </w:r>
                            <w:r w:rsidRPr="001E12C2">
                              <w:rPr>
                                <w:rFonts w:ascii="Times New Roman" w:hAnsi="Times New Roman" w:cs="Times New Roman"/>
                                <w:bCs/>
                                <w:color w:val="000000"/>
                                <w:szCs w:val="24"/>
                              </w:rPr>
                              <w:t xml:space="preserve">I półroczach </w:t>
                            </w:r>
                            <w:r>
                              <w:rPr>
                                <w:rFonts w:ascii="Times New Roman" w:hAnsi="Times New Roman" w:cs="Times New Roman"/>
                                <w:bCs/>
                                <w:color w:val="000000"/>
                                <w:szCs w:val="24"/>
                              </w:rPr>
                              <w:t>w okresie od 20</w:t>
                            </w:r>
                            <w:r w:rsidRPr="001E12C2">
                              <w:rPr>
                                <w:rFonts w:ascii="Times New Roman" w:hAnsi="Times New Roman" w:cs="Times New Roman"/>
                                <w:bCs/>
                                <w:color w:val="000000"/>
                                <w:szCs w:val="24"/>
                              </w:rPr>
                              <w:t>0</w:t>
                            </w:r>
                            <w:r>
                              <w:rPr>
                                <w:rFonts w:ascii="Times New Roman" w:hAnsi="Times New Roman" w:cs="Times New Roman"/>
                                <w:bCs/>
                                <w:color w:val="000000"/>
                                <w:szCs w:val="24"/>
                              </w:rPr>
                              <w:t>7 do 2021 roku.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77.6pt;margin-top:10.9pt;width:300pt;height:4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YSEgIAAAAEAAAOAAAAZHJzL2Uyb0RvYy54bWysU8Fu2zAMvQ/YPwi6L3bSpE2MKEXXrsOA&#10;bivQ7QMUWY6FSqImKbGzrx8lO1mw3Yb5YFAi+cj3SK1ve6PJQfqgwDI6nZSUSCugVnbH6Pdvj++W&#10;lITIbc01WMnoUQZ6u3n7Zt25Ss6gBV1LTxDEhqpzjLYxuqoogmil4WECTlp0NuANj3j0u6L2vEN0&#10;o4tZWV4XHfjaeRAyBLx9GJx0k/GbRor4tWmCjEQzir3F/Pf5v03/YrPm1c5z1yoxtsH/oQvDlcWi&#10;Z6gHHjnZe/UXlFHCQ4AmTgSYAppGCZk5IJtp+Qebl5Y7mbmgOMGdZQr/D1Z8OTx7ompGr8obSiw3&#10;OKRn0JJE+RoidJLMkkidCxXGvjiMjv176HHYmXBwTyBeA7Fw33K7k3feQ9dKXmOT05RZXKQOOCGB&#10;bLvPUGMtvo+QgfrGm6QgakIQHYd1PA9I9pEIvLxaTkv8KBHoW6yuV2inErw6ZTsf4kcJhiSDUY8L&#10;kNH54SnEIfQUkopZeFRa4z2vtCUdo6vFbJETLjxGRdxRrQyjy1R+3JpE8oOtc3LkSg829qLtyDoR&#10;HSjHfttnlZcnMbdQH1EGD8NK4hNCowX/k5IO15HR8GPPvaREf7Io5Wo6n6f9zYf54maGB3/p2V56&#10;uBUIxWikZDDvY975gfIdSt6orEaazdDJ2DKuWdZzfBJpjy/POer3w938AgAA//8DAFBLAwQUAAYA&#10;CAAAACEAx/cBed0AAAAKAQAADwAAAGRycy9kb3ducmV2LnhtbEyPTU/DMAyG70j7D5EncWNJC0Vb&#10;13SaQFxBjA9pt6zx2mqNUzXZWv49hgscbT96/bzFZnKduOAQWk8akoUCgVR521Kt4f3t6WYJIkRD&#10;1nSeUMMXBtiUs6vC5NaP9IqXXawFh1DIjYYmxj6XMlQNOhMWvkfi29EPzkQeh1rawYwc7jqZKnUv&#10;nWmJPzSmx4cGq9Pu7DR8PB/3n3fqpX50WT/6SUlyK6n19XzarkFEnOIfDD/6rA4lOx38mWwQnYbb&#10;LEsZ1ZAmXIGB1e/iwGSSLUGWhfxfofwGAAD//wMAUEsBAi0AFAAGAAgAAAAhALaDOJL+AAAA4QEA&#10;ABMAAAAAAAAAAAAAAAAAAAAAAFtDb250ZW50X1R5cGVzXS54bWxQSwECLQAUAAYACAAAACEAOP0h&#10;/9YAAACUAQAACwAAAAAAAAAAAAAAAAAvAQAAX3JlbHMvLnJlbHNQSwECLQAUAAYACAAAACEApWmm&#10;EhICAAAABAAADgAAAAAAAAAAAAAAAAAuAgAAZHJzL2Uyb0RvYy54bWxQSwECLQAUAAYACAAAACEA&#10;x/cBed0AAAAKAQAADwAAAAAAAAAAAAAAAABsBAAAZHJzL2Rvd25yZXYueG1sUEsFBgAAAAAEAAQA&#10;8wAAAHYFAAAAAA==&#10;" filled="f" stroked="f">
                <v:textbox>
                  <w:txbxContent>
                    <w:p w:rsidR="00077ACD" w:rsidRDefault="00077ACD" w:rsidP="001704E9">
                      <w:pPr>
                        <w:spacing w:after="0" w:line="240" w:lineRule="auto"/>
                        <w:rPr>
                          <w:rFonts w:ascii="Times New Roman" w:hAnsi="Times New Roman" w:cs="Times New Roman"/>
                          <w:bCs/>
                          <w:color w:val="000000"/>
                          <w:szCs w:val="24"/>
                        </w:rPr>
                      </w:pPr>
                      <w:r w:rsidRPr="001E12C2">
                        <w:rPr>
                          <w:rFonts w:ascii="Times New Roman" w:hAnsi="Times New Roman" w:cs="Times New Roman"/>
                          <w:bCs/>
                          <w:color w:val="000000"/>
                          <w:szCs w:val="24"/>
                        </w:rPr>
                        <w:t>Osoby zgłoszone oraz zwolnione z przyczyn</w:t>
                      </w:r>
                    </w:p>
                    <w:p w:rsidR="00077ACD" w:rsidRDefault="00077ACD" w:rsidP="001704E9">
                      <w:pPr>
                        <w:spacing w:after="0" w:line="240" w:lineRule="auto"/>
                        <w:rPr>
                          <w:rFonts w:ascii="Times New Roman" w:hAnsi="Times New Roman" w:cs="Times New Roman"/>
                          <w:bCs/>
                          <w:color w:val="000000"/>
                          <w:szCs w:val="24"/>
                        </w:rPr>
                      </w:pPr>
                      <w:r w:rsidRPr="001E12C2">
                        <w:rPr>
                          <w:rFonts w:ascii="Times New Roman" w:hAnsi="Times New Roman" w:cs="Times New Roman"/>
                          <w:bCs/>
                          <w:color w:val="000000"/>
                          <w:szCs w:val="24"/>
                        </w:rPr>
                        <w:t>niedotyczących pracowników w województwie podkarpackim</w:t>
                      </w:r>
                    </w:p>
                    <w:p w:rsidR="00077ACD" w:rsidRDefault="00077ACD" w:rsidP="001704E9">
                      <w:pPr>
                        <w:spacing w:after="0" w:line="240" w:lineRule="auto"/>
                      </w:pPr>
                      <w:r w:rsidRPr="001E12C2">
                        <w:rPr>
                          <w:rFonts w:ascii="Times New Roman" w:hAnsi="Times New Roman" w:cs="Times New Roman"/>
                          <w:bCs/>
                          <w:color w:val="000000"/>
                          <w:szCs w:val="24"/>
                        </w:rPr>
                        <w:t>w</w:t>
                      </w:r>
                      <w:r>
                        <w:rPr>
                          <w:rFonts w:ascii="Times New Roman" w:hAnsi="Times New Roman" w:cs="Times New Roman"/>
                          <w:bCs/>
                          <w:color w:val="000000"/>
                          <w:szCs w:val="24"/>
                        </w:rPr>
                        <w:t xml:space="preserve"> </w:t>
                      </w:r>
                      <w:r w:rsidRPr="001E12C2">
                        <w:rPr>
                          <w:rFonts w:ascii="Times New Roman" w:hAnsi="Times New Roman" w:cs="Times New Roman"/>
                          <w:bCs/>
                          <w:color w:val="000000"/>
                          <w:szCs w:val="24"/>
                        </w:rPr>
                        <w:t xml:space="preserve">I półroczach </w:t>
                      </w:r>
                      <w:r>
                        <w:rPr>
                          <w:rFonts w:ascii="Times New Roman" w:hAnsi="Times New Roman" w:cs="Times New Roman"/>
                          <w:bCs/>
                          <w:color w:val="000000"/>
                          <w:szCs w:val="24"/>
                        </w:rPr>
                        <w:t>w okresie od 20</w:t>
                      </w:r>
                      <w:r w:rsidRPr="001E12C2">
                        <w:rPr>
                          <w:rFonts w:ascii="Times New Roman" w:hAnsi="Times New Roman" w:cs="Times New Roman"/>
                          <w:bCs/>
                          <w:color w:val="000000"/>
                          <w:szCs w:val="24"/>
                        </w:rPr>
                        <w:t>0</w:t>
                      </w:r>
                      <w:r>
                        <w:rPr>
                          <w:rFonts w:ascii="Times New Roman" w:hAnsi="Times New Roman" w:cs="Times New Roman"/>
                          <w:bCs/>
                          <w:color w:val="000000"/>
                          <w:szCs w:val="24"/>
                        </w:rPr>
                        <w:t>7 do 2021 roku.</w:t>
                      </w:r>
                    </w:p>
                  </w:txbxContent>
                </v:textbox>
              </v:shape>
            </w:pict>
          </mc:Fallback>
        </mc:AlternateContent>
      </w:r>
      <w:r w:rsidR="00D87693">
        <w:rPr>
          <w:noProof/>
          <w:lang w:eastAsia="pl-PL"/>
        </w:rPr>
        <w:drawing>
          <wp:anchor distT="0" distB="0" distL="114300" distR="114300" simplePos="0" relativeHeight="251860992" behindDoc="0" locked="0" layoutInCell="1" allowOverlap="1" wp14:anchorId="601CB387" wp14:editId="48203AD4">
            <wp:simplePos x="0" y="0"/>
            <wp:positionH relativeFrom="column">
              <wp:posOffset>2163445</wp:posOffset>
            </wp:positionH>
            <wp:positionV relativeFrom="paragraph">
              <wp:posOffset>647700</wp:posOffset>
            </wp:positionV>
            <wp:extent cx="4230370" cy="2483485"/>
            <wp:effectExtent l="0" t="0" r="0" b="0"/>
            <wp:wrapSquare wrapText="bothSides"/>
            <wp:docPr id="728" name="Wykres 7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14:sizeRelH relativeFrom="page">
              <wp14:pctWidth>0</wp14:pctWidth>
            </wp14:sizeRelH>
            <wp14:sizeRelV relativeFrom="page">
              <wp14:pctHeight>0</wp14:pctHeight>
            </wp14:sizeRelV>
          </wp:anchor>
        </w:drawing>
      </w:r>
      <w:r w:rsidR="00D87693" w:rsidRPr="00D87693">
        <w:rPr>
          <w:noProof/>
          <w:lang w:eastAsia="pl-PL"/>
        </w:rPr>
        <w:drawing>
          <wp:inline distT="0" distB="0" distL="0" distR="0" wp14:anchorId="177DA95D" wp14:editId="4AD7202A">
            <wp:extent cx="2019935" cy="3180080"/>
            <wp:effectExtent l="0" t="0" r="0" b="1270"/>
            <wp:docPr id="727" name="Obraz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19935" cy="3180080"/>
                    </a:xfrm>
                    <a:prstGeom prst="rect">
                      <a:avLst/>
                    </a:prstGeom>
                    <a:noFill/>
                    <a:ln>
                      <a:noFill/>
                    </a:ln>
                  </pic:spPr>
                </pic:pic>
              </a:graphicData>
            </a:graphic>
          </wp:inline>
        </w:drawing>
      </w:r>
    </w:p>
    <w:p w:rsidR="003B15C6" w:rsidRPr="00D62B23" w:rsidRDefault="003B15C6" w:rsidP="00BB12AB">
      <w:pPr>
        <w:spacing w:after="0" w:line="240" w:lineRule="auto"/>
        <w:rPr>
          <w:rFonts w:ascii="Times New Roman" w:hAnsi="Times New Roman" w:cs="Times New Roman"/>
          <w:bCs/>
          <w:color w:val="000000"/>
          <w:sz w:val="16"/>
          <w:szCs w:val="16"/>
          <w:highlight w:val="yellow"/>
        </w:rPr>
      </w:pPr>
    </w:p>
    <w:p w:rsidR="008121C5" w:rsidRPr="00EA7BFC" w:rsidRDefault="00492E52" w:rsidP="005A64A3">
      <w:pPr>
        <w:pStyle w:val="Default"/>
        <w:pBdr>
          <w:bottom w:val="single" w:sz="4" w:space="1" w:color="auto"/>
        </w:pBdr>
        <w:jc w:val="both"/>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EA7BFC">
        <w:rPr>
          <w:rFonts w:ascii="Arial Black" w:hAnsi="Arial Black"/>
          <w:b/>
          <w:color w:val="F79646" w:themeColor="accent6"/>
          <w:sz w:val="28"/>
          <w:szCs w:val="2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Wnioski</w:t>
      </w:r>
    </w:p>
    <w:p w:rsidR="008121C5" w:rsidRPr="00EA7BFC" w:rsidRDefault="008121C5" w:rsidP="005A64A3">
      <w:pPr>
        <w:pStyle w:val="Tekstpodstawowywcity"/>
        <w:pBdr>
          <w:bottom w:val="single" w:sz="4" w:space="1" w:color="auto"/>
        </w:pBdr>
        <w:spacing w:after="0" w:line="360" w:lineRule="auto"/>
        <w:ind w:left="0"/>
        <w:jc w:val="both"/>
        <w:rPr>
          <w:rFonts w:ascii="Times New Roman" w:hAnsi="Times New Roman" w:cs="Times New Roman"/>
          <w:sz w:val="16"/>
          <w:szCs w:val="16"/>
        </w:rPr>
      </w:pPr>
      <w:r w:rsidRPr="00EA7BFC">
        <w:rPr>
          <w:rFonts w:ascii="Times New Roman" w:hAnsi="Times New Roman" w:cs="Times New Roman"/>
          <w:sz w:val="16"/>
          <w:szCs w:val="16"/>
        </w:rPr>
        <w:t>(na podstawie danych</w:t>
      </w:r>
      <w:r w:rsidR="00AE5712" w:rsidRPr="00EA7BFC">
        <w:rPr>
          <w:rFonts w:ascii="Times New Roman" w:hAnsi="Times New Roman" w:cs="Times New Roman"/>
          <w:sz w:val="16"/>
          <w:szCs w:val="16"/>
        </w:rPr>
        <w:t xml:space="preserve"> z</w:t>
      </w:r>
      <w:r w:rsidR="001E12C2" w:rsidRPr="00EA7BFC">
        <w:rPr>
          <w:rFonts w:ascii="Times New Roman" w:hAnsi="Times New Roman" w:cs="Times New Roman"/>
          <w:sz w:val="16"/>
          <w:szCs w:val="16"/>
        </w:rPr>
        <w:t xml:space="preserve"> </w:t>
      </w:r>
      <w:r w:rsidR="00BD0309" w:rsidRPr="00EA7BFC">
        <w:rPr>
          <w:rFonts w:ascii="Times New Roman" w:hAnsi="Times New Roman" w:cs="Times New Roman"/>
          <w:sz w:val="16"/>
          <w:szCs w:val="16"/>
        </w:rPr>
        <w:t>tabeli XXV</w:t>
      </w:r>
      <w:r w:rsidR="00846195" w:rsidRPr="00EA7BFC">
        <w:rPr>
          <w:rFonts w:ascii="Times New Roman" w:hAnsi="Times New Roman" w:cs="Times New Roman"/>
          <w:sz w:val="16"/>
          <w:szCs w:val="16"/>
        </w:rPr>
        <w:t xml:space="preserve"> i</w:t>
      </w:r>
      <w:r w:rsidR="00BD0309" w:rsidRPr="00EA7BFC">
        <w:rPr>
          <w:rFonts w:ascii="Times New Roman" w:hAnsi="Times New Roman" w:cs="Times New Roman"/>
          <w:sz w:val="16"/>
          <w:szCs w:val="16"/>
        </w:rPr>
        <w:t xml:space="preserve"> </w:t>
      </w:r>
      <w:r w:rsidR="003E3617" w:rsidRPr="00EA7BFC">
        <w:rPr>
          <w:rFonts w:ascii="Times New Roman" w:hAnsi="Times New Roman" w:cs="Times New Roman"/>
          <w:sz w:val="16"/>
          <w:szCs w:val="16"/>
        </w:rPr>
        <w:t>w</w:t>
      </w:r>
      <w:r w:rsidR="00F261F7" w:rsidRPr="00EA7BFC">
        <w:rPr>
          <w:rFonts w:ascii="Times New Roman" w:hAnsi="Times New Roman" w:cs="Times New Roman"/>
          <w:sz w:val="16"/>
          <w:szCs w:val="16"/>
        </w:rPr>
        <w:t>ykresu</w:t>
      </w:r>
      <w:r w:rsidRPr="00EA7BFC">
        <w:rPr>
          <w:rFonts w:ascii="Times New Roman" w:hAnsi="Times New Roman" w:cs="Times New Roman"/>
          <w:sz w:val="16"/>
          <w:szCs w:val="16"/>
        </w:rPr>
        <w:t>)</w:t>
      </w:r>
    </w:p>
    <w:p w:rsidR="00201D31" w:rsidRPr="00D62B23" w:rsidRDefault="00201D31" w:rsidP="008121C5">
      <w:pPr>
        <w:pStyle w:val="Tekstpodstawowywcity"/>
        <w:spacing w:after="0" w:line="360" w:lineRule="auto"/>
        <w:ind w:left="0"/>
        <w:jc w:val="both"/>
        <w:rPr>
          <w:rFonts w:ascii="Times New Roman" w:hAnsi="Times New Roman" w:cs="Times New Roman"/>
          <w:sz w:val="16"/>
          <w:szCs w:val="16"/>
          <w:highlight w:val="yellow"/>
        </w:rPr>
      </w:pPr>
    </w:p>
    <w:p w:rsidR="008121C5" w:rsidRPr="00EF50D6" w:rsidRDefault="001941FF" w:rsidP="007E1B52">
      <w:pPr>
        <w:pStyle w:val="Bezodstpw"/>
        <w:numPr>
          <w:ilvl w:val="0"/>
          <w:numId w:val="10"/>
        </w:numPr>
        <w:spacing w:line="360" w:lineRule="auto"/>
        <w:ind w:left="357" w:hanging="357"/>
        <w:jc w:val="both"/>
        <w:rPr>
          <w:rFonts w:ascii="Times New Roman" w:hAnsi="Times New Roman" w:cs="Times New Roman"/>
          <w:sz w:val="24"/>
          <w:szCs w:val="24"/>
        </w:rPr>
      </w:pPr>
      <w:r w:rsidRPr="00EF50D6">
        <w:rPr>
          <w:rFonts w:ascii="Times New Roman" w:hAnsi="Times New Roman" w:cs="Times New Roman"/>
          <w:b/>
          <w:sz w:val="24"/>
          <w:szCs w:val="24"/>
        </w:rPr>
        <w:t>Zgłoszenia</w:t>
      </w:r>
      <w:r w:rsidRPr="00EF50D6">
        <w:rPr>
          <w:rFonts w:ascii="Times New Roman" w:hAnsi="Times New Roman" w:cs="Times New Roman"/>
          <w:sz w:val="24"/>
          <w:szCs w:val="24"/>
        </w:rPr>
        <w:t xml:space="preserve">. </w:t>
      </w:r>
      <w:r w:rsidR="00EC43FA" w:rsidRPr="00EF50D6">
        <w:rPr>
          <w:rFonts w:ascii="Times New Roman" w:hAnsi="Times New Roman" w:cs="Times New Roman"/>
          <w:sz w:val="24"/>
          <w:szCs w:val="24"/>
        </w:rPr>
        <w:t>W I półroczu 20</w:t>
      </w:r>
      <w:r w:rsidR="00096E3D" w:rsidRPr="00EF50D6">
        <w:rPr>
          <w:rFonts w:ascii="Times New Roman" w:hAnsi="Times New Roman" w:cs="Times New Roman"/>
          <w:sz w:val="24"/>
          <w:szCs w:val="24"/>
        </w:rPr>
        <w:t>2</w:t>
      </w:r>
      <w:r w:rsidR="00EA7BFC" w:rsidRPr="00EF50D6">
        <w:rPr>
          <w:rFonts w:ascii="Times New Roman" w:hAnsi="Times New Roman" w:cs="Times New Roman"/>
          <w:sz w:val="24"/>
          <w:szCs w:val="24"/>
        </w:rPr>
        <w:t>1</w:t>
      </w:r>
      <w:r w:rsidR="00EC43FA" w:rsidRPr="00EF50D6">
        <w:rPr>
          <w:rFonts w:ascii="Times New Roman" w:hAnsi="Times New Roman" w:cs="Times New Roman"/>
          <w:sz w:val="24"/>
          <w:szCs w:val="24"/>
        </w:rPr>
        <w:t xml:space="preserve"> r</w:t>
      </w:r>
      <w:r w:rsidR="00096E3D" w:rsidRPr="00EF50D6">
        <w:rPr>
          <w:rFonts w:ascii="Times New Roman" w:hAnsi="Times New Roman" w:cs="Times New Roman"/>
          <w:sz w:val="24"/>
          <w:szCs w:val="24"/>
        </w:rPr>
        <w:t>oku</w:t>
      </w:r>
      <w:r w:rsidR="00EC43FA" w:rsidRPr="00EF50D6">
        <w:rPr>
          <w:rFonts w:ascii="Times New Roman" w:hAnsi="Times New Roman" w:cs="Times New Roman"/>
          <w:sz w:val="24"/>
          <w:szCs w:val="24"/>
        </w:rPr>
        <w:t xml:space="preserve"> </w:t>
      </w:r>
      <w:r w:rsidR="00364EC9">
        <w:rPr>
          <w:rFonts w:ascii="Times New Roman" w:hAnsi="Times New Roman" w:cs="Times New Roman"/>
          <w:sz w:val="24"/>
          <w:szCs w:val="24"/>
        </w:rPr>
        <w:t xml:space="preserve">pracodawcy zgłosili </w:t>
      </w:r>
      <w:r w:rsidR="00364EC9" w:rsidRPr="00EF50D6">
        <w:rPr>
          <w:rFonts w:ascii="Times New Roman" w:hAnsi="Times New Roman" w:cs="Times New Roman"/>
          <w:sz w:val="24"/>
          <w:szCs w:val="24"/>
        </w:rPr>
        <w:t>do PUP</w:t>
      </w:r>
      <w:r w:rsidR="00364EC9">
        <w:rPr>
          <w:rFonts w:ascii="Times New Roman" w:hAnsi="Times New Roman" w:cs="Times New Roman"/>
          <w:sz w:val="24"/>
          <w:szCs w:val="24"/>
        </w:rPr>
        <w:t xml:space="preserve"> zamiar </w:t>
      </w:r>
      <w:r w:rsidR="0096006B" w:rsidRPr="00EF50D6">
        <w:rPr>
          <w:rFonts w:ascii="Times New Roman" w:hAnsi="Times New Roman" w:cs="Times New Roman"/>
          <w:sz w:val="24"/>
          <w:szCs w:val="24"/>
        </w:rPr>
        <w:t>zwolnie</w:t>
      </w:r>
      <w:r w:rsidR="008203E9" w:rsidRPr="00EF50D6">
        <w:rPr>
          <w:rFonts w:ascii="Times New Roman" w:hAnsi="Times New Roman" w:cs="Times New Roman"/>
          <w:sz w:val="24"/>
          <w:szCs w:val="24"/>
        </w:rPr>
        <w:t xml:space="preserve">ń </w:t>
      </w:r>
      <w:r w:rsidR="00364EC9">
        <w:rPr>
          <w:rFonts w:ascii="Times New Roman" w:hAnsi="Times New Roman" w:cs="Times New Roman"/>
          <w:sz w:val="24"/>
          <w:szCs w:val="24"/>
        </w:rPr>
        <w:t xml:space="preserve">grupowych </w:t>
      </w:r>
      <w:r w:rsidR="00AF7F46" w:rsidRPr="00EF50D6">
        <w:rPr>
          <w:rFonts w:ascii="Times New Roman" w:hAnsi="Times New Roman" w:cs="Times New Roman"/>
          <w:sz w:val="24"/>
          <w:szCs w:val="24"/>
        </w:rPr>
        <w:t xml:space="preserve">dla </w:t>
      </w:r>
      <w:r w:rsidR="00EF50D6" w:rsidRPr="00EF50D6">
        <w:rPr>
          <w:rFonts w:ascii="Times New Roman" w:hAnsi="Times New Roman" w:cs="Times New Roman"/>
          <w:sz w:val="24"/>
          <w:szCs w:val="24"/>
        </w:rPr>
        <w:t>88</w:t>
      </w:r>
      <w:r w:rsidR="0096006B" w:rsidRPr="00EF50D6">
        <w:rPr>
          <w:rFonts w:ascii="Times New Roman" w:hAnsi="Times New Roman" w:cs="Times New Roman"/>
          <w:sz w:val="24"/>
          <w:szCs w:val="24"/>
        </w:rPr>
        <w:t xml:space="preserve"> pracowników (w</w:t>
      </w:r>
      <w:r w:rsidR="008203E9" w:rsidRPr="00EF50D6">
        <w:rPr>
          <w:rFonts w:ascii="Times New Roman" w:hAnsi="Times New Roman" w:cs="Times New Roman"/>
          <w:sz w:val="24"/>
          <w:szCs w:val="24"/>
        </w:rPr>
        <w:t> </w:t>
      </w:r>
      <w:r w:rsidR="00507D07" w:rsidRPr="00EF50D6">
        <w:rPr>
          <w:rFonts w:ascii="Times New Roman" w:hAnsi="Times New Roman" w:cs="Times New Roman"/>
          <w:sz w:val="24"/>
          <w:szCs w:val="24"/>
        </w:rPr>
        <w:t>I</w:t>
      </w:r>
      <w:r w:rsidR="008203E9" w:rsidRPr="00EF50D6">
        <w:rPr>
          <w:rFonts w:ascii="Times New Roman" w:hAnsi="Times New Roman" w:cs="Times New Roman"/>
          <w:sz w:val="24"/>
          <w:szCs w:val="24"/>
        </w:rPr>
        <w:t> </w:t>
      </w:r>
      <w:r w:rsidR="00507D07" w:rsidRPr="00EF50D6">
        <w:rPr>
          <w:rFonts w:ascii="Times New Roman" w:hAnsi="Times New Roman" w:cs="Times New Roman"/>
          <w:sz w:val="24"/>
          <w:szCs w:val="24"/>
        </w:rPr>
        <w:t xml:space="preserve">półroczu </w:t>
      </w:r>
      <w:r w:rsidR="0096006B" w:rsidRPr="00EF50D6">
        <w:rPr>
          <w:rFonts w:ascii="Times New Roman" w:hAnsi="Times New Roman" w:cs="Times New Roman"/>
          <w:sz w:val="24"/>
          <w:szCs w:val="24"/>
        </w:rPr>
        <w:t>20</w:t>
      </w:r>
      <w:r w:rsidR="00EF50D6" w:rsidRPr="00EF50D6">
        <w:rPr>
          <w:rFonts w:ascii="Times New Roman" w:hAnsi="Times New Roman" w:cs="Times New Roman"/>
          <w:sz w:val="24"/>
          <w:szCs w:val="24"/>
        </w:rPr>
        <w:t>20</w:t>
      </w:r>
      <w:r w:rsidR="00AE5712" w:rsidRPr="00EF50D6">
        <w:rPr>
          <w:rFonts w:ascii="Times New Roman" w:hAnsi="Times New Roman" w:cs="Times New Roman"/>
          <w:sz w:val="24"/>
          <w:szCs w:val="24"/>
        </w:rPr>
        <w:t> r</w:t>
      </w:r>
      <w:r w:rsidR="00096E3D" w:rsidRPr="00EF50D6">
        <w:rPr>
          <w:rFonts w:ascii="Times New Roman" w:hAnsi="Times New Roman" w:cs="Times New Roman"/>
          <w:sz w:val="24"/>
          <w:szCs w:val="24"/>
        </w:rPr>
        <w:t>oku</w:t>
      </w:r>
      <w:r w:rsidR="00087226" w:rsidRPr="00EF50D6">
        <w:rPr>
          <w:rFonts w:ascii="Times New Roman" w:hAnsi="Times New Roman" w:cs="Times New Roman"/>
          <w:sz w:val="24"/>
          <w:szCs w:val="24"/>
        </w:rPr>
        <w:t xml:space="preserve"> – </w:t>
      </w:r>
      <w:r w:rsidR="00EF50D6" w:rsidRPr="00EF50D6">
        <w:rPr>
          <w:rFonts w:ascii="Times New Roman" w:hAnsi="Times New Roman" w:cs="Times New Roman"/>
          <w:sz w:val="24"/>
          <w:szCs w:val="24"/>
        </w:rPr>
        <w:t>3035</w:t>
      </w:r>
      <w:r w:rsidR="0096006B" w:rsidRPr="00EF50D6">
        <w:rPr>
          <w:rFonts w:ascii="Times New Roman" w:hAnsi="Times New Roman" w:cs="Times New Roman"/>
          <w:sz w:val="24"/>
          <w:szCs w:val="24"/>
        </w:rPr>
        <w:t xml:space="preserve"> pracowników).</w:t>
      </w:r>
    </w:p>
    <w:p w:rsidR="008121C5" w:rsidRPr="00807DD0" w:rsidRDefault="001941FF" w:rsidP="00160DBC">
      <w:pPr>
        <w:pStyle w:val="Bezodstpw"/>
        <w:numPr>
          <w:ilvl w:val="0"/>
          <w:numId w:val="10"/>
        </w:numPr>
        <w:spacing w:line="360" w:lineRule="auto"/>
        <w:jc w:val="both"/>
        <w:rPr>
          <w:rFonts w:ascii="Times New Roman" w:hAnsi="Times New Roman" w:cs="Times New Roman"/>
          <w:sz w:val="24"/>
          <w:szCs w:val="24"/>
        </w:rPr>
      </w:pPr>
      <w:r w:rsidRPr="00807DD0">
        <w:rPr>
          <w:rFonts w:ascii="Times New Roman" w:hAnsi="Times New Roman" w:cs="Times New Roman"/>
          <w:b/>
          <w:sz w:val="24"/>
          <w:szCs w:val="24"/>
        </w:rPr>
        <w:t>Zwolnienia</w:t>
      </w:r>
      <w:r w:rsidRPr="00807DD0">
        <w:rPr>
          <w:rFonts w:ascii="Times New Roman" w:hAnsi="Times New Roman" w:cs="Times New Roman"/>
          <w:sz w:val="24"/>
          <w:szCs w:val="24"/>
        </w:rPr>
        <w:t xml:space="preserve">. </w:t>
      </w:r>
      <w:r w:rsidR="0096006B" w:rsidRPr="00807DD0">
        <w:rPr>
          <w:rFonts w:ascii="Times New Roman" w:hAnsi="Times New Roman" w:cs="Times New Roman"/>
          <w:sz w:val="24"/>
          <w:szCs w:val="24"/>
        </w:rPr>
        <w:t>Wypowiedzenia umów</w:t>
      </w:r>
      <w:r w:rsidR="00AE5712" w:rsidRPr="00807DD0">
        <w:rPr>
          <w:rFonts w:ascii="Times New Roman" w:hAnsi="Times New Roman" w:cs="Times New Roman"/>
          <w:sz w:val="24"/>
          <w:szCs w:val="24"/>
        </w:rPr>
        <w:t xml:space="preserve"> o </w:t>
      </w:r>
      <w:r w:rsidR="0096006B" w:rsidRPr="00807DD0">
        <w:rPr>
          <w:rFonts w:ascii="Times New Roman" w:hAnsi="Times New Roman" w:cs="Times New Roman"/>
          <w:sz w:val="24"/>
          <w:szCs w:val="24"/>
        </w:rPr>
        <w:t>pracę</w:t>
      </w:r>
      <w:r w:rsidR="00AE5712" w:rsidRPr="00807DD0">
        <w:rPr>
          <w:rFonts w:ascii="Times New Roman" w:hAnsi="Times New Roman" w:cs="Times New Roman"/>
          <w:sz w:val="24"/>
          <w:szCs w:val="24"/>
        </w:rPr>
        <w:t xml:space="preserve"> z </w:t>
      </w:r>
      <w:r w:rsidR="0096006B" w:rsidRPr="00807DD0">
        <w:rPr>
          <w:rFonts w:ascii="Times New Roman" w:hAnsi="Times New Roman" w:cs="Times New Roman"/>
          <w:sz w:val="24"/>
          <w:szCs w:val="24"/>
        </w:rPr>
        <w:t>przyczyn niedotyczących pracowników</w:t>
      </w:r>
      <w:r w:rsidR="00C837FF" w:rsidRPr="00807DD0">
        <w:rPr>
          <w:rFonts w:ascii="Times New Roman" w:hAnsi="Times New Roman" w:cs="Times New Roman"/>
          <w:sz w:val="24"/>
          <w:szCs w:val="24"/>
        </w:rPr>
        <w:t xml:space="preserve"> </w:t>
      </w:r>
      <w:r w:rsidR="0096006B" w:rsidRPr="00807DD0">
        <w:rPr>
          <w:rFonts w:ascii="Times New Roman" w:hAnsi="Times New Roman" w:cs="Times New Roman"/>
          <w:sz w:val="24"/>
          <w:szCs w:val="24"/>
        </w:rPr>
        <w:t xml:space="preserve">otrzymało </w:t>
      </w:r>
      <w:r w:rsidR="00EF50D6" w:rsidRPr="00807DD0">
        <w:rPr>
          <w:rFonts w:ascii="Times New Roman" w:hAnsi="Times New Roman" w:cs="Times New Roman"/>
          <w:sz w:val="24"/>
          <w:szCs w:val="24"/>
        </w:rPr>
        <w:t>238</w:t>
      </w:r>
      <w:r w:rsidR="0096006B" w:rsidRPr="00807DD0">
        <w:rPr>
          <w:rFonts w:ascii="Times New Roman" w:hAnsi="Times New Roman" w:cs="Times New Roman"/>
          <w:sz w:val="24"/>
          <w:szCs w:val="24"/>
        </w:rPr>
        <w:t xml:space="preserve"> os</w:t>
      </w:r>
      <w:r w:rsidR="00CA3E5B" w:rsidRPr="00807DD0">
        <w:rPr>
          <w:rFonts w:ascii="Times New Roman" w:hAnsi="Times New Roman" w:cs="Times New Roman"/>
          <w:sz w:val="24"/>
          <w:szCs w:val="24"/>
        </w:rPr>
        <w:t>ó</w:t>
      </w:r>
      <w:r w:rsidR="0096006B" w:rsidRPr="00807DD0">
        <w:rPr>
          <w:rFonts w:ascii="Times New Roman" w:hAnsi="Times New Roman" w:cs="Times New Roman"/>
          <w:sz w:val="24"/>
          <w:szCs w:val="24"/>
        </w:rPr>
        <w:t>b</w:t>
      </w:r>
      <w:r w:rsidR="00807DD0">
        <w:rPr>
          <w:rFonts w:ascii="Times New Roman" w:hAnsi="Times New Roman" w:cs="Times New Roman"/>
          <w:sz w:val="24"/>
          <w:szCs w:val="24"/>
        </w:rPr>
        <w:t xml:space="preserve"> (część ze zgłoszeń z 2020 roku)</w:t>
      </w:r>
      <w:r w:rsidR="0096006B" w:rsidRPr="00807DD0">
        <w:rPr>
          <w:rFonts w:ascii="Times New Roman" w:hAnsi="Times New Roman" w:cs="Times New Roman"/>
          <w:sz w:val="24"/>
          <w:szCs w:val="24"/>
        </w:rPr>
        <w:t>.</w:t>
      </w:r>
      <w:r w:rsidR="007066E6" w:rsidRPr="00807DD0">
        <w:rPr>
          <w:rFonts w:ascii="Times New Roman" w:hAnsi="Times New Roman" w:cs="Times New Roman"/>
          <w:sz w:val="24"/>
          <w:szCs w:val="24"/>
        </w:rPr>
        <w:t xml:space="preserve"> </w:t>
      </w:r>
      <w:r w:rsidR="0096006B" w:rsidRPr="00807DD0">
        <w:rPr>
          <w:rFonts w:ascii="Times New Roman" w:hAnsi="Times New Roman" w:cs="Times New Roman"/>
          <w:sz w:val="24"/>
          <w:szCs w:val="24"/>
        </w:rPr>
        <w:t xml:space="preserve">Ponadto </w:t>
      </w:r>
      <w:r w:rsidR="00BE7914" w:rsidRPr="00807DD0">
        <w:rPr>
          <w:rFonts w:ascii="Times New Roman" w:hAnsi="Times New Roman" w:cs="Times New Roman"/>
          <w:sz w:val="24"/>
          <w:szCs w:val="24"/>
        </w:rPr>
        <w:t xml:space="preserve">wg stanu na </w:t>
      </w:r>
      <w:r w:rsidR="00087226" w:rsidRPr="00807DD0">
        <w:rPr>
          <w:rFonts w:ascii="Times New Roman" w:hAnsi="Times New Roman" w:cs="Times New Roman"/>
          <w:sz w:val="24"/>
          <w:szCs w:val="24"/>
        </w:rPr>
        <w:t>3</w:t>
      </w:r>
      <w:r w:rsidR="00C626C3" w:rsidRPr="00807DD0">
        <w:rPr>
          <w:rFonts w:ascii="Times New Roman" w:hAnsi="Times New Roman" w:cs="Times New Roman"/>
          <w:sz w:val="24"/>
          <w:szCs w:val="24"/>
        </w:rPr>
        <w:t>0</w:t>
      </w:r>
      <w:r w:rsidR="00365760" w:rsidRPr="00807DD0">
        <w:rPr>
          <w:rFonts w:ascii="Times New Roman" w:hAnsi="Times New Roman" w:cs="Times New Roman"/>
          <w:sz w:val="24"/>
          <w:szCs w:val="24"/>
        </w:rPr>
        <w:t xml:space="preserve"> </w:t>
      </w:r>
      <w:r w:rsidR="00C626C3" w:rsidRPr="00807DD0">
        <w:rPr>
          <w:rFonts w:ascii="Times New Roman" w:hAnsi="Times New Roman" w:cs="Times New Roman"/>
          <w:sz w:val="24"/>
          <w:szCs w:val="24"/>
        </w:rPr>
        <w:t>VI</w:t>
      </w:r>
      <w:r w:rsidR="00365760" w:rsidRPr="00807DD0">
        <w:rPr>
          <w:rFonts w:ascii="Times New Roman" w:hAnsi="Times New Roman" w:cs="Times New Roman"/>
          <w:sz w:val="24"/>
          <w:szCs w:val="24"/>
        </w:rPr>
        <w:t xml:space="preserve"> </w:t>
      </w:r>
      <w:r w:rsidR="00C626C3" w:rsidRPr="00807DD0">
        <w:rPr>
          <w:rFonts w:ascii="Times New Roman" w:hAnsi="Times New Roman" w:cs="Times New Roman"/>
          <w:sz w:val="24"/>
          <w:szCs w:val="24"/>
        </w:rPr>
        <w:t>20</w:t>
      </w:r>
      <w:r w:rsidR="00AF7F46" w:rsidRPr="00807DD0">
        <w:rPr>
          <w:rFonts w:ascii="Times New Roman" w:hAnsi="Times New Roman" w:cs="Times New Roman"/>
          <w:sz w:val="24"/>
          <w:szCs w:val="24"/>
        </w:rPr>
        <w:t>2</w:t>
      </w:r>
      <w:r w:rsidR="00EF50D6" w:rsidRPr="00807DD0">
        <w:rPr>
          <w:rFonts w:ascii="Times New Roman" w:hAnsi="Times New Roman" w:cs="Times New Roman"/>
          <w:sz w:val="24"/>
          <w:szCs w:val="24"/>
        </w:rPr>
        <w:t>1</w:t>
      </w:r>
      <w:r w:rsidR="009B26E7" w:rsidRPr="00807DD0">
        <w:rPr>
          <w:rFonts w:ascii="Times New Roman" w:hAnsi="Times New Roman" w:cs="Times New Roman"/>
          <w:sz w:val="24"/>
          <w:szCs w:val="24"/>
        </w:rPr>
        <w:t xml:space="preserve"> r</w:t>
      </w:r>
      <w:r w:rsidR="00AF7F46" w:rsidRPr="00807DD0">
        <w:rPr>
          <w:rFonts w:ascii="Times New Roman" w:hAnsi="Times New Roman" w:cs="Times New Roman"/>
          <w:sz w:val="24"/>
          <w:szCs w:val="24"/>
        </w:rPr>
        <w:t>oku</w:t>
      </w:r>
      <w:r w:rsidR="00BE7914" w:rsidRPr="00807DD0">
        <w:rPr>
          <w:rFonts w:ascii="Times New Roman" w:hAnsi="Times New Roman" w:cs="Times New Roman"/>
          <w:sz w:val="24"/>
          <w:szCs w:val="24"/>
        </w:rPr>
        <w:t> </w:t>
      </w:r>
      <w:r w:rsidR="00BF391A" w:rsidRPr="00807DD0">
        <w:rPr>
          <w:rFonts w:ascii="Times New Roman" w:hAnsi="Times New Roman" w:cs="Times New Roman"/>
          <w:sz w:val="24"/>
          <w:szCs w:val="24"/>
        </w:rPr>
        <w:t xml:space="preserve">na dalsze wypowiedzenia </w:t>
      </w:r>
      <w:r w:rsidR="00BE7914" w:rsidRPr="00807DD0">
        <w:rPr>
          <w:rFonts w:ascii="Times New Roman" w:hAnsi="Times New Roman" w:cs="Times New Roman"/>
          <w:sz w:val="24"/>
          <w:szCs w:val="24"/>
        </w:rPr>
        <w:t>oczek</w:t>
      </w:r>
      <w:r w:rsidR="00AF7F46" w:rsidRPr="00807DD0">
        <w:rPr>
          <w:rFonts w:ascii="Times New Roman" w:hAnsi="Times New Roman" w:cs="Times New Roman"/>
          <w:sz w:val="24"/>
          <w:szCs w:val="24"/>
        </w:rPr>
        <w:t xml:space="preserve">iwało </w:t>
      </w:r>
      <w:r w:rsidR="00807DD0" w:rsidRPr="00807DD0">
        <w:rPr>
          <w:rFonts w:ascii="Times New Roman" w:hAnsi="Times New Roman" w:cs="Times New Roman"/>
          <w:sz w:val="24"/>
          <w:szCs w:val="24"/>
        </w:rPr>
        <w:t>55</w:t>
      </w:r>
      <w:r w:rsidR="0096006B" w:rsidRPr="00807DD0">
        <w:rPr>
          <w:rFonts w:ascii="Times New Roman" w:hAnsi="Times New Roman" w:cs="Times New Roman"/>
          <w:sz w:val="24"/>
          <w:szCs w:val="24"/>
        </w:rPr>
        <w:t xml:space="preserve"> pracowników. </w:t>
      </w:r>
    </w:p>
    <w:p w:rsidR="00010BE1" w:rsidRPr="00390421" w:rsidRDefault="004601B6" w:rsidP="00160DBC">
      <w:pPr>
        <w:pStyle w:val="Bezodstpw"/>
        <w:numPr>
          <w:ilvl w:val="0"/>
          <w:numId w:val="10"/>
        </w:numPr>
        <w:spacing w:line="360" w:lineRule="auto"/>
        <w:jc w:val="both"/>
        <w:rPr>
          <w:rFonts w:ascii="Times New Roman" w:hAnsi="Times New Roman" w:cs="Times New Roman"/>
          <w:sz w:val="24"/>
          <w:szCs w:val="24"/>
        </w:rPr>
      </w:pPr>
      <w:r w:rsidRPr="00390421">
        <w:rPr>
          <w:rFonts w:ascii="Times New Roman" w:hAnsi="Times New Roman" w:cs="Times New Roman"/>
          <w:b/>
          <w:sz w:val="24"/>
          <w:szCs w:val="24"/>
        </w:rPr>
        <w:t>Rejestracje</w:t>
      </w:r>
      <w:r w:rsidR="00F31475" w:rsidRPr="00390421">
        <w:rPr>
          <w:rFonts w:ascii="Times New Roman" w:hAnsi="Times New Roman" w:cs="Times New Roman"/>
          <w:b/>
          <w:sz w:val="24"/>
          <w:szCs w:val="24"/>
        </w:rPr>
        <w:t xml:space="preserve"> (w półroczu)</w:t>
      </w:r>
      <w:r w:rsidRPr="00390421">
        <w:rPr>
          <w:rFonts w:ascii="Times New Roman" w:hAnsi="Times New Roman" w:cs="Times New Roman"/>
          <w:sz w:val="24"/>
          <w:szCs w:val="24"/>
        </w:rPr>
        <w:t>.</w:t>
      </w:r>
      <w:r w:rsidR="0072373D" w:rsidRPr="00390421">
        <w:rPr>
          <w:rFonts w:ascii="Times New Roman" w:hAnsi="Times New Roman" w:cs="Times New Roman"/>
          <w:sz w:val="24"/>
          <w:szCs w:val="24"/>
        </w:rPr>
        <w:t xml:space="preserve"> </w:t>
      </w:r>
      <w:r w:rsidR="00F31475" w:rsidRPr="00390421">
        <w:rPr>
          <w:rFonts w:ascii="Times New Roman" w:hAnsi="Times New Roman" w:cs="Times New Roman"/>
          <w:sz w:val="24"/>
          <w:szCs w:val="24"/>
        </w:rPr>
        <w:t>Z łącznej liczby nowo zarejestrowanych bezrobotnych</w:t>
      </w:r>
      <w:r w:rsidR="00010BE1" w:rsidRPr="00390421">
        <w:rPr>
          <w:rFonts w:ascii="Times New Roman" w:hAnsi="Times New Roman" w:cs="Times New Roman"/>
          <w:sz w:val="24"/>
          <w:szCs w:val="24"/>
        </w:rPr>
        <w:t xml:space="preserve"> (tzw. „napływu”)</w:t>
      </w:r>
      <w:r w:rsidR="00390421" w:rsidRPr="00390421">
        <w:rPr>
          <w:rFonts w:ascii="Times New Roman" w:hAnsi="Times New Roman" w:cs="Times New Roman"/>
          <w:sz w:val="24"/>
          <w:szCs w:val="24"/>
        </w:rPr>
        <w:t xml:space="preserve"> </w:t>
      </w:r>
      <w:r w:rsidR="00F31475" w:rsidRPr="00390421">
        <w:rPr>
          <w:rFonts w:ascii="Times New Roman" w:hAnsi="Times New Roman" w:cs="Times New Roman"/>
          <w:sz w:val="24"/>
          <w:szCs w:val="24"/>
        </w:rPr>
        <w:t>w</w:t>
      </w:r>
      <w:r w:rsidR="00390421" w:rsidRPr="00390421">
        <w:rPr>
          <w:rFonts w:ascii="Times New Roman" w:hAnsi="Times New Roman" w:cs="Times New Roman"/>
          <w:sz w:val="24"/>
          <w:szCs w:val="24"/>
        </w:rPr>
        <w:t xml:space="preserve"> </w:t>
      </w:r>
      <w:r w:rsidR="00F31475" w:rsidRPr="00390421">
        <w:rPr>
          <w:rFonts w:ascii="Times New Roman" w:hAnsi="Times New Roman" w:cs="Times New Roman"/>
          <w:sz w:val="24"/>
          <w:szCs w:val="24"/>
        </w:rPr>
        <w:t>I</w:t>
      </w:r>
      <w:r w:rsidR="00390421" w:rsidRPr="00390421">
        <w:rPr>
          <w:rFonts w:ascii="Times New Roman" w:hAnsi="Times New Roman" w:cs="Times New Roman"/>
          <w:sz w:val="24"/>
          <w:szCs w:val="24"/>
        </w:rPr>
        <w:t xml:space="preserve"> </w:t>
      </w:r>
      <w:r w:rsidR="00F31475" w:rsidRPr="00390421">
        <w:rPr>
          <w:rFonts w:ascii="Times New Roman" w:hAnsi="Times New Roman" w:cs="Times New Roman"/>
          <w:sz w:val="24"/>
          <w:szCs w:val="24"/>
        </w:rPr>
        <w:t>półroczu 20</w:t>
      </w:r>
      <w:r w:rsidR="00AF7F46" w:rsidRPr="00390421">
        <w:rPr>
          <w:rFonts w:ascii="Times New Roman" w:hAnsi="Times New Roman" w:cs="Times New Roman"/>
          <w:sz w:val="24"/>
          <w:szCs w:val="24"/>
        </w:rPr>
        <w:t>2</w:t>
      </w:r>
      <w:r w:rsidR="00807DD0" w:rsidRPr="00390421">
        <w:rPr>
          <w:rFonts w:ascii="Times New Roman" w:hAnsi="Times New Roman" w:cs="Times New Roman"/>
          <w:sz w:val="24"/>
          <w:szCs w:val="24"/>
        </w:rPr>
        <w:t>1</w:t>
      </w:r>
      <w:r w:rsidR="00F31475" w:rsidRPr="00390421">
        <w:rPr>
          <w:rFonts w:ascii="Times New Roman" w:hAnsi="Times New Roman" w:cs="Times New Roman"/>
          <w:sz w:val="24"/>
          <w:szCs w:val="24"/>
        </w:rPr>
        <w:t xml:space="preserve"> r</w:t>
      </w:r>
      <w:r w:rsidR="00AF7F46" w:rsidRPr="00390421">
        <w:rPr>
          <w:rFonts w:ascii="Times New Roman" w:hAnsi="Times New Roman" w:cs="Times New Roman"/>
          <w:sz w:val="24"/>
          <w:szCs w:val="24"/>
        </w:rPr>
        <w:t>oku</w:t>
      </w:r>
      <w:r w:rsidR="009A5C18" w:rsidRPr="00390421">
        <w:rPr>
          <w:rFonts w:ascii="Times New Roman" w:hAnsi="Times New Roman" w:cs="Times New Roman"/>
          <w:sz w:val="24"/>
          <w:szCs w:val="24"/>
        </w:rPr>
        <w:t xml:space="preserve"> </w:t>
      </w:r>
      <w:r w:rsidR="00AF7F46" w:rsidRPr="00390421">
        <w:rPr>
          <w:rFonts w:ascii="Times New Roman" w:hAnsi="Times New Roman" w:cs="Times New Roman"/>
          <w:sz w:val="24"/>
          <w:szCs w:val="24"/>
        </w:rPr>
        <w:t>(</w:t>
      </w:r>
      <w:r w:rsidR="00390421" w:rsidRPr="00390421">
        <w:rPr>
          <w:rFonts w:ascii="Times New Roman" w:hAnsi="Times New Roman" w:cs="Times New Roman"/>
          <w:sz w:val="24"/>
          <w:szCs w:val="24"/>
        </w:rPr>
        <w:t>41652</w:t>
      </w:r>
      <w:r w:rsidR="00F31475" w:rsidRPr="00390421">
        <w:rPr>
          <w:rFonts w:ascii="Times New Roman" w:hAnsi="Times New Roman" w:cs="Times New Roman"/>
          <w:sz w:val="24"/>
          <w:szCs w:val="24"/>
        </w:rPr>
        <w:t xml:space="preserve"> osób</w:t>
      </w:r>
      <w:r w:rsidR="00AF7F46" w:rsidRPr="00390421">
        <w:rPr>
          <w:rFonts w:ascii="Times New Roman" w:hAnsi="Times New Roman" w:cs="Times New Roman"/>
          <w:sz w:val="24"/>
          <w:szCs w:val="24"/>
        </w:rPr>
        <w:t>),</w:t>
      </w:r>
      <w:r w:rsidR="00F31475" w:rsidRPr="00390421">
        <w:rPr>
          <w:rFonts w:ascii="Times New Roman" w:hAnsi="Times New Roman" w:cs="Times New Roman"/>
          <w:sz w:val="24"/>
          <w:szCs w:val="24"/>
        </w:rPr>
        <w:t xml:space="preserve"> </w:t>
      </w:r>
      <w:r w:rsidR="00390421" w:rsidRPr="00390421">
        <w:rPr>
          <w:rFonts w:ascii="Times New Roman" w:hAnsi="Times New Roman" w:cs="Times New Roman"/>
          <w:sz w:val="24"/>
          <w:szCs w:val="24"/>
        </w:rPr>
        <w:t>1</w:t>
      </w:r>
      <w:r w:rsidR="00010BE1" w:rsidRPr="00390421">
        <w:rPr>
          <w:rFonts w:ascii="Times New Roman" w:hAnsi="Times New Roman" w:cs="Times New Roman"/>
          <w:sz w:val="24"/>
          <w:szCs w:val="24"/>
        </w:rPr>
        <w:t>80</w:t>
      </w:r>
      <w:r w:rsidR="00390421" w:rsidRPr="00390421">
        <w:rPr>
          <w:rFonts w:ascii="Times New Roman" w:hAnsi="Times New Roman" w:cs="Times New Roman"/>
          <w:sz w:val="24"/>
          <w:szCs w:val="24"/>
        </w:rPr>
        <w:t>5</w:t>
      </w:r>
      <w:r w:rsidR="00F31475" w:rsidRPr="00390421">
        <w:rPr>
          <w:rFonts w:ascii="Times New Roman" w:hAnsi="Times New Roman" w:cs="Times New Roman"/>
          <w:sz w:val="24"/>
          <w:szCs w:val="24"/>
        </w:rPr>
        <w:t xml:space="preserve"> osób (</w:t>
      </w:r>
      <w:r w:rsidR="00390421" w:rsidRPr="00390421">
        <w:rPr>
          <w:rFonts w:ascii="Times New Roman" w:hAnsi="Times New Roman" w:cs="Times New Roman"/>
          <w:sz w:val="24"/>
          <w:szCs w:val="24"/>
        </w:rPr>
        <w:t>4</w:t>
      </w:r>
      <w:r w:rsidR="00F31475" w:rsidRPr="00390421">
        <w:rPr>
          <w:rFonts w:ascii="Times New Roman" w:hAnsi="Times New Roman" w:cs="Times New Roman"/>
          <w:sz w:val="24"/>
          <w:szCs w:val="24"/>
        </w:rPr>
        <w:t>,</w:t>
      </w:r>
      <w:r w:rsidR="00390421" w:rsidRPr="00390421">
        <w:rPr>
          <w:rFonts w:ascii="Times New Roman" w:hAnsi="Times New Roman" w:cs="Times New Roman"/>
          <w:sz w:val="24"/>
          <w:szCs w:val="24"/>
        </w:rPr>
        <w:t>3</w:t>
      </w:r>
      <w:r w:rsidR="00640239">
        <w:rPr>
          <w:rFonts w:ascii="Times New Roman" w:hAnsi="Times New Roman" w:cs="Times New Roman"/>
          <w:sz w:val="24"/>
          <w:szCs w:val="24"/>
        </w:rPr>
        <w:t xml:space="preserve"> proc.</w:t>
      </w:r>
      <w:r w:rsidR="00F31475" w:rsidRPr="00390421">
        <w:rPr>
          <w:rFonts w:ascii="Times New Roman" w:hAnsi="Times New Roman" w:cs="Times New Roman"/>
          <w:sz w:val="24"/>
          <w:szCs w:val="24"/>
        </w:rPr>
        <w:t>) przed zarejestrowaniem w powiatowym urzędzie pracy było uprzednio zwolnionych z przyczyn leżących po stronie zakładu pracy (w okresie</w:t>
      </w:r>
      <w:r w:rsidR="00AF7F46" w:rsidRPr="00390421">
        <w:rPr>
          <w:rFonts w:ascii="Times New Roman" w:hAnsi="Times New Roman" w:cs="Times New Roman"/>
          <w:sz w:val="24"/>
          <w:szCs w:val="24"/>
        </w:rPr>
        <w:t xml:space="preserve"> </w:t>
      </w:r>
      <w:r w:rsidR="00F31475" w:rsidRPr="00390421">
        <w:rPr>
          <w:rFonts w:ascii="Times New Roman" w:hAnsi="Times New Roman" w:cs="Times New Roman"/>
          <w:sz w:val="24"/>
          <w:szCs w:val="24"/>
        </w:rPr>
        <w:t>I</w:t>
      </w:r>
      <w:r w:rsidR="00AF7F46" w:rsidRPr="00390421">
        <w:rPr>
          <w:rFonts w:ascii="Times New Roman" w:hAnsi="Times New Roman" w:cs="Times New Roman"/>
          <w:sz w:val="24"/>
          <w:szCs w:val="24"/>
        </w:rPr>
        <w:t xml:space="preserve"> </w:t>
      </w:r>
      <w:r w:rsidR="00F31475" w:rsidRPr="00390421">
        <w:rPr>
          <w:rFonts w:ascii="Times New Roman" w:hAnsi="Times New Roman" w:cs="Times New Roman"/>
          <w:sz w:val="24"/>
          <w:szCs w:val="24"/>
        </w:rPr>
        <w:t>półrocza 20</w:t>
      </w:r>
      <w:r w:rsidR="00807DD0" w:rsidRPr="00390421">
        <w:rPr>
          <w:rFonts w:ascii="Times New Roman" w:hAnsi="Times New Roman" w:cs="Times New Roman"/>
          <w:sz w:val="24"/>
          <w:szCs w:val="24"/>
        </w:rPr>
        <w:t>20</w:t>
      </w:r>
      <w:r w:rsidR="00F31475" w:rsidRPr="00390421">
        <w:rPr>
          <w:rFonts w:ascii="Times New Roman" w:hAnsi="Times New Roman" w:cs="Times New Roman"/>
          <w:sz w:val="24"/>
          <w:szCs w:val="24"/>
        </w:rPr>
        <w:t> r</w:t>
      </w:r>
      <w:r w:rsidR="00AF7F46" w:rsidRPr="00390421">
        <w:rPr>
          <w:rFonts w:ascii="Times New Roman" w:hAnsi="Times New Roman" w:cs="Times New Roman"/>
          <w:sz w:val="24"/>
          <w:szCs w:val="24"/>
        </w:rPr>
        <w:t>oku</w:t>
      </w:r>
      <w:r w:rsidR="00F31475" w:rsidRPr="00390421">
        <w:rPr>
          <w:rFonts w:ascii="Times New Roman" w:hAnsi="Times New Roman" w:cs="Times New Roman"/>
          <w:sz w:val="24"/>
          <w:szCs w:val="24"/>
        </w:rPr>
        <w:t xml:space="preserve"> – </w:t>
      </w:r>
      <w:r w:rsidR="00807DD0" w:rsidRPr="00390421">
        <w:rPr>
          <w:rFonts w:ascii="Times New Roman" w:hAnsi="Times New Roman" w:cs="Times New Roman"/>
          <w:sz w:val="24"/>
          <w:szCs w:val="24"/>
        </w:rPr>
        <w:t>5</w:t>
      </w:r>
      <w:r w:rsidR="00F31475" w:rsidRPr="00390421">
        <w:rPr>
          <w:rFonts w:ascii="Times New Roman" w:hAnsi="Times New Roman" w:cs="Times New Roman"/>
          <w:sz w:val="24"/>
          <w:szCs w:val="24"/>
        </w:rPr>
        <w:t>,</w:t>
      </w:r>
      <w:r w:rsidR="00807DD0" w:rsidRPr="00390421">
        <w:rPr>
          <w:rFonts w:ascii="Times New Roman" w:hAnsi="Times New Roman" w:cs="Times New Roman"/>
          <w:sz w:val="24"/>
          <w:szCs w:val="24"/>
        </w:rPr>
        <w:t>7</w:t>
      </w:r>
      <w:r w:rsidR="00640239">
        <w:rPr>
          <w:rFonts w:ascii="Times New Roman" w:hAnsi="Times New Roman" w:cs="Times New Roman"/>
          <w:sz w:val="24"/>
          <w:szCs w:val="24"/>
        </w:rPr>
        <w:t xml:space="preserve"> proc.</w:t>
      </w:r>
      <w:r w:rsidR="00F31475" w:rsidRPr="00390421">
        <w:rPr>
          <w:rFonts w:ascii="Times New Roman" w:hAnsi="Times New Roman" w:cs="Times New Roman"/>
          <w:sz w:val="24"/>
          <w:szCs w:val="24"/>
        </w:rPr>
        <w:t>).</w:t>
      </w:r>
    </w:p>
    <w:p w:rsidR="0096006B" w:rsidRPr="00390421" w:rsidRDefault="00010BE1" w:rsidP="00390421">
      <w:pPr>
        <w:pStyle w:val="Bezodstpw"/>
        <w:numPr>
          <w:ilvl w:val="0"/>
          <w:numId w:val="10"/>
        </w:numPr>
        <w:spacing w:line="360" w:lineRule="auto"/>
        <w:jc w:val="both"/>
        <w:rPr>
          <w:rFonts w:ascii="Times New Roman" w:hAnsi="Times New Roman" w:cs="Times New Roman"/>
          <w:sz w:val="24"/>
          <w:szCs w:val="24"/>
        </w:rPr>
      </w:pPr>
      <w:r w:rsidRPr="00390421">
        <w:rPr>
          <w:rFonts w:ascii="Times New Roman" w:hAnsi="Times New Roman" w:cs="Times New Roman"/>
          <w:b/>
          <w:sz w:val="24"/>
          <w:szCs w:val="24"/>
        </w:rPr>
        <w:t>Rejestracje (stan na koniec okresu)</w:t>
      </w:r>
      <w:r w:rsidRPr="00390421">
        <w:rPr>
          <w:rFonts w:ascii="Times New Roman" w:hAnsi="Times New Roman" w:cs="Times New Roman"/>
          <w:sz w:val="24"/>
          <w:szCs w:val="24"/>
        </w:rPr>
        <w:t xml:space="preserve">. </w:t>
      </w:r>
      <w:r w:rsidR="00F31475" w:rsidRPr="00390421">
        <w:rPr>
          <w:rFonts w:ascii="Times New Roman" w:hAnsi="Times New Roman" w:cs="Times New Roman"/>
          <w:sz w:val="24"/>
          <w:szCs w:val="24"/>
        </w:rPr>
        <w:t xml:space="preserve"> </w:t>
      </w:r>
      <w:r w:rsidR="005C14D0" w:rsidRPr="00390421">
        <w:rPr>
          <w:rFonts w:ascii="Times New Roman" w:hAnsi="Times New Roman" w:cs="Times New Roman"/>
          <w:sz w:val="24"/>
          <w:szCs w:val="24"/>
        </w:rPr>
        <w:t>Osoby zwolnione</w:t>
      </w:r>
      <w:r w:rsidR="00AE5712" w:rsidRPr="00390421">
        <w:rPr>
          <w:rFonts w:ascii="Times New Roman" w:hAnsi="Times New Roman" w:cs="Times New Roman"/>
          <w:sz w:val="24"/>
          <w:szCs w:val="24"/>
        </w:rPr>
        <w:t xml:space="preserve"> z </w:t>
      </w:r>
      <w:r w:rsidR="005C14D0" w:rsidRPr="00390421">
        <w:rPr>
          <w:rFonts w:ascii="Times New Roman" w:hAnsi="Times New Roman" w:cs="Times New Roman"/>
          <w:sz w:val="24"/>
          <w:szCs w:val="24"/>
        </w:rPr>
        <w:t xml:space="preserve">przyczyn niedotyczących pracowników stanowiły </w:t>
      </w:r>
      <w:r w:rsidR="00390421" w:rsidRPr="00390421">
        <w:rPr>
          <w:rFonts w:ascii="Times New Roman" w:hAnsi="Times New Roman" w:cs="Times New Roman"/>
          <w:sz w:val="24"/>
          <w:szCs w:val="24"/>
        </w:rPr>
        <w:t>4</w:t>
      </w:r>
      <w:r w:rsidR="005C14D0" w:rsidRPr="00390421">
        <w:rPr>
          <w:rFonts w:ascii="Times New Roman" w:hAnsi="Times New Roman" w:cs="Times New Roman"/>
          <w:sz w:val="24"/>
          <w:szCs w:val="24"/>
        </w:rPr>
        <w:t>,</w:t>
      </w:r>
      <w:r w:rsidR="00390421" w:rsidRPr="00390421">
        <w:rPr>
          <w:rFonts w:ascii="Times New Roman" w:hAnsi="Times New Roman" w:cs="Times New Roman"/>
          <w:sz w:val="24"/>
          <w:szCs w:val="24"/>
        </w:rPr>
        <w:t>8</w:t>
      </w:r>
      <w:r w:rsidR="00640239">
        <w:rPr>
          <w:rFonts w:ascii="Times New Roman" w:hAnsi="Times New Roman" w:cs="Times New Roman"/>
          <w:sz w:val="24"/>
          <w:szCs w:val="24"/>
        </w:rPr>
        <w:t xml:space="preserve"> proc.</w:t>
      </w:r>
      <w:r w:rsidR="00365760" w:rsidRPr="00390421">
        <w:rPr>
          <w:rFonts w:ascii="Times New Roman" w:hAnsi="Times New Roman" w:cs="Times New Roman"/>
          <w:sz w:val="24"/>
          <w:szCs w:val="24"/>
        </w:rPr>
        <w:t xml:space="preserve"> </w:t>
      </w:r>
      <w:r w:rsidR="005C14D0" w:rsidRPr="00390421">
        <w:rPr>
          <w:rFonts w:ascii="Times New Roman" w:hAnsi="Times New Roman" w:cs="Times New Roman"/>
          <w:sz w:val="24"/>
          <w:szCs w:val="24"/>
        </w:rPr>
        <w:t>ogółu bezrobotnych</w:t>
      </w:r>
      <w:r w:rsidR="00390421" w:rsidRPr="00390421">
        <w:rPr>
          <w:rFonts w:ascii="Times New Roman" w:hAnsi="Times New Roman" w:cs="Times New Roman"/>
          <w:sz w:val="24"/>
          <w:szCs w:val="24"/>
        </w:rPr>
        <w:t xml:space="preserve"> – </w:t>
      </w:r>
      <w:r w:rsidR="004601B6" w:rsidRPr="00390421">
        <w:rPr>
          <w:rFonts w:ascii="Times New Roman" w:hAnsi="Times New Roman" w:cs="Times New Roman"/>
          <w:sz w:val="24"/>
          <w:szCs w:val="24"/>
        </w:rPr>
        <w:t>w</w:t>
      </w:r>
      <w:r w:rsidR="005C14D0" w:rsidRPr="00390421">
        <w:rPr>
          <w:rFonts w:ascii="Times New Roman" w:hAnsi="Times New Roman" w:cs="Times New Roman"/>
          <w:sz w:val="24"/>
          <w:szCs w:val="24"/>
        </w:rPr>
        <w:t xml:space="preserve">g stanu na </w:t>
      </w:r>
      <w:r w:rsidR="00244A0E" w:rsidRPr="00390421">
        <w:rPr>
          <w:rFonts w:ascii="Times New Roman" w:hAnsi="Times New Roman" w:cs="Times New Roman"/>
          <w:sz w:val="24"/>
          <w:szCs w:val="24"/>
        </w:rPr>
        <w:t>3</w:t>
      </w:r>
      <w:r w:rsidR="00C626C3" w:rsidRPr="00390421">
        <w:rPr>
          <w:rFonts w:ascii="Times New Roman" w:hAnsi="Times New Roman" w:cs="Times New Roman"/>
          <w:sz w:val="24"/>
          <w:szCs w:val="24"/>
        </w:rPr>
        <w:t>0</w:t>
      </w:r>
      <w:r w:rsidR="00365760" w:rsidRPr="00390421">
        <w:rPr>
          <w:rFonts w:ascii="Times New Roman" w:hAnsi="Times New Roman" w:cs="Times New Roman"/>
          <w:sz w:val="24"/>
          <w:szCs w:val="24"/>
        </w:rPr>
        <w:t> </w:t>
      </w:r>
      <w:r w:rsidR="00C626C3" w:rsidRPr="00390421">
        <w:rPr>
          <w:rFonts w:ascii="Times New Roman" w:hAnsi="Times New Roman" w:cs="Times New Roman"/>
          <w:sz w:val="24"/>
          <w:szCs w:val="24"/>
        </w:rPr>
        <w:t>VI</w:t>
      </w:r>
      <w:r w:rsidR="00365760" w:rsidRPr="00390421">
        <w:rPr>
          <w:rFonts w:ascii="Times New Roman" w:hAnsi="Times New Roman" w:cs="Times New Roman"/>
          <w:sz w:val="24"/>
          <w:szCs w:val="24"/>
        </w:rPr>
        <w:t> </w:t>
      </w:r>
      <w:r w:rsidR="00AF7F46" w:rsidRPr="00390421">
        <w:rPr>
          <w:rFonts w:ascii="Times New Roman" w:hAnsi="Times New Roman" w:cs="Times New Roman"/>
          <w:sz w:val="24"/>
          <w:szCs w:val="24"/>
        </w:rPr>
        <w:t>202</w:t>
      </w:r>
      <w:r w:rsidR="00390421" w:rsidRPr="00390421">
        <w:rPr>
          <w:rFonts w:ascii="Times New Roman" w:hAnsi="Times New Roman" w:cs="Times New Roman"/>
          <w:sz w:val="24"/>
          <w:szCs w:val="24"/>
        </w:rPr>
        <w:t>1</w:t>
      </w:r>
      <w:r w:rsidR="00C626C3" w:rsidRPr="00390421">
        <w:rPr>
          <w:rFonts w:ascii="Times New Roman" w:hAnsi="Times New Roman" w:cs="Times New Roman"/>
          <w:sz w:val="24"/>
          <w:szCs w:val="24"/>
        </w:rPr>
        <w:t xml:space="preserve"> </w:t>
      </w:r>
      <w:r w:rsidR="005C14D0" w:rsidRPr="00390421">
        <w:rPr>
          <w:rFonts w:ascii="Times New Roman" w:hAnsi="Times New Roman" w:cs="Times New Roman"/>
          <w:sz w:val="24"/>
          <w:szCs w:val="24"/>
        </w:rPr>
        <w:t>r</w:t>
      </w:r>
      <w:r w:rsidR="00AF7F46" w:rsidRPr="00390421">
        <w:rPr>
          <w:rFonts w:ascii="Times New Roman" w:hAnsi="Times New Roman" w:cs="Times New Roman"/>
          <w:sz w:val="24"/>
          <w:szCs w:val="24"/>
        </w:rPr>
        <w:t>oku</w:t>
      </w:r>
      <w:r w:rsidR="005C14D0" w:rsidRPr="00390421">
        <w:rPr>
          <w:rFonts w:ascii="Times New Roman" w:hAnsi="Times New Roman" w:cs="Times New Roman"/>
          <w:sz w:val="24"/>
          <w:szCs w:val="24"/>
        </w:rPr>
        <w:t xml:space="preserve"> (</w:t>
      </w:r>
      <w:r w:rsidR="008121C5" w:rsidRPr="00390421">
        <w:rPr>
          <w:rFonts w:ascii="Times New Roman" w:hAnsi="Times New Roman" w:cs="Times New Roman"/>
          <w:sz w:val="24"/>
          <w:szCs w:val="24"/>
        </w:rPr>
        <w:t>3</w:t>
      </w:r>
      <w:r w:rsidR="00C626C3" w:rsidRPr="00390421">
        <w:rPr>
          <w:rFonts w:ascii="Times New Roman" w:hAnsi="Times New Roman" w:cs="Times New Roman"/>
          <w:sz w:val="24"/>
          <w:szCs w:val="24"/>
        </w:rPr>
        <w:t>0</w:t>
      </w:r>
      <w:r w:rsidR="00365760" w:rsidRPr="00390421">
        <w:rPr>
          <w:rFonts w:ascii="Times New Roman" w:hAnsi="Times New Roman" w:cs="Times New Roman"/>
          <w:sz w:val="24"/>
          <w:szCs w:val="24"/>
        </w:rPr>
        <w:t xml:space="preserve"> </w:t>
      </w:r>
      <w:r w:rsidR="00C626C3" w:rsidRPr="00390421">
        <w:rPr>
          <w:rFonts w:ascii="Times New Roman" w:hAnsi="Times New Roman" w:cs="Times New Roman"/>
          <w:sz w:val="24"/>
          <w:szCs w:val="24"/>
        </w:rPr>
        <w:t xml:space="preserve">VI </w:t>
      </w:r>
      <w:r w:rsidR="00AF7F46" w:rsidRPr="00390421">
        <w:rPr>
          <w:rFonts w:ascii="Times New Roman" w:hAnsi="Times New Roman" w:cs="Times New Roman"/>
          <w:sz w:val="24"/>
          <w:szCs w:val="24"/>
        </w:rPr>
        <w:t>20</w:t>
      </w:r>
      <w:r w:rsidR="00390421" w:rsidRPr="00390421">
        <w:rPr>
          <w:rFonts w:ascii="Times New Roman" w:hAnsi="Times New Roman" w:cs="Times New Roman"/>
          <w:sz w:val="24"/>
          <w:szCs w:val="24"/>
        </w:rPr>
        <w:t>20</w:t>
      </w:r>
      <w:r w:rsidR="00AE5712" w:rsidRPr="00390421">
        <w:rPr>
          <w:rFonts w:ascii="Times New Roman" w:hAnsi="Times New Roman" w:cs="Times New Roman"/>
          <w:sz w:val="24"/>
          <w:szCs w:val="24"/>
        </w:rPr>
        <w:t> r</w:t>
      </w:r>
      <w:r w:rsidR="00AF7F46" w:rsidRPr="00390421">
        <w:rPr>
          <w:rFonts w:ascii="Times New Roman" w:hAnsi="Times New Roman" w:cs="Times New Roman"/>
          <w:sz w:val="24"/>
          <w:szCs w:val="24"/>
        </w:rPr>
        <w:t>oku</w:t>
      </w:r>
      <w:r w:rsidR="005C14D0" w:rsidRPr="00390421">
        <w:rPr>
          <w:rFonts w:ascii="Times New Roman" w:hAnsi="Times New Roman" w:cs="Times New Roman"/>
          <w:sz w:val="24"/>
          <w:szCs w:val="24"/>
        </w:rPr>
        <w:t xml:space="preserve"> – </w:t>
      </w:r>
      <w:r w:rsidR="00390421" w:rsidRPr="00390421">
        <w:rPr>
          <w:rFonts w:ascii="Times New Roman" w:hAnsi="Times New Roman" w:cs="Times New Roman"/>
          <w:sz w:val="24"/>
          <w:szCs w:val="24"/>
        </w:rPr>
        <w:t>4</w:t>
      </w:r>
      <w:r w:rsidR="00D47256" w:rsidRPr="00390421">
        <w:rPr>
          <w:rFonts w:ascii="Times New Roman" w:hAnsi="Times New Roman" w:cs="Times New Roman"/>
          <w:sz w:val="24"/>
          <w:szCs w:val="24"/>
        </w:rPr>
        <w:t>,</w:t>
      </w:r>
      <w:r w:rsidR="00AF7F46" w:rsidRPr="00390421">
        <w:rPr>
          <w:rFonts w:ascii="Times New Roman" w:hAnsi="Times New Roman" w:cs="Times New Roman"/>
          <w:sz w:val="24"/>
          <w:szCs w:val="24"/>
        </w:rPr>
        <w:t>7</w:t>
      </w:r>
      <w:r w:rsidR="00640239">
        <w:rPr>
          <w:rFonts w:ascii="Times New Roman" w:hAnsi="Times New Roman" w:cs="Times New Roman"/>
          <w:sz w:val="24"/>
          <w:szCs w:val="24"/>
        </w:rPr>
        <w:t xml:space="preserve"> proc.</w:t>
      </w:r>
      <w:r w:rsidR="005C14D0" w:rsidRPr="00390421">
        <w:rPr>
          <w:rFonts w:ascii="Times New Roman" w:hAnsi="Times New Roman" w:cs="Times New Roman"/>
          <w:sz w:val="24"/>
          <w:szCs w:val="24"/>
        </w:rPr>
        <w:t>).</w:t>
      </w:r>
    </w:p>
    <w:p w:rsidR="0038577D" w:rsidRPr="00390421" w:rsidRDefault="00390421" w:rsidP="00160DBC">
      <w:pPr>
        <w:pStyle w:val="Bezodstpw"/>
        <w:numPr>
          <w:ilvl w:val="0"/>
          <w:numId w:val="10"/>
        </w:numPr>
        <w:spacing w:line="360" w:lineRule="auto"/>
        <w:jc w:val="both"/>
        <w:rPr>
          <w:rFonts w:ascii="Times New Roman" w:hAnsi="Times New Roman" w:cs="Times New Roman"/>
          <w:sz w:val="24"/>
          <w:szCs w:val="24"/>
        </w:rPr>
      </w:pPr>
      <w:r w:rsidRPr="00390421">
        <w:rPr>
          <w:rFonts w:ascii="Times New Roman" w:hAnsi="Times New Roman" w:cs="Times New Roman"/>
          <w:sz w:val="24"/>
          <w:szCs w:val="24"/>
        </w:rPr>
        <w:t xml:space="preserve">Najwyższą </w:t>
      </w:r>
      <w:r w:rsidR="0038577D" w:rsidRPr="00390421">
        <w:rPr>
          <w:rFonts w:ascii="Times New Roman" w:hAnsi="Times New Roman" w:cs="Times New Roman"/>
          <w:sz w:val="24"/>
          <w:szCs w:val="24"/>
        </w:rPr>
        <w:t xml:space="preserve">liczbę zgłoszeń zwolnień odnotowano w I półroczu 2009 roku, a </w:t>
      </w:r>
      <w:r w:rsidR="00E90E82">
        <w:rPr>
          <w:rFonts w:ascii="Times New Roman" w:hAnsi="Times New Roman" w:cs="Times New Roman"/>
          <w:sz w:val="24"/>
          <w:szCs w:val="24"/>
        </w:rPr>
        <w:t xml:space="preserve">najwięcej wypowiedzeń </w:t>
      </w:r>
      <w:r w:rsidR="0032742A">
        <w:rPr>
          <w:rFonts w:ascii="Times New Roman" w:hAnsi="Times New Roman" w:cs="Times New Roman"/>
          <w:sz w:val="24"/>
          <w:szCs w:val="24"/>
        </w:rPr>
        <w:t xml:space="preserve">umów o pracę </w:t>
      </w:r>
      <w:r w:rsidR="00E90E82">
        <w:rPr>
          <w:rFonts w:ascii="Times New Roman" w:hAnsi="Times New Roman" w:cs="Times New Roman"/>
          <w:sz w:val="24"/>
          <w:szCs w:val="24"/>
        </w:rPr>
        <w:t xml:space="preserve">wręczono </w:t>
      </w:r>
      <w:r w:rsidR="0038577D" w:rsidRPr="00390421">
        <w:rPr>
          <w:rFonts w:ascii="Times New Roman" w:hAnsi="Times New Roman" w:cs="Times New Roman"/>
          <w:sz w:val="24"/>
          <w:szCs w:val="24"/>
        </w:rPr>
        <w:t>w I półroczu 20</w:t>
      </w:r>
      <w:r w:rsidRPr="00390421">
        <w:rPr>
          <w:rFonts w:ascii="Times New Roman" w:hAnsi="Times New Roman" w:cs="Times New Roman"/>
          <w:sz w:val="24"/>
          <w:szCs w:val="24"/>
        </w:rPr>
        <w:t>09</w:t>
      </w:r>
      <w:r w:rsidR="0038577D" w:rsidRPr="00390421">
        <w:rPr>
          <w:rFonts w:ascii="Times New Roman" w:hAnsi="Times New Roman" w:cs="Times New Roman"/>
          <w:sz w:val="24"/>
          <w:szCs w:val="24"/>
        </w:rPr>
        <w:t xml:space="preserve"> i 20</w:t>
      </w:r>
      <w:r w:rsidRPr="00390421">
        <w:rPr>
          <w:rFonts w:ascii="Times New Roman" w:hAnsi="Times New Roman" w:cs="Times New Roman"/>
          <w:sz w:val="24"/>
          <w:szCs w:val="24"/>
        </w:rPr>
        <w:t>11</w:t>
      </w:r>
      <w:r w:rsidR="0038577D" w:rsidRPr="00390421">
        <w:rPr>
          <w:rFonts w:ascii="Times New Roman" w:hAnsi="Times New Roman" w:cs="Times New Roman"/>
          <w:sz w:val="24"/>
          <w:szCs w:val="24"/>
        </w:rPr>
        <w:t xml:space="preserve"> roku.</w:t>
      </w:r>
    </w:p>
    <w:p w:rsidR="00FB1599" w:rsidRPr="00D62B23" w:rsidRDefault="00FB1599" w:rsidP="00FB1599">
      <w:pPr>
        <w:pStyle w:val="Default"/>
        <w:rPr>
          <w:sz w:val="16"/>
          <w:szCs w:val="16"/>
          <w:highlight w:val="yellow"/>
        </w:rPr>
      </w:pPr>
    </w:p>
    <w:p w:rsidR="009C4197" w:rsidRPr="00BC2F62" w:rsidRDefault="006F1B30" w:rsidP="009C4197">
      <w:pPr>
        <w:pStyle w:val="Nagwek1"/>
        <w:spacing w:before="0" w:line="240" w:lineRule="auto"/>
        <w:jc w:val="center"/>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3" w:name="_Toc81396076"/>
      <w:r w:rsidRPr="00BC2F62">
        <w:rPr>
          <w:rFonts w:ascii="Arial Black" w:hAnsi="Arial Black"/>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Fundusz Gwarantowanych świadczeń pracowniczych</w:t>
      </w:r>
      <w:bookmarkEnd w:id="23"/>
    </w:p>
    <w:p w:rsidR="009C4197" w:rsidRDefault="009C4197" w:rsidP="009C4197">
      <w:pPr>
        <w:pStyle w:val="Default"/>
        <w:rPr>
          <w:sz w:val="16"/>
          <w:szCs w:val="16"/>
          <w:highlight w:val="yellow"/>
        </w:rPr>
      </w:pPr>
    </w:p>
    <w:tbl>
      <w:tblPr>
        <w:tblW w:w="8946" w:type="dxa"/>
        <w:tblInd w:w="55" w:type="dxa"/>
        <w:tblCellMar>
          <w:left w:w="70" w:type="dxa"/>
          <w:right w:w="70" w:type="dxa"/>
        </w:tblCellMar>
        <w:tblLook w:val="04A0" w:firstRow="1" w:lastRow="0" w:firstColumn="1" w:lastColumn="0" w:noHBand="0" w:noVBand="1"/>
      </w:tblPr>
      <w:tblGrid>
        <w:gridCol w:w="4500"/>
        <w:gridCol w:w="960"/>
        <w:gridCol w:w="1080"/>
        <w:gridCol w:w="1272"/>
        <w:gridCol w:w="1134"/>
      </w:tblGrid>
      <w:tr w:rsidR="006C4273" w:rsidRPr="00BE7434" w:rsidTr="006C4273">
        <w:trPr>
          <w:trHeight w:val="550"/>
        </w:trPr>
        <w:tc>
          <w:tcPr>
            <w:tcW w:w="4500" w:type="dxa"/>
            <w:tcBorders>
              <w:top w:val="single" w:sz="8" w:space="0" w:color="auto"/>
              <w:left w:val="single" w:sz="8" w:space="0" w:color="auto"/>
              <w:right w:val="single" w:sz="4" w:space="0" w:color="auto"/>
            </w:tcBorders>
            <w:shd w:val="clear" w:color="000000" w:fill="E5DFEC"/>
            <w:vAlign w:val="center"/>
            <w:hideMark/>
          </w:tcPr>
          <w:p w:rsidR="006C4273"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Realizacja wsparcia w ramach Funduszu Gwarantowanych</w:t>
            </w:r>
          </w:p>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Świadczeń</w:t>
            </w:r>
            <w:r>
              <w:rPr>
                <w:rFonts w:ascii="Times New Roman" w:eastAsia="Times New Roman" w:hAnsi="Times New Roman" w:cs="Times New Roman"/>
                <w:color w:val="000000"/>
                <w:sz w:val="16"/>
                <w:szCs w:val="16"/>
                <w:lang w:eastAsia="pl-PL"/>
              </w:rPr>
              <w:t xml:space="preserve"> </w:t>
            </w:r>
            <w:r w:rsidRPr="00BE7434">
              <w:rPr>
                <w:rFonts w:ascii="Times New Roman" w:eastAsia="Times New Roman" w:hAnsi="Times New Roman" w:cs="Times New Roman"/>
                <w:color w:val="000000"/>
                <w:sz w:val="16"/>
                <w:szCs w:val="16"/>
                <w:lang w:eastAsia="pl-PL"/>
              </w:rPr>
              <w:t>Pracowniczych w województwie podkarpackim</w:t>
            </w:r>
          </w:p>
        </w:tc>
        <w:tc>
          <w:tcPr>
            <w:tcW w:w="960" w:type="dxa"/>
            <w:tcBorders>
              <w:top w:val="single" w:sz="4" w:space="0" w:color="auto"/>
              <w:left w:val="single" w:sz="4" w:space="0" w:color="auto"/>
              <w:bottom w:val="single" w:sz="4" w:space="0" w:color="auto"/>
              <w:right w:val="single" w:sz="4" w:space="0" w:color="auto"/>
            </w:tcBorders>
            <w:shd w:val="clear" w:color="000000" w:fill="E5DFEC"/>
            <w:vAlign w:val="center"/>
            <w:hideMark/>
          </w:tcPr>
          <w:p w:rsidR="006C4273"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I półrocze</w:t>
            </w:r>
          </w:p>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2020</w:t>
            </w:r>
          </w:p>
        </w:tc>
        <w:tc>
          <w:tcPr>
            <w:tcW w:w="1080" w:type="dxa"/>
            <w:tcBorders>
              <w:top w:val="single" w:sz="8" w:space="0" w:color="auto"/>
              <w:left w:val="single" w:sz="4" w:space="0" w:color="auto"/>
              <w:right w:val="single" w:sz="8" w:space="0" w:color="auto"/>
            </w:tcBorders>
            <w:shd w:val="clear" w:color="000000" w:fill="E5DFEC"/>
            <w:vAlign w:val="center"/>
            <w:hideMark/>
          </w:tcPr>
          <w:p w:rsidR="006C4273"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I półrocze</w:t>
            </w:r>
          </w:p>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2021</w:t>
            </w:r>
          </w:p>
        </w:tc>
        <w:tc>
          <w:tcPr>
            <w:tcW w:w="1272" w:type="dxa"/>
            <w:tcBorders>
              <w:top w:val="single" w:sz="8" w:space="0" w:color="auto"/>
              <w:left w:val="nil"/>
              <w:right w:val="single" w:sz="8" w:space="0" w:color="auto"/>
            </w:tcBorders>
            <w:shd w:val="clear" w:color="000000" w:fill="E5DFEC"/>
            <w:vAlign w:val="center"/>
            <w:hideMark/>
          </w:tcPr>
          <w:p w:rsidR="006C4273"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Wzrost/spadek</w:t>
            </w:r>
          </w:p>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(w liczbach)</w:t>
            </w:r>
          </w:p>
        </w:tc>
        <w:tc>
          <w:tcPr>
            <w:tcW w:w="1134" w:type="dxa"/>
            <w:tcBorders>
              <w:top w:val="single" w:sz="8" w:space="0" w:color="auto"/>
              <w:left w:val="nil"/>
              <w:right w:val="single" w:sz="8" w:space="0" w:color="auto"/>
            </w:tcBorders>
            <w:shd w:val="clear" w:color="000000" w:fill="E5DFEC"/>
            <w:vAlign w:val="center"/>
            <w:hideMark/>
          </w:tcPr>
          <w:p w:rsidR="006C4273"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Wzrost/spadek</w:t>
            </w:r>
          </w:p>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(w %)</w:t>
            </w:r>
          </w:p>
        </w:tc>
      </w:tr>
      <w:tr w:rsidR="006C4273" w:rsidRPr="00BE7434" w:rsidTr="006C4273">
        <w:trPr>
          <w:trHeight w:val="465"/>
        </w:trPr>
        <w:tc>
          <w:tcPr>
            <w:tcW w:w="450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Wypłaty świadczeń w związku z niewypłacalnością pracodawcy (tys. zł)</w:t>
            </w:r>
          </w:p>
        </w:tc>
        <w:tc>
          <w:tcPr>
            <w:tcW w:w="960" w:type="dxa"/>
            <w:tcBorders>
              <w:top w:val="single" w:sz="4" w:space="0" w:color="auto"/>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1861,80</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991,9</w:t>
            </w:r>
          </w:p>
        </w:tc>
        <w:tc>
          <w:tcPr>
            <w:tcW w:w="1272" w:type="dxa"/>
            <w:tcBorders>
              <w:top w:val="single" w:sz="4" w:space="0" w:color="auto"/>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-869,9</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-46,72%</w:t>
            </w:r>
          </w:p>
        </w:tc>
      </w:tr>
      <w:tr w:rsidR="006C4273" w:rsidRPr="00BE7434" w:rsidTr="006C4273">
        <w:trPr>
          <w:trHeight w:val="300"/>
        </w:trPr>
        <w:tc>
          <w:tcPr>
            <w:tcW w:w="4500" w:type="dxa"/>
            <w:tcBorders>
              <w:top w:val="nil"/>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w tym wynagrodzenia za pracę (tys. zł)</w:t>
            </w:r>
          </w:p>
        </w:tc>
        <w:tc>
          <w:tcPr>
            <w:tcW w:w="96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363,9</w:t>
            </w:r>
          </w:p>
        </w:tc>
        <w:tc>
          <w:tcPr>
            <w:tcW w:w="108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442,1</w:t>
            </w:r>
          </w:p>
        </w:tc>
        <w:tc>
          <w:tcPr>
            <w:tcW w:w="1272"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78,2</w:t>
            </w:r>
          </w:p>
        </w:tc>
        <w:tc>
          <w:tcPr>
            <w:tcW w:w="1134"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21,49%</w:t>
            </w:r>
          </w:p>
        </w:tc>
      </w:tr>
      <w:tr w:rsidR="006C4273" w:rsidRPr="00BE7434" w:rsidTr="006C4273">
        <w:trPr>
          <w:trHeight w:val="465"/>
        </w:trPr>
        <w:tc>
          <w:tcPr>
            <w:tcW w:w="4500" w:type="dxa"/>
            <w:tcBorders>
              <w:top w:val="nil"/>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w tym składki na ubezpieczenie społeczne należne od pracodawcy (tys. zł)</w:t>
            </w:r>
          </w:p>
        </w:tc>
        <w:tc>
          <w:tcPr>
            <w:tcW w:w="96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105,2</w:t>
            </w:r>
          </w:p>
        </w:tc>
        <w:tc>
          <w:tcPr>
            <w:tcW w:w="108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108,7</w:t>
            </w:r>
          </w:p>
        </w:tc>
        <w:tc>
          <w:tcPr>
            <w:tcW w:w="1272"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3,5</w:t>
            </w:r>
          </w:p>
        </w:tc>
        <w:tc>
          <w:tcPr>
            <w:tcW w:w="1134"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3,33%</w:t>
            </w:r>
          </w:p>
        </w:tc>
      </w:tr>
      <w:tr w:rsidR="006C4273" w:rsidRPr="00BE7434" w:rsidTr="006C4273">
        <w:trPr>
          <w:trHeight w:val="300"/>
        </w:trPr>
        <w:tc>
          <w:tcPr>
            <w:tcW w:w="4500" w:type="dxa"/>
            <w:tcBorders>
              <w:top w:val="nil"/>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 xml:space="preserve">w tym odszkodowania z art. 36 par.1 </w:t>
            </w:r>
            <w:proofErr w:type="spellStart"/>
            <w:r w:rsidRPr="00BE7434">
              <w:rPr>
                <w:rFonts w:ascii="Times New Roman" w:eastAsia="Times New Roman" w:hAnsi="Times New Roman" w:cs="Times New Roman"/>
                <w:color w:val="000000"/>
                <w:sz w:val="16"/>
                <w:szCs w:val="16"/>
                <w:lang w:eastAsia="pl-PL"/>
              </w:rPr>
              <w:t>Kp</w:t>
            </w:r>
            <w:proofErr w:type="spellEnd"/>
            <w:r w:rsidRPr="00BE7434">
              <w:rPr>
                <w:rFonts w:ascii="Times New Roman" w:eastAsia="Times New Roman" w:hAnsi="Times New Roman" w:cs="Times New Roman"/>
                <w:color w:val="000000"/>
                <w:sz w:val="16"/>
                <w:szCs w:val="16"/>
                <w:lang w:eastAsia="pl-PL"/>
              </w:rPr>
              <w:t>. (tys. zł)</w:t>
            </w:r>
          </w:p>
        </w:tc>
        <w:tc>
          <w:tcPr>
            <w:tcW w:w="96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167,9</w:t>
            </w:r>
          </w:p>
        </w:tc>
        <w:tc>
          <w:tcPr>
            <w:tcW w:w="108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24,0</w:t>
            </w:r>
          </w:p>
        </w:tc>
        <w:tc>
          <w:tcPr>
            <w:tcW w:w="1272"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-143,9</w:t>
            </w:r>
          </w:p>
        </w:tc>
        <w:tc>
          <w:tcPr>
            <w:tcW w:w="1134"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-85,71%</w:t>
            </w:r>
          </w:p>
        </w:tc>
      </w:tr>
      <w:tr w:rsidR="006C4273" w:rsidRPr="00BE7434" w:rsidTr="006C4273">
        <w:trPr>
          <w:trHeight w:val="300"/>
        </w:trPr>
        <w:tc>
          <w:tcPr>
            <w:tcW w:w="4500" w:type="dxa"/>
            <w:tcBorders>
              <w:top w:val="nil"/>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W tym odprawy pieniężne (tys. zł)</w:t>
            </w:r>
          </w:p>
        </w:tc>
        <w:tc>
          <w:tcPr>
            <w:tcW w:w="96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973,9</w:t>
            </w:r>
          </w:p>
        </w:tc>
        <w:tc>
          <w:tcPr>
            <w:tcW w:w="108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236,8</w:t>
            </w:r>
          </w:p>
        </w:tc>
        <w:tc>
          <w:tcPr>
            <w:tcW w:w="1272"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-737,1</w:t>
            </w:r>
          </w:p>
        </w:tc>
        <w:tc>
          <w:tcPr>
            <w:tcW w:w="1134"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-75,69%</w:t>
            </w:r>
          </w:p>
        </w:tc>
      </w:tr>
      <w:tr w:rsidR="006C4273" w:rsidRPr="00BE7434" w:rsidTr="006C4273">
        <w:trPr>
          <w:trHeight w:val="300"/>
        </w:trPr>
        <w:tc>
          <w:tcPr>
            <w:tcW w:w="4500" w:type="dxa"/>
            <w:tcBorders>
              <w:top w:val="nil"/>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w tym na rzecz ochrony miejsc pracy  (tys. zł)</w:t>
            </w:r>
          </w:p>
        </w:tc>
        <w:tc>
          <w:tcPr>
            <w:tcW w:w="96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0</w:t>
            </w:r>
          </w:p>
        </w:tc>
        <w:tc>
          <w:tcPr>
            <w:tcW w:w="108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0</w:t>
            </w:r>
          </w:p>
        </w:tc>
        <w:tc>
          <w:tcPr>
            <w:tcW w:w="1272"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0</w:t>
            </w:r>
          </w:p>
        </w:tc>
        <w:tc>
          <w:tcPr>
            <w:tcW w:w="1134"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p>
        </w:tc>
      </w:tr>
      <w:tr w:rsidR="006C4273" w:rsidRPr="00BE7434" w:rsidTr="006C4273">
        <w:trPr>
          <w:trHeight w:val="300"/>
        </w:trPr>
        <w:tc>
          <w:tcPr>
            <w:tcW w:w="4500" w:type="dxa"/>
            <w:tcBorders>
              <w:top w:val="nil"/>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Ilość świadczeń</w:t>
            </w:r>
          </w:p>
        </w:tc>
        <w:tc>
          <w:tcPr>
            <w:tcW w:w="96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494</w:t>
            </w:r>
          </w:p>
        </w:tc>
        <w:tc>
          <w:tcPr>
            <w:tcW w:w="108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357</w:t>
            </w:r>
          </w:p>
        </w:tc>
        <w:tc>
          <w:tcPr>
            <w:tcW w:w="1272"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-137</w:t>
            </w:r>
          </w:p>
        </w:tc>
        <w:tc>
          <w:tcPr>
            <w:tcW w:w="1134"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-27,73%</w:t>
            </w:r>
          </w:p>
        </w:tc>
      </w:tr>
      <w:tr w:rsidR="006C4273" w:rsidRPr="00BE7434" w:rsidTr="006C4273">
        <w:trPr>
          <w:trHeight w:val="465"/>
        </w:trPr>
        <w:tc>
          <w:tcPr>
            <w:tcW w:w="4500" w:type="dxa"/>
            <w:tcBorders>
              <w:top w:val="nil"/>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Liczba pracodawców, których pracownikom  wypłacono świadczenia</w:t>
            </w:r>
          </w:p>
        </w:tc>
        <w:tc>
          <w:tcPr>
            <w:tcW w:w="96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13</w:t>
            </w:r>
          </w:p>
        </w:tc>
        <w:tc>
          <w:tcPr>
            <w:tcW w:w="108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9</w:t>
            </w:r>
          </w:p>
        </w:tc>
        <w:tc>
          <w:tcPr>
            <w:tcW w:w="1272"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-4</w:t>
            </w:r>
          </w:p>
        </w:tc>
        <w:tc>
          <w:tcPr>
            <w:tcW w:w="1134"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-30,77%</w:t>
            </w:r>
          </w:p>
        </w:tc>
      </w:tr>
      <w:tr w:rsidR="006C4273" w:rsidRPr="00BE7434" w:rsidTr="006C4273">
        <w:trPr>
          <w:trHeight w:val="300"/>
        </w:trPr>
        <w:tc>
          <w:tcPr>
            <w:tcW w:w="4500" w:type="dxa"/>
            <w:tcBorders>
              <w:top w:val="nil"/>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Liczba osób, którym wypłacono świadczenia</w:t>
            </w:r>
          </w:p>
        </w:tc>
        <w:tc>
          <w:tcPr>
            <w:tcW w:w="96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198</w:t>
            </w:r>
          </w:p>
        </w:tc>
        <w:tc>
          <w:tcPr>
            <w:tcW w:w="108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103</w:t>
            </w:r>
          </w:p>
        </w:tc>
        <w:tc>
          <w:tcPr>
            <w:tcW w:w="1272"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-95</w:t>
            </w:r>
          </w:p>
        </w:tc>
        <w:tc>
          <w:tcPr>
            <w:tcW w:w="1134"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-47,98%</w:t>
            </w:r>
          </w:p>
        </w:tc>
      </w:tr>
      <w:tr w:rsidR="006C4273" w:rsidRPr="00BE7434" w:rsidTr="006C4273">
        <w:trPr>
          <w:trHeight w:val="300"/>
        </w:trPr>
        <w:tc>
          <w:tcPr>
            <w:tcW w:w="4500" w:type="dxa"/>
            <w:tcBorders>
              <w:top w:val="nil"/>
              <w:left w:val="single" w:sz="8" w:space="0" w:color="auto"/>
              <w:bottom w:val="single" w:sz="8" w:space="0" w:color="auto"/>
              <w:right w:val="single" w:sz="8" w:space="0" w:color="auto"/>
            </w:tcBorders>
            <w:shd w:val="clear" w:color="auto" w:fill="auto"/>
            <w:vAlign w:val="bottom"/>
            <w:hideMark/>
          </w:tcPr>
          <w:p w:rsidR="006C4273" w:rsidRPr="00BE7434" w:rsidRDefault="006C4273" w:rsidP="008A7B13">
            <w:pPr>
              <w:spacing w:after="0" w:line="240" w:lineRule="auto"/>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Kwoty należności FGŚP odzyskane w wyniku windykacji (tys. zł)</w:t>
            </w:r>
          </w:p>
        </w:tc>
        <w:tc>
          <w:tcPr>
            <w:tcW w:w="96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2190,0</w:t>
            </w:r>
          </w:p>
        </w:tc>
        <w:tc>
          <w:tcPr>
            <w:tcW w:w="1080"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2311,4</w:t>
            </w:r>
          </w:p>
        </w:tc>
        <w:tc>
          <w:tcPr>
            <w:tcW w:w="1272"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121,4</w:t>
            </w:r>
          </w:p>
        </w:tc>
        <w:tc>
          <w:tcPr>
            <w:tcW w:w="1134" w:type="dxa"/>
            <w:tcBorders>
              <w:top w:val="nil"/>
              <w:left w:val="nil"/>
              <w:bottom w:val="single" w:sz="8" w:space="0" w:color="auto"/>
              <w:right w:val="single" w:sz="8" w:space="0" w:color="auto"/>
            </w:tcBorders>
            <w:shd w:val="clear" w:color="auto" w:fill="auto"/>
            <w:vAlign w:val="center"/>
            <w:hideMark/>
          </w:tcPr>
          <w:p w:rsidR="006C4273" w:rsidRPr="00BE7434" w:rsidRDefault="006C4273" w:rsidP="006C4273">
            <w:pPr>
              <w:spacing w:after="0" w:line="240" w:lineRule="auto"/>
              <w:jc w:val="center"/>
              <w:rPr>
                <w:rFonts w:ascii="Times New Roman" w:eastAsia="Times New Roman" w:hAnsi="Times New Roman" w:cs="Times New Roman"/>
                <w:color w:val="000000"/>
                <w:sz w:val="16"/>
                <w:szCs w:val="16"/>
                <w:lang w:eastAsia="pl-PL"/>
              </w:rPr>
            </w:pPr>
            <w:r w:rsidRPr="00BE7434">
              <w:rPr>
                <w:rFonts w:ascii="Times New Roman" w:eastAsia="Times New Roman" w:hAnsi="Times New Roman" w:cs="Times New Roman"/>
                <w:color w:val="000000"/>
                <w:sz w:val="16"/>
                <w:szCs w:val="16"/>
                <w:lang w:eastAsia="pl-PL"/>
              </w:rPr>
              <w:t>5,54%</w:t>
            </w:r>
          </w:p>
        </w:tc>
      </w:tr>
    </w:tbl>
    <w:p w:rsidR="006C4273" w:rsidRDefault="006C4273" w:rsidP="006C4273">
      <w:pPr>
        <w:pStyle w:val="Tekstpodstawowywcity"/>
        <w:spacing w:after="0" w:line="240" w:lineRule="auto"/>
        <w:ind w:left="0"/>
        <w:jc w:val="both"/>
        <w:rPr>
          <w:rFonts w:ascii="Times New Roman" w:hAnsi="Times New Roman" w:cs="Times New Roman"/>
          <w:sz w:val="16"/>
          <w:szCs w:val="16"/>
          <w:highlight w:val="yellow"/>
        </w:rPr>
      </w:pPr>
    </w:p>
    <w:p w:rsidR="006C4273" w:rsidRDefault="006C4273" w:rsidP="006C4273">
      <w:pPr>
        <w:pStyle w:val="Default"/>
        <w:jc w:val="both"/>
      </w:pPr>
      <w:r>
        <w:t>Wnioski:</w:t>
      </w:r>
    </w:p>
    <w:p w:rsidR="006C4273" w:rsidRDefault="006C4273" w:rsidP="006C4273">
      <w:pPr>
        <w:pStyle w:val="Tekstpodstawowywcity"/>
        <w:spacing w:after="0" w:line="360" w:lineRule="auto"/>
        <w:ind w:left="0"/>
        <w:jc w:val="both"/>
        <w:rPr>
          <w:rFonts w:ascii="Times New Roman" w:hAnsi="Times New Roman" w:cs="Times New Roman"/>
          <w:sz w:val="16"/>
          <w:szCs w:val="16"/>
        </w:rPr>
      </w:pPr>
      <w:r>
        <w:rPr>
          <w:rFonts w:ascii="Times New Roman" w:hAnsi="Times New Roman" w:cs="Times New Roman"/>
          <w:sz w:val="16"/>
          <w:szCs w:val="16"/>
        </w:rPr>
        <w:t>(na podstawie danych z wypłat świadczeń)</w:t>
      </w:r>
    </w:p>
    <w:p w:rsidR="006C4273" w:rsidRDefault="006C4273" w:rsidP="006C4273">
      <w:pPr>
        <w:pStyle w:val="Tekstpodstawowywcity"/>
        <w:spacing w:after="0" w:line="240" w:lineRule="auto"/>
        <w:ind w:left="0"/>
        <w:jc w:val="both"/>
        <w:rPr>
          <w:rFonts w:ascii="Times New Roman" w:hAnsi="Times New Roman" w:cs="Times New Roman"/>
          <w:sz w:val="16"/>
          <w:szCs w:val="16"/>
          <w:highlight w:val="yellow"/>
        </w:rPr>
      </w:pPr>
    </w:p>
    <w:p w:rsidR="006C4273" w:rsidRPr="00FB36D5" w:rsidRDefault="006C4273" w:rsidP="006C4273">
      <w:pPr>
        <w:pStyle w:val="Bezodstpw"/>
        <w:numPr>
          <w:ilvl w:val="0"/>
          <w:numId w:val="10"/>
        </w:numPr>
        <w:spacing w:line="360" w:lineRule="auto"/>
        <w:jc w:val="both"/>
        <w:rPr>
          <w:rFonts w:ascii="Times New Roman" w:hAnsi="Times New Roman" w:cs="Times New Roman"/>
          <w:sz w:val="24"/>
          <w:szCs w:val="24"/>
        </w:rPr>
      </w:pPr>
      <w:r w:rsidRPr="00FB36D5">
        <w:rPr>
          <w:rFonts w:ascii="Times New Roman" w:hAnsi="Times New Roman" w:cs="Times New Roman"/>
          <w:sz w:val="24"/>
          <w:szCs w:val="24"/>
        </w:rPr>
        <w:t>W okresie 6 miesięcy  2021 r. Dyrektor Wojewódzkiego Urzędu Pracy w Rzeszowie dokonał wypłat ze środków Funduszu na kwotę </w:t>
      </w:r>
      <w:r>
        <w:rPr>
          <w:rFonts w:ascii="Times New Roman" w:hAnsi="Times New Roman" w:cs="Times New Roman"/>
          <w:sz w:val="24"/>
          <w:szCs w:val="24"/>
        </w:rPr>
        <w:t>prawie</w:t>
      </w:r>
      <w:r w:rsidRPr="00FB36D5">
        <w:rPr>
          <w:rFonts w:ascii="Times New Roman" w:hAnsi="Times New Roman" w:cs="Times New Roman"/>
          <w:sz w:val="24"/>
          <w:szCs w:val="24"/>
        </w:rPr>
        <w:t xml:space="preserve"> </w:t>
      </w:r>
      <w:r>
        <w:rPr>
          <w:rFonts w:ascii="Times New Roman" w:hAnsi="Times New Roman" w:cs="Times New Roman"/>
          <w:sz w:val="24"/>
          <w:szCs w:val="24"/>
        </w:rPr>
        <w:t>1</w:t>
      </w:r>
      <w:r w:rsidRPr="00FB36D5">
        <w:rPr>
          <w:rFonts w:ascii="Times New Roman" w:hAnsi="Times New Roman" w:cs="Times New Roman"/>
          <w:sz w:val="24"/>
          <w:szCs w:val="24"/>
        </w:rPr>
        <w:t>  mln zł  na rzecz pracowników i byłych pracowników z 9 podmiotów gospodarczych. Wypłacone świadczenia objęły łącznie 103 osób uprawnionych.</w:t>
      </w:r>
    </w:p>
    <w:p w:rsidR="006C4273" w:rsidRPr="00FB36D5" w:rsidRDefault="006C4273" w:rsidP="006C4273">
      <w:pPr>
        <w:pStyle w:val="Bezodstpw"/>
        <w:numPr>
          <w:ilvl w:val="0"/>
          <w:numId w:val="10"/>
        </w:numPr>
        <w:spacing w:line="360" w:lineRule="auto"/>
        <w:jc w:val="both"/>
        <w:rPr>
          <w:rFonts w:ascii="Times New Roman" w:hAnsi="Times New Roman" w:cs="Times New Roman"/>
          <w:sz w:val="24"/>
          <w:szCs w:val="24"/>
        </w:rPr>
      </w:pPr>
      <w:r w:rsidRPr="00FB36D5">
        <w:rPr>
          <w:rFonts w:ascii="Times New Roman" w:hAnsi="Times New Roman" w:cs="Times New Roman"/>
          <w:sz w:val="24"/>
          <w:szCs w:val="24"/>
        </w:rPr>
        <w:t xml:space="preserve">W I półroczu 2021 r. (w por. do I półrocza 2020 r.) nastąpił spadek o 46,72 </w:t>
      </w:r>
      <w:r>
        <w:rPr>
          <w:rFonts w:ascii="Times New Roman" w:hAnsi="Times New Roman" w:cs="Times New Roman"/>
          <w:sz w:val="24"/>
          <w:szCs w:val="24"/>
        </w:rPr>
        <w:t>proc.</w:t>
      </w:r>
      <w:r w:rsidRPr="00FB36D5">
        <w:rPr>
          <w:rFonts w:ascii="Times New Roman" w:hAnsi="Times New Roman" w:cs="Times New Roman"/>
          <w:sz w:val="24"/>
          <w:szCs w:val="24"/>
        </w:rPr>
        <w:t xml:space="preserve"> wartości wypłaconych świadczeń w związku z niewypłacalnością pracodawcy i jednocześnie spadek o 47,98 </w:t>
      </w:r>
      <w:r>
        <w:rPr>
          <w:rFonts w:ascii="Times New Roman" w:hAnsi="Times New Roman" w:cs="Times New Roman"/>
          <w:sz w:val="24"/>
          <w:szCs w:val="24"/>
        </w:rPr>
        <w:t>proc.</w:t>
      </w:r>
      <w:r w:rsidRPr="00FB36D5">
        <w:rPr>
          <w:rFonts w:ascii="Times New Roman" w:hAnsi="Times New Roman" w:cs="Times New Roman"/>
          <w:sz w:val="24"/>
          <w:szCs w:val="24"/>
        </w:rPr>
        <w:t xml:space="preserve"> osób uprawnionych do skorzystania z FGŚP. Spadki te spowodowane były ponadprzeciętnymi wartościami bazowymi w I półroczu 2020 r. W</w:t>
      </w:r>
      <w:r>
        <w:rPr>
          <w:rFonts w:ascii="Times New Roman" w:hAnsi="Times New Roman" w:cs="Times New Roman"/>
          <w:sz w:val="24"/>
          <w:szCs w:val="24"/>
        </w:rPr>
        <w:t> </w:t>
      </w:r>
      <w:r w:rsidRPr="00FB36D5">
        <w:rPr>
          <w:rFonts w:ascii="Times New Roman" w:hAnsi="Times New Roman" w:cs="Times New Roman"/>
          <w:sz w:val="24"/>
          <w:szCs w:val="24"/>
        </w:rPr>
        <w:t>I</w:t>
      </w:r>
      <w:r>
        <w:rPr>
          <w:rFonts w:ascii="Times New Roman" w:hAnsi="Times New Roman" w:cs="Times New Roman"/>
          <w:sz w:val="24"/>
          <w:szCs w:val="24"/>
        </w:rPr>
        <w:t> </w:t>
      </w:r>
      <w:r w:rsidRPr="00FB36D5">
        <w:rPr>
          <w:rFonts w:ascii="Times New Roman" w:hAnsi="Times New Roman" w:cs="Times New Roman"/>
          <w:sz w:val="24"/>
          <w:szCs w:val="24"/>
        </w:rPr>
        <w:t>półroczu 2021 r. (w por. do analogicznego okresu ubiegłego r</w:t>
      </w:r>
      <w:r>
        <w:rPr>
          <w:rFonts w:ascii="Times New Roman" w:hAnsi="Times New Roman" w:cs="Times New Roman"/>
          <w:sz w:val="24"/>
          <w:szCs w:val="24"/>
        </w:rPr>
        <w:t>oku</w:t>
      </w:r>
      <w:r w:rsidRPr="00FB36D5">
        <w:rPr>
          <w:rFonts w:ascii="Times New Roman" w:hAnsi="Times New Roman" w:cs="Times New Roman"/>
          <w:sz w:val="24"/>
          <w:szCs w:val="24"/>
        </w:rPr>
        <w:t>) nastąpił również spadek liczby niewypłacalnych pracodawców na terenie województwa podkarpackiego.</w:t>
      </w:r>
    </w:p>
    <w:p w:rsidR="006C4273" w:rsidRPr="00FB36D5" w:rsidRDefault="006C4273" w:rsidP="006C4273">
      <w:pPr>
        <w:pStyle w:val="Bezodstpw"/>
        <w:numPr>
          <w:ilvl w:val="0"/>
          <w:numId w:val="10"/>
        </w:numPr>
        <w:spacing w:line="360" w:lineRule="auto"/>
        <w:jc w:val="both"/>
        <w:rPr>
          <w:rFonts w:ascii="Times New Roman" w:hAnsi="Times New Roman" w:cs="Times New Roman"/>
          <w:sz w:val="24"/>
          <w:szCs w:val="24"/>
        </w:rPr>
      </w:pPr>
      <w:r w:rsidRPr="00FB36D5">
        <w:rPr>
          <w:rFonts w:ascii="Times New Roman" w:hAnsi="Times New Roman" w:cs="Times New Roman"/>
          <w:sz w:val="24"/>
          <w:szCs w:val="24"/>
        </w:rPr>
        <w:t xml:space="preserve">Firmy korzystające ze środków FGŚP działały głównie w branżach związanych z handlem i budownictwem. W grupie 9 niewypłacalnych pracodawców ogółem były jedynie firmy zatrudniające do 20 osób (6 firm) lub do 100 osób </w:t>
      </w:r>
      <w:r>
        <w:rPr>
          <w:rFonts w:ascii="Times New Roman" w:hAnsi="Times New Roman" w:cs="Times New Roman"/>
          <w:sz w:val="24"/>
          <w:szCs w:val="24"/>
        </w:rPr>
        <w:t>(</w:t>
      </w:r>
      <w:r w:rsidRPr="00FB36D5">
        <w:rPr>
          <w:rFonts w:ascii="Times New Roman" w:hAnsi="Times New Roman" w:cs="Times New Roman"/>
          <w:sz w:val="24"/>
          <w:szCs w:val="24"/>
        </w:rPr>
        <w:t>3 firm</w:t>
      </w:r>
      <w:r>
        <w:rPr>
          <w:rFonts w:ascii="Times New Roman" w:hAnsi="Times New Roman" w:cs="Times New Roman"/>
          <w:sz w:val="24"/>
          <w:szCs w:val="24"/>
        </w:rPr>
        <w:t>y</w:t>
      </w:r>
      <w:r w:rsidRPr="00FB36D5">
        <w:rPr>
          <w:rFonts w:ascii="Times New Roman" w:hAnsi="Times New Roman" w:cs="Times New Roman"/>
          <w:sz w:val="24"/>
          <w:szCs w:val="24"/>
        </w:rPr>
        <w:t xml:space="preserve">). </w:t>
      </w:r>
    </w:p>
    <w:p w:rsidR="006C4273" w:rsidRPr="00FB36D5" w:rsidRDefault="006C4273" w:rsidP="006C4273">
      <w:pPr>
        <w:pStyle w:val="Bezodstpw"/>
        <w:numPr>
          <w:ilvl w:val="0"/>
          <w:numId w:val="10"/>
        </w:numPr>
        <w:spacing w:line="360" w:lineRule="auto"/>
        <w:jc w:val="both"/>
        <w:rPr>
          <w:rFonts w:ascii="Times New Roman" w:hAnsi="Times New Roman" w:cs="Times New Roman"/>
          <w:sz w:val="24"/>
          <w:szCs w:val="24"/>
        </w:rPr>
      </w:pPr>
      <w:r w:rsidRPr="00FB36D5">
        <w:rPr>
          <w:rFonts w:ascii="Times New Roman" w:hAnsi="Times New Roman" w:cs="Times New Roman"/>
          <w:sz w:val="24"/>
          <w:szCs w:val="24"/>
        </w:rPr>
        <w:t>W I półroczu 2021 r. wypłaty wyniosły 0,99 mln zł i objęły 103 osób. W I półroczu 2020</w:t>
      </w:r>
      <w:r>
        <w:rPr>
          <w:rFonts w:ascii="Times New Roman" w:hAnsi="Times New Roman" w:cs="Times New Roman"/>
          <w:sz w:val="24"/>
          <w:szCs w:val="24"/>
        </w:rPr>
        <w:t> </w:t>
      </w:r>
      <w:r w:rsidRPr="00FB36D5">
        <w:rPr>
          <w:rFonts w:ascii="Times New Roman" w:hAnsi="Times New Roman" w:cs="Times New Roman"/>
          <w:sz w:val="24"/>
          <w:szCs w:val="24"/>
        </w:rPr>
        <w:t>r. wypłacono świadczenia w łącznej kwocie 1,86 mln zł dla 198 osób.</w:t>
      </w:r>
    </w:p>
    <w:p w:rsidR="006C4273" w:rsidRPr="00BE7434" w:rsidRDefault="006C4273" w:rsidP="006C4273">
      <w:pPr>
        <w:pStyle w:val="Bezodstpw"/>
        <w:numPr>
          <w:ilvl w:val="0"/>
          <w:numId w:val="10"/>
        </w:numPr>
        <w:spacing w:line="360" w:lineRule="auto"/>
        <w:jc w:val="both"/>
      </w:pPr>
      <w:r w:rsidRPr="00BE7434">
        <w:rPr>
          <w:rFonts w:ascii="Times New Roman" w:hAnsi="Times New Roman" w:cs="Times New Roman"/>
          <w:sz w:val="24"/>
          <w:szCs w:val="24"/>
        </w:rPr>
        <w:t xml:space="preserve">Odnotowano wzrost windykacji wypłaconych świadczeń. W porównaniu okres do okresu o 5,54 </w:t>
      </w:r>
      <w:r>
        <w:rPr>
          <w:rFonts w:ascii="Times New Roman" w:hAnsi="Times New Roman" w:cs="Times New Roman"/>
          <w:sz w:val="24"/>
          <w:szCs w:val="24"/>
        </w:rPr>
        <w:t>proc.</w:t>
      </w:r>
      <w:r w:rsidRPr="00BE7434">
        <w:rPr>
          <w:rFonts w:ascii="Times New Roman" w:hAnsi="Times New Roman" w:cs="Times New Roman"/>
          <w:sz w:val="24"/>
          <w:szCs w:val="24"/>
        </w:rPr>
        <w:t xml:space="preserve"> Wzrost wynika z faktu zakończenia większej ilości postępowań komorniczych z których wyegzekwowano należne dla FGSP środki finansowe.</w:t>
      </w:r>
    </w:p>
    <w:p w:rsidR="006C4273" w:rsidRPr="00BE7434" w:rsidRDefault="006C4273" w:rsidP="006C4273">
      <w:pPr>
        <w:pStyle w:val="Bezodstpw"/>
        <w:numPr>
          <w:ilvl w:val="0"/>
          <w:numId w:val="10"/>
        </w:numPr>
        <w:spacing w:line="360" w:lineRule="auto"/>
        <w:jc w:val="both"/>
      </w:pPr>
      <w:r w:rsidRPr="00BE7434">
        <w:rPr>
          <w:rFonts w:ascii="Times New Roman" w:hAnsi="Times New Roman" w:cs="Times New Roman"/>
          <w:sz w:val="24"/>
          <w:szCs w:val="24"/>
        </w:rPr>
        <w:t xml:space="preserve">Kwoty windykacji w I półroczu 2021 r. na poziomie 2,31 mln zł spowodowane są zakończeniem procesów upadłości firm, których pracownicy otrzymali środki FGŚP </w:t>
      </w:r>
      <w:r w:rsidRPr="00BE7434">
        <w:rPr>
          <w:rFonts w:ascii="Times New Roman" w:hAnsi="Times New Roman" w:cs="Times New Roman"/>
          <w:sz w:val="24"/>
          <w:szCs w:val="24"/>
        </w:rPr>
        <w:lastRenderedPageBreak/>
        <w:t>w ostatnich latach. Postępowanie upadłościowe może trwać od kilku do kilkunastu lat. Wahania wpływów z windykacji są zatem naturalną konsekwencją działalności FGŚP.</w:t>
      </w:r>
      <w:r w:rsidRPr="00BE7434">
        <w:t xml:space="preserve"> </w:t>
      </w:r>
    </w:p>
    <w:p w:rsidR="00BC2F62" w:rsidRDefault="00BC2F62" w:rsidP="004B6928">
      <w:pPr>
        <w:pStyle w:val="Default"/>
        <w:rPr>
          <w:sz w:val="16"/>
          <w:szCs w:val="16"/>
          <w:highlight w:val="yellow"/>
        </w:rPr>
      </w:pPr>
    </w:p>
    <w:p w:rsidR="006C4273" w:rsidRPr="00D62B23" w:rsidRDefault="006C4273" w:rsidP="004B6928">
      <w:pPr>
        <w:pStyle w:val="Default"/>
        <w:rPr>
          <w:sz w:val="16"/>
          <w:szCs w:val="16"/>
          <w:highlight w:val="yellow"/>
        </w:rPr>
      </w:pPr>
    </w:p>
    <w:p w:rsidR="00156F4A" w:rsidRPr="00BC2F62" w:rsidRDefault="00156F4A" w:rsidP="00860322">
      <w:pPr>
        <w:pStyle w:val="Nagwek1"/>
        <w:spacing w:before="0" w:line="240" w:lineRule="auto"/>
        <w:jc w:val="center"/>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4" w:name="_Toc81396077"/>
      <w:r w:rsidRPr="00BC2F62">
        <w:rPr>
          <w:rFonts w:ascii="Arial Black" w:hAnsi="Arial Black"/>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Podsumowanie</w:t>
      </w:r>
      <w:bookmarkEnd w:id="24"/>
    </w:p>
    <w:p w:rsidR="008F7012" w:rsidRDefault="008F7012" w:rsidP="00156F4A">
      <w:pPr>
        <w:pStyle w:val="Default"/>
        <w:rPr>
          <w:sz w:val="16"/>
          <w:szCs w:val="16"/>
          <w:highlight w:val="yellow"/>
        </w:rPr>
      </w:pPr>
    </w:p>
    <w:p w:rsidR="006C4273" w:rsidRDefault="006C4273" w:rsidP="00156F4A">
      <w:pPr>
        <w:pStyle w:val="Default"/>
        <w:rPr>
          <w:sz w:val="16"/>
          <w:szCs w:val="16"/>
          <w:highlight w:val="yellow"/>
        </w:rPr>
      </w:pPr>
    </w:p>
    <w:p w:rsidR="00BC2F62" w:rsidRPr="00D62B23" w:rsidRDefault="00BC2F62" w:rsidP="00156F4A">
      <w:pPr>
        <w:pStyle w:val="Default"/>
        <w:rPr>
          <w:sz w:val="16"/>
          <w:szCs w:val="16"/>
          <w:highlight w:val="yellow"/>
        </w:rPr>
      </w:pPr>
    </w:p>
    <w:p w:rsidR="00D943A8" w:rsidRPr="00916468" w:rsidRDefault="00846195" w:rsidP="00156F4A">
      <w:pPr>
        <w:pStyle w:val="Default"/>
        <w:numPr>
          <w:ilvl w:val="0"/>
          <w:numId w:val="26"/>
        </w:numPr>
        <w:spacing w:line="360" w:lineRule="auto"/>
        <w:jc w:val="both"/>
      </w:pPr>
      <w:r w:rsidRPr="00916468">
        <w:rPr>
          <w:b/>
        </w:rPr>
        <w:t>Spadek</w:t>
      </w:r>
      <w:r w:rsidR="00193BE3" w:rsidRPr="00916468">
        <w:rPr>
          <w:b/>
        </w:rPr>
        <w:t xml:space="preserve"> stopy </w:t>
      </w:r>
      <w:r w:rsidR="00156F4A" w:rsidRPr="00916468">
        <w:rPr>
          <w:b/>
        </w:rPr>
        <w:t>bezroboci</w:t>
      </w:r>
      <w:r w:rsidR="00321A2F" w:rsidRPr="00916468">
        <w:rPr>
          <w:b/>
        </w:rPr>
        <w:t>a</w:t>
      </w:r>
      <w:r w:rsidR="00752510" w:rsidRPr="00916468">
        <w:rPr>
          <w:b/>
        </w:rPr>
        <w:t>.</w:t>
      </w:r>
      <w:r w:rsidR="00156F4A" w:rsidRPr="00916468">
        <w:t xml:space="preserve"> </w:t>
      </w:r>
      <w:r w:rsidR="00752510" w:rsidRPr="00916468">
        <w:t>S</w:t>
      </w:r>
      <w:r w:rsidR="00156F4A" w:rsidRPr="00916468">
        <w:t>topa bezrobocia rejestrowanego w</w:t>
      </w:r>
      <w:r w:rsidR="00321A2F" w:rsidRPr="00916468">
        <w:t> </w:t>
      </w:r>
      <w:r w:rsidR="00156F4A" w:rsidRPr="00916468">
        <w:t xml:space="preserve">województwie podkarpackim wyniosła </w:t>
      </w:r>
      <w:r w:rsidR="00916468" w:rsidRPr="00916468">
        <w:t>8</w:t>
      </w:r>
      <w:r w:rsidR="00AF7A67" w:rsidRPr="00916468">
        <w:t>,</w:t>
      </w:r>
      <w:r w:rsidR="00916468" w:rsidRPr="00916468">
        <w:t>5</w:t>
      </w:r>
      <w:r w:rsidR="00640239">
        <w:t xml:space="preserve"> proc.</w:t>
      </w:r>
      <w:r w:rsidR="005C4144" w:rsidRPr="00916468">
        <w:t xml:space="preserve"> wg stanu </w:t>
      </w:r>
      <w:r w:rsidR="00156F4A" w:rsidRPr="00916468">
        <w:t>na dzień 3</w:t>
      </w:r>
      <w:r w:rsidR="00FC6448" w:rsidRPr="00916468">
        <w:t>0</w:t>
      </w:r>
      <w:r w:rsidR="00D91141" w:rsidRPr="00916468">
        <w:t xml:space="preserve"> </w:t>
      </w:r>
      <w:r w:rsidR="00FC6448" w:rsidRPr="00916468">
        <w:t>VI</w:t>
      </w:r>
      <w:r w:rsidR="00D91141" w:rsidRPr="00916468">
        <w:t xml:space="preserve"> </w:t>
      </w:r>
      <w:r w:rsidR="005C4144" w:rsidRPr="00916468">
        <w:t>20</w:t>
      </w:r>
      <w:r w:rsidR="00AF7A67" w:rsidRPr="00916468">
        <w:t>2</w:t>
      </w:r>
      <w:r w:rsidR="00916468" w:rsidRPr="00916468">
        <w:t>1</w:t>
      </w:r>
      <w:r w:rsidR="00156F4A" w:rsidRPr="00916468">
        <w:t xml:space="preserve"> r</w:t>
      </w:r>
      <w:r w:rsidR="00AF7A67" w:rsidRPr="00916468">
        <w:t>oku</w:t>
      </w:r>
      <w:r w:rsidR="00156F4A" w:rsidRPr="00916468">
        <w:t xml:space="preserve"> (31</w:t>
      </w:r>
      <w:r w:rsidR="00AF7A67" w:rsidRPr="00916468">
        <w:t> </w:t>
      </w:r>
      <w:r w:rsidR="00D91141" w:rsidRPr="00916468">
        <w:t xml:space="preserve">XII </w:t>
      </w:r>
      <w:r w:rsidR="005C4144" w:rsidRPr="00916468">
        <w:t>20</w:t>
      </w:r>
      <w:r w:rsidR="00916468" w:rsidRPr="00916468">
        <w:t>20</w:t>
      </w:r>
      <w:r w:rsidR="00156F4A" w:rsidRPr="00916468">
        <w:t xml:space="preserve"> r</w:t>
      </w:r>
      <w:r w:rsidR="00AF7A67" w:rsidRPr="00916468">
        <w:t>oku</w:t>
      </w:r>
      <w:r w:rsidR="00CF668F" w:rsidRPr="00916468">
        <w:t xml:space="preserve"> </w:t>
      </w:r>
      <w:r w:rsidR="00156F4A" w:rsidRPr="00916468">
        <w:t>–</w:t>
      </w:r>
      <w:r w:rsidR="00CF668F" w:rsidRPr="00916468">
        <w:t xml:space="preserve"> </w:t>
      </w:r>
      <w:r w:rsidR="00916468" w:rsidRPr="00916468">
        <w:t>9</w:t>
      </w:r>
      <w:r w:rsidR="00156F4A" w:rsidRPr="00916468">
        <w:t>,</w:t>
      </w:r>
      <w:r w:rsidR="00916468" w:rsidRPr="00916468">
        <w:t>1</w:t>
      </w:r>
      <w:r w:rsidR="00640239">
        <w:t xml:space="preserve"> proc.</w:t>
      </w:r>
      <w:r w:rsidR="00156F4A" w:rsidRPr="00916468">
        <w:t>)</w:t>
      </w:r>
      <w:r w:rsidR="005C4144" w:rsidRPr="00916468">
        <w:t>.</w:t>
      </w:r>
      <w:r w:rsidR="00156F4A" w:rsidRPr="00916468">
        <w:t xml:space="preserve"> </w:t>
      </w:r>
      <w:r w:rsidR="00916468" w:rsidRPr="00916468">
        <w:t xml:space="preserve">Nastąpił spadek </w:t>
      </w:r>
      <w:r w:rsidR="00AF7A67" w:rsidRPr="00916468">
        <w:t xml:space="preserve">w okresie </w:t>
      </w:r>
      <w:r w:rsidR="00FC6448" w:rsidRPr="00916468">
        <w:t>I półrocz</w:t>
      </w:r>
      <w:r w:rsidR="00AF7A67" w:rsidRPr="00916468">
        <w:t>a</w:t>
      </w:r>
      <w:r w:rsidR="00FC6448" w:rsidRPr="00916468">
        <w:t xml:space="preserve"> </w:t>
      </w:r>
      <w:r w:rsidR="00CF668F" w:rsidRPr="00916468">
        <w:t>20</w:t>
      </w:r>
      <w:r w:rsidR="00AF7A67" w:rsidRPr="00916468">
        <w:t>2</w:t>
      </w:r>
      <w:r w:rsidR="00916468" w:rsidRPr="00916468">
        <w:t>1</w:t>
      </w:r>
      <w:r w:rsidR="00156F4A" w:rsidRPr="00916468">
        <w:t xml:space="preserve"> r</w:t>
      </w:r>
      <w:r w:rsidR="00AF7A67" w:rsidRPr="00916468">
        <w:t>oku</w:t>
      </w:r>
      <w:r w:rsidR="00156F4A" w:rsidRPr="00916468">
        <w:t xml:space="preserve"> o </w:t>
      </w:r>
      <w:r w:rsidR="00916468" w:rsidRPr="00916468">
        <w:t>0</w:t>
      </w:r>
      <w:r w:rsidR="00156F4A" w:rsidRPr="00916468">
        <w:t>,</w:t>
      </w:r>
      <w:r w:rsidR="00916468" w:rsidRPr="00916468">
        <w:t>6</w:t>
      </w:r>
      <w:r w:rsidR="00AF7A67" w:rsidRPr="00916468">
        <w:t> </w:t>
      </w:r>
      <w:r w:rsidR="00156F4A" w:rsidRPr="00916468">
        <w:t>pkt</w:t>
      </w:r>
      <w:r w:rsidR="00F3644A" w:rsidRPr="00916468">
        <w:t>.</w:t>
      </w:r>
      <w:r w:rsidR="00156F4A" w:rsidRPr="00916468">
        <w:t xml:space="preserve"> proc.</w:t>
      </w:r>
    </w:p>
    <w:p w:rsidR="00156F4A" w:rsidRPr="00F01337" w:rsidRDefault="00916468" w:rsidP="00156F4A">
      <w:pPr>
        <w:pStyle w:val="Default"/>
        <w:numPr>
          <w:ilvl w:val="0"/>
          <w:numId w:val="26"/>
        </w:numPr>
        <w:spacing w:line="360" w:lineRule="auto"/>
        <w:jc w:val="both"/>
      </w:pPr>
      <w:r w:rsidRPr="00F01337">
        <w:rPr>
          <w:b/>
        </w:rPr>
        <w:t xml:space="preserve">Ze spadkiem stopy bezrobocia </w:t>
      </w:r>
      <w:r w:rsidR="00F01337" w:rsidRPr="00F01337">
        <w:rPr>
          <w:b/>
        </w:rPr>
        <w:t>rejestrowanego związany jest s</w:t>
      </w:r>
      <w:r w:rsidR="00846195" w:rsidRPr="00F01337">
        <w:rPr>
          <w:b/>
        </w:rPr>
        <w:t>padek</w:t>
      </w:r>
      <w:r w:rsidR="00DB04BB" w:rsidRPr="00F01337">
        <w:rPr>
          <w:b/>
        </w:rPr>
        <w:t xml:space="preserve"> </w:t>
      </w:r>
      <w:r w:rsidR="00156F4A" w:rsidRPr="00F01337">
        <w:rPr>
          <w:b/>
        </w:rPr>
        <w:t>liczby bezrobotnych</w:t>
      </w:r>
      <w:r w:rsidR="00752510" w:rsidRPr="00F01337">
        <w:rPr>
          <w:b/>
        </w:rPr>
        <w:t>.</w:t>
      </w:r>
      <w:r w:rsidR="00156F4A" w:rsidRPr="00F01337">
        <w:t xml:space="preserve"> </w:t>
      </w:r>
      <w:r w:rsidR="00752510" w:rsidRPr="00F01337">
        <w:t>W</w:t>
      </w:r>
      <w:r w:rsidR="00156F4A" w:rsidRPr="00F01337">
        <w:t xml:space="preserve"> </w:t>
      </w:r>
      <w:r w:rsidR="00A94592" w:rsidRPr="00F01337">
        <w:t xml:space="preserve">I półroczu </w:t>
      </w:r>
      <w:r w:rsidR="00156F4A" w:rsidRPr="00F01337">
        <w:t>20</w:t>
      </w:r>
      <w:r w:rsidR="00AF7A67" w:rsidRPr="00F01337">
        <w:t>2</w:t>
      </w:r>
      <w:r w:rsidR="00F01337" w:rsidRPr="00F01337">
        <w:t>1</w:t>
      </w:r>
      <w:r w:rsidR="00156F4A" w:rsidRPr="00F01337">
        <w:t xml:space="preserve"> r</w:t>
      </w:r>
      <w:r w:rsidR="00AF7A67" w:rsidRPr="00F01337">
        <w:t>oku</w:t>
      </w:r>
      <w:r w:rsidR="00156F4A" w:rsidRPr="00F01337">
        <w:t xml:space="preserve"> więcej osób </w:t>
      </w:r>
      <w:r w:rsidR="00F01337" w:rsidRPr="00F01337">
        <w:t xml:space="preserve">wyrejestrowano z </w:t>
      </w:r>
      <w:r w:rsidR="00156F4A" w:rsidRPr="00F01337">
        <w:t>powiatowych urzęd</w:t>
      </w:r>
      <w:r w:rsidR="00F01337" w:rsidRPr="00F01337">
        <w:t>ów</w:t>
      </w:r>
      <w:r w:rsidR="00156F4A" w:rsidRPr="00F01337">
        <w:t xml:space="preserve"> pracy (</w:t>
      </w:r>
      <w:r w:rsidR="00A94592" w:rsidRPr="00F01337">
        <w:t>„</w:t>
      </w:r>
      <w:r w:rsidR="00F01337" w:rsidRPr="00F01337">
        <w:t>odpływ</w:t>
      </w:r>
      <w:r w:rsidR="00A94592" w:rsidRPr="00F01337">
        <w:t xml:space="preserve">” – </w:t>
      </w:r>
      <w:r w:rsidR="00F01337" w:rsidRPr="00F01337">
        <w:t>48034</w:t>
      </w:r>
      <w:r w:rsidR="00156F4A" w:rsidRPr="00F01337">
        <w:t xml:space="preserve">) niż </w:t>
      </w:r>
      <w:r w:rsidR="00F01337" w:rsidRPr="00F01337">
        <w:t>zarejestrowano</w:t>
      </w:r>
      <w:r w:rsidR="00AF7A67" w:rsidRPr="00F01337">
        <w:t xml:space="preserve"> </w:t>
      </w:r>
      <w:r w:rsidR="00156F4A" w:rsidRPr="00F01337">
        <w:t>(</w:t>
      </w:r>
      <w:r w:rsidR="00A94592" w:rsidRPr="00F01337">
        <w:t>„</w:t>
      </w:r>
      <w:r w:rsidR="00F01337" w:rsidRPr="00F01337">
        <w:t>napływ</w:t>
      </w:r>
      <w:r w:rsidR="00A94592" w:rsidRPr="00F01337">
        <w:t xml:space="preserve">” – </w:t>
      </w:r>
      <w:r w:rsidR="00F01337" w:rsidRPr="00F01337">
        <w:t>41652</w:t>
      </w:r>
      <w:r w:rsidR="00156F4A" w:rsidRPr="00F01337">
        <w:t xml:space="preserve">). Różnica wyniosła </w:t>
      </w:r>
      <w:r w:rsidR="00F01337" w:rsidRPr="00F01337">
        <w:t>6382</w:t>
      </w:r>
      <w:r w:rsidR="00156F4A" w:rsidRPr="00F01337">
        <w:t xml:space="preserve"> os</w:t>
      </w:r>
      <w:r w:rsidR="00F01337" w:rsidRPr="00F01337">
        <w:t>o</w:t>
      </w:r>
      <w:r w:rsidR="00156F4A" w:rsidRPr="00F01337">
        <w:t>b</w:t>
      </w:r>
      <w:r w:rsidR="00F01337" w:rsidRPr="00F01337">
        <w:t>y in minus</w:t>
      </w:r>
      <w:r w:rsidR="00156F4A" w:rsidRPr="00F01337">
        <w:t xml:space="preserve">. </w:t>
      </w:r>
    </w:p>
    <w:p w:rsidR="006749C3" w:rsidRDefault="00156F4A" w:rsidP="00D94C28">
      <w:pPr>
        <w:pStyle w:val="Default"/>
        <w:numPr>
          <w:ilvl w:val="0"/>
          <w:numId w:val="26"/>
        </w:numPr>
        <w:spacing w:line="360" w:lineRule="auto"/>
        <w:jc w:val="both"/>
      </w:pPr>
      <w:r w:rsidRPr="00F01337">
        <w:rPr>
          <w:b/>
        </w:rPr>
        <w:t>Bezrobocie kobiet</w:t>
      </w:r>
      <w:r w:rsidR="00752510" w:rsidRPr="00F01337">
        <w:rPr>
          <w:b/>
        </w:rPr>
        <w:t>.</w:t>
      </w:r>
      <w:r w:rsidRPr="00F01337">
        <w:t xml:space="preserve"> </w:t>
      </w:r>
      <w:r w:rsidR="00D94C28">
        <w:t xml:space="preserve">Ponad połowę ogólnej liczby bezrobotnych zarejestrowanych w PUP według stanu na dzień 30. VI. 2021 r. stanowiły kobiety </w:t>
      </w:r>
      <w:r w:rsidR="00A94592" w:rsidRPr="00F01337">
        <w:t>(</w:t>
      </w:r>
      <w:r w:rsidR="0051047D" w:rsidRPr="00F01337">
        <w:t>5</w:t>
      </w:r>
      <w:r w:rsidR="00F01337" w:rsidRPr="00F01337">
        <w:t>3</w:t>
      </w:r>
      <w:r w:rsidRPr="00F01337">
        <w:t>,</w:t>
      </w:r>
      <w:r w:rsidR="00F01337" w:rsidRPr="00F01337">
        <w:t>4</w:t>
      </w:r>
      <w:r w:rsidR="00640239">
        <w:t xml:space="preserve"> proc.</w:t>
      </w:r>
      <w:r w:rsidR="00A94592" w:rsidRPr="00F01337">
        <w:t>)</w:t>
      </w:r>
      <w:r w:rsidRPr="00F01337">
        <w:t xml:space="preserve">, podczas gdy </w:t>
      </w:r>
      <w:r w:rsidR="00D94C28">
        <w:t xml:space="preserve">na </w:t>
      </w:r>
      <w:r w:rsidR="0051047D" w:rsidRPr="00F01337">
        <w:t>ko</w:t>
      </w:r>
      <w:r w:rsidR="00D94C28">
        <w:t>niec</w:t>
      </w:r>
      <w:r w:rsidR="0051047D" w:rsidRPr="00F01337">
        <w:t xml:space="preserve"> 20</w:t>
      </w:r>
      <w:r w:rsidR="00F01337" w:rsidRPr="00F01337">
        <w:t>20</w:t>
      </w:r>
      <w:r w:rsidR="0051047D" w:rsidRPr="00F01337">
        <w:t xml:space="preserve"> r</w:t>
      </w:r>
      <w:r w:rsidR="002F63DF" w:rsidRPr="00F01337">
        <w:t>oku</w:t>
      </w:r>
      <w:r w:rsidR="0051047D" w:rsidRPr="00F01337">
        <w:t xml:space="preserve"> – </w:t>
      </w:r>
      <w:r w:rsidR="002F63DF" w:rsidRPr="00F01337">
        <w:t>5</w:t>
      </w:r>
      <w:r w:rsidR="00F01337" w:rsidRPr="00F01337">
        <w:t>2</w:t>
      </w:r>
      <w:r w:rsidRPr="00F01337">
        <w:t>,</w:t>
      </w:r>
      <w:r w:rsidR="00F01337" w:rsidRPr="00F01337">
        <w:t>7</w:t>
      </w:r>
      <w:r w:rsidR="00640239">
        <w:t xml:space="preserve"> proc</w:t>
      </w:r>
      <w:r w:rsidRPr="00F01337">
        <w:t>.</w:t>
      </w:r>
    </w:p>
    <w:p w:rsidR="00156F4A" w:rsidRPr="00F01337" w:rsidRDefault="00156F4A" w:rsidP="00D94C28">
      <w:pPr>
        <w:pStyle w:val="Default"/>
        <w:numPr>
          <w:ilvl w:val="0"/>
          <w:numId w:val="26"/>
        </w:numPr>
        <w:spacing w:line="360" w:lineRule="auto"/>
        <w:jc w:val="both"/>
      </w:pPr>
      <w:r w:rsidRPr="00F01337">
        <w:t xml:space="preserve">Bezrobotne kobiety </w:t>
      </w:r>
      <w:r w:rsidR="00CF24C6" w:rsidRPr="00F01337">
        <w:t>p</w:t>
      </w:r>
      <w:r w:rsidRPr="00F01337">
        <w:t xml:space="preserve">rzeważają </w:t>
      </w:r>
      <w:r w:rsidR="006749C3">
        <w:t xml:space="preserve">również </w:t>
      </w:r>
      <w:r w:rsidRPr="00F01337">
        <w:t xml:space="preserve">wśród ogółu </w:t>
      </w:r>
      <w:r w:rsidR="006749C3">
        <w:t xml:space="preserve">osób </w:t>
      </w:r>
      <w:r w:rsidRPr="00F01337">
        <w:t>długotrwale bezrobotnych.</w:t>
      </w:r>
      <w:r w:rsidR="006749C3">
        <w:t xml:space="preserve"> Sytuacja ta nie zmieniła się od końca 2020 roku. </w:t>
      </w:r>
      <w:r w:rsidR="00D94C28">
        <w:t>W</w:t>
      </w:r>
      <w:r w:rsidR="00D94C28" w:rsidRPr="00D94C28">
        <w:t xml:space="preserve">edług stanu na dzień 30. VI. 2021 r. </w:t>
      </w:r>
      <w:r w:rsidR="00D94C28">
        <w:t xml:space="preserve">długotrwale bezrobotne kobiety </w:t>
      </w:r>
      <w:r w:rsidR="00D94C28" w:rsidRPr="00D94C28">
        <w:t xml:space="preserve">stanowiły </w:t>
      </w:r>
      <w:r w:rsidR="00D94C28">
        <w:t>56</w:t>
      </w:r>
      <w:r w:rsidR="00D94C28" w:rsidRPr="00D94C28">
        <w:t>,</w:t>
      </w:r>
      <w:r w:rsidR="00D94C28">
        <w:t>6</w:t>
      </w:r>
      <w:r w:rsidR="00640239">
        <w:t xml:space="preserve"> proc.,</w:t>
      </w:r>
      <w:r w:rsidR="00D94C28" w:rsidRPr="00D94C28">
        <w:t xml:space="preserve"> podczas gdy na koniec 2020 roku – </w:t>
      </w:r>
      <w:r w:rsidR="00D94C28">
        <w:t>również 56</w:t>
      </w:r>
      <w:r w:rsidR="00D94C28" w:rsidRPr="00D94C28">
        <w:t>,</w:t>
      </w:r>
      <w:r w:rsidR="00D94C28">
        <w:t>6</w:t>
      </w:r>
      <w:r w:rsidR="00640239">
        <w:t xml:space="preserve"> proc.</w:t>
      </w:r>
      <w:r w:rsidR="00D94C28">
        <w:t xml:space="preserve"> </w:t>
      </w:r>
    </w:p>
    <w:p w:rsidR="009C15B7" w:rsidRPr="00F01337" w:rsidRDefault="00156F4A" w:rsidP="00156F4A">
      <w:pPr>
        <w:pStyle w:val="Default"/>
        <w:numPr>
          <w:ilvl w:val="0"/>
          <w:numId w:val="26"/>
        </w:numPr>
        <w:spacing w:line="360" w:lineRule="auto"/>
        <w:jc w:val="both"/>
      </w:pPr>
      <w:r w:rsidRPr="00F01337">
        <w:rPr>
          <w:b/>
        </w:rPr>
        <w:t>Bezrobocie na wsi</w:t>
      </w:r>
      <w:r w:rsidR="00752510" w:rsidRPr="00F01337">
        <w:rPr>
          <w:b/>
        </w:rPr>
        <w:t>.</w:t>
      </w:r>
      <w:r w:rsidRPr="00F01337">
        <w:t xml:space="preserve"> </w:t>
      </w:r>
      <w:r w:rsidR="00752510" w:rsidRPr="00F01337">
        <w:t>O</w:t>
      </w:r>
      <w:r w:rsidRPr="00F01337">
        <w:t xml:space="preserve">d dłuższego czasu utrzymuje się wysoki poziom bezrobotnych </w:t>
      </w:r>
      <w:r w:rsidRPr="000C287B">
        <w:t xml:space="preserve">zamieszkałych na </w:t>
      </w:r>
      <w:r w:rsidR="0051047D" w:rsidRPr="000C287B">
        <w:t>wsi</w:t>
      </w:r>
      <w:r w:rsidRPr="000C287B">
        <w:t xml:space="preserve"> </w:t>
      </w:r>
      <w:r w:rsidR="00F01337" w:rsidRPr="000C287B">
        <w:t xml:space="preserve">– </w:t>
      </w:r>
      <w:r w:rsidR="00F37CB7" w:rsidRPr="000C287B">
        <w:t>6</w:t>
      </w:r>
      <w:r w:rsidR="007346E1" w:rsidRPr="000C287B">
        <w:t>1,5</w:t>
      </w:r>
      <w:r w:rsidR="00640239">
        <w:t xml:space="preserve"> proc.</w:t>
      </w:r>
      <w:r w:rsidRPr="000C287B">
        <w:t xml:space="preserve"> bezrobotnych</w:t>
      </w:r>
      <w:r w:rsidRPr="00F01337">
        <w:t xml:space="preserve"> ogółem. </w:t>
      </w:r>
      <w:r w:rsidR="009C15B7" w:rsidRPr="00F01337">
        <w:t xml:space="preserve">Są to niewykorzystane </w:t>
      </w:r>
      <w:r w:rsidR="00092F4D" w:rsidRPr="00F01337">
        <w:t xml:space="preserve">dla rozwoju </w:t>
      </w:r>
      <w:r w:rsidR="00F31475" w:rsidRPr="00F01337">
        <w:t xml:space="preserve">nowoczesnej </w:t>
      </w:r>
      <w:r w:rsidR="00F37CB7" w:rsidRPr="00F01337">
        <w:t xml:space="preserve">gospodarki </w:t>
      </w:r>
      <w:r w:rsidR="009C15B7" w:rsidRPr="00F01337">
        <w:t>zasoby pracowników</w:t>
      </w:r>
      <w:r w:rsidR="00092F4D" w:rsidRPr="00F01337">
        <w:t>, będących</w:t>
      </w:r>
      <w:r w:rsidR="00F31475" w:rsidRPr="00F01337">
        <w:t xml:space="preserve"> </w:t>
      </w:r>
      <w:r w:rsidR="009C15B7" w:rsidRPr="00F01337">
        <w:t>w</w:t>
      </w:r>
      <w:r w:rsidR="00F31475" w:rsidRPr="00F01337">
        <w:t xml:space="preserve"> </w:t>
      </w:r>
      <w:r w:rsidR="009C15B7" w:rsidRPr="00F01337">
        <w:t>wieku produkcyjnym</w:t>
      </w:r>
      <w:r w:rsidR="00F01337">
        <w:t>.</w:t>
      </w:r>
      <w:r w:rsidR="007346E1" w:rsidRPr="00F01337">
        <w:t xml:space="preserve"> </w:t>
      </w:r>
      <w:r w:rsidR="00F01337">
        <w:t>S</w:t>
      </w:r>
      <w:r w:rsidR="007346E1" w:rsidRPr="00F01337">
        <w:t xml:space="preserve">tanowią z reguły tzw. </w:t>
      </w:r>
      <w:r w:rsidR="00092F4D" w:rsidRPr="00F01337">
        <w:t>bezrobocie ukryte na wsi</w:t>
      </w:r>
      <w:r w:rsidR="009C15B7" w:rsidRPr="00F01337">
        <w:t>,</w:t>
      </w:r>
    </w:p>
    <w:p w:rsidR="004B23EF" w:rsidRPr="00111097" w:rsidRDefault="00156F4A" w:rsidP="004B23EF">
      <w:pPr>
        <w:pStyle w:val="Default"/>
        <w:numPr>
          <w:ilvl w:val="0"/>
          <w:numId w:val="26"/>
        </w:numPr>
        <w:spacing w:line="360" w:lineRule="auto"/>
        <w:jc w:val="both"/>
      </w:pPr>
      <w:r w:rsidRPr="00111097">
        <w:rPr>
          <w:b/>
        </w:rPr>
        <w:t xml:space="preserve">Bezrobocie </w:t>
      </w:r>
      <w:r w:rsidR="00846195" w:rsidRPr="00111097">
        <w:rPr>
          <w:b/>
        </w:rPr>
        <w:t xml:space="preserve">wielokrotne i </w:t>
      </w:r>
      <w:r w:rsidRPr="00111097">
        <w:rPr>
          <w:b/>
        </w:rPr>
        <w:t>długotrwałe</w:t>
      </w:r>
      <w:r w:rsidR="00752510" w:rsidRPr="00111097">
        <w:t>.</w:t>
      </w:r>
      <w:r w:rsidR="007346E1" w:rsidRPr="00111097">
        <w:t xml:space="preserve"> Najliczniejszą grupą </w:t>
      </w:r>
      <w:r w:rsidR="00B56A07">
        <w:t xml:space="preserve">osób bezrobotnych znajdujących się </w:t>
      </w:r>
      <w:r w:rsidR="007346E1" w:rsidRPr="00111097">
        <w:t>w szczególnej sytuacji na rynku pracy by</w:t>
      </w:r>
      <w:r w:rsidR="00B56A07">
        <w:t>li</w:t>
      </w:r>
      <w:r w:rsidR="007346E1" w:rsidRPr="00111097">
        <w:t xml:space="preserve"> długotrwale bezrobotn</w:t>
      </w:r>
      <w:r w:rsidR="00B56A07">
        <w:t>i</w:t>
      </w:r>
      <w:r w:rsidR="007346E1" w:rsidRPr="00111097">
        <w:t xml:space="preserve"> tj. 4</w:t>
      </w:r>
      <w:r w:rsidR="000C287B" w:rsidRPr="00111097">
        <w:t>8433</w:t>
      </w:r>
      <w:r w:rsidR="007346E1" w:rsidRPr="00111097">
        <w:t xml:space="preserve"> (5</w:t>
      </w:r>
      <w:r w:rsidR="000C287B" w:rsidRPr="00111097">
        <w:t>6</w:t>
      </w:r>
      <w:r w:rsidR="007346E1" w:rsidRPr="00111097">
        <w:t>,</w:t>
      </w:r>
      <w:r w:rsidR="000C287B" w:rsidRPr="00111097">
        <w:t>6</w:t>
      </w:r>
      <w:r w:rsidR="001158D9">
        <w:t xml:space="preserve"> proc.</w:t>
      </w:r>
      <w:r w:rsidR="007346E1" w:rsidRPr="00111097">
        <w:t xml:space="preserve"> ogółu bezrobotnych). W</w:t>
      </w:r>
      <w:r w:rsidR="000C287B" w:rsidRPr="00111097">
        <w:t> </w:t>
      </w:r>
      <w:r w:rsidR="007346E1" w:rsidRPr="00111097">
        <w:t>stosunku do I półrocza 20</w:t>
      </w:r>
      <w:r w:rsidR="000C287B" w:rsidRPr="00111097">
        <w:t>20</w:t>
      </w:r>
      <w:r w:rsidR="007346E1" w:rsidRPr="00111097">
        <w:t xml:space="preserve"> roku udział bezrobotnych długotrwale wśród bezrobotnych ogółem </w:t>
      </w:r>
      <w:r w:rsidR="000C287B" w:rsidRPr="00111097">
        <w:t xml:space="preserve">zwiększył się </w:t>
      </w:r>
      <w:r w:rsidR="007346E1" w:rsidRPr="00111097">
        <w:t xml:space="preserve">z </w:t>
      </w:r>
      <w:r w:rsidR="000C287B" w:rsidRPr="00111097">
        <w:t>52</w:t>
      </w:r>
      <w:r w:rsidR="007346E1" w:rsidRPr="00111097">
        <w:t>,</w:t>
      </w:r>
      <w:r w:rsidR="000C287B" w:rsidRPr="00111097">
        <w:t>3</w:t>
      </w:r>
      <w:r w:rsidR="001158D9">
        <w:t xml:space="preserve"> proc.</w:t>
      </w:r>
      <w:r w:rsidR="007346E1" w:rsidRPr="00111097">
        <w:t xml:space="preserve"> do 5</w:t>
      </w:r>
      <w:r w:rsidR="000C287B" w:rsidRPr="00111097">
        <w:t>9</w:t>
      </w:r>
      <w:r w:rsidR="007346E1" w:rsidRPr="00111097">
        <w:t>,</w:t>
      </w:r>
      <w:r w:rsidR="000C287B" w:rsidRPr="00111097">
        <w:t>8</w:t>
      </w:r>
      <w:r w:rsidR="001158D9">
        <w:t> proc.</w:t>
      </w:r>
      <w:r w:rsidR="00846195" w:rsidRPr="00111097">
        <w:t xml:space="preserve"> </w:t>
      </w:r>
      <w:r w:rsidR="00654764" w:rsidRPr="00111097">
        <w:t>Od dłuższego czasu odnotowywany jest wysoki napływ do urzędów pracy osób już wcześniej bezrobotn</w:t>
      </w:r>
      <w:r w:rsidR="00F26518" w:rsidRPr="00111097">
        <w:t>ych</w:t>
      </w:r>
      <w:r w:rsidR="00654764" w:rsidRPr="00111097">
        <w:t xml:space="preserve"> tj. rejestrujących się po raz kolejny.</w:t>
      </w:r>
      <w:r w:rsidR="004B23EF" w:rsidRPr="00111097">
        <w:t xml:space="preserve"> Większość rejestracji w PUP stanowią osoby powracające do bezrobocia po raz kolejny od 1990 roku. Osoby te stanowiły w okresie I</w:t>
      </w:r>
      <w:r w:rsidR="000C287B" w:rsidRPr="00111097">
        <w:t> </w:t>
      </w:r>
      <w:r w:rsidR="004B23EF" w:rsidRPr="00111097">
        <w:t>półrocza 202</w:t>
      </w:r>
      <w:r w:rsidR="000C287B" w:rsidRPr="00111097">
        <w:t>1</w:t>
      </w:r>
      <w:r w:rsidR="004B23EF" w:rsidRPr="00111097">
        <w:t xml:space="preserve"> roku – 8</w:t>
      </w:r>
      <w:r w:rsidR="00111097" w:rsidRPr="00111097">
        <w:t>1</w:t>
      </w:r>
      <w:r w:rsidR="004B23EF" w:rsidRPr="00111097">
        <w:t>,</w:t>
      </w:r>
      <w:r w:rsidR="00111097" w:rsidRPr="00111097">
        <w:t>2</w:t>
      </w:r>
      <w:r w:rsidR="001158D9">
        <w:t xml:space="preserve"> proc.</w:t>
      </w:r>
      <w:r w:rsidR="004B23EF" w:rsidRPr="00111097">
        <w:t xml:space="preserve"> ogólnej liczby napływu do statystyk bezrobotnych w PUP (w I półroczu 20</w:t>
      </w:r>
      <w:r w:rsidR="000C287B" w:rsidRPr="00111097">
        <w:t>20</w:t>
      </w:r>
      <w:r w:rsidR="004B23EF" w:rsidRPr="00111097">
        <w:t xml:space="preserve"> roku – 84,</w:t>
      </w:r>
      <w:r w:rsidR="000C287B" w:rsidRPr="00111097">
        <w:t>5</w:t>
      </w:r>
      <w:r w:rsidR="001158D9">
        <w:t xml:space="preserve"> proc.</w:t>
      </w:r>
      <w:r w:rsidR="004B23EF" w:rsidRPr="00111097">
        <w:t>)</w:t>
      </w:r>
      <w:r w:rsidR="007346E1" w:rsidRPr="00111097">
        <w:t>.</w:t>
      </w:r>
    </w:p>
    <w:p w:rsidR="008F7012" w:rsidRPr="00DE0EA8" w:rsidRDefault="005B27D2" w:rsidP="00103CE5">
      <w:pPr>
        <w:pStyle w:val="Default"/>
        <w:numPr>
          <w:ilvl w:val="0"/>
          <w:numId w:val="26"/>
        </w:numPr>
        <w:spacing w:line="360" w:lineRule="auto"/>
        <w:jc w:val="both"/>
      </w:pPr>
      <w:r w:rsidRPr="00846195">
        <w:rPr>
          <w:b/>
        </w:rPr>
        <w:lastRenderedPageBreak/>
        <w:t xml:space="preserve">Kumulacja poziomów wykształcenia wśród </w:t>
      </w:r>
      <w:r w:rsidRPr="00C26F0A">
        <w:rPr>
          <w:b/>
        </w:rPr>
        <w:t>bezrobotnych.</w:t>
      </w:r>
      <w:r w:rsidRPr="00C26F0A">
        <w:t xml:space="preserve"> Ponad </w:t>
      </w:r>
      <w:r w:rsidR="00B56A07">
        <w:t>50,0 proc.</w:t>
      </w:r>
      <w:r w:rsidRPr="00C26F0A">
        <w:t xml:space="preserve"> bezrobotnych tj. 53,</w:t>
      </w:r>
      <w:r w:rsidR="00C26F0A" w:rsidRPr="00C26F0A">
        <w:t>2</w:t>
      </w:r>
      <w:r w:rsidR="00B56A07">
        <w:t xml:space="preserve"> proc. </w:t>
      </w:r>
      <w:r w:rsidRPr="00C26F0A">
        <w:t xml:space="preserve">ogółu posiadała wykształcenie o charakterze zawodowym tj. </w:t>
      </w:r>
      <w:r w:rsidR="00103CE5" w:rsidRPr="00C26F0A">
        <w:t>wykształcenie zasadnicze zawodowe (</w:t>
      </w:r>
      <w:r w:rsidR="00C26F0A" w:rsidRPr="00C26F0A">
        <w:t>26</w:t>
      </w:r>
      <w:r w:rsidR="00103CE5" w:rsidRPr="00C26F0A">
        <w:t>,</w:t>
      </w:r>
      <w:r w:rsidR="00C26F0A" w:rsidRPr="00C26F0A">
        <w:t>7</w:t>
      </w:r>
      <w:r w:rsidR="001158D9">
        <w:t xml:space="preserve"> proc.</w:t>
      </w:r>
      <w:r w:rsidR="00103CE5" w:rsidRPr="00C26F0A">
        <w:t>), policealne i średnie zawodowe (26,</w:t>
      </w:r>
      <w:r w:rsidR="00C26F0A" w:rsidRPr="00C26F0A">
        <w:t>5</w:t>
      </w:r>
      <w:r w:rsidR="001158D9">
        <w:t> proc.</w:t>
      </w:r>
      <w:r w:rsidR="00103CE5" w:rsidRPr="00C26F0A">
        <w:t>)</w:t>
      </w:r>
      <w:r w:rsidRPr="00C26F0A">
        <w:t xml:space="preserve">. </w:t>
      </w:r>
      <w:r w:rsidRPr="00DE0EA8">
        <w:t>Należy zaznaczyć, że trzecią kumulacją były osoby bezrobotne z wykształceniem gimnazjalnym i niższym</w:t>
      </w:r>
      <w:r w:rsidR="00FD222A" w:rsidRPr="00DE0EA8">
        <w:t xml:space="preserve"> tj. </w:t>
      </w:r>
      <w:r w:rsidRPr="00C26F0A">
        <w:t>1</w:t>
      </w:r>
      <w:r w:rsidR="00103CE5" w:rsidRPr="00C26F0A">
        <w:t>8</w:t>
      </w:r>
      <w:r w:rsidRPr="00C26F0A">
        <w:t>,</w:t>
      </w:r>
      <w:r w:rsidR="00C26F0A" w:rsidRPr="00C26F0A">
        <w:t>8</w:t>
      </w:r>
      <w:r w:rsidR="001158D9">
        <w:t xml:space="preserve"> proc.</w:t>
      </w:r>
      <w:r w:rsidR="00FD222A" w:rsidRPr="00C26F0A">
        <w:t xml:space="preserve"> ogółu bezrobotnych</w:t>
      </w:r>
      <w:r w:rsidRPr="00DE0EA8">
        <w:t>.</w:t>
      </w:r>
      <w:r w:rsidR="00C26F0A">
        <w:t xml:space="preserve"> </w:t>
      </w:r>
      <w:r w:rsidR="00103CE5" w:rsidRPr="00DE0EA8">
        <w:t>Nieadekwatne wykształcenie w</w:t>
      </w:r>
      <w:r w:rsidR="00B56A07">
        <w:t> </w:t>
      </w:r>
      <w:r w:rsidR="00103CE5" w:rsidRPr="00DE0EA8">
        <w:t xml:space="preserve">stosunku do potrzeb pracodawców </w:t>
      </w:r>
      <w:r w:rsidRPr="00DE0EA8">
        <w:t>jest barierą w</w:t>
      </w:r>
      <w:r w:rsidR="00103CE5" w:rsidRPr="00DE0EA8">
        <w:t> </w:t>
      </w:r>
      <w:r w:rsidRPr="00DE0EA8">
        <w:t xml:space="preserve">rozwoju regionu i </w:t>
      </w:r>
      <w:r w:rsidR="00BB7DCE" w:rsidRPr="00DE0EA8">
        <w:t xml:space="preserve">opóźnia wzrost poziomu i jakości życia </w:t>
      </w:r>
      <w:r w:rsidR="00FD222A" w:rsidRPr="00DE0EA8">
        <w:t>mieszkańców</w:t>
      </w:r>
      <w:r w:rsidRPr="00DE0EA8">
        <w:t xml:space="preserve">. Należy przy tym pamiętać, że w dobie </w:t>
      </w:r>
      <w:r w:rsidRPr="00DE0EA8">
        <w:rPr>
          <w:i/>
        </w:rPr>
        <w:t>knowledge based economy</w:t>
      </w:r>
      <w:r w:rsidRPr="00DE0EA8">
        <w:t xml:space="preserve"> (gospodarki opartej na wiedzy) </w:t>
      </w:r>
      <w:r w:rsidR="00882F2C" w:rsidRPr="00DE0EA8">
        <w:t>i</w:t>
      </w:r>
      <w:r w:rsidRPr="00DE0EA8">
        <w:t xml:space="preserve"> </w:t>
      </w:r>
      <w:r w:rsidRPr="00DE0EA8">
        <w:rPr>
          <w:i/>
        </w:rPr>
        <w:t>life long learning</w:t>
      </w:r>
      <w:r w:rsidRPr="00DE0EA8">
        <w:t xml:space="preserve"> (konieczności doskonalenia swoich umiejętności </w:t>
      </w:r>
      <w:r w:rsidR="00871B95" w:rsidRPr="00DE0EA8">
        <w:t xml:space="preserve">zawodowych </w:t>
      </w:r>
      <w:r w:rsidRPr="00DE0EA8">
        <w:t xml:space="preserve">przez całe życie) wykształcenie dostosowane do potrzeb </w:t>
      </w:r>
      <w:r w:rsidR="00BB7DCE" w:rsidRPr="00DE0EA8">
        <w:t xml:space="preserve">rynku pracy np. </w:t>
      </w:r>
      <w:r w:rsidRPr="00DE0EA8">
        <w:t xml:space="preserve">zawodowe lub </w:t>
      </w:r>
      <w:r w:rsidR="00BB7DCE" w:rsidRPr="00DE0EA8">
        <w:t xml:space="preserve">wyższe </w:t>
      </w:r>
      <w:r w:rsidR="00DE0EA8">
        <w:t xml:space="preserve">(medycyna, nauki </w:t>
      </w:r>
      <w:r w:rsidR="00DE0EA8" w:rsidRPr="00DE0EA8">
        <w:t>ścisłe)</w:t>
      </w:r>
      <w:r w:rsidR="00F352C3">
        <w:t>,</w:t>
      </w:r>
      <w:r w:rsidR="00DE0EA8" w:rsidRPr="00DE0EA8">
        <w:t xml:space="preserve"> </w:t>
      </w:r>
      <w:r w:rsidRPr="00DE0EA8">
        <w:t xml:space="preserve">pozytywnie </w:t>
      </w:r>
      <w:r w:rsidR="00BB7DCE" w:rsidRPr="00DE0EA8">
        <w:t>koreluj</w:t>
      </w:r>
      <w:r w:rsidR="00F352C3">
        <w:t>ą</w:t>
      </w:r>
      <w:r w:rsidR="00BB7DCE" w:rsidRPr="00DE0EA8">
        <w:t xml:space="preserve"> </w:t>
      </w:r>
      <w:r w:rsidRPr="00DE0EA8">
        <w:t>z</w:t>
      </w:r>
      <w:r w:rsidR="00FD222A" w:rsidRPr="00DE0EA8">
        <w:t> </w:t>
      </w:r>
      <w:r w:rsidR="00BB7DCE" w:rsidRPr="00DE0EA8">
        <w:t>szans</w:t>
      </w:r>
      <w:r w:rsidR="00B56A07">
        <w:t>ą</w:t>
      </w:r>
      <w:r w:rsidR="00BB7DCE" w:rsidRPr="00DE0EA8">
        <w:t xml:space="preserve"> na uzyskanie oferty</w:t>
      </w:r>
      <w:r w:rsidR="00B56A07">
        <w:t xml:space="preserve"> pracy</w:t>
      </w:r>
      <w:r w:rsidRPr="00DE0EA8">
        <w:t>.</w:t>
      </w:r>
    </w:p>
    <w:p w:rsidR="000E4B86" w:rsidRPr="00DE0EA8" w:rsidRDefault="0045203D" w:rsidP="00654764">
      <w:pPr>
        <w:pStyle w:val="Default"/>
        <w:numPr>
          <w:ilvl w:val="0"/>
          <w:numId w:val="26"/>
        </w:numPr>
        <w:spacing w:line="360" w:lineRule="auto"/>
        <w:jc w:val="both"/>
      </w:pPr>
      <w:r w:rsidRPr="00DE0EA8">
        <w:t>Istotne jest również dostosowanie i doskonalenie kwalifikacji do potrzeb zmi</w:t>
      </w:r>
      <w:r w:rsidR="00DE0EA8" w:rsidRPr="00DE0EA8">
        <w:t>an na</w:t>
      </w:r>
      <w:r w:rsidRPr="00DE0EA8">
        <w:t xml:space="preserve"> rynku. </w:t>
      </w:r>
      <w:r w:rsidR="00DE0EA8" w:rsidRPr="00DE0EA8">
        <w:t xml:space="preserve">Odnotowujemy (badania ankietowe, eksploracja baz danych GUS) </w:t>
      </w:r>
      <w:r w:rsidRPr="00DE0EA8">
        <w:t>nadal duż</w:t>
      </w:r>
      <w:r w:rsidR="00DE0EA8" w:rsidRPr="00DE0EA8">
        <w:t>ą</w:t>
      </w:r>
      <w:r w:rsidRPr="00DE0EA8">
        <w:t xml:space="preserve"> rozbieżność pomiędzy rodzajem posiadanych </w:t>
      </w:r>
      <w:r w:rsidR="00DE0EA8" w:rsidRPr="00DE0EA8">
        <w:t xml:space="preserve">umiejętności i </w:t>
      </w:r>
      <w:r w:rsidRPr="00DE0EA8">
        <w:t>uprawnień pracowników</w:t>
      </w:r>
      <w:r w:rsidR="00DE0EA8" w:rsidRPr="00DE0EA8">
        <w:t>,</w:t>
      </w:r>
      <w:r w:rsidRPr="00DE0EA8">
        <w:t xml:space="preserve"> </w:t>
      </w:r>
      <w:r w:rsidR="00DE0EA8" w:rsidRPr="00DE0EA8">
        <w:t>a</w:t>
      </w:r>
      <w:r w:rsidRPr="00DE0EA8">
        <w:t xml:space="preserve"> </w:t>
      </w:r>
      <w:r w:rsidR="00F07E21">
        <w:t xml:space="preserve">potrzebami </w:t>
      </w:r>
      <w:r w:rsidRPr="00DE0EA8">
        <w:t>pracodawców.</w:t>
      </w:r>
      <w:r w:rsidR="000E4B86" w:rsidRPr="00DE0EA8">
        <w:t xml:space="preserve"> </w:t>
      </w:r>
      <w:r w:rsidR="005B27D2" w:rsidRPr="00DE0EA8">
        <w:t xml:space="preserve">Stąd ważną sprawą jest zapewnienie </w:t>
      </w:r>
      <w:r w:rsidR="002337FC" w:rsidRPr="00DE0EA8">
        <w:t>osobom zainteresowanym</w:t>
      </w:r>
      <w:r w:rsidR="006D21BC" w:rsidRPr="00DE0EA8">
        <w:t xml:space="preserve"> </w:t>
      </w:r>
      <w:r w:rsidR="00AC773C" w:rsidRPr="00DE0EA8">
        <w:t xml:space="preserve">możliwości </w:t>
      </w:r>
      <w:r w:rsidR="005B27D2" w:rsidRPr="00DE0EA8">
        <w:t>kształcenia</w:t>
      </w:r>
      <w:r w:rsidR="006D21BC" w:rsidRPr="00DE0EA8">
        <w:t xml:space="preserve"> zawodowego</w:t>
      </w:r>
      <w:r w:rsidR="00D75FBE" w:rsidRPr="00DE0EA8">
        <w:t xml:space="preserve"> i przekwalifikowania</w:t>
      </w:r>
      <w:r w:rsidR="006D21BC" w:rsidRPr="00DE0EA8">
        <w:t>.</w:t>
      </w:r>
    </w:p>
    <w:p w:rsidR="00D172FF" w:rsidRPr="00B54ACA" w:rsidRDefault="006D21BC" w:rsidP="00156F4A">
      <w:pPr>
        <w:pStyle w:val="Default"/>
        <w:numPr>
          <w:ilvl w:val="0"/>
          <w:numId w:val="26"/>
        </w:numPr>
        <w:spacing w:line="360" w:lineRule="auto"/>
        <w:jc w:val="both"/>
      </w:pPr>
      <w:r w:rsidRPr="00B54ACA">
        <w:rPr>
          <w:b/>
        </w:rPr>
        <w:t xml:space="preserve">Szkolenia są równie istotne dla osób </w:t>
      </w:r>
      <w:r w:rsidR="005B27D2" w:rsidRPr="00B54ACA">
        <w:rPr>
          <w:b/>
        </w:rPr>
        <w:t xml:space="preserve">w wieku </w:t>
      </w:r>
      <w:r w:rsidR="002E2CE3" w:rsidRPr="00B54ACA">
        <w:rPr>
          <w:b/>
        </w:rPr>
        <w:t>powyżej 30 lat,</w:t>
      </w:r>
      <w:r w:rsidR="005B27D2" w:rsidRPr="00B54ACA">
        <w:rPr>
          <w:b/>
        </w:rPr>
        <w:t xml:space="preserve"> </w:t>
      </w:r>
      <w:r w:rsidR="00D75FBE" w:rsidRPr="00B54ACA">
        <w:rPr>
          <w:b/>
        </w:rPr>
        <w:t xml:space="preserve">co dla </w:t>
      </w:r>
      <w:r w:rsidR="002E2CE3" w:rsidRPr="00B54ACA">
        <w:rPr>
          <w:b/>
        </w:rPr>
        <w:t>osób do 30 roku życia,</w:t>
      </w:r>
      <w:r w:rsidR="00824FA7" w:rsidRPr="00B54ACA">
        <w:rPr>
          <w:b/>
        </w:rPr>
        <w:t xml:space="preserve"> </w:t>
      </w:r>
      <w:r w:rsidR="00D75FBE" w:rsidRPr="00B54ACA">
        <w:rPr>
          <w:b/>
        </w:rPr>
        <w:t xml:space="preserve">z tą różnicą, że grupa bezrobotnych i poszukujących pracy </w:t>
      </w:r>
      <w:r w:rsidR="002E2CE3" w:rsidRPr="00B54ACA">
        <w:rPr>
          <w:b/>
        </w:rPr>
        <w:t xml:space="preserve">powyżej 30 roku życia </w:t>
      </w:r>
      <w:r w:rsidR="00D75FBE" w:rsidRPr="00B54ACA">
        <w:rPr>
          <w:b/>
        </w:rPr>
        <w:t xml:space="preserve">potrzebuje większych możliwości </w:t>
      </w:r>
      <w:r w:rsidR="0018258D" w:rsidRPr="00B54ACA">
        <w:rPr>
          <w:b/>
        </w:rPr>
        <w:t>co do przekwalifikowania</w:t>
      </w:r>
      <w:r w:rsidR="00D75FBE" w:rsidRPr="00B54ACA">
        <w:rPr>
          <w:b/>
        </w:rPr>
        <w:t>, a</w:t>
      </w:r>
      <w:r w:rsidR="00255FEF" w:rsidRPr="00B54ACA">
        <w:rPr>
          <w:b/>
        </w:rPr>
        <w:t> </w:t>
      </w:r>
      <w:r w:rsidR="00D75FBE" w:rsidRPr="00B54ACA">
        <w:rPr>
          <w:b/>
        </w:rPr>
        <w:t xml:space="preserve">nie </w:t>
      </w:r>
      <w:r w:rsidR="00255FEF" w:rsidRPr="00B54ACA">
        <w:rPr>
          <w:b/>
        </w:rPr>
        <w:t>t</w:t>
      </w:r>
      <w:r w:rsidR="00D75FBE" w:rsidRPr="00B54ACA">
        <w:rPr>
          <w:b/>
        </w:rPr>
        <w:t xml:space="preserve">ylko </w:t>
      </w:r>
      <w:r w:rsidR="00255FEF" w:rsidRPr="00B54ACA">
        <w:rPr>
          <w:b/>
        </w:rPr>
        <w:t xml:space="preserve">doskonalenia </w:t>
      </w:r>
      <w:r w:rsidR="00BD72F1" w:rsidRPr="00B54ACA">
        <w:rPr>
          <w:b/>
        </w:rPr>
        <w:t xml:space="preserve">już posiadanych </w:t>
      </w:r>
      <w:r w:rsidR="00D75FBE" w:rsidRPr="00B54ACA">
        <w:rPr>
          <w:b/>
        </w:rPr>
        <w:t xml:space="preserve">umiejętności </w:t>
      </w:r>
      <w:r w:rsidR="00BD72F1" w:rsidRPr="00B54ACA">
        <w:rPr>
          <w:b/>
        </w:rPr>
        <w:t>i</w:t>
      </w:r>
      <w:r w:rsidR="00D75FBE" w:rsidRPr="00B54ACA">
        <w:rPr>
          <w:b/>
        </w:rPr>
        <w:t xml:space="preserve"> uprawnień</w:t>
      </w:r>
      <w:r w:rsidR="00882F2C" w:rsidRPr="00B54ACA">
        <w:t xml:space="preserve">. </w:t>
      </w:r>
      <w:r w:rsidR="00B54ACA" w:rsidRPr="00B54ACA">
        <w:t>O</w:t>
      </w:r>
      <w:r w:rsidR="00882F2C" w:rsidRPr="00B54ACA">
        <w:t>soby w</w:t>
      </w:r>
      <w:r w:rsidR="00D75FBE" w:rsidRPr="00B54ACA">
        <w:t> </w:t>
      </w:r>
      <w:r w:rsidR="00882F2C" w:rsidRPr="00B54ACA">
        <w:t xml:space="preserve">wieku </w:t>
      </w:r>
      <w:r w:rsidR="00D75FBE" w:rsidRPr="00B54ACA">
        <w:t xml:space="preserve">powyżej 30 lat tj. mieszczące się w przedziale </w:t>
      </w:r>
      <w:r w:rsidR="00882F2C" w:rsidRPr="00B54ACA">
        <w:t xml:space="preserve">od 31 do 50 lat stanowią </w:t>
      </w:r>
      <w:r w:rsidR="00D75FBE" w:rsidRPr="00B54ACA">
        <w:t>już połowę</w:t>
      </w:r>
      <w:r w:rsidR="002E2CE3" w:rsidRPr="00B54ACA">
        <w:t xml:space="preserve"> </w:t>
      </w:r>
      <w:r w:rsidR="005B27D2" w:rsidRPr="00B54ACA">
        <w:t>ogółu bezrobotnych</w:t>
      </w:r>
      <w:r w:rsidR="00D75FBE" w:rsidRPr="00B54ACA">
        <w:t xml:space="preserve"> w PUP</w:t>
      </w:r>
      <w:r w:rsidR="005B27D2" w:rsidRPr="00B54ACA">
        <w:t>.</w:t>
      </w:r>
    </w:p>
    <w:p w:rsidR="00701DB2" w:rsidRPr="00824FA7" w:rsidRDefault="00952A6F" w:rsidP="00156F4A">
      <w:pPr>
        <w:pStyle w:val="Default"/>
        <w:numPr>
          <w:ilvl w:val="0"/>
          <w:numId w:val="26"/>
        </w:numPr>
        <w:spacing w:line="360" w:lineRule="auto"/>
        <w:jc w:val="both"/>
      </w:pPr>
      <w:r w:rsidRPr="00824FA7">
        <w:rPr>
          <w:b/>
        </w:rPr>
        <w:t>Rejestrowane be</w:t>
      </w:r>
      <w:r w:rsidR="00156F4A" w:rsidRPr="00824FA7">
        <w:rPr>
          <w:b/>
        </w:rPr>
        <w:t xml:space="preserve">zrobocie </w:t>
      </w:r>
      <w:r w:rsidRPr="00824FA7">
        <w:rPr>
          <w:b/>
        </w:rPr>
        <w:t xml:space="preserve">osób </w:t>
      </w:r>
      <w:r w:rsidR="00752510" w:rsidRPr="00824FA7">
        <w:rPr>
          <w:b/>
        </w:rPr>
        <w:t>posiadających w</w:t>
      </w:r>
      <w:r w:rsidR="00156F4A" w:rsidRPr="00824FA7">
        <w:rPr>
          <w:b/>
        </w:rPr>
        <w:t>ykształceni</w:t>
      </w:r>
      <w:r w:rsidR="00752510" w:rsidRPr="00824FA7">
        <w:rPr>
          <w:b/>
        </w:rPr>
        <w:t>e wyższe.</w:t>
      </w:r>
      <w:r w:rsidR="00156F4A" w:rsidRPr="00824FA7">
        <w:t xml:space="preserve"> </w:t>
      </w:r>
      <w:r w:rsidR="00752510" w:rsidRPr="00824FA7">
        <w:t>W</w:t>
      </w:r>
      <w:r w:rsidR="00156F4A" w:rsidRPr="00824FA7">
        <w:t xml:space="preserve">ykształcenie wyższe posiadało </w:t>
      </w:r>
      <w:r w:rsidR="00881E1F" w:rsidRPr="00824FA7">
        <w:t>1</w:t>
      </w:r>
      <w:r w:rsidR="00F558BD" w:rsidRPr="00824FA7">
        <w:t>6</w:t>
      </w:r>
      <w:r w:rsidR="0075743F" w:rsidRPr="00824FA7">
        <w:t>,</w:t>
      </w:r>
      <w:r w:rsidR="00824FA7" w:rsidRPr="00824FA7">
        <w:t>0</w:t>
      </w:r>
      <w:r w:rsidR="001158D9">
        <w:t xml:space="preserve"> proc.</w:t>
      </w:r>
      <w:r w:rsidR="00156F4A" w:rsidRPr="00824FA7">
        <w:t xml:space="preserve"> bezrobotnych </w:t>
      </w:r>
      <w:r w:rsidR="008B4D7C">
        <w:t xml:space="preserve">zarejestrowanych </w:t>
      </w:r>
      <w:r w:rsidR="00156F4A" w:rsidRPr="00824FA7">
        <w:t xml:space="preserve">w PUP. </w:t>
      </w:r>
      <w:r w:rsidR="00F31475" w:rsidRPr="00824FA7">
        <w:t xml:space="preserve">W porównaniu do analogicznego okresu </w:t>
      </w:r>
      <w:r w:rsidR="00F558BD" w:rsidRPr="00824FA7">
        <w:t>roku ubiegłego 30 VI 20</w:t>
      </w:r>
      <w:r w:rsidR="0018258D" w:rsidRPr="00824FA7">
        <w:t>20</w:t>
      </w:r>
      <w:r w:rsidR="00F558BD" w:rsidRPr="00824FA7">
        <w:t xml:space="preserve"> </w:t>
      </w:r>
      <w:r w:rsidR="0018258D" w:rsidRPr="00824FA7">
        <w:t xml:space="preserve">r. </w:t>
      </w:r>
      <w:r w:rsidR="00F558BD" w:rsidRPr="00824FA7">
        <w:t>– 1</w:t>
      </w:r>
      <w:r w:rsidR="0018258D" w:rsidRPr="00824FA7">
        <w:t>6</w:t>
      </w:r>
      <w:r w:rsidR="00F558BD" w:rsidRPr="00824FA7">
        <w:t>,</w:t>
      </w:r>
      <w:r w:rsidR="0018258D" w:rsidRPr="00824FA7">
        <w:t>4</w:t>
      </w:r>
      <w:r w:rsidR="001158D9">
        <w:t xml:space="preserve"> proc.</w:t>
      </w:r>
      <w:r w:rsidR="00F558BD" w:rsidRPr="00824FA7">
        <w:t xml:space="preserve"> </w:t>
      </w:r>
      <w:r w:rsidR="00F31475" w:rsidRPr="00824FA7">
        <w:t xml:space="preserve">ich udział </w:t>
      </w:r>
      <w:r w:rsidR="00824FA7" w:rsidRPr="00824FA7">
        <w:t>spadł o</w:t>
      </w:r>
      <w:r w:rsidR="00F558BD" w:rsidRPr="00824FA7">
        <w:t xml:space="preserve"> </w:t>
      </w:r>
      <w:r w:rsidR="00824FA7" w:rsidRPr="00824FA7">
        <w:t>0</w:t>
      </w:r>
      <w:r w:rsidR="00F31475" w:rsidRPr="00824FA7">
        <w:t>,</w:t>
      </w:r>
      <w:r w:rsidR="00824FA7" w:rsidRPr="00824FA7">
        <w:t>4</w:t>
      </w:r>
      <w:r w:rsidR="00F31475" w:rsidRPr="00824FA7">
        <w:t xml:space="preserve"> </w:t>
      </w:r>
      <w:r w:rsidR="00F558BD" w:rsidRPr="00824FA7">
        <w:t>pkt. proc</w:t>
      </w:r>
      <w:r w:rsidR="00F31475" w:rsidRPr="00824FA7">
        <w:t>.</w:t>
      </w:r>
    </w:p>
    <w:p w:rsidR="00F62152" w:rsidRPr="009C3002" w:rsidRDefault="00A54388" w:rsidP="00156F4A">
      <w:pPr>
        <w:pStyle w:val="Default"/>
        <w:numPr>
          <w:ilvl w:val="0"/>
          <w:numId w:val="26"/>
        </w:numPr>
        <w:spacing w:line="360" w:lineRule="auto"/>
        <w:jc w:val="both"/>
      </w:pPr>
      <w:r w:rsidRPr="009C3002">
        <w:rPr>
          <w:b/>
        </w:rPr>
        <w:t>Silver unemployment</w:t>
      </w:r>
      <w:r w:rsidR="00952A6F" w:rsidRPr="009C3002">
        <w:rPr>
          <w:b/>
        </w:rPr>
        <w:t>.</w:t>
      </w:r>
      <w:r w:rsidR="00156F4A" w:rsidRPr="009C3002">
        <w:t xml:space="preserve"> </w:t>
      </w:r>
      <w:r w:rsidR="009D4603" w:rsidRPr="009C3002">
        <w:t>B</w:t>
      </w:r>
      <w:r w:rsidR="00156F4A" w:rsidRPr="009C3002">
        <w:t>ezrobotn</w:t>
      </w:r>
      <w:r w:rsidR="009D4603" w:rsidRPr="009C3002">
        <w:t>i</w:t>
      </w:r>
      <w:r w:rsidR="00156F4A" w:rsidRPr="009C3002">
        <w:t xml:space="preserve"> w wieku </w:t>
      </w:r>
      <w:r w:rsidR="008B4D7C">
        <w:t xml:space="preserve">od </w:t>
      </w:r>
      <w:r w:rsidR="00156F4A" w:rsidRPr="009C3002">
        <w:t>18</w:t>
      </w:r>
      <w:r w:rsidR="008B4D7C">
        <w:t xml:space="preserve"> do </w:t>
      </w:r>
      <w:r w:rsidR="00156F4A" w:rsidRPr="009C3002">
        <w:t xml:space="preserve">44 lat </w:t>
      </w:r>
      <w:r w:rsidR="00CA68F2" w:rsidRPr="009C3002">
        <w:t xml:space="preserve">(wiek produkcyjny, tzw. mobilny) </w:t>
      </w:r>
      <w:r w:rsidR="00F62152" w:rsidRPr="009C3002">
        <w:t xml:space="preserve">to </w:t>
      </w:r>
      <w:r w:rsidR="00846A2A" w:rsidRPr="009C3002">
        <w:t>66</w:t>
      </w:r>
      <w:r w:rsidR="00156F4A" w:rsidRPr="009C3002">
        <w:t>,</w:t>
      </w:r>
      <w:r w:rsidR="00846A2A" w:rsidRPr="009C3002">
        <w:t>7</w:t>
      </w:r>
      <w:r w:rsidR="001158D9">
        <w:t xml:space="preserve"> proc.</w:t>
      </w:r>
      <w:r w:rsidR="00BC2E7D" w:rsidRPr="009C3002">
        <w:t xml:space="preserve"> ogółu</w:t>
      </w:r>
      <w:r w:rsidR="00F62152" w:rsidRPr="009C3002">
        <w:t xml:space="preserve"> bezrobotnych, a przedział </w:t>
      </w:r>
      <w:r w:rsidR="008B4D7C">
        <w:t xml:space="preserve">od </w:t>
      </w:r>
      <w:r w:rsidR="00F62152" w:rsidRPr="009C3002">
        <w:t>45</w:t>
      </w:r>
      <w:r w:rsidR="008B4D7C">
        <w:t xml:space="preserve"> do </w:t>
      </w:r>
      <w:r w:rsidR="00F62152" w:rsidRPr="009C3002">
        <w:t xml:space="preserve">60 i </w:t>
      </w:r>
      <w:r w:rsidR="005602DE" w:rsidRPr="009C3002">
        <w:t xml:space="preserve">więcej </w:t>
      </w:r>
      <w:r w:rsidR="00E92315" w:rsidRPr="009C3002">
        <w:t xml:space="preserve">lat </w:t>
      </w:r>
      <w:r w:rsidR="005602DE" w:rsidRPr="009C3002">
        <w:t xml:space="preserve">– </w:t>
      </w:r>
      <w:r w:rsidR="00F62152" w:rsidRPr="009C3002">
        <w:t>to 3</w:t>
      </w:r>
      <w:r w:rsidR="00846A2A" w:rsidRPr="009C3002">
        <w:t>3</w:t>
      </w:r>
      <w:r w:rsidR="00F62152" w:rsidRPr="009C3002">
        <w:t>,</w:t>
      </w:r>
      <w:r w:rsidR="00846A2A" w:rsidRPr="009C3002">
        <w:t>3</w:t>
      </w:r>
      <w:r w:rsidR="001158D9">
        <w:t> proc.</w:t>
      </w:r>
      <w:r w:rsidR="00F62152" w:rsidRPr="009C3002">
        <w:t xml:space="preserve"> ogółu.</w:t>
      </w:r>
      <w:r w:rsidR="00E92315" w:rsidRPr="009C3002">
        <w:t xml:space="preserve"> Od czerwca 200</w:t>
      </w:r>
      <w:r w:rsidR="00DE5601" w:rsidRPr="009C3002">
        <w:t>1</w:t>
      </w:r>
      <w:r w:rsidR="00E92315" w:rsidRPr="009C3002">
        <w:t xml:space="preserve"> r</w:t>
      </w:r>
      <w:r w:rsidR="00DE5601" w:rsidRPr="009C3002">
        <w:t>.</w:t>
      </w:r>
      <w:r w:rsidR="00E92315" w:rsidRPr="009C3002">
        <w:t xml:space="preserve"> liczba bezrobotnych </w:t>
      </w:r>
      <w:r w:rsidR="008B4D7C">
        <w:t xml:space="preserve">od </w:t>
      </w:r>
      <w:r w:rsidR="00E92315" w:rsidRPr="009C3002">
        <w:t>18</w:t>
      </w:r>
      <w:r w:rsidR="008B4D7C">
        <w:t xml:space="preserve"> do </w:t>
      </w:r>
      <w:r w:rsidR="00E92315" w:rsidRPr="009C3002">
        <w:t>44 lat spadła o</w:t>
      </w:r>
      <w:r w:rsidR="00A71CD2">
        <w:t> </w:t>
      </w:r>
      <w:r w:rsidR="00DE5601" w:rsidRPr="009C3002">
        <w:t>19</w:t>
      </w:r>
      <w:r w:rsidR="00E92315" w:rsidRPr="009C3002">
        <w:t>,7</w:t>
      </w:r>
      <w:r w:rsidR="00A71CD2">
        <w:t> </w:t>
      </w:r>
      <w:r w:rsidR="00E92315" w:rsidRPr="009C3002">
        <w:t>pkt. proc.</w:t>
      </w:r>
      <w:r w:rsidR="00DE5601" w:rsidRPr="009C3002">
        <w:t>,</w:t>
      </w:r>
      <w:r w:rsidR="00E92315" w:rsidRPr="009C3002">
        <w:t xml:space="preserve"> by wzrosnąć w przedziale </w:t>
      </w:r>
      <w:r w:rsidR="008B4D7C">
        <w:t xml:space="preserve">od </w:t>
      </w:r>
      <w:r w:rsidR="00E92315" w:rsidRPr="009C3002">
        <w:t>45</w:t>
      </w:r>
      <w:r w:rsidR="008B4D7C">
        <w:t xml:space="preserve"> do </w:t>
      </w:r>
      <w:r w:rsidR="00E92315" w:rsidRPr="009C3002">
        <w:t xml:space="preserve">60 i więcej lat o </w:t>
      </w:r>
      <w:r w:rsidR="006E5CF3" w:rsidRPr="009C3002">
        <w:t xml:space="preserve">tyle samo tj. </w:t>
      </w:r>
      <w:r w:rsidR="00DE5601" w:rsidRPr="009C3002">
        <w:t>19</w:t>
      </w:r>
      <w:r w:rsidR="00E92315" w:rsidRPr="009C3002">
        <w:t>,7</w:t>
      </w:r>
      <w:r w:rsidR="00A71CD2">
        <w:t> </w:t>
      </w:r>
      <w:r w:rsidR="00E92315" w:rsidRPr="009C3002">
        <w:t>pkt. proc.</w:t>
      </w:r>
    </w:p>
    <w:p w:rsidR="006E59EF" w:rsidRPr="009073C4" w:rsidRDefault="00E95936" w:rsidP="002D1CFD">
      <w:pPr>
        <w:pStyle w:val="Default"/>
        <w:numPr>
          <w:ilvl w:val="0"/>
          <w:numId w:val="26"/>
        </w:numPr>
        <w:spacing w:line="360" w:lineRule="auto"/>
        <w:ind w:left="357" w:hanging="357"/>
        <w:jc w:val="both"/>
      </w:pPr>
      <w:r w:rsidRPr="009073C4">
        <w:rPr>
          <w:b/>
        </w:rPr>
        <w:lastRenderedPageBreak/>
        <w:t>Osoby bezrobotne</w:t>
      </w:r>
      <w:r w:rsidR="00156F4A" w:rsidRPr="009073C4">
        <w:rPr>
          <w:b/>
        </w:rPr>
        <w:t xml:space="preserve"> bez doświadczenia</w:t>
      </w:r>
      <w:r w:rsidR="00952A6F" w:rsidRPr="009073C4">
        <w:rPr>
          <w:b/>
        </w:rPr>
        <w:t>.</w:t>
      </w:r>
      <w:r w:rsidR="00156F4A" w:rsidRPr="009073C4">
        <w:rPr>
          <w:b/>
        </w:rPr>
        <w:t xml:space="preserve"> </w:t>
      </w:r>
      <w:r w:rsidR="00156F4A" w:rsidRPr="009073C4">
        <w:t>1</w:t>
      </w:r>
      <w:r w:rsidR="009073C4" w:rsidRPr="009073C4">
        <w:t>4</w:t>
      </w:r>
      <w:r w:rsidR="00156F4A" w:rsidRPr="009073C4">
        <w:t>,</w:t>
      </w:r>
      <w:r w:rsidR="009073C4" w:rsidRPr="009073C4">
        <w:t>4</w:t>
      </w:r>
      <w:r w:rsidR="008B4D7C">
        <w:t xml:space="preserve"> proc.</w:t>
      </w:r>
      <w:r w:rsidR="00AE279C" w:rsidRPr="009073C4">
        <w:t xml:space="preserve"> </w:t>
      </w:r>
      <w:r w:rsidR="00156F4A" w:rsidRPr="009073C4">
        <w:t>bezrobotnych nie posiadało udokumentowanego doświadczenia zawodowego</w:t>
      </w:r>
      <w:r w:rsidR="00E878B7" w:rsidRPr="009073C4">
        <w:t xml:space="preserve">, a </w:t>
      </w:r>
      <w:r w:rsidR="00156F4A" w:rsidRPr="009073C4">
        <w:t>4</w:t>
      </w:r>
      <w:r w:rsidR="009073C4" w:rsidRPr="009073C4">
        <w:t>6</w:t>
      </w:r>
      <w:r w:rsidR="00156F4A" w:rsidRPr="009073C4">
        <w:t>,</w:t>
      </w:r>
      <w:r w:rsidR="009073C4" w:rsidRPr="009073C4">
        <w:t>9</w:t>
      </w:r>
      <w:r w:rsidR="001158D9">
        <w:t xml:space="preserve"> proc.</w:t>
      </w:r>
      <w:r w:rsidR="00E878B7" w:rsidRPr="009073C4">
        <w:t xml:space="preserve"> </w:t>
      </w:r>
      <w:r w:rsidR="00156F4A" w:rsidRPr="009073C4">
        <w:t xml:space="preserve">bezrobotnych w PUP posiadało krótki staż </w:t>
      </w:r>
      <w:r w:rsidR="006E5CF3" w:rsidRPr="009073C4">
        <w:t xml:space="preserve">pracy tj. </w:t>
      </w:r>
      <w:r w:rsidR="00156F4A" w:rsidRPr="009073C4">
        <w:t>do 5 lat</w:t>
      </w:r>
      <w:r w:rsidR="009D4603" w:rsidRPr="009073C4">
        <w:t>.</w:t>
      </w:r>
    </w:p>
    <w:p w:rsidR="00156F4A" w:rsidRPr="00B54ACA" w:rsidRDefault="008A7B13" w:rsidP="002D1CFD">
      <w:pPr>
        <w:pStyle w:val="Default"/>
        <w:numPr>
          <w:ilvl w:val="0"/>
          <w:numId w:val="26"/>
        </w:numPr>
        <w:spacing w:line="360" w:lineRule="auto"/>
        <w:ind w:left="357" w:hanging="357"/>
        <w:jc w:val="both"/>
      </w:pPr>
      <w:r w:rsidRPr="008A7B13">
        <w:rPr>
          <w:b/>
        </w:rPr>
        <w:t>Trwałość długoterminowego bezrobocia</w:t>
      </w:r>
      <w:r>
        <w:t xml:space="preserve">. </w:t>
      </w:r>
      <w:r w:rsidR="00103273" w:rsidRPr="00B54ACA">
        <w:t>W</w:t>
      </w:r>
      <w:r w:rsidR="00156F4A" w:rsidRPr="00B54ACA">
        <w:t xml:space="preserve"> przypadku osób </w:t>
      </w:r>
      <w:r w:rsidR="00B16EA8" w:rsidRPr="00B54ACA">
        <w:t>zarejestrowanych</w:t>
      </w:r>
      <w:r w:rsidR="008B4D7C" w:rsidRPr="00B54ACA">
        <w:t xml:space="preserve"> po raz kolejny od 1990 roku</w:t>
      </w:r>
      <w:r w:rsidR="00B16EA8" w:rsidRPr="00B54ACA">
        <w:t xml:space="preserve"> jako </w:t>
      </w:r>
      <w:r w:rsidR="008B4D7C" w:rsidRPr="00B54ACA">
        <w:t>bezrobotni długoterminowo</w:t>
      </w:r>
      <w:r w:rsidR="00A71CD2">
        <w:t xml:space="preserve"> – </w:t>
      </w:r>
      <w:r w:rsidR="008B4D7C" w:rsidRPr="00B54ACA">
        <w:t xml:space="preserve">ich doświadczenie zawodowe </w:t>
      </w:r>
      <w:r w:rsidR="00156F4A" w:rsidRPr="00B54ACA">
        <w:t xml:space="preserve">zdezaktualizowało się </w:t>
      </w:r>
      <w:r w:rsidR="006C2362" w:rsidRPr="00B54ACA">
        <w:t xml:space="preserve">z powodu </w:t>
      </w:r>
      <w:r w:rsidR="008B4D7C" w:rsidRPr="00B54ACA">
        <w:t xml:space="preserve">czasu jaki upłynął od </w:t>
      </w:r>
      <w:r>
        <w:t xml:space="preserve">faktu </w:t>
      </w:r>
      <w:r w:rsidR="00156F4A" w:rsidRPr="00B54ACA">
        <w:t>ostatniego zatrudnienia</w:t>
      </w:r>
      <w:r>
        <w:t xml:space="preserve">. Okres ten </w:t>
      </w:r>
      <w:r w:rsidR="00951410" w:rsidRPr="00B54ACA">
        <w:t xml:space="preserve">może wynosić </w:t>
      </w:r>
      <w:r>
        <w:t xml:space="preserve">w niektórych przypadkach </w:t>
      </w:r>
      <w:r w:rsidR="008B4D7C" w:rsidRPr="00B54ACA">
        <w:t xml:space="preserve">nawet do </w:t>
      </w:r>
      <w:r w:rsidR="00B16EA8" w:rsidRPr="00B54ACA">
        <w:t>30 lat od ostatnie</w:t>
      </w:r>
      <w:r>
        <w:t>j pracy</w:t>
      </w:r>
      <w:r w:rsidR="00156F4A" w:rsidRPr="00B54ACA">
        <w:t>.</w:t>
      </w:r>
    </w:p>
    <w:p w:rsidR="00311109" w:rsidRPr="00590A32" w:rsidRDefault="00CE7645" w:rsidP="00950DBA">
      <w:pPr>
        <w:pStyle w:val="Default"/>
        <w:numPr>
          <w:ilvl w:val="0"/>
          <w:numId w:val="26"/>
        </w:numPr>
        <w:spacing w:line="360" w:lineRule="auto"/>
        <w:jc w:val="both"/>
      </w:pPr>
      <w:r w:rsidRPr="00590A32">
        <w:rPr>
          <w:b/>
        </w:rPr>
        <w:t xml:space="preserve">Zwolnienia grupowe. </w:t>
      </w:r>
      <w:r w:rsidRPr="00590A32">
        <w:t>W I półroczu 20</w:t>
      </w:r>
      <w:r w:rsidR="006E5CF3" w:rsidRPr="00590A32">
        <w:t>2</w:t>
      </w:r>
      <w:r w:rsidR="006E59EF" w:rsidRPr="00590A32">
        <w:t>1</w:t>
      </w:r>
      <w:r w:rsidRPr="00590A32">
        <w:t xml:space="preserve"> r</w:t>
      </w:r>
      <w:r w:rsidR="006E5CF3" w:rsidRPr="00590A32">
        <w:t>oku</w:t>
      </w:r>
      <w:r w:rsidRPr="00590A32">
        <w:t xml:space="preserve"> wypowiedzenia umów o pracę z powodów niedotyczących pracowników otrzymało łącznie </w:t>
      </w:r>
      <w:r w:rsidR="00265689" w:rsidRPr="00590A32">
        <w:t>23</w:t>
      </w:r>
      <w:r w:rsidR="00590A32" w:rsidRPr="00590A32">
        <w:t>8</w:t>
      </w:r>
      <w:r w:rsidRPr="00590A32">
        <w:t xml:space="preserve"> osób</w:t>
      </w:r>
      <w:r w:rsidR="00590A32" w:rsidRPr="00590A32">
        <w:t xml:space="preserve"> (</w:t>
      </w:r>
      <w:r w:rsidRPr="00590A32">
        <w:t>w I półroczu 20</w:t>
      </w:r>
      <w:r w:rsidR="006E59EF" w:rsidRPr="00590A32">
        <w:t>20</w:t>
      </w:r>
      <w:r w:rsidRPr="00590A32">
        <w:t xml:space="preserve"> r</w:t>
      </w:r>
      <w:r w:rsidR="006E5CF3" w:rsidRPr="00590A32">
        <w:t>oku</w:t>
      </w:r>
      <w:r w:rsidRPr="00590A32">
        <w:t xml:space="preserve"> </w:t>
      </w:r>
      <w:r w:rsidR="006E59EF" w:rsidRPr="00590A32">
        <w:t>1230</w:t>
      </w:r>
      <w:r w:rsidR="00590A32" w:rsidRPr="00590A32">
        <w:t>).</w:t>
      </w:r>
      <w:r w:rsidR="00311109" w:rsidRPr="00590A32">
        <w:t xml:space="preserve"> </w:t>
      </w:r>
      <w:r w:rsidR="00590A32" w:rsidRPr="00590A32">
        <w:t>W</w:t>
      </w:r>
      <w:r w:rsidR="003E7CC1" w:rsidRPr="00590A32">
        <w:t xml:space="preserve"> I półroczu </w:t>
      </w:r>
      <w:r w:rsidRPr="00590A32">
        <w:t>20</w:t>
      </w:r>
      <w:r w:rsidR="00265689" w:rsidRPr="00590A32">
        <w:t>2</w:t>
      </w:r>
      <w:r w:rsidR="006E59EF" w:rsidRPr="00590A32">
        <w:t>1</w:t>
      </w:r>
      <w:r w:rsidRPr="00590A32">
        <w:t xml:space="preserve"> r</w:t>
      </w:r>
      <w:r w:rsidR="00265689" w:rsidRPr="00590A32">
        <w:t>oku</w:t>
      </w:r>
      <w:r w:rsidRPr="00590A32">
        <w:t xml:space="preserve"> o</w:t>
      </w:r>
      <w:r w:rsidR="00156F4A" w:rsidRPr="00590A32">
        <w:t xml:space="preserve">dnotowano </w:t>
      </w:r>
      <w:r w:rsidR="004334DB" w:rsidRPr="00590A32">
        <w:t xml:space="preserve">o </w:t>
      </w:r>
      <w:r w:rsidR="00590A32" w:rsidRPr="00590A32">
        <w:t>992</w:t>
      </w:r>
      <w:r w:rsidR="004334DB" w:rsidRPr="00590A32">
        <w:t xml:space="preserve"> osób </w:t>
      </w:r>
      <w:r w:rsidR="00590A32" w:rsidRPr="00590A32">
        <w:t xml:space="preserve">niższą </w:t>
      </w:r>
      <w:r w:rsidR="00265689" w:rsidRPr="00590A32">
        <w:t>niż</w:t>
      </w:r>
      <w:r w:rsidR="007D4AF1" w:rsidRPr="00590A32">
        <w:t xml:space="preserve"> </w:t>
      </w:r>
      <w:r w:rsidR="00156F4A" w:rsidRPr="00590A32">
        <w:t>w</w:t>
      </w:r>
      <w:r w:rsidRPr="00590A32">
        <w:t xml:space="preserve"> okresie I </w:t>
      </w:r>
      <w:r w:rsidR="004334DB" w:rsidRPr="00590A32">
        <w:t>półrocz</w:t>
      </w:r>
      <w:r w:rsidRPr="00590A32">
        <w:t>a 20</w:t>
      </w:r>
      <w:r w:rsidR="00590A32" w:rsidRPr="00590A32">
        <w:t>20</w:t>
      </w:r>
      <w:r w:rsidR="00311109" w:rsidRPr="00590A32">
        <w:t> </w:t>
      </w:r>
      <w:r w:rsidRPr="00590A32">
        <w:t>r</w:t>
      </w:r>
      <w:r w:rsidR="00265689" w:rsidRPr="00590A32">
        <w:t>oku</w:t>
      </w:r>
      <w:r w:rsidR="004334DB" w:rsidRPr="00590A32">
        <w:t xml:space="preserve"> </w:t>
      </w:r>
      <w:r w:rsidR="00156F4A" w:rsidRPr="00590A32">
        <w:t>liczbę osób zwolnionych z przyczyn leżących po stronie pracodawcy</w:t>
      </w:r>
      <w:r w:rsidRPr="00590A32">
        <w:t>.</w:t>
      </w:r>
    </w:p>
    <w:p w:rsidR="003E7CC1" w:rsidRPr="001461FB" w:rsidRDefault="00950DBA" w:rsidP="00950DBA">
      <w:pPr>
        <w:pStyle w:val="Default"/>
        <w:numPr>
          <w:ilvl w:val="0"/>
          <w:numId w:val="26"/>
        </w:numPr>
        <w:spacing w:line="360" w:lineRule="auto"/>
        <w:jc w:val="both"/>
      </w:pPr>
      <w:r w:rsidRPr="001461FB">
        <w:rPr>
          <w:b/>
        </w:rPr>
        <w:t>Odpływ do zatrudnienia.</w:t>
      </w:r>
      <w:r w:rsidRPr="001461FB">
        <w:t xml:space="preserve"> Z powodu podjęcia pracy wyłączono </w:t>
      </w:r>
      <w:r w:rsidR="001461FB" w:rsidRPr="001461FB">
        <w:t xml:space="preserve">30852 </w:t>
      </w:r>
      <w:r w:rsidRPr="001461FB">
        <w:t>os</w:t>
      </w:r>
      <w:r w:rsidR="00102B00" w:rsidRPr="001461FB">
        <w:t>o</w:t>
      </w:r>
      <w:r w:rsidRPr="001461FB">
        <w:t>b</w:t>
      </w:r>
      <w:r w:rsidR="00102B00" w:rsidRPr="001461FB">
        <w:t>y</w:t>
      </w:r>
      <w:r w:rsidRPr="001461FB">
        <w:t xml:space="preserve"> bezrobotn</w:t>
      </w:r>
      <w:r w:rsidR="00102B00" w:rsidRPr="001461FB">
        <w:t>e</w:t>
      </w:r>
      <w:r w:rsidRPr="001461FB">
        <w:t xml:space="preserve">, co stanowiło </w:t>
      </w:r>
      <w:r w:rsidR="00102B00" w:rsidRPr="001461FB">
        <w:t>6</w:t>
      </w:r>
      <w:r w:rsidR="001461FB" w:rsidRPr="001461FB">
        <w:t>4</w:t>
      </w:r>
      <w:r w:rsidRPr="001461FB">
        <w:t>,</w:t>
      </w:r>
      <w:r w:rsidR="001461FB" w:rsidRPr="001461FB">
        <w:t>2</w:t>
      </w:r>
      <w:r w:rsidR="001158D9">
        <w:t xml:space="preserve"> proc.</w:t>
      </w:r>
      <w:r w:rsidRPr="001461FB">
        <w:t xml:space="preserve"> wszystkich wyłączeń z ewidencji w I półroczu 20</w:t>
      </w:r>
      <w:r w:rsidR="003E7CC1" w:rsidRPr="001461FB">
        <w:t>2</w:t>
      </w:r>
      <w:r w:rsidR="00590A32" w:rsidRPr="001461FB">
        <w:t>1</w:t>
      </w:r>
      <w:r w:rsidRPr="001461FB">
        <w:t xml:space="preserve"> r</w:t>
      </w:r>
      <w:r w:rsidR="003E7CC1" w:rsidRPr="001461FB">
        <w:t>oku</w:t>
      </w:r>
      <w:r w:rsidRPr="001461FB">
        <w:t>.</w:t>
      </w:r>
    </w:p>
    <w:p w:rsidR="00950DBA" w:rsidRPr="001461FB" w:rsidRDefault="00950DBA" w:rsidP="00950DBA">
      <w:pPr>
        <w:pStyle w:val="Default"/>
        <w:numPr>
          <w:ilvl w:val="0"/>
          <w:numId w:val="26"/>
        </w:numPr>
        <w:spacing w:line="360" w:lineRule="auto"/>
        <w:jc w:val="both"/>
      </w:pPr>
      <w:r w:rsidRPr="001461FB">
        <w:rPr>
          <w:b/>
        </w:rPr>
        <w:t>Odpływ z powodu samodzielnej rezygnacji.</w:t>
      </w:r>
      <w:r w:rsidRPr="001461FB">
        <w:t xml:space="preserve"> Zmniejsza się liczba bezrobotnych, którzy zostali wyrejestrowani z powodu nie potwierdzania w urzędach pracy gotowości do podjęcia zatrudnienia. W I półroczu 20</w:t>
      </w:r>
      <w:r w:rsidR="003E7CC1" w:rsidRPr="001461FB">
        <w:t>2</w:t>
      </w:r>
      <w:r w:rsidR="001461FB" w:rsidRPr="001461FB">
        <w:t>1</w:t>
      </w:r>
      <w:r w:rsidRPr="001461FB">
        <w:t xml:space="preserve"> r</w:t>
      </w:r>
      <w:r w:rsidR="003E7CC1" w:rsidRPr="001461FB">
        <w:t>oku</w:t>
      </w:r>
      <w:r w:rsidRPr="001461FB">
        <w:t xml:space="preserve"> było to </w:t>
      </w:r>
      <w:r w:rsidR="00102B00" w:rsidRPr="001461FB">
        <w:t>4</w:t>
      </w:r>
      <w:r w:rsidR="001461FB" w:rsidRPr="001461FB">
        <w:t>055</w:t>
      </w:r>
      <w:r w:rsidRPr="001461FB">
        <w:t xml:space="preserve"> osób, co stanowiło </w:t>
      </w:r>
      <w:r w:rsidR="001461FB" w:rsidRPr="001461FB">
        <w:t>8</w:t>
      </w:r>
      <w:r w:rsidRPr="001461FB">
        <w:t>,</w:t>
      </w:r>
      <w:r w:rsidR="001461FB" w:rsidRPr="001461FB">
        <w:t>4</w:t>
      </w:r>
      <w:r w:rsidR="001158D9">
        <w:t xml:space="preserve"> proc.</w:t>
      </w:r>
      <w:r w:rsidRPr="001461FB">
        <w:t xml:space="preserve"> ogółu wyrejestrowanych osób bezrobotnych w półroczu. W I półroczu 20</w:t>
      </w:r>
      <w:r w:rsidR="001461FB" w:rsidRPr="001461FB">
        <w:t>20</w:t>
      </w:r>
      <w:r w:rsidRPr="001461FB">
        <w:t xml:space="preserve"> r</w:t>
      </w:r>
      <w:r w:rsidR="003E7CC1" w:rsidRPr="001461FB">
        <w:t xml:space="preserve">oku </w:t>
      </w:r>
      <w:r w:rsidRPr="001461FB">
        <w:t>– 1</w:t>
      </w:r>
      <w:r w:rsidR="001461FB" w:rsidRPr="001461FB">
        <w:t>0</w:t>
      </w:r>
      <w:r w:rsidRPr="001461FB">
        <w:t>,</w:t>
      </w:r>
      <w:r w:rsidR="001461FB" w:rsidRPr="001461FB">
        <w:t>9</w:t>
      </w:r>
      <w:r w:rsidR="00926A24">
        <w:t> </w:t>
      </w:r>
      <w:r w:rsidR="001158D9">
        <w:t>proc</w:t>
      </w:r>
      <w:r w:rsidRPr="001461FB">
        <w:t>.</w:t>
      </w:r>
    </w:p>
    <w:p w:rsidR="00236D89" w:rsidRPr="00C05F68" w:rsidRDefault="00156F4A" w:rsidP="00156F4A">
      <w:pPr>
        <w:pStyle w:val="Default"/>
        <w:numPr>
          <w:ilvl w:val="0"/>
          <w:numId w:val="26"/>
        </w:numPr>
        <w:spacing w:line="360" w:lineRule="auto"/>
        <w:jc w:val="both"/>
      </w:pPr>
      <w:r w:rsidRPr="00C05F68">
        <w:rPr>
          <w:b/>
        </w:rPr>
        <w:t>Oferty pracy</w:t>
      </w:r>
      <w:r w:rsidR="00246F26" w:rsidRPr="00C05F68">
        <w:rPr>
          <w:b/>
        </w:rPr>
        <w:t xml:space="preserve"> </w:t>
      </w:r>
      <w:r w:rsidRPr="00C05F68">
        <w:rPr>
          <w:b/>
        </w:rPr>
        <w:t>i</w:t>
      </w:r>
      <w:r w:rsidR="00246F26" w:rsidRPr="00C05F68">
        <w:rPr>
          <w:b/>
        </w:rPr>
        <w:t xml:space="preserve"> </w:t>
      </w:r>
      <w:r w:rsidRPr="00C05F68">
        <w:rPr>
          <w:b/>
        </w:rPr>
        <w:t>aktywizacji zawodowej</w:t>
      </w:r>
      <w:r w:rsidR="00230B07" w:rsidRPr="00C05F68">
        <w:rPr>
          <w:b/>
        </w:rPr>
        <w:t xml:space="preserve"> (ogółem)</w:t>
      </w:r>
      <w:r w:rsidR="00952A6F" w:rsidRPr="00C05F68">
        <w:rPr>
          <w:b/>
        </w:rPr>
        <w:t xml:space="preserve">. </w:t>
      </w:r>
      <w:r w:rsidR="009D60DF" w:rsidRPr="00C05F68">
        <w:t xml:space="preserve">Odnotowano </w:t>
      </w:r>
      <w:r w:rsidR="00F3172B" w:rsidRPr="00C05F68">
        <w:t xml:space="preserve">wzrost liczby ofert </w:t>
      </w:r>
      <w:r w:rsidR="009D60DF" w:rsidRPr="00C05F68">
        <w:t>i</w:t>
      </w:r>
      <w:r w:rsidR="00F3172B" w:rsidRPr="00C05F68">
        <w:t> </w:t>
      </w:r>
      <w:r w:rsidR="001A09C9" w:rsidRPr="00C05F68">
        <w:t xml:space="preserve">znaczne </w:t>
      </w:r>
      <w:r w:rsidR="000A780E" w:rsidRPr="00C05F68">
        <w:t xml:space="preserve">przestrzenne </w:t>
      </w:r>
      <w:r w:rsidR="001A09C9" w:rsidRPr="00C05F68">
        <w:t xml:space="preserve">zróżnicowanie. </w:t>
      </w:r>
      <w:r w:rsidR="00230B07" w:rsidRPr="00C05F68">
        <w:t>W </w:t>
      </w:r>
      <w:r w:rsidR="001A09C9" w:rsidRPr="00C05F68">
        <w:t xml:space="preserve">I półroczu </w:t>
      </w:r>
      <w:r w:rsidR="00616AAF" w:rsidRPr="00C05F68">
        <w:t>20</w:t>
      </w:r>
      <w:r w:rsidR="003D5437" w:rsidRPr="00C05F68">
        <w:t>2</w:t>
      </w:r>
      <w:r w:rsidR="00F3172B" w:rsidRPr="00C05F68">
        <w:t>1</w:t>
      </w:r>
      <w:r w:rsidR="00616AAF" w:rsidRPr="00C05F68">
        <w:t xml:space="preserve"> r</w:t>
      </w:r>
      <w:r w:rsidR="003D5437" w:rsidRPr="00C05F68">
        <w:t>oku</w:t>
      </w:r>
      <w:r w:rsidR="00616AAF" w:rsidRPr="00C05F68">
        <w:t xml:space="preserve"> zgłoszono </w:t>
      </w:r>
      <w:r w:rsidR="00C71C92" w:rsidRPr="00C05F68">
        <w:t>24927</w:t>
      </w:r>
      <w:r w:rsidRPr="00C05F68">
        <w:t xml:space="preserve"> </w:t>
      </w:r>
      <w:r w:rsidR="001A09C9" w:rsidRPr="00C05F68">
        <w:t xml:space="preserve">ofert tj. </w:t>
      </w:r>
      <w:r w:rsidRPr="00C05F68">
        <w:t>o</w:t>
      </w:r>
      <w:r w:rsidR="00C71C92" w:rsidRPr="00C05F68">
        <w:t> 8951</w:t>
      </w:r>
      <w:r w:rsidRPr="00C05F68">
        <w:t xml:space="preserve"> </w:t>
      </w:r>
      <w:r w:rsidR="00C71C92" w:rsidRPr="00C05F68">
        <w:t>więcej</w:t>
      </w:r>
      <w:r w:rsidRPr="00C05F68">
        <w:t xml:space="preserve"> </w:t>
      </w:r>
      <w:r w:rsidR="00C71C92" w:rsidRPr="00C05F68">
        <w:t>jak</w:t>
      </w:r>
      <w:r w:rsidR="00616AAF" w:rsidRPr="00C05F68">
        <w:t xml:space="preserve"> </w:t>
      </w:r>
      <w:r w:rsidRPr="00C05F68">
        <w:t>w</w:t>
      </w:r>
      <w:r w:rsidR="001A09C9" w:rsidRPr="00C05F68">
        <w:t> I</w:t>
      </w:r>
      <w:r w:rsidR="000A780E" w:rsidRPr="00C05F68">
        <w:t xml:space="preserve"> </w:t>
      </w:r>
      <w:r w:rsidR="001A09C9" w:rsidRPr="00C05F68">
        <w:t xml:space="preserve">półroczu </w:t>
      </w:r>
      <w:r w:rsidRPr="00C05F68">
        <w:t>20</w:t>
      </w:r>
      <w:r w:rsidR="00F3172B" w:rsidRPr="00C05F68">
        <w:t>20</w:t>
      </w:r>
      <w:r w:rsidRPr="00C05F68">
        <w:t xml:space="preserve"> r</w:t>
      </w:r>
      <w:r w:rsidR="003D5437" w:rsidRPr="00C05F68">
        <w:t>oku</w:t>
      </w:r>
      <w:r w:rsidR="00AA252B" w:rsidRPr="00C05F68">
        <w:t xml:space="preserve"> </w:t>
      </w:r>
      <w:r w:rsidR="003D5437" w:rsidRPr="00C05F68">
        <w:t>(</w:t>
      </w:r>
      <w:r w:rsidR="00F3172B" w:rsidRPr="00C05F68">
        <w:t>15976</w:t>
      </w:r>
      <w:r w:rsidR="003D5437" w:rsidRPr="00C05F68">
        <w:t>)</w:t>
      </w:r>
      <w:r w:rsidRPr="00C05F68">
        <w:t>.</w:t>
      </w:r>
      <w:r w:rsidR="004B1034" w:rsidRPr="00C05F68">
        <w:t xml:space="preserve"> Do ofert pracy zaliczyć można zarówno wolne miejsca pracy jak i miejsca aktywizacji zawodowej. </w:t>
      </w:r>
      <w:r w:rsidRPr="00C05F68">
        <w:rPr>
          <w:b/>
        </w:rPr>
        <w:t>Wolne miejsca pracy</w:t>
      </w:r>
      <w:r w:rsidR="00952A6F" w:rsidRPr="00C05F68">
        <w:rPr>
          <w:b/>
        </w:rPr>
        <w:t>.</w:t>
      </w:r>
      <w:r w:rsidRPr="00C05F68">
        <w:t xml:space="preserve"> </w:t>
      </w:r>
      <w:r w:rsidR="00952A6F" w:rsidRPr="00C05F68">
        <w:t>W</w:t>
      </w:r>
      <w:r w:rsidRPr="00C05F68">
        <w:t xml:space="preserve"> </w:t>
      </w:r>
      <w:r w:rsidR="001A09C9" w:rsidRPr="00C05F68">
        <w:t xml:space="preserve">I półroczu </w:t>
      </w:r>
      <w:r w:rsidRPr="00C05F68">
        <w:t>20</w:t>
      </w:r>
      <w:r w:rsidR="002E0A32" w:rsidRPr="00C05F68">
        <w:t>2</w:t>
      </w:r>
      <w:r w:rsidR="00F3172B" w:rsidRPr="00C05F68">
        <w:t>1</w:t>
      </w:r>
      <w:r w:rsidRPr="00C05F68">
        <w:t xml:space="preserve"> r</w:t>
      </w:r>
      <w:r w:rsidR="002E0A32" w:rsidRPr="00C05F68">
        <w:t>oku</w:t>
      </w:r>
      <w:r w:rsidRPr="00C05F68">
        <w:t xml:space="preserve"> odnotowano</w:t>
      </w:r>
      <w:r w:rsidR="002E0A32" w:rsidRPr="00C05F68">
        <w:t xml:space="preserve"> </w:t>
      </w:r>
      <w:r w:rsidR="00C05F68" w:rsidRPr="00C05F68">
        <w:t xml:space="preserve">19604 </w:t>
      </w:r>
      <w:r w:rsidRPr="00C05F68">
        <w:t xml:space="preserve">miejsc zatrudnienia </w:t>
      </w:r>
      <w:r w:rsidR="00C176A9" w:rsidRPr="00C05F68">
        <w:t>(</w:t>
      </w:r>
      <w:r w:rsidRPr="00C05F68">
        <w:t>lub innej pracy zarobkowej</w:t>
      </w:r>
      <w:r w:rsidR="00C176A9" w:rsidRPr="00C05F68">
        <w:t>)</w:t>
      </w:r>
      <w:r w:rsidR="009E7A62" w:rsidRPr="00C05F68">
        <w:t>.</w:t>
      </w:r>
      <w:r w:rsidR="00C176A9" w:rsidRPr="00C05F68">
        <w:t xml:space="preserve"> </w:t>
      </w:r>
      <w:r w:rsidR="009E7A62" w:rsidRPr="00C05F68">
        <w:t>W</w:t>
      </w:r>
      <w:r w:rsidRPr="00C05F68">
        <w:t> </w:t>
      </w:r>
      <w:r w:rsidR="001A09C9" w:rsidRPr="00C05F68">
        <w:t>I</w:t>
      </w:r>
      <w:r w:rsidR="00F3172B" w:rsidRPr="00C05F68">
        <w:t> </w:t>
      </w:r>
      <w:r w:rsidR="001A09C9" w:rsidRPr="00C05F68">
        <w:t xml:space="preserve">półroczu </w:t>
      </w:r>
      <w:r w:rsidRPr="00C05F68">
        <w:t>20</w:t>
      </w:r>
      <w:r w:rsidR="00F3172B" w:rsidRPr="00C05F68">
        <w:t>20</w:t>
      </w:r>
      <w:r w:rsidR="005602DE" w:rsidRPr="00C05F68">
        <w:t> r</w:t>
      </w:r>
      <w:r w:rsidR="002E0A32" w:rsidRPr="00C05F68">
        <w:t>oku</w:t>
      </w:r>
      <w:r w:rsidR="00994F30" w:rsidRPr="00C05F68">
        <w:t xml:space="preserve"> </w:t>
      </w:r>
      <w:r w:rsidRPr="00C05F68">
        <w:t>–</w:t>
      </w:r>
      <w:r w:rsidR="00994F30" w:rsidRPr="00C05F68">
        <w:t xml:space="preserve"> </w:t>
      </w:r>
      <w:r w:rsidR="00C71C92" w:rsidRPr="00C05F68">
        <w:t>12458</w:t>
      </w:r>
      <w:r w:rsidR="009E7A62" w:rsidRPr="00C05F68">
        <w:t>,</w:t>
      </w:r>
      <w:r w:rsidR="006553DB" w:rsidRPr="00C05F68">
        <w:t xml:space="preserve"> </w:t>
      </w:r>
      <w:r w:rsidRPr="00C05F68">
        <w:t xml:space="preserve">tj. </w:t>
      </w:r>
      <w:r w:rsidR="00236D89" w:rsidRPr="00C05F68">
        <w:t xml:space="preserve">nastąpił </w:t>
      </w:r>
      <w:r w:rsidR="00C05F68" w:rsidRPr="00C05F68">
        <w:t>wzrost</w:t>
      </w:r>
      <w:r w:rsidR="00236D89" w:rsidRPr="00C05F68">
        <w:t xml:space="preserve"> </w:t>
      </w:r>
      <w:r w:rsidR="001A09C9" w:rsidRPr="00C05F68">
        <w:t>o</w:t>
      </w:r>
      <w:r w:rsidR="006553DB" w:rsidRPr="00C05F68">
        <w:t xml:space="preserve"> </w:t>
      </w:r>
      <w:r w:rsidR="00236D89" w:rsidRPr="00C05F68">
        <w:t>7</w:t>
      </w:r>
      <w:r w:rsidR="00C05F68" w:rsidRPr="00C05F68">
        <w:t xml:space="preserve">146 </w:t>
      </w:r>
      <w:r w:rsidR="00236D89" w:rsidRPr="00C05F68">
        <w:t>miejsc zatrudnienia</w:t>
      </w:r>
      <w:r w:rsidRPr="00C05F68">
        <w:t>.</w:t>
      </w:r>
      <w:r w:rsidR="004B1034" w:rsidRPr="00C05F68">
        <w:t xml:space="preserve"> </w:t>
      </w:r>
      <w:r w:rsidRPr="00C05F68">
        <w:rPr>
          <w:b/>
        </w:rPr>
        <w:t>Wolne miejsca aktywizacji zawodowej</w:t>
      </w:r>
      <w:r w:rsidR="00952A6F" w:rsidRPr="00C05F68">
        <w:rPr>
          <w:b/>
        </w:rPr>
        <w:t>.</w:t>
      </w:r>
      <w:r w:rsidRPr="00C05F68">
        <w:t xml:space="preserve"> </w:t>
      </w:r>
      <w:r w:rsidR="00952A6F" w:rsidRPr="00C05F68">
        <w:t>W</w:t>
      </w:r>
      <w:r w:rsidR="005602DE" w:rsidRPr="00C05F68">
        <w:t> </w:t>
      </w:r>
      <w:r w:rsidR="00A24334" w:rsidRPr="00C05F68">
        <w:t>I</w:t>
      </w:r>
      <w:r w:rsidR="005602DE" w:rsidRPr="00C05F68">
        <w:t> </w:t>
      </w:r>
      <w:r w:rsidR="00A24334" w:rsidRPr="00C05F68">
        <w:t xml:space="preserve">półroczu </w:t>
      </w:r>
      <w:r w:rsidRPr="00C05F68">
        <w:t>20</w:t>
      </w:r>
      <w:r w:rsidR="008A65FC" w:rsidRPr="00C05F68">
        <w:t>2</w:t>
      </w:r>
      <w:r w:rsidR="00C71C92" w:rsidRPr="00C05F68">
        <w:t>1</w:t>
      </w:r>
      <w:r w:rsidRPr="00C05F68">
        <w:t xml:space="preserve"> r</w:t>
      </w:r>
      <w:r w:rsidR="008A65FC" w:rsidRPr="00C05F68">
        <w:t>oku</w:t>
      </w:r>
      <w:r w:rsidRPr="00C05F68">
        <w:t xml:space="preserve"> odnotowano </w:t>
      </w:r>
      <w:r w:rsidR="00C05F68" w:rsidRPr="00C05F68">
        <w:t xml:space="preserve">5323 </w:t>
      </w:r>
      <w:r w:rsidRPr="00C05F68">
        <w:t>miejsc aktywizacji zawodowej</w:t>
      </w:r>
      <w:r w:rsidR="00994F30" w:rsidRPr="00C05F68">
        <w:t xml:space="preserve">, a w </w:t>
      </w:r>
      <w:r w:rsidR="00A24334" w:rsidRPr="00C05F68">
        <w:t xml:space="preserve">I półroczu </w:t>
      </w:r>
      <w:r w:rsidRPr="00C05F68">
        <w:t>20</w:t>
      </w:r>
      <w:r w:rsidR="00352A72" w:rsidRPr="00C05F68">
        <w:t>20</w:t>
      </w:r>
      <w:r w:rsidRPr="00C05F68">
        <w:t xml:space="preserve"> r</w:t>
      </w:r>
      <w:r w:rsidR="008A65FC" w:rsidRPr="00C05F68">
        <w:t>oku</w:t>
      </w:r>
      <w:r w:rsidRPr="00C05F68">
        <w:t xml:space="preserve"> – </w:t>
      </w:r>
      <w:r w:rsidR="00352A72" w:rsidRPr="00C05F68">
        <w:t>3518</w:t>
      </w:r>
      <w:r w:rsidRPr="00C05F68">
        <w:t xml:space="preserve"> tj.</w:t>
      </w:r>
      <w:r w:rsidR="00A24334" w:rsidRPr="00C05F68">
        <w:t xml:space="preserve"> </w:t>
      </w:r>
      <w:r w:rsidR="00236D89" w:rsidRPr="00C05F68">
        <w:t xml:space="preserve">nastąpił </w:t>
      </w:r>
      <w:r w:rsidR="00C05F68" w:rsidRPr="00C05F68">
        <w:t>wzrost</w:t>
      </w:r>
      <w:r w:rsidR="00236D89" w:rsidRPr="00C05F68">
        <w:t xml:space="preserve"> o</w:t>
      </w:r>
      <w:r w:rsidR="00352A72" w:rsidRPr="00C05F68">
        <w:t> </w:t>
      </w:r>
      <w:r w:rsidR="00C05F68" w:rsidRPr="00C05F68">
        <w:t>1805</w:t>
      </w:r>
      <w:r w:rsidR="00236D89" w:rsidRPr="00C05F68">
        <w:t xml:space="preserve"> miejsc aktywizacji zawodowej</w:t>
      </w:r>
      <w:r w:rsidRPr="00C05F68">
        <w:t>.</w:t>
      </w:r>
    </w:p>
    <w:p w:rsidR="00156F4A" w:rsidRPr="00352A72" w:rsidRDefault="00156F4A" w:rsidP="00156F4A">
      <w:pPr>
        <w:pStyle w:val="Default"/>
        <w:numPr>
          <w:ilvl w:val="0"/>
          <w:numId w:val="26"/>
        </w:numPr>
        <w:spacing w:line="360" w:lineRule="auto"/>
        <w:jc w:val="both"/>
      </w:pPr>
      <w:r w:rsidRPr="00352A72">
        <w:rPr>
          <w:b/>
        </w:rPr>
        <w:t>Oferty pracy subsydiowanej</w:t>
      </w:r>
      <w:r w:rsidR="00952A6F" w:rsidRPr="00352A72">
        <w:rPr>
          <w:b/>
        </w:rPr>
        <w:t>.</w:t>
      </w:r>
      <w:r w:rsidRPr="00352A72">
        <w:t xml:space="preserve"> </w:t>
      </w:r>
      <w:r w:rsidR="00952A6F" w:rsidRPr="00352A72">
        <w:t>W</w:t>
      </w:r>
      <w:r w:rsidRPr="00352A72">
        <w:t xml:space="preserve"> okresie </w:t>
      </w:r>
      <w:r w:rsidR="00D43F8F" w:rsidRPr="00352A72">
        <w:t xml:space="preserve">I półrocza </w:t>
      </w:r>
      <w:r w:rsidRPr="00352A72">
        <w:t>20</w:t>
      </w:r>
      <w:r w:rsidR="008A65FC" w:rsidRPr="00352A72">
        <w:t>2</w:t>
      </w:r>
      <w:r w:rsidR="000E57EE" w:rsidRPr="00352A72">
        <w:t>1</w:t>
      </w:r>
      <w:r w:rsidRPr="00352A72">
        <w:t xml:space="preserve"> </w:t>
      </w:r>
      <w:r w:rsidR="00D43F8F" w:rsidRPr="00352A72">
        <w:t>r</w:t>
      </w:r>
      <w:r w:rsidR="008A65FC" w:rsidRPr="00352A72">
        <w:t>oku</w:t>
      </w:r>
      <w:r w:rsidR="00593EB6" w:rsidRPr="00352A72">
        <w:t xml:space="preserve"> </w:t>
      </w:r>
      <w:r w:rsidR="00352A72" w:rsidRPr="00352A72">
        <w:t xml:space="preserve">nastąpił </w:t>
      </w:r>
      <w:r w:rsidR="00236D89" w:rsidRPr="00352A72">
        <w:t xml:space="preserve">liczbowy </w:t>
      </w:r>
      <w:r w:rsidR="00352A72" w:rsidRPr="00352A72">
        <w:t>wzrost</w:t>
      </w:r>
      <w:r w:rsidRPr="00352A72">
        <w:t xml:space="preserve"> ofert subsydiowan</w:t>
      </w:r>
      <w:r w:rsidR="00D43F8F" w:rsidRPr="00352A72">
        <w:t>ych</w:t>
      </w:r>
      <w:r w:rsidR="009E7A62" w:rsidRPr="00352A72">
        <w:t>,</w:t>
      </w:r>
      <w:r w:rsidR="00D43F8F" w:rsidRPr="00352A72">
        <w:t xml:space="preserve"> </w:t>
      </w:r>
      <w:r w:rsidRPr="00352A72">
        <w:t xml:space="preserve">wśród wszystkich </w:t>
      </w:r>
      <w:r w:rsidR="008A65FC" w:rsidRPr="00352A72">
        <w:t xml:space="preserve">ofert </w:t>
      </w:r>
      <w:r w:rsidRPr="00352A72">
        <w:t>zgł</w:t>
      </w:r>
      <w:r w:rsidR="00B15B69" w:rsidRPr="00352A72">
        <w:t>o</w:t>
      </w:r>
      <w:r w:rsidRPr="00352A72">
        <w:t>sz</w:t>
      </w:r>
      <w:r w:rsidR="00B15B69" w:rsidRPr="00352A72">
        <w:t>o</w:t>
      </w:r>
      <w:r w:rsidRPr="00352A72">
        <w:t>nych</w:t>
      </w:r>
      <w:r w:rsidR="00B15B69" w:rsidRPr="00352A72">
        <w:t xml:space="preserve"> do PUP</w:t>
      </w:r>
      <w:r w:rsidRPr="00352A72">
        <w:t xml:space="preserve"> (</w:t>
      </w:r>
      <w:r w:rsidR="00352A72" w:rsidRPr="00352A72">
        <w:t>9903</w:t>
      </w:r>
      <w:r w:rsidR="00352A72">
        <w:t xml:space="preserve"> tj. </w:t>
      </w:r>
      <w:r w:rsidR="00352A72" w:rsidRPr="00352A72">
        <w:t>39</w:t>
      </w:r>
      <w:r w:rsidRPr="00352A72">
        <w:t>,</w:t>
      </w:r>
      <w:r w:rsidR="00352A72" w:rsidRPr="00352A72">
        <w:t>7</w:t>
      </w:r>
      <w:r w:rsidR="001158D9">
        <w:t xml:space="preserve">  proc.</w:t>
      </w:r>
      <w:r w:rsidRPr="00352A72">
        <w:t xml:space="preserve"> wszystkich zgłoszonych</w:t>
      </w:r>
      <w:r w:rsidR="00236D89" w:rsidRPr="00352A72">
        <w:t xml:space="preserve"> ofert.</w:t>
      </w:r>
      <w:r w:rsidRPr="00352A72">
        <w:t xml:space="preserve"> </w:t>
      </w:r>
      <w:r w:rsidR="00236D89" w:rsidRPr="00352A72">
        <w:t>W</w:t>
      </w:r>
      <w:r w:rsidRPr="00352A72">
        <w:t xml:space="preserve"> </w:t>
      </w:r>
      <w:r w:rsidR="00D43F8F" w:rsidRPr="00352A72">
        <w:t xml:space="preserve">I półroczu </w:t>
      </w:r>
      <w:r w:rsidRPr="00352A72">
        <w:t>20</w:t>
      </w:r>
      <w:r w:rsidR="00352A72" w:rsidRPr="00352A72">
        <w:t>20</w:t>
      </w:r>
      <w:r w:rsidRPr="00352A72">
        <w:t xml:space="preserve"> r</w:t>
      </w:r>
      <w:r w:rsidR="008A65FC" w:rsidRPr="00352A72">
        <w:t>oku</w:t>
      </w:r>
      <w:r w:rsidRPr="00352A72">
        <w:t xml:space="preserve"> </w:t>
      </w:r>
      <w:r w:rsidR="00236D89" w:rsidRPr="00352A72">
        <w:t xml:space="preserve">odnotowano subsydiów </w:t>
      </w:r>
      <w:r w:rsidR="00352A72" w:rsidRPr="00352A72">
        <w:t>6536</w:t>
      </w:r>
      <w:r w:rsidR="00C6309D" w:rsidRPr="00352A72">
        <w:t xml:space="preserve"> </w:t>
      </w:r>
      <w:r w:rsidR="00236D89" w:rsidRPr="00352A72">
        <w:t>tj.</w:t>
      </w:r>
      <w:r w:rsidR="00C6309D" w:rsidRPr="00352A72">
        <w:t xml:space="preserve"> </w:t>
      </w:r>
      <w:r w:rsidR="00352A72" w:rsidRPr="00352A72">
        <w:t>40</w:t>
      </w:r>
      <w:r w:rsidR="00E83DCD" w:rsidRPr="00352A72">
        <w:t>,</w:t>
      </w:r>
      <w:r w:rsidR="00E72EB9" w:rsidRPr="00352A72">
        <w:t>9</w:t>
      </w:r>
      <w:r w:rsidR="001158D9">
        <w:t xml:space="preserve"> proc.</w:t>
      </w:r>
      <w:r w:rsidR="00236D89" w:rsidRPr="00352A72">
        <w:t xml:space="preserve"> ofert pracy ogółem</w:t>
      </w:r>
      <w:r w:rsidRPr="00352A72">
        <w:t>).</w:t>
      </w:r>
    </w:p>
    <w:p w:rsidR="009D60DF" w:rsidRPr="00352A72" w:rsidRDefault="009D60DF" w:rsidP="009D60DF">
      <w:pPr>
        <w:pStyle w:val="Default"/>
        <w:numPr>
          <w:ilvl w:val="0"/>
          <w:numId w:val="26"/>
        </w:numPr>
        <w:spacing w:line="360" w:lineRule="auto"/>
        <w:jc w:val="both"/>
      </w:pPr>
      <w:r w:rsidRPr="00846A2A">
        <w:rPr>
          <w:b/>
        </w:rPr>
        <w:t>Wsparcie samozatrudnienia</w:t>
      </w:r>
      <w:r w:rsidRPr="00352A72">
        <w:rPr>
          <w:b/>
        </w:rPr>
        <w:t>.</w:t>
      </w:r>
      <w:r w:rsidRPr="00352A72">
        <w:t xml:space="preserve"> </w:t>
      </w:r>
      <w:r w:rsidR="00352A72" w:rsidRPr="00352A72">
        <w:t>Z</w:t>
      </w:r>
      <w:r w:rsidR="002A12F9" w:rsidRPr="00352A72">
        <w:t xml:space="preserve">naczny </w:t>
      </w:r>
      <w:r w:rsidR="00352A72" w:rsidRPr="00352A72">
        <w:t>wzrost</w:t>
      </w:r>
      <w:r w:rsidR="002A12F9" w:rsidRPr="00352A72">
        <w:t xml:space="preserve"> </w:t>
      </w:r>
      <w:r w:rsidRPr="00352A72">
        <w:t xml:space="preserve">bezrobotnych wyrejestrowanych z powodu uzyskania </w:t>
      </w:r>
      <w:r w:rsidRPr="00352A72">
        <w:rPr>
          <w:b/>
        </w:rPr>
        <w:t>dotacji na uruchomienie działalności gospodarczej</w:t>
      </w:r>
      <w:r w:rsidRPr="00352A72">
        <w:t>. W I półroczu 20</w:t>
      </w:r>
      <w:r w:rsidR="002A12F9" w:rsidRPr="00352A72">
        <w:t>2</w:t>
      </w:r>
      <w:r w:rsidR="00352A72" w:rsidRPr="00352A72">
        <w:t>1</w:t>
      </w:r>
      <w:r w:rsidRPr="00352A72">
        <w:t> r</w:t>
      </w:r>
      <w:r w:rsidR="002A12F9" w:rsidRPr="00352A72">
        <w:t>oku</w:t>
      </w:r>
      <w:r w:rsidRPr="00352A72">
        <w:t xml:space="preserve"> </w:t>
      </w:r>
      <w:r w:rsidR="00285EBF" w:rsidRPr="00352A72">
        <w:lastRenderedPageBreak/>
        <w:t xml:space="preserve">wyrejestrowano </w:t>
      </w:r>
      <w:r w:rsidR="00352A72" w:rsidRPr="00352A72">
        <w:t>1041</w:t>
      </w:r>
      <w:r w:rsidRPr="00352A72">
        <w:t xml:space="preserve"> osób</w:t>
      </w:r>
      <w:r w:rsidR="00285EBF" w:rsidRPr="00352A72">
        <w:t xml:space="preserve"> bezrobotnych </w:t>
      </w:r>
      <w:r w:rsidR="00352A72">
        <w:t xml:space="preserve">z powodu </w:t>
      </w:r>
      <w:r w:rsidR="00285EBF" w:rsidRPr="00352A72">
        <w:t>podjęci</w:t>
      </w:r>
      <w:r w:rsidR="00352A72">
        <w:t>a</w:t>
      </w:r>
      <w:r w:rsidR="00285EBF" w:rsidRPr="00352A72">
        <w:t xml:space="preserve"> działalności gospodarczej</w:t>
      </w:r>
      <w:r w:rsidRPr="00352A72">
        <w:t>, a</w:t>
      </w:r>
      <w:r w:rsidR="00C65970">
        <w:t> </w:t>
      </w:r>
      <w:r w:rsidRPr="00352A72">
        <w:t>w I półroczu 2</w:t>
      </w:r>
      <w:r w:rsidR="00352A72" w:rsidRPr="00352A72">
        <w:t>020</w:t>
      </w:r>
      <w:r w:rsidRPr="00352A72">
        <w:t xml:space="preserve"> r</w:t>
      </w:r>
      <w:r w:rsidR="002A12F9" w:rsidRPr="00352A72">
        <w:t>oku</w:t>
      </w:r>
      <w:r w:rsidRPr="00352A72">
        <w:t xml:space="preserve"> </w:t>
      </w:r>
      <w:r w:rsidR="00285EBF" w:rsidRPr="00352A72">
        <w:t>–</w:t>
      </w:r>
      <w:r w:rsidRPr="00352A72">
        <w:t xml:space="preserve"> </w:t>
      </w:r>
      <w:r w:rsidR="00352A72" w:rsidRPr="00352A72">
        <w:t>441</w:t>
      </w:r>
      <w:r w:rsidRPr="00352A72">
        <w:t xml:space="preserve"> os</w:t>
      </w:r>
      <w:r w:rsidR="00285EBF" w:rsidRPr="00352A72">
        <w:t>oby bezrobotne.</w:t>
      </w:r>
      <w:r w:rsidRPr="00352A72">
        <w:t xml:space="preserve"> Na ten cel wydatkowano</w:t>
      </w:r>
      <w:r w:rsidR="00B63CF2">
        <w:t xml:space="preserve"> </w:t>
      </w:r>
      <w:r w:rsidRPr="00352A72">
        <w:t>w</w:t>
      </w:r>
      <w:r w:rsidR="00B63CF2">
        <w:t xml:space="preserve"> </w:t>
      </w:r>
      <w:r w:rsidRPr="00352A72">
        <w:t>I</w:t>
      </w:r>
      <w:r w:rsidR="00B63CF2">
        <w:t xml:space="preserve"> </w:t>
      </w:r>
      <w:r w:rsidRPr="00352A72">
        <w:t>półroczu 20</w:t>
      </w:r>
      <w:r w:rsidR="002A12F9" w:rsidRPr="00352A72">
        <w:t>2</w:t>
      </w:r>
      <w:r w:rsidR="00352A72" w:rsidRPr="00352A72">
        <w:t>1</w:t>
      </w:r>
      <w:r w:rsidRPr="00352A72">
        <w:t xml:space="preserve"> r</w:t>
      </w:r>
      <w:r w:rsidR="002A12F9" w:rsidRPr="00352A72">
        <w:t>oku</w:t>
      </w:r>
      <w:r w:rsidRPr="00352A72">
        <w:t xml:space="preserve"> </w:t>
      </w:r>
      <w:r w:rsidR="00352A72" w:rsidRPr="00352A72">
        <w:t>6</w:t>
      </w:r>
      <w:r w:rsidR="00ED637B" w:rsidRPr="00352A72">
        <w:t>,</w:t>
      </w:r>
      <w:r w:rsidR="00352A72" w:rsidRPr="00352A72">
        <w:t>31</w:t>
      </w:r>
      <w:r w:rsidR="006027CE">
        <w:t xml:space="preserve"> proc.</w:t>
      </w:r>
      <w:r w:rsidRPr="00352A72">
        <w:t xml:space="preserve"> </w:t>
      </w:r>
      <w:r w:rsidR="00085E61" w:rsidRPr="00352A72">
        <w:t xml:space="preserve">ogółu </w:t>
      </w:r>
      <w:r w:rsidRPr="00352A72">
        <w:t>środków Funduszu Pracy</w:t>
      </w:r>
      <w:r w:rsidR="00ED637B" w:rsidRPr="00352A72">
        <w:t xml:space="preserve"> (w</w:t>
      </w:r>
      <w:r w:rsidR="00352A72">
        <w:t> </w:t>
      </w:r>
      <w:r w:rsidR="00ED637B" w:rsidRPr="00352A72">
        <w:t>I</w:t>
      </w:r>
      <w:r w:rsidR="00352A72" w:rsidRPr="00352A72">
        <w:t> </w:t>
      </w:r>
      <w:r w:rsidR="00ED637B" w:rsidRPr="00352A72">
        <w:t>półroczu 20</w:t>
      </w:r>
      <w:r w:rsidR="00352A72" w:rsidRPr="00352A72">
        <w:t>20</w:t>
      </w:r>
      <w:r w:rsidR="00ED637B" w:rsidRPr="00352A72">
        <w:t xml:space="preserve"> roku </w:t>
      </w:r>
      <w:r w:rsidR="00514D9F" w:rsidRPr="00352A72">
        <w:t>–</w:t>
      </w:r>
      <w:r w:rsidR="00ED637B" w:rsidRPr="00352A72">
        <w:t xml:space="preserve"> </w:t>
      </w:r>
      <w:r w:rsidR="00514D9F" w:rsidRPr="00352A72">
        <w:t>1,</w:t>
      </w:r>
      <w:r w:rsidR="00352A72" w:rsidRPr="00352A72">
        <w:t>47</w:t>
      </w:r>
      <w:r w:rsidR="006027CE">
        <w:t xml:space="preserve"> proc.</w:t>
      </w:r>
      <w:r w:rsidR="00514D9F" w:rsidRPr="00352A72">
        <w:t>)</w:t>
      </w:r>
      <w:r w:rsidRPr="00352A72">
        <w:t>.</w:t>
      </w:r>
    </w:p>
    <w:p w:rsidR="009D60DF" w:rsidRDefault="0010539B" w:rsidP="009D60DF">
      <w:pPr>
        <w:pStyle w:val="Default"/>
        <w:numPr>
          <w:ilvl w:val="0"/>
          <w:numId w:val="26"/>
        </w:numPr>
        <w:spacing w:line="360" w:lineRule="auto"/>
        <w:jc w:val="both"/>
      </w:pPr>
      <w:r w:rsidRPr="00BC2F62">
        <w:rPr>
          <w:b/>
        </w:rPr>
        <w:t xml:space="preserve">Wsparcie </w:t>
      </w:r>
      <w:r w:rsidR="00352A72">
        <w:rPr>
          <w:b/>
        </w:rPr>
        <w:t>utworzenia</w:t>
      </w:r>
      <w:r w:rsidRPr="00BC2F62">
        <w:rPr>
          <w:b/>
        </w:rPr>
        <w:t xml:space="preserve"> miejsc pracy.</w:t>
      </w:r>
      <w:r w:rsidRPr="00BC2F62">
        <w:t xml:space="preserve"> </w:t>
      </w:r>
      <w:r w:rsidR="00352A72" w:rsidRPr="00352A72">
        <w:t>Odnotowano wzrost</w:t>
      </w:r>
      <w:r w:rsidRPr="00352A72">
        <w:t xml:space="preserve"> bezrobotnych, skierowanych</w:t>
      </w:r>
      <w:r w:rsidR="00514D9F" w:rsidRPr="00352A72">
        <w:t xml:space="preserve"> </w:t>
      </w:r>
      <w:r w:rsidRPr="00352A72">
        <w:t>przez</w:t>
      </w:r>
      <w:r w:rsidR="00514D9F" w:rsidRPr="00352A72">
        <w:t xml:space="preserve"> </w:t>
      </w:r>
      <w:r w:rsidRPr="00352A72">
        <w:t xml:space="preserve">PUP w ramach </w:t>
      </w:r>
      <w:r w:rsidRPr="00352A72">
        <w:rPr>
          <w:b/>
        </w:rPr>
        <w:t xml:space="preserve">refundacji kosztów </w:t>
      </w:r>
      <w:r w:rsidR="00352A72" w:rsidRPr="00352A72">
        <w:rPr>
          <w:b/>
        </w:rPr>
        <w:t xml:space="preserve">pracodawcy </w:t>
      </w:r>
      <w:r w:rsidRPr="00352A72">
        <w:rPr>
          <w:b/>
        </w:rPr>
        <w:t xml:space="preserve">na wyposażenie i doposażenie </w:t>
      </w:r>
      <w:r w:rsidR="009D60DF" w:rsidRPr="00352A72">
        <w:rPr>
          <w:b/>
        </w:rPr>
        <w:t>miejsca</w:t>
      </w:r>
      <w:r w:rsidRPr="00352A72">
        <w:rPr>
          <w:b/>
        </w:rPr>
        <w:t xml:space="preserve"> pracy</w:t>
      </w:r>
      <w:r w:rsidR="009D60DF" w:rsidRPr="00352A72">
        <w:t>.</w:t>
      </w:r>
      <w:r w:rsidRPr="00352A72">
        <w:t xml:space="preserve"> </w:t>
      </w:r>
      <w:r w:rsidR="009D60DF" w:rsidRPr="00BC2F62">
        <w:t>W</w:t>
      </w:r>
      <w:r w:rsidRPr="00BC2F62">
        <w:t xml:space="preserve"> I półroczu 20</w:t>
      </w:r>
      <w:r w:rsidR="003D5437" w:rsidRPr="00BC2F62">
        <w:t>2</w:t>
      </w:r>
      <w:r w:rsidR="00BC2F62" w:rsidRPr="00BC2F62">
        <w:t>1</w:t>
      </w:r>
      <w:r w:rsidRPr="00BC2F62">
        <w:t xml:space="preserve"> r</w:t>
      </w:r>
      <w:r w:rsidR="003D5437" w:rsidRPr="00BC2F62">
        <w:t>oku</w:t>
      </w:r>
      <w:r w:rsidRPr="00BC2F62">
        <w:t xml:space="preserve"> </w:t>
      </w:r>
      <w:r w:rsidR="00ED637B" w:rsidRPr="00BC2F62">
        <w:t xml:space="preserve">skierowano </w:t>
      </w:r>
      <w:r w:rsidR="00ED637B" w:rsidRPr="00352A72">
        <w:t xml:space="preserve">przez PUP </w:t>
      </w:r>
      <w:r w:rsidR="00352A72" w:rsidRPr="00352A72">
        <w:t>835</w:t>
      </w:r>
      <w:r w:rsidR="00ED637B" w:rsidRPr="00352A72">
        <w:t xml:space="preserve"> os</w:t>
      </w:r>
      <w:r w:rsidR="00352A72" w:rsidRPr="00352A72">
        <w:t>ó</w:t>
      </w:r>
      <w:r w:rsidR="00ED637B" w:rsidRPr="00352A72">
        <w:t xml:space="preserve">b </w:t>
      </w:r>
      <w:r w:rsidRPr="00352A72">
        <w:t>bezrobotn</w:t>
      </w:r>
      <w:r w:rsidR="00352A72" w:rsidRPr="00352A72">
        <w:t>ych</w:t>
      </w:r>
      <w:r w:rsidRPr="00352A72">
        <w:t>, a</w:t>
      </w:r>
      <w:r w:rsidR="00352A72">
        <w:t> </w:t>
      </w:r>
      <w:r w:rsidRPr="00352A72">
        <w:t>w I półroczu 20</w:t>
      </w:r>
      <w:r w:rsidR="00BC2F62" w:rsidRPr="00352A72">
        <w:t>20</w:t>
      </w:r>
      <w:r w:rsidRPr="00352A72">
        <w:t xml:space="preserve"> r</w:t>
      </w:r>
      <w:r w:rsidR="003D5437" w:rsidRPr="00352A72">
        <w:t>oku</w:t>
      </w:r>
      <w:r w:rsidRPr="00352A72">
        <w:t xml:space="preserve"> – </w:t>
      </w:r>
      <w:r w:rsidR="00352A72" w:rsidRPr="00352A72">
        <w:t>542</w:t>
      </w:r>
      <w:r w:rsidRPr="00352A72">
        <w:t xml:space="preserve"> </w:t>
      </w:r>
      <w:r w:rsidR="00ED637B" w:rsidRPr="00352A72">
        <w:t>os</w:t>
      </w:r>
      <w:r w:rsidR="00352A72" w:rsidRPr="00352A72">
        <w:t>o</w:t>
      </w:r>
      <w:r w:rsidR="00ED637B" w:rsidRPr="00352A72">
        <w:t>b</w:t>
      </w:r>
      <w:r w:rsidR="00352A72" w:rsidRPr="00352A72">
        <w:t>y</w:t>
      </w:r>
      <w:r w:rsidR="00ED637B" w:rsidRPr="00352A72">
        <w:t xml:space="preserve"> </w:t>
      </w:r>
      <w:r w:rsidRPr="00352A72">
        <w:t>bezrobotn</w:t>
      </w:r>
      <w:r w:rsidR="00352A72" w:rsidRPr="00352A72">
        <w:t>e</w:t>
      </w:r>
      <w:r w:rsidRPr="00352A72">
        <w:t>. Przeznaczono na ten cel w</w:t>
      </w:r>
      <w:r w:rsidR="00352A72" w:rsidRPr="00352A72">
        <w:t> </w:t>
      </w:r>
      <w:r w:rsidRPr="00352A72">
        <w:t>I półroczu 20</w:t>
      </w:r>
      <w:r w:rsidR="003D5437" w:rsidRPr="00352A72">
        <w:t>2</w:t>
      </w:r>
      <w:r w:rsidR="00BC2F62" w:rsidRPr="00352A72">
        <w:t>1</w:t>
      </w:r>
      <w:r w:rsidRPr="00352A72">
        <w:t xml:space="preserve"> r</w:t>
      </w:r>
      <w:r w:rsidR="003D5437" w:rsidRPr="00352A72">
        <w:t>oku</w:t>
      </w:r>
      <w:r w:rsidRPr="00352A72">
        <w:t xml:space="preserve"> </w:t>
      </w:r>
      <w:r w:rsidR="00352A72" w:rsidRPr="00352A72">
        <w:t>3</w:t>
      </w:r>
      <w:r w:rsidRPr="00352A72">
        <w:t>,</w:t>
      </w:r>
      <w:r w:rsidR="00352A72" w:rsidRPr="00352A72">
        <w:t>06</w:t>
      </w:r>
      <w:r w:rsidR="006027CE">
        <w:t xml:space="preserve"> proc.</w:t>
      </w:r>
      <w:r w:rsidRPr="00352A72">
        <w:t xml:space="preserve"> </w:t>
      </w:r>
      <w:r w:rsidR="00BD19DD" w:rsidRPr="00352A72">
        <w:t xml:space="preserve">ogółu </w:t>
      </w:r>
      <w:r w:rsidRPr="00352A72">
        <w:t>środków Funduszu Pracy</w:t>
      </w:r>
      <w:r w:rsidR="00514D9F" w:rsidRPr="00352A72">
        <w:t xml:space="preserve"> (w I półroczu 20</w:t>
      </w:r>
      <w:r w:rsidR="00BC2F62" w:rsidRPr="00352A72">
        <w:t>20</w:t>
      </w:r>
      <w:r w:rsidR="00514D9F" w:rsidRPr="00352A72">
        <w:t xml:space="preserve"> roku – </w:t>
      </w:r>
      <w:r w:rsidR="00352A72" w:rsidRPr="00352A72">
        <w:t>0</w:t>
      </w:r>
      <w:r w:rsidR="00514D9F" w:rsidRPr="00352A72">
        <w:t>,</w:t>
      </w:r>
      <w:r w:rsidR="00352A72" w:rsidRPr="00352A72">
        <w:t>65</w:t>
      </w:r>
      <w:r w:rsidR="006027CE">
        <w:t xml:space="preserve"> proc.</w:t>
      </w:r>
      <w:r w:rsidR="00514D9F" w:rsidRPr="00352A72">
        <w:t>).</w:t>
      </w:r>
    </w:p>
    <w:p w:rsidR="00926A24" w:rsidRPr="00445F33" w:rsidRDefault="00926A24" w:rsidP="00926A24">
      <w:pPr>
        <w:pStyle w:val="Default"/>
        <w:jc w:val="both"/>
        <w:rPr>
          <w:sz w:val="16"/>
          <w:szCs w:val="16"/>
        </w:rPr>
      </w:pPr>
    </w:p>
    <w:p w:rsidR="0094260E" w:rsidRDefault="0094260E" w:rsidP="00445F33">
      <w:pPr>
        <w:pStyle w:val="Default"/>
        <w:spacing w:line="360" w:lineRule="auto"/>
        <w:ind w:left="357" w:firstLine="709"/>
        <w:jc w:val="both"/>
      </w:pPr>
      <w:r>
        <w:t xml:space="preserve">Nie tylko opis aktualnej sytuacji na rynku pracy świadczy o jego potencjale. Na pojawiające się zjawiska </w:t>
      </w:r>
      <w:r w:rsidR="00077ACD">
        <w:t xml:space="preserve">inżynieria społeczna może </w:t>
      </w:r>
      <w:r>
        <w:t xml:space="preserve">wpływać przez kreowanie nowej działalności na podstawie </w:t>
      </w:r>
      <w:r w:rsidR="00B41091">
        <w:t xml:space="preserve">dostępnych </w:t>
      </w:r>
      <w:r>
        <w:t xml:space="preserve">rozwiązań </w:t>
      </w:r>
      <w:r w:rsidR="00077ACD">
        <w:t>i</w:t>
      </w:r>
      <w:r>
        <w:t xml:space="preserve"> opracowa</w:t>
      </w:r>
      <w:r w:rsidR="00952E2F">
        <w:t>ń</w:t>
      </w:r>
      <w:r>
        <w:t xml:space="preserve"> ad hoc</w:t>
      </w:r>
      <w:r w:rsidR="00077ACD">
        <w:t>,</w:t>
      </w:r>
      <w:r w:rsidR="00CE5AA4">
        <w:t xml:space="preserve"> </w:t>
      </w:r>
      <w:r w:rsidR="00077ACD">
        <w:t xml:space="preserve">będących </w:t>
      </w:r>
      <w:r w:rsidR="00952E2F">
        <w:t xml:space="preserve">adekwatną </w:t>
      </w:r>
      <w:r>
        <w:t>odpowied</w:t>
      </w:r>
      <w:r w:rsidR="00077ACD">
        <w:t xml:space="preserve">zią </w:t>
      </w:r>
      <w:r>
        <w:t>na sytuację kryzysową.</w:t>
      </w:r>
      <w:r w:rsidR="00077ACD">
        <w:t xml:space="preserve"> </w:t>
      </w:r>
      <w:r>
        <w:t>Niewykorzystaną szansą rozwoju dla przemysłu wysokich technologii</w:t>
      </w:r>
      <w:r w:rsidR="00803BAE">
        <w:t xml:space="preserve"> </w:t>
      </w:r>
      <w:r>
        <w:t>w</w:t>
      </w:r>
      <w:r w:rsidR="00E873B3">
        <w:t> </w:t>
      </w:r>
      <w:r>
        <w:t>województwie podkarpackim pozostaje</w:t>
      </w:r>
      <w:r w:rsidR="00E873B3">
        <w:t xml:space="preserve"> deficyt </w:t>
      </w:r>
      <w:r>
        <w:t>produkcji zaawansowanych podzespołów elektronicznych i rozwoju własnych patentów. W</w:t>
      </w:r>
      <w:r w:rsidR="00803BAE">
        <w:t> </w:t>
      </w:r>
      <w:r>
        <w:t>województwie funkcjonuj</w:t>
      </w:r>
      <w:r w:rsidR="00803BAE">
        <w:t>ą</w:t>
      </w:r>
      <w:r>
        <w:t xml:space="preserve"> firm</w:t>
      </w:r>
      <w:r w:rsidR="00803BAE">
        <w:t>y</w:t>
      </w:r>
      <w:r>
        <w:t xml:space="preserve"> tworząc</w:t>
      </w:r>
      <w:r w:rsidR="00803BAE">
        <w:t>e</w:t>
      </w:r>
      <w:bookmarkStart w:id="25" w:name="_GoBack"/>
      <w:bookmarkEnd w:id="25"/>
      <w:r>
        <w:t xml:space="preserve"> oprogramowanie</w:t>
      </w:r>
      <w:r w:rsidR="00803BAE">
        <w:t xml:space="preserve"> i wyższe uczelnie o profilu technicznym</w:t>
      </w:r>
      <w:r>
        <w:t>. Produkcja elementów półprzewodnikowych należy również do gospodarki przyszłości</w:t>
      </w:r>
      <w:r w:rsidR="00803BAE">
        <w:t xml:space="preserve">, która będzie przyjazna dla środowiska </w:t>
      </w:r>
      <w:r w:rsidR="009F1691">
        <w:t>nie tylko przez tak zwaną niską emisję spalin do atmosfery, ale przez zmniejszenie energochłonności i niskie koszty utylizacji</w:t>
      </w:r>
      <w:r>
        <w:t>.</w:t>
      </w:r>
    </w:p>
    <w:p w:rsidR="00445F33" w:rsidRPr="00445F33" w:rsidRDefault="00445F33" w:rsidP="00445F33">
      <w:pPr>
        <w:pStyle w:val="Default"/>
        <w:spacing w:line="360" w:lineRule="auto"/>
        <w:jc w:val="both"/>
        <w:rPr>
          <w:sz w:val="16"/>
          <w:szCs w:val="16"/>
        </w:rPr>
      </w:pPr>
    </w:p>
    <w:p w:rsidR="00952E2F" w:rsidRDefault="00952E2F" w:rsidP="00952E2F">
      <w:pPr>
        <w:pStyle w:val="Default"/>
        <w:numPr>
          <w:ilvl w:val="0"/>
          <w:numId w:val="26"/>
        </w:numPr>
        <w:spacing w:line="360" w:lineRule="auto"/>
        <w:jc w:val="both"/>
      </w:pPr>
      <w:r>
        <w:t xml:space="preserve">Częściowa likwidacja polskiego przemysłu elektronicznego była niekorzystna dla wszystkich uczestników rynku. Redukcja dotknęła najbardziej istotnej części </w:t>
      </w:r>
      <w:r w:rsidR="00803BAE">
        <w:t xml:space="preserve">sektora tj. </w:t>
      </w:r>
      <w:r>
        <w:t>produkcji układów scalonych.</w:t>
      </w:r>
    </w:p>
    <w:p w:rsidR="003856D0" w:rsidRDefault="0094260E" w:rsidP="0094260E">
      <w:pPr>
        <w:pStyle w:val="Default"/>
        <w:numPr>
          <w:ilvl w:val="0"/>
          <w:numId w:val="26"/>
        </w:numPr>
        <w:spacing w:line="360" w:lineRule="auto"/>
        <w:jc w:val="both"/>
      </w:pPr>
      <w:r>
        <w:t xml:space="preserve">Znaczny popyt na elementy elektroniczne utrzyma się w okresie nadchodzących dekad. Potrzebuje ich większość nowoczesnych produktów. Idąc za przykładem USA, produkcja rodzimych chipów w kraju zaczyna się opłacać. Można lepiej opracować technologie </w:t>
      </w:r>
      <w:r w:rsidR="00803BAE">
        <w:t xml:space="preserve">wytwarzania materialnych nośników </w:t>
      </w:r>
      <w:r>
        <w:t>do algorytmów programowych i zaoferować towary wyższej jakości, bardziej zawansowane w technologii.</w:t>
      </w:r>
    </w:p>
    <w:p w:rsidR="003856D0" w:rsidRDefault="00952E2F" w:rsidP="0094260E">
      <w:pPr>
        <w:pStyle w:val="Default"/>
        <w:numPr>
          <w:ilvl w:val="0"/>
          <w:numId w:val="26"/>
        </w:numPr>
        <w:spacing w:line="360" w:lineRule="auto"/>
        <w:jc w:val="both"/>
      </w:pPr>
      <w:r>
        <w:t>Rodzime f</w:t>
      </w:r>
      <w:r w:rsidR="0094260E">
        <w:t xml:space="preserve">irmy </w:t>
      </w:r>
      <w:r>
        <w:t>posiadają komfort pracy w</w:t>
      </w:r>
      <w:r w:rsidR="0094260E">
        <w:t xml:space="preserve"> większej tajemnicy i lepiej chroni</w:t>
      </w:r>
      <w:r>
        <w:t>ą</w:t>
      </w:r>
      <w:r w:rsidR="0094260E">
        <w:t xml:space="preserve"> </w:t>
      </w:r>
      <w:r w:rsidR="008A7B13">
        <w:t>opracowane innowacje</w:t>
      </w:r>
      <w:r w:rsidR="00803BAE">
        <w:t>.</w:t>
      </w:r>
      <w:r>
        <w:t xml:space="preserve"> </w:t>
      </w:r>
      <w:r w:rsidR="009F1691">
        <w:t xml:space="preserve">Warunkują niezależność </w:t>
      </w:r>
      <w:r w:rsidR="00803BAE">
        <w:t>gospodark</w:t>
      </w:r>
      <w:r w:rsidR="009F1691">
        <w:t>i</w:t>
      </w:r>
      <w:r w:rsidR="00803BAE">
        <w:t xml:space="preserve"> </w:t>
      </w:r>
      <w:r w:rsidR="008A7B13">
        <w:t xml:space="preserve">regionu </w:t>
      </w:r>
      <w:r w:rsidR="0094260E">
        <w:t xml:space="preserve">od </w:t>
      </w:r>
      <w:r w:rsidR="009F1691">
        <w:t>przerw w</w:t>
      </w:r>
      <w:r w:rsidR="003856D0">
        <w:t> </w:t>
      </w:r>
      <w:r w:rsidR="009F1691">
        <w:t xml:space="preserve">dostawach spowodowanych </w:t>
      </w:r>
      <w:r w:rsidR="009F1691">
        <w:t>niestabiln</w:t>
      </w:r>
      <w:r w:rsidR="009F1691">
        <w:t>ą</w:t>
      </w:r>
      <w:r w:rsidR="009F1691">
        <w:t xml:space="preserve"> sytuacj</w:t>
      </w:r>
      <w:r w:rsidR="009F1691">
        <w:t>ą</w:t>
      </w:r>
      <w:r w:rsidR="009F1691">
        <w:t xml:space="preserve"> w krajach przez które przebiega </w:t>
      </w:r>
      <w:r w:rsidR="009F1691">
        <w:lastRenderedPageBreak/>
        <w:t>tranzyt</w:t>
      </w:r>
      <w:r w:rsidR="009F1691">
        <w:t xml:space="preserve">. Produkując na miejscu, dla krajowych kooperantów można ograniczyć </w:t>
      </w:r>
      <w:r w:rsidR="008A7B13">
        <w:t>koszt</w:t>
      </w:r>
      <w:r w:rsidR="009F1691">
        <w:t>y</w:t>
      </w:r>
      <w:r w:rsidR="008A7B13">
        <w:t xml:space="preserve"> </w:t>
      </w:r>
      <w:r w:rsidR="009F1691">
        <w:t xml:space="preserve">transportu, spedycji i </w:t>
      </w:r>
      <w:r w:rsidR="008A7B13">
        <w:t>logistyki</w:t>
      </w:r>
      <w:r w:rsidR="009D7A5D">
        <w:t>.</w:t>
      </w:r>
    </w:p>
    <w:p w:rsidR="0094260E" w:rsidRDefault="003856D0" w:rsidP="0094260E">
      <w:pPr>
        <w:pStyle w:val="Default"/>
        <w:numPr>
          <w:ilvl w:val="0"/>
          <w:numId w:val="26"/>
        </w:numPr>
        <w:spacing w:line="360" w:lineRule="auto"/>
        <w:jc w:val="both"/>
      </w:pPr>
      <w:r>
        <w:t>Własna produkcja wpływa na ceny dostępnych w kraju układów scalonych i zaspokojenie zwiększonego popytu. Powoduje uniezależnienie się od znacznych, nieuzasadnionych wzrostów cen na świecie w okresie kryzysów, wywołanych różnymi czynnikami np. epidemie, zamieszki społeczne i konflikty zbrojne.</w:t>
      </w:r>
    </w:p>
    <w:p w:rsidR="00952E2F" w:rsidRDefault="0094260E" w:rsidP="005628A5">
      <w:pPr>
        <w:pStyle w:val="Default"/>
        <w:numPr>
          <w:ilvl w:val="0"/>
          <w:numId w:val="26"/>
        </w:numPr>
        <w:spacing w:line="360" w:lineRule="auto"/>
        <w:jc w:val="both"/>
      </w:pPr>
      <w:r>
        <w:t>Innowacja we współczesnej gospodarce polega głownie na produkcji zaawansowanych chipów, a produkt</w:t>
      </w:r>
      <w:r w:rsidR="007D25A9">
        <w:t xml:space="preserve"> gotowy </w:t>
      </w:r>
      <w:r>
        <w:t>pozostaje tylko ich opakowaniem</w:t>
      </w:r>
      <w:r w:rsidR="007A142D">
        <w:t xml:space="preserve">. </w:t>
      </w:r>
      <w:r w:rsidR="00476604">
        <w:t xml:space="preserve">Przyszłością rozwoju </w:t>
      </w:r>
      <w:r w:rsidR="0040613F">
        <w:t xml:space="preserve">tego segmentu rynku </w:t>
      </w:r>
      <w:r w:rsidR="00476604">
        <w:t xml:space="preserve">mogą okazać się tzw. </w:t>
      </w:r>
      <w:r>
        <w:t>struktury PLD</w:t>
      </w:r>
      <w:r w:rsidR="005628A5">
        <w:t xml:space="preserve"> (</w:t>
      </w:r>
      <w:r w:rsidR="005628A5" w:rsidRPr="005628A5">
        <w:t xml:space="preserve">ang. </w:t>
      </w:r>
      <w:proofErr w:type="spellStart"/>
      <w:r w:rsidR="005628A5" w:rsidRPr="005628A5">
        <w:rPr>
          <w:i/>
        </w:rPr>
        <w:t>programmable</w:t>
      </w:r>
      <w:proofErr w:type="spellEnd"/>
      <w:r w:rsidR="005628A5" w:rsidRPr="005628A5">
        <w:rPr>
          <w:i/>
        </w:rPr>
        <w:t xml:space="preserve"> </w:t>
      </w:r>
      <w:proofErr w:type="spellStart"/>
      <w:r w:rsidR="005628A5" w:rsidRPr="005628A5">
        <w:rPr>
          <w:i/>
        </w:rPr>
        <w:t>logic</w:t>
      </w:r>
      <w:proofErr w:type="spellEnd"/>
      <w:r w:rsidR="005628A5" w:rsidRPr="005628A5">
        <w:rPr>
          <w:i/>
        </w:rPr>
        <w:t xml:space="preserve"> </w:t>
      </w:r>
      <w:proofErr w:type="spellStart"/>
      <w:r w:rsidR="005628A5" w:rsidRPr="005628A5">
        <w:rPr>
          <w:i/>
        </w:rPr>
        <w:t>device</w:t>
      </w:r>
      <w:proofErr w:type="spellEnd"/>
      <w:r w:rsidR="005628A5" w:rsidRPr="005628A5">
        <w:t>)</w:t>
      </w:r>
      <w:r>
        <w:t>.</w:t>
      </w:r>
    </w:p>
    <w:sectPr w:rsidR="00952E2F" w:rsidSect="0075523D">
      <w:footerReference w:type="default" r:id="rId6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82" w:rsidRDefault="00BB0182" w:rsidP="00644EBC">
      <w:pPr>
        <w:spacing w:after="0" w:line="240" w:lineRule="auto"/>
      </w:pPr>
      <w:r>
        <w:separator/>
      </w:r>
    </w:p>
  </w:endnote>
  <w:endnote w:type="continuationSeparator" w:id="0">
    <w:p w:rsidR="00BB0182" w:rsidRDefault="00BB0182" w:rsidP="0064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CD" w:rsidRDefault="00077AC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82118"/>
      <w:docPartObj>
        <w:docPartGallery w:val="Page Numbers (Bottom of Page)"/>
        <w:docPartUnique/>
      </w:docPartObj>
    </w:sdtPr>
    <w:sdtEndPr>
      <w:rPr>
        <w:rFonts w:ascii="Times New Roman" w:hAnsi="Times New Roman" w:cs="Times New Roman"/>
      </w:rPr>
    </w:sdtEndPr>
    <w:sdtContent>
      <w:p w:rsidR="00077ACD" w:rsidRPr="00DC7BA9" w:rsidRDefault="00077ACD">
        <w:pPr>
          <w:pStyle w:val="Stopka"/>
          <w:jc w:val="center"/>
          <w:rPr>
            <w:rFonts w:ascii="Times New Roman" w:hAnsi="Times New Roman" w:cs="Times New Roman"/>
          </w:rPr>
        </w:pPr>
        <w:r w:rsidRPr="00DC7BA9">
          <w:rPr>
            <w:rFonts w:ascii="Times New Roman" w:hAnsi="Times New Roman" w:cs="Times New Roman"/>
          </w:rPr>
          <w:fldChar w:fldCharType="begin"/>
        </w:r>
        <w:r w:rsidRPr="00DC7BA9">
          <w:rPr>
            <w:rFonts w:ascii="Times New Roman" w:hAnsi="Times New Roman" w:cs="Times New Roman"/>
          </w:rPr>
          <w:instrText>PAGE   \* MERGEFORMAT</w:instrText>
        </w:r>
        <w:r w:rsidRPr="00DC7BA9">
          <w:rPr>
            <w:rFonts w:ascii="Times New Roman" w:hAnsi="Times New Roman" w:cs="Times New Roman"/>
          </w:rPr>
          <w:fldChar w:fldCharType="separate"/>
        </w:r>
        <w:r w:rsidR="003856D0">
          <w:rPr>
            <w:rFonts w:ascii="Times New Roman" w:hAnsi="Times New Roman" w:cs="Times New Roman"/>
            <w:noProof/>
          </w:rPr>
          <w:t>51</w:t>
        </w:r>
        <w:r w:rsidRPr="00DC7BA9">
          <w:rPr>
            <w:rFonts w:ascii="Times New Roman" w:hAnsi="Times New Roman" w:cs="Times New Roman"/>
          </w:rPr>
          <w:fldChar w:fldCharType="end"/>
        </w:r>
      </w:p>
    </w:sdtContent>
  </w:sdt>
  <w:p w:rsidR="00077ACD" w:rsidRDefault="00077A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82" w:rsidRDefault="00BB0182" w:rsidP="00644EBC">
      <w:pPr>
        <w:spacing w:after="0" w:line="240" w:lineRule="auto"/>
      </w:pPr>
      <w:r>
        <w:separator/>
      </w:r>
    </w:p>
  </w:footnote>
  <w:footnote w:type="continuationSeparator" w:id="0">
    <w:p w:rsidR="00BB0182" w:rsidRDefault="00BB0182" w:rsidP="00644EBC">
      <w:pPr>
        <w:spacing w:after="0" w:line="240" w:lineRule="auto"/>
      </w:pPr>
      <w:r>
        <w:continuationSeparator/>
      </w:r>
    </w:p>
  </w:footnote>
  <w:footnote w:id="1">
    <w:p w:rsidR="00077ACD" w:rsidRPr="00B00BC2" w:rsidRDefault="00077ACD" w:rsidP="00FC1B7D">
      <w:pPr>
        <w:pStyle w:val="Tekstprzypisudolnego"/>
        <w:jc w:val="both"/>
        <w:rPr>
          <w:rFonts w:ascii="Times New Roman" w:hAnsi="Times New Roman" w:cs="Times New Roman"/>
        </w:rPr>
      </w:pPr>
      <w:r w:rsidRPr="00B00BC2">
        <w:rPr>
          <w:rStyle w:val="Odwoanieprzypisudolnego"/>
          <w:rFonts w:ascii="Times New Roman" w:hAnsi="Times New Roman" w:cs="Times New Roman"/>
        </w:rPr>
        <w:footnoteRef/>
      </w:r>
      <w:r w:rsidRPr="00B00BC2">
        <w:rPr>
          <w:rFonts w:ascii="Times New Roman" w:hAnsi="Times New Roman" w:cs="Times New Roman"/>
        </w:rPr>
        <w:t xml:space="preserve"> Opracowano na podstawie GUS 12 VIII 2021 r. BDL (</w:t>
      </w:r>
      <w:hyperlink r:id="rId1" w:history="1">
        <w:r w:rsidRPr="00B00BC2">
          <w:rPr>
            <w:rStyle w:val="Hipercze"/>
            <w:rFonts w:ascii="Times New Roman" w:hAnsi="Times New Roman" w:cs="Times New Roman"/>
          </w:rPr>
          <w:t>https://bdl.stat.gov.pl/BDL/start</w:t>
        </w:r>
      </w:hyperlink>
      <w:r w:rsidRPr="00B00BC2">
        <w:rPr>
          <w:rFonts w:ascii="Times New Roman" w:hAnsi="Times New Roman" w:cs="Times New Roman"/>
        </w:rPr>
        <w:t xml:space="preserve">); Krajowy Rejestr Urzędowy Podziału Terytorialnego Kraju (TERYT): </w:t>
      </w:r>
      <w:hyperlink r:id="rId2" w:history="1">
        <w:r w:rsidRPr="00B00BC2">
          <w:rPr>
            <w:rStyle w:val="Hipercze"/>
            <w:rFonts w:ascii="Times New Roman" w:hAnsi="Times New Roman" w:cs="Times New Roman"/>
          </w:rPr>
          <w:t>https://eteryt.stat.gov.pl/eteryt/raporty/WebRaportZestawienie.aspx</w:t>
        </w:r>
      </w:hyperlink>
      <w:r w:rsidRPr="00B00BC2">
        <w:rPr>
          <w:rFonts w:ascii="Times New Roman" w:hAnsi="Times New Roman" w:cs="Times New Roman"/>
        </w:rPr>
        <w:t>, Rocznik demograficzny 2021, Rocznik Statystyczny Województwa Podkarpackiego 2020, Stan, ruch naturalny i migracje ludności w województwie podkarpackim w 2020 roku; Wstępne szacunki PKB według regionów w 2019 roku.</w:t>
      </w:r>
    </w:p>
  </w:footnote>
  <w:footnote w:id="2">
    <w:p w:rsidR="00077ACD" w:rsidRPr="00B00BC2" w:rsidRDefault="00077ACD" w:rsidP="00FC1B7D">
      <w:pPr>
        <w:pStyle w:val="Tekstprzypisudolnego"/>
        <w:jc w:val="both"/>
        <w:rPr>
          <w:rFonts w:ascii="Times New Roman" w:hAnsi="Times New Roman" w:cs="Times New Roman"/>
          <w:sz w:val="16"/>
          <w:szCs w:val="16"/>
        </w:rPr>
      </w:pPr>
      <w:r w:rsidRPr="00B00BC2">
        <w:rPr>
          <w:rStyle w:val="Odwoanieprzypisudolnego"/>
          <w:rFonts w:ascii="Times New Roman" w:hAnsi="Times New Roman" w:cs="Times New Roman"/>
          <w:sz w:val="16"/>
          <w:szCs w:val="16"/>
        </w:rPr>
        <w:footnoteRef/>
      </w:r>
      <w:r w:rsidRPr="00B00BC2">
        <w:rPr>
          <w:rFonts w:ascii="Times New Roman" w:hAnsi="Times New Roman" w:cs="Times New Roman"/>
          <w:sz w:val="16"/>
          <w:szCs w:val="16"/>
        </w:rPr>
        <w:t xml:space="preserve"> BDL, 12 VIII 2021 r.</w:t>
      </w:r>
    </w:p>
  </w:footnote>
  <w:footnote w:id="3">
    <w:p w:rsidR="00077ACD" w:rsidRPr="00B00BC2" w:rsidRDefault="00077ACD" w:rsidP="00FC1B7D">
      <w:pPr>
        <w:pStyle w:val="Tekstprzypisudolnego"/>
        <w:jc w:val="both"/>
        <w:rPr>
          <w:rFonts w:ascii="Times New Roman" w:hAnsi="Times New Roman" w:cs="Times New Roman"/>
          <w:sz w:val="16"/>
          <w:szCs w:val="16"/>
        </w:rPr>
      </w:pPr>
      <w:r w:rsidRPr="00B00BC2">
        <w:rPr>
          <w:rStyle w:val="Odwoanieprzypisudolnego"/>
          <w:rFonts w:ascii="Times New Roman" w:hAnsi="Times New Roman" w:cs="Times New Roman"/>
          <w:sz w:val="16"/>
          <w:szCs w:val="16"/>
        </w:rPr>
        <w:footnoteRef/>
      </w:r>
      <w:r w:rsidRPr="00B00BC2">
        <w:rPr>
          <w:rFonts w:ascii="Times New Roman" w:hAnsi="Times New Roman" w:cs="Times New Roman"/>
          <w:sz w:val="16"/>
          <w:szCs w:val="16"/>
        </w:rPr>
        <w:t xml:space="preserve"> BDL, 12 VIII 2021 r.</w:t>
      </w:r>
    </w:p>
  </w:footnote>
  <w:footnote w:id="4">
    <w:p w:rsidR="00077ACD" w:rsidRPr="00AB6255" w:rsidRDefault="00077ACD">
      <w:pPr>
        <w:pStyle w:val="Tekstprzypisudolnego"/>
        <w:rPr>
          <w:rFonts w:ascii="Times New Roman" w:hAnsi="Times New Roman" w:cs="Times New Roman"/>
          <w:sz w:val="16"/>
          <w:szCs w:val="16"/>
        </w:rPr>
      </w:pPr>
      <w:r w:rsidRPr="00AB6255">
        <w:rPr>
          <w:rStyle w:val="Odwoanieprzypisudolnego"/>
          <w:rFonts w:ascii="Times New Roman" w:hAnsi="Times New Roman" w:cs="Times New Roman"/>
          <w:sz w:val="16"/>
          <w:szCs w:val="16"/>
        </w:rPr>
        <w:footnoteRef/>
      </w:r>
      <w:r w:rsidRPr="00AB6255">
        <w:rPr>
          <w:rFonts w:ascii="Times New Roman" w:hAnsi="Times New Roman" w:cs="Times New Roman"/>
          <w:sz w:val="16"/>
          <w:szCs w:val="16"/>
        </w:rPr>
        <w:t xml:space="preserve"> W 2020 r. saldo migracji wewnętrznych z miast Podkarpacia do innych województw było o 162,4</w:t>
      </w:r>
      <w:r>
        <w:rPr>
          <w:rFonts w:ascii="Times New Roman" w:hAnsi="Times New Roman" w:cs="Times New Roman"/>
          <w:sz w:val="16"/>
          <w:szCs w:val="16"/>
        </w:rPr>
        <w:t xml:space="preserve"> proc.</w:t>
      </w:r>
      <w:r w:rsidRPr="00AB6255">
        <w:rPr>
          <w:rFonts w:ascii="Times New Roman" w:hAnsi="Times New Roman" w:cs="Times New Roman"/>
          <w:sz w:val="16"/>
          <w:szCs w:val="16"/>
        </w:rPr>
        <w:t xml:space="preserve"> wyższe niż w 2000 r.</w:t>
      </w:r>
    </w:p>
  </w:footnote>
  <w:footnote w:id="5">
    <w:p w:rsidR="00077ACD" w:rsidRPr="000E538D" w:rsidRDefault="00077ACD" w:rsidP="00FC1B7D">
      <w:pPr>
        <w:pStyle w:val="Tekstprzypisudolnego"/>
        <w:rPr>
          <w:rFonts w:ascii="Times New Roman" w:hAnsi="Times New Roman" w:cs="Times New Roman"/>
          <w:sz w:val="16"/>
          <w:szCs w:val="16"/>
        </w:rPr>
      </w:pPr>
      <w:r w:rsidRPr="000E538D">
        <w:rPr>
          <w:rStyle w:val="Odwoanieprzypisudolnego"/>
          <w:rFonts w:ascii="Times New Roman" w:hAnsi="Times New Roman" w:cs="Times New Roman"/>
          <w:sz w:val="16"/>
          <w:szCs w:val="16"/>
        </w:rPr>
        <w:footnoteRef/>
      </w:r>
      <w:r w:rsidRPr="000E538D">
        <w:rPr>
          <w:rFonts w:ascii="Times New Roman" w:hAnsi="Times New Roman" w:cs="Times New Roman"/>
          <w:sz w:val="16"/>
          <w:szCs w:val="16"/>
        </w:rPr>
        <w:t xml:space="preserve"> </w:t>
      </w:r>
      <w:r>
        <w:rPr>
          <w:rFonts w:ascii="Times New Roman" w:hAnsi="Times New Roman" w:cs="Times New Roman"/>
          <w:sz w:val="16"/>
          <w:szCs w:val="16"/>
        </w:rPr>
        <w:t xml:space="preserve">Porównanie szacunków </w:t>
      </w:r>
      <w:r w:rsidRPr="000E538D">
        <w:rPr>
          <w:rFonts w:ascii="Times New Roman" w:hAnsi="Times New Roman" w:cs="Times New Roman"/>
          <w:sz w:val="16"/>
          <w:szCs w:val="16"/>
        </w:rPr>
        <w:t xml:space="preserve">wstępnych </w:t>
      </w:r>
      <w:r>
        <w:rPr>
          <w:rFonts w:ascii="Times New Roman" w:hAnsi="Times New Roman" w:cs="Times New Roman"/>
          <w:sz w:val="16"/>
          <w:szCs w:val="16"/>
        </w:rPr>
        <w:t xml:space="preserve"> P</w:t>
      </w:r>
      <w:r w:rsidRPr="000E538D">
        <w:rPr>
          <w:rFonts w:ascii="Times New Roman" w:hAnsi="Times New Roman" w:cs="Times New Roman"/>
          <w:sz w:val="16"/>
          <w:szCs w:val="16"/>
        </w:rPr>
        <w:t>KB</w:t>
      </w:r>
      <w:r>
        <w:rPr>
          <w:rFonts w:ascii="Times New Roman" w:hAnsi="Times New Roman" w:cs="Times New Roman"/>
          <w:sz w:val="16"/>
          <w:szCs w:val="16"/>
        </w:rPr>
        <w:t xml:space="preserve">, </w:t>
      </w:r>
      <w:hyperlink r:id="rId3" w:history="1">
        <w:r w:rsidRPr="0062186F">
          <w:rPr>
            <w:rStyle w:val="Hipercze"/>
            <w:rFonts w:ascii="Times New Roman" w:hAnsi="Times New Roman" w:cs="Times New Roman"/>
            <w:sz w:val="16"/>
            <w:szCs w:val="16"/>
          </w:rPr>
          <w:t>http://stat.gov.pl</w:t>
        </w:r>
      </w:hyperlink>
      <w:r>
        <w:rPr>
          <w:rFonts w:ascii="Times New Roman" w:hAnsi="Times New Roman" w:cs="Times New Roman"/>
          <w:sz w:val="16"/>
          <w:szCs w:val="16"/>
        </w:rPr>
        <w:t>.</w:t>
      </w:r>
    </w:p>
  </w:footnote>
  <w:footnote w:id="6">
    <w:p w:rsidR="00077ACD" w:rsidRPr="008E3FFD" w:rsidRDefault="00077ACD" w:rsidP="00FC1B7D">
      <w:pPr>
        <w:pStyle w:val="Tekstprzypisudolnego"/>
        <w:rPr>
          <w:rFonts w:ascii="Times New Roman" w:hAnsi="Times New Roman" w:cs="Times New Roman"/>
          <w:sz w:val="16"/>
          <w:szCs w:val="16"/>
        </w:rPr>
      </w:pPr>
      <w:r w:rsidRPr="008E3FFD">
        <w:rPr>
          <w:rStyle w:val="Odwoanieprzypisudolnego"/>
          <w:rFonts w:ascii="Times New Roman" w:hAnsi="Times New Roman" w:cs="Times New Roman"/>
          <w:sz w:val="16"/>
          <w:szCs w:val="16"/>
        </w:rPr>
        <w:footnoteRef/>
      </w:r>
      <w:r w:rsidRPr="008E3FFD">
        <w:rPr>
          <w:rFonts w:ascii="Times New Roman" w:hAnsi="Times New Roman" w:cs="Times New Roman"/>
          <w:sz w:val="16"/>
          <w:szCs w:val="16"/>
        </w:rPr>
        <w:t xml:space="preserve"> Bez podmiotów </w:t>
      </w:r>
      <w:r>
        <w:rPr>
          <w:rFonts w:ascii="Times New Roman" w:hAnsi="Times New Roman" w:cs="Times New Roman"/>
          <w:sz w:val="16"/>
          <w:szCs w:val="16"/>
        </w:rPr>
        <w:t xml:space="preserve">gospodarczych o liczbie pracujących  </w:t>
      </w:r>
      <w:r w:rsidRPr="008E3FFD">
        <w:rPr>
          <w:rFonts w:ascii="Times New Roman" w:hAnsi="Times New Roman" w:cs="Times New Roman"/>
          <w:sz w:val="16"/>
          <w:szCs w:val="16"/>
        </w:rPr>
        <w:t>do</w:t>
      </w:r>
      <w:r>
        <w:rPr>
          <w:rFonts w:ascii="Times New Roman" w:hAnsi="Times New Roman" w:cs="Times New Roman"/>
          <w:sz w:val="16"/>
          <w:szCs w:val="16"/>
        </w:rPr>
        <w:t xml:space="preserve"> </w:t>
      </w:r>
      <w:r w:rsidRPr="008E3FFD">
        <w:rPr>
          <w:rFonts w:ascii="Times New Roman" w:hAnsi="Times New Roman" w:cs="Times New Roman"/>
          <w:sz w:val="16"/>
          <w:szCs w:val="16"/>
        </w:rPr>
        <w:t>9</w:t>
      </w:r>
      <w:r>
        <w:rPr>
          <w:rFonts w:ascii="Times New Roman" w:hAnsi="Times New Roman" w:cs="Times New Roman"/>
          <w:sz w:val="16"/>
          <w:szCs w:val="16"/>
        </w:rPr>
        <w:t xml:space="preserve"> </w:t>
      </w:r>
      <w:r w:rsidRPr="008E3FFD">
        <w:rPr>
          <w:rFonts w:ascii="Times New Roman" w:hAnsi="Times New Roman" w:cs="Times New Roman"/>
          <w:sz w:val="16"/>
          <w:szCs w:val="16"/>
        </w:rPr>
        <w:t>osób.</w:t>
      </w:r>
    </w:p>
  </w:footnote>
  <w:footnote w:id="7">
    <w:p w:rsidR="00077ACD" w:rsidRPr="001A46E5" w:rsidRDefault="00077ACD" w:rsidP="00FC1B7D">
      <w:pPr>
        <w:pStyle w:val="Tekstprzypisudolnego"/>
        <w:jc w:val="both"/>
        <w:rPr>
          <w:rFonts w:ascii="Times New Roman" w:hAnsi="Times New Roman" w:cs="Times New Roman"/>
          <w:sz w:val="16"/>
          <w:szCs w:val="16"/>
        </w:rPr>
      </w:pPr>
      <w:r w:rsidRPr="008428D8">
        <w:rPr>
          <w:rStyle w:val="Odwoanieprzypisudolnego"/>
          <w:rFonts w:ascii="Times New Roman" w:hAnsi="Times New Roman" w:cs="Times New Roman"/>
          <w:sz w:val="16"/>
          <w:szCs w:val="16"/>
        </w:rPr>
        <w:footnoteRef/>
      </w:r>
      <w:r w:rsidRPr="008428D8">
        <w:rPr>
          <w:rFonts w:ascii="Times New Roman" w:hAnsi="Times New Roman" w:cs="Times New Roman"/>
          <w:sz w:val="16"/>
          <w:szCs w:val="16"/>
        </w:rPr>
        <w:t xml:space="preserve"> </w:t>
      </w:r>
      <w:r w:rsidRPr="00967689">
        <w:rPr>
          <w:rFonts w:ascii="Times New Roman" w:hAnsi="Times New Roman" w:cs="Times New Roman"/>
          <w:b/>
          <w:color w:val="000000"/>
          <w:sz w:val="16"/>
          <w:szCs w:val="16"/>
        </w:rPr>
        <w:t>Ludność w wieku przedprodukcyjnym wg założeń stosowanych w demografii (GUS) to 17 lat i mniej</w:t>
      </w:r>
      <w:r w:rsidRPr="008428D8">
        <w:rPr>
          <w:rFonts w:ascii="Times New Roman" w:hAnsi="Times New Roman" w:cs="Times New Roman"/>
          <w:color w:val="000000"/>
          <w:sz w:val="16"/>
          <w:szCs w:val="16"/>
        </w:rPr>
        <w:t xml:space="preserve">. </w:t>
      </w:r>
      <w:r w:rsidRPr="008428D8">
        <w:rPr>
          <w:rFonts w:ascii="Times New Roman" w:hAnsi="Times New Roman" w:cs="Times New Roman"/>
          <w:sz w:val="16"/>
          <w:szCs w:val="16"/>
        </w:rPr>
        <w:t xml:space="preserve">Za wiek produkcyjny </w:t>
      </w:r>
      <w:r>
        <w:rPr>
          <w:rFonts w:ascii="Times New Roman" w:hAnsi="Times New Roman" w:cs="Times New Roman"/>
          <w:sz w:val="16"/>
          <w:szCs w:val="16"/>
        </w:rPr>
        <w:t xml:space="preserve">GUS przyjmuje – </w:t>
      </w:r>
      <w:r w:rsidRPr="008428D8">
        <w:rPr>
          <w:rFonts w:ascii="Times New Roman" w:hAnsi="Times New Roman" w:cs="Times New Roman"/>
          <w:sz w:val="16"/>
          <w:szCs w:val="16"/>
        </w:rPr>
        <w:t>dla kobiet od 18 do 59 lat oraz dla mężczyzn od 18 do 64 lat.</w:t>
      </w:r>
    </w:p>
  </w:footnote>
  <w:footnote w:id="8">
    <w:p w:rsidR="00077ACD" w:rsidRPr="001A46E5" w:rsidRDefault="00077ACD" w:rsidP="004A1253">
      <w:pPr>
        <w:pStyle w:val="Tekstprzypisudolnego"/>
        <w:jc w:val="both"/>
        <w:rPr>
          <w:rFonts w:ascii="Times New Roman" w:hAnsi="Times New Roman" w:cs="Times New Roman"/>
          <w:sz w:val="16"/>
          <w:szCs w:val="16"/>
        </w:rPr>
      </w:pPr>
      <w:r w:rsidRPr="008428D8">
        <w:rPr>
          <w:rStyle w:val="Odwoanieprzypisudolnego"/>
          <w:rFonts w:ascii="Times New Roman" w:hAnsi="Times New Roman" w:cs="Times New Roman"/>
          <w:sz w:val="16"/>
          <w:szCs w:val="16"/>
        </w:rPr>
        <w:footnoteRef/>
      </w:r>
      <w:r w:rsidRPr="008428D8">
        <w:rPr>
          <w:rFonts w:ascii="Times New Roman" w:hAnsi="Times New Roman" w:cs="Times New Roman"/>
          <w:sz w:val="16"/>
          <w:szCs w:val="16"/>
        </w:rPr>
        <w:t xml:space="preserve"> </w:t>
      </w:r>
      <w:r w:rsidRPr="00967689">
        <w:rPr>
          <w:rFonts w:ascii="Times New Roman" w:hAnsi="Times New Roman" w:cs="Times New Roman"/>
          <w:b/>
          <w:color w:val="000000"/>
          <w:sz w:val="16"/>
          <w:szCs w:val="16"/>
        </w:rPr>
        <w:t>Ludność w wieku przedprodukcyjnym wg założeń stosowanych w demografii (GUS) to 17 lat i mniej</w:t>
      </w:r>
      <w:r w:rsidRPr="008428D8">
        <w:rPr>
          <w:rFonts w:ascii="Times New Roman" w:hAnsi="Times New Roman" w:cs="Times New Roman"/>
          <w:color w:val="000000"/>
          <w:sz w:val="16"/>
          <w:szCs w:val="16"/>
        </w:rPr>
        <w:t xml:space="preserve">. </w:t>
      </w:r>
      <w:r w:rsidRPr="008428D8">
        <w:rPr>
          <w:rFonts w:ascii="Times New Roman" w:hAnsi="Times New Roman" w:cs="Times New Roman"/>
          <w:sz w:val="16"/>
          <w:szCs w:val="16"/>
        </w:rPr>
        <w:t xml:space="preserve">Za wiek produkcyjny </w:t>
      </w:r>
      <w:r>
        <w:rPr>
          <w:rFonts w:ascii="Times New Roman" w:hAnsi="Times New Roman" w:cs="Times New Roman"/>
          <w:sz w:val="16"/>
          <w:szCs w:val="16"/>
        </w:rPr>
        <w:t xml:space="preserve">GUS przyjmuje – </w:t>
      </w:r>
      <w:r w:rsidRPr="008428D8">
        <w:rPr>
          <w:rFonts w:ascii="Times New Roman" w:hAnsi="Times New Roman" w:cs="Times New Roman"/>
          <w:sz w:val="16"/>
          <w:szCs w:val="16"/>
        </w:rPr>
        <w:t>dla kobiet od 18 do 59 lat oraz dla mężczyzn od 18 do 64 lat.</w:t>
      </w:r>
    </w:p>
  </w:footnote>
  <w:footnote w:id="9">
    <w:p w:rsidR="00077ACD" w:rsidRPr="00602558" w:rsidRDefault="00077ACD" w:rsidP="00FC1B7D">
      <w:pPr>
        <w:pStyle w:val="Tekstprzypisudolnego"/>
        <w:jc w:val="both"/>
        <w:rPr>
          <w:rFonts w:ascii="Times New Roman" w:hAnsi="Times New Roman" w:cs="Times New Roman"/>
          <w:sz w:val="16"/>
          <w:szCs w:val="16"/>
        </w:rPr>
      </w:pPr>
      <w:r w:rsidRPr="00602558">
        <w:rPr>
          <w:rStyle w:val="Odwoanieprzypisudolnego"/>
          <w:rFonts w:ascii="Times New Roman" w:hAnsi="Times New Roman" w:cs="Times New Roman"/>
          <w:sz w:val="16"/>
          <w:szCs w:val="16"/>
        </w:rPr>
        <w:footnoteRef/>
      </w:r>
      <w:r w:rsidRPr="00602558">
        <w:rPr>
          <w:rFonts w:ascii="Times New Roman" w:hAnsi="Times New Roman" w:cs="Times New Roman"/>
          <w:sz w:val="16"/>
          <w:szCs w:val="16"/>
        </w:rPr>
        <w:t xml:space="preserve"> Wskaźnik obciążenia demograficznego – </w:t>
      </w:r>
      <w:r w:rsidRPr="00DF1654">
        <w:rPr>
          <w:rFonts w:ascii="Times New Roman" w:hAnsi="Times New Roman" w:cs="Times New Roman"/>
          <w:sz w:val="16"/>
          <w:szCs w:val="16"/>
        </w:rPr>
        <w:t>pokazuje ile osób w wieku nieprodukcyjnym (zarówno przed- jak i po-produkcyjnym) przypada na osoby w wieku produkcyjnym (w zależności od przyjętej stałej</w:t>
      </w:r>
      <w:r>
        <w:rPr>
          <w:rFonts w:ascii="Times New Roman" w:hAnsi="Times New Roman" w:cs="Times New Roman"/>
          <w:sz w:val="16"/>
          <w:szCs w:val="16"/>
        </w:rPr>
        <w:t>,</w:t>
      </w:r>
      <w:r w:rsidRPr="00DF1654">
        <w:rPr>
          <w:rFonts w:ascii="Times New Roman" w:hAnsi="Times New Roman" w:cs="Times New Roman"/>
          <w:sz w:val="16"/>
          <w:szCs w:val="16"/>
        </w:rPr>
        <w:t xml:space="preserve"> w przeliczeniu na 100 – w </w:t>
      </w:r>
      <w:r>
        <w:rPr>
          <w:rFonts w:ascii="Times New Roman" w:hAnsi="Times New Roman" w:cs="Times New Roman"/>
          <w:sz w:val="16"/>
          <w:szCs w:val="16"/>
        </w:rPr>
        <w:t>proc.</w:t>
      </w:r>
      <w:r w:rsidRPr="00DF1654">
        <w:rPr>
          <w:rFonts w:ascii="Times New Roman" w:hAnsi="Times New Roman" w:cs="Times New Roman"/>
          <w:sz w:val="16"/>
          <w:szCs w:val="16"/>
        </w:rPr>
        <w:t xml:space="preserve"> lub 1000 – w </w:t>
      </w:r>
      <w:r>
        <w:rPr>
          <w:rFonts w:ascii="Times New Roman" w:hAnsi="Times New Roman" w:cs="Times New Roman"/>
          <w:sz w:val="16"/>
          <w:szCs w:val="16"/>
        </w:rPr>
        <w:t>prom.</w:t>
      </w:r>
      <w:r w:rsidRPr="00DF1654">
        <w:rPr>
          <w:rFonts w:ascii="Times New Roman" w:hAnsi="Times New Roman" w:cs="Times New Roman"/>
          <w:sz w:val="16"/>
          <w:szCs w:val="16"/>
        </w:rPr>
        <w:t xml:space="preserve"> osób produkcyjnych).</w:t>
      </w:r>
      <w:r>
        <w:rPr>
          <w:rFonts w:ascii="Times New Roman" w:hAnsi="Times New Roman" w:cs="Times New Roman"/>
          <w:sz w:val="16"/>
          <w:szCs w:val="16"/>
        </w:rPr>
        <w:t xml:space="preserve"> </w:t>
      </w:r>
      <w:r w:rsidRPr="00DF1654">
        <w:rPr>
          <w:rFonts w:ascii="Times New Roman" w:hAnsi="Times New Roman" w:cs="Times New Roman"/>
          <w:sz w:val="16"/>
          <w:szCs w:val="16"/>
        </w:rPr>
        <w:t>Bez przeliczenia na 100, 1000 można użyć nazwy „współczynnik”</w:t>
      </w:r>
      <w:r>
        <w:rPr>
          <w:rFonts w:ascii="Times New Roman" w:hAnsi="Times New Roman" w:cs="Times New Roman"/>
          <w:sz w:val="16"/>
          <w:szCs w:val="16"/>
        </w:rPr>
        <w:t xml:space="preserve"> (odnosi dwa zjawiska lub kilka względem siebie jako współwystępujące)</w:t>
      </w:r>
      <w:r w:rsidRPr="00DF1654">
        <w:rPr>
          <w:rFonts w:ascii="Times New Roman" w:hAnsi="Times New Roman" w:cs="Times New Roman"/>
          <w:sz w:val="16"/>
          <w:szCs w:val="16"/>
        </w:rPr>
        <w:t>, który wraz z przeliczeniem staje się „wskaźnikiem”. Opracowano na podstawie danych GUS. Kategorie wg metody badań demograficznych GUS</w:t>
      </w:r>
      <w:r>
        <w:rPr>
          <w:rFonts w:ascii="Times New Roman" w:hAnsi="Times New Roman" w:cs="Times New Roman"/>
          <w:sz w:val="16"/>
          <w:szCs w:val="16"/>
        </w:rPr>
        <w:t xml:space="preserve"> – </w:t>
      </w:r>
      <w:r w:rsidRPr="00DF1654">
        <w:rPr>
          <w:rFonts w:ascii="Times New Roman" w:hAnsi="Times New Roman" w:cs="Times New Roman"/>
          <w:sz w:val="16"/>
          <w:szCs w:val="16"/>
        </w:rPr>
        <w:t>wiek przedprodukcyjny 0</w:t>
      </w:r>
      <w:r>
        <w:rPr>
          <w:rFonts w:ascii="Times New Roman" w:hAnsi="Times New Roman" w:cs="Times New Roman"/>
          <w:sz w:val="16"/>
          <w:szCs w:val="16"/>
        </w:rPr>
        <w:t xml:space="preserve"> </w:t>
      </w:r>
      <w:r w:rsidRPr="00DF1654">
        <w:rPr>
          <w:rFonts w:ascii="Times New Roman" w:hAnsi="Times New Roman" w:cs="Times New Roman"/>
          <w:sz w:val="16"/>
          <w:szCs w:val="16"/>
        </w:rPr>
        <w:t>-17 lat, wiek produkcyjny 18 – 59 lat dla kobiet, 18-64 lat dla mężczyzn, wiek poprodukcyjny powyżej 59 lat kobiety i 64 lat mężczyźni.</w:t>
      </w:r>
    </w:p>
  </w:footnote>
  <w:footnote w:id="10">
    <w:p w:rsidR="00077ACD" w:rsidRPr="001F471E" w:rsidRDefault="00077ACD" w:rsidP="00B92E45">
      <w:pPr>
        <w:pStyle w:val="Tekstprzypisudolnego"/>
        <w:jc w:val="both"/>
        <w:rPr>
          <w:rFonts w:ascii="Times New Roman" w:hAnsi="Times New Roman" w:cs="Times New Roman"/>
          <w:sz w:val="16"/>
          <w:szCs w:val="16"/>
        </w:rPr>
      </w:pPr>
      <w:r w:rsidRPr="006D3FDC">
        <w:rPr>
          <w:rStyle w:val="Odwoanieprzypisudolnego"/>
          <w:rFonts w:ascii="Times New Roman" w:hAnsi="Times New Roman" w:cs="Times New Roman"/>
          <w:sz w:val="16"/>
          <w:szCs w:val="16"/>
          <w:shd w:val="clear" w:color="auto" w:fill="FFFFFF" w:themeFill="background1"/>
        </w:rPr>
        <w:footnoteRef/>
      </w:r>
      <w:r w:rsidRPr="006D3FDC">
        <w:rPr>
          <w:rFonts w:ascii="Times New Roman" w:hAnsi="Times New Roman" w:cs="Times New Roman"/>
          <w:sz w:val="16"/>
          <w:szCs w:val="16"/>
          <w:shd w:val="clear" w:color="auto" w:fill="FFFFFF" w:themeFill="background1"/>
        </w:rPr>
        <w:t xml:space="preserve"> Rozdział opracowany na podstawie danych GUS. </w:t>
      </w:r>
      <w:r w:rsidRPr="006D3FDC">
        <w:rPr>
          <w:rFonts w:ascii="Times New Roman" w:hAnsi="Times New Roman" w:cs="Times New Roman"/>
          <w:i/>
          <w:sz w:val="16"/>
          <w:szCs w:val="16"/>
          <w:shd w:val="clear" w:color="auto" w:fill="FFFFFF" w:themeFill="background1"/>
        </w:rPr>
        <w:t>Miesięczna informacja o podmiotach gospodarki narodowej w rejestrze REGON</w:t>
      </w:r>
      <w:r w:rsidRPr="006D3FDC">
        <w:rPr>
          <w:rFonts w:ascii="Times New Roman" w:hAnsi="Times New Roman" w:cs="Times New Roman"/>
          <w:sz w:val="16"/>
          <w:szCs w:val="16"/>
          <w:shd w:val="clear" w:color="auto" w:fill="FFFFFF" w:themeFill="background1"/>
        </w:rPr>
        <w:t xml:space="preserve"> (informacje miesięczne).</w:t>
      </w:r>
      <w:r w:rsidRPr="006D3FDC">
        <w:rPr>
          <w:rFonts w:ascii="Times New Roman" w:hAnsi="Times New Roman" w:cs="Times New Roman"/>
          <w:sz w:val="16"/>
          <w:szCs w:val="16"/>
        </w:rPr>
        <w:t xml:space="preserve"> </w:t>
      </w:r>
      <w:r w:rsidRPr="006D3FDC">
        <w:rPr>
          <w:rFonts w:ascii="Times New Roman" w:hAnsi="Times New Roman" w:cs="Times New Roman"/>
          <w:i/>
          <w:sz w:val="16"/>
          <w:szCs w:val="16"/>
        </w:rPr>
        <w:t>Podmioty gospodarki narodowej wpisane do rejestru REGON w województwie podkarpackim. Stan na koniec 201</w:t>
      </w:r>
      <w:r>
        <w:rPr>
          <w:rFonts w:ascii="Times New Roman" w:hAnsi="Times New Roman" w:cs="Times New Roman"/>
          <w:i/>
          <w:sz w:val="16"/>
          <w:szCs w:val="16"/>
        </w:rPr>
        <w:t>9</w:t>
      </w:r>
      <w:r w:rsidRPr="006D3FDC">
        <w:rPr>
          <w:rFonts w:ascii="Times New Roman" w:hAnsi="Times New Roman" w:cs="Times New Roman"/>
          <w:i/>
          <w:sz w:val="16"/>
          <w:szCs w:val="16"/>
        </w:rPr>
        <w:t> r. Opracowanie sygnalne.</w:t>
      </w:r>
      <w:r w:rsidRPr="006D3FDC">
        <w:rPr>
          <w:rFonts w:ascii="Times New Roman" w:hAnsi="Times New Roman" w:cs="Times New Roman"/>
          <w:sz w:val="16"/>
          <w:szCs w:val="16"/>
        </w:rPr>
        <w:t xml:space="preserve"> </w:t>
      </w:r>
      <w:r w:rsidRPr="006D3FDC">
        <w:rPr>
          <w:rFonts w:ascii="Times New Roman" w:hAnsi="Times New Roman" w:cs="Times New Roman"/>
          <w:i/>
          <w:sz w:val="16"/>
          <w:szCs w:val="16"/>
        </w:rPr>
        <w:t>Pracujący w gospodarce narodowej w 201</w:t>
      </w:r>
      <w:r>
        <w:rPr>
          <w:rFonts w:ascii="Times New Roman" w:hAnsi="Times New Roman" w:cs="Times New Roman"/>
          <w:i/>
          <w:sz w:val="16"/>
          <w:szCs w:val="16"/>
        </w:rPr>
        <w:t>9</w:t>
      </w:r>
      <w:r w:rsidRPr="006D3FDC">
        <w:rPr>
          <w:rFonts w:ascii="Times New Roman" w:hAnsi="Times New Roman" w:cs="Times New Roman"/>
          <w:i/>
          <w:sz w:val="16"/>
          <w:szCs w:val="16"/>
        </w:rPr>
        <w:t xml:space="preserve"> r.</w:t>
      </w:r>
      <w:r w:rsidRPr="006D3FDC">
        <w:rPr>
          <w:rFonts w:ascii="Times New Roman" w:hAnsi="Times New Roman" w:cs="Times New Roman"/>
          <w:sz w:val="16"/>
          <w:szCs w:val="16"/>
        </w:rPr>
        <w:t xml:space="preserve"> BDL [odczyt </w:t>
      </w:r>
      <w:r>
        <w:rPr>
          <w:rFonts w:ascii="Times New Roman" w:hAnsi="Times New Roman" w:cs="Times New Roman"/>
          <w:sz w:val="16"/>
          <w:szCs w:val="16"/>
        </w:rPr>
        <w:t>1</w:t>
      </w:r>
      <w:r w:rsidRPr="006D3FDC">
        <w:rPr>
          <w:rFonts w:ascii="Times New Roman" w:hAnsi="Times New Roman" w:cs="Times New Roman"/>
          <w:sz w:val="16"/>
          <w:szCs w:val="16"/>
        </w:rPr>
        <w:t> I</w:t>
      </w:r>
      <w:r>
        <w:rPr>
          <w:rFonts w:ascii="Times New Roman" w:hAnsi="Times New Roman" w:cs="Times New Roman"/>
          <w:sz w:val="16"/>
          <w:szCs w:val="16"/>
        </w:rPr>
        <w:t>X</w:t>
      </w:r>
      <w:r w:rsidRPr="006D3FDC">
        <w:rPr>
          <w:rFonts w:ascii="Times New Roman" w:hAnsi="Times New Roman" w:cs="Times New Roman"/>
          <w:sz w:val="16"/>
          <w:szCs w:val="16"/>
        </w:rPr>
        <w:t xml:space="preserve"> </w:t>
      </w:r>
      <w:r>
        <w:rPr>
          <w:rFonts w:ascii="Times New Roman" w:hAnsi="Times New Roman" w:cs="Times New Roman"/>
          <w:sz w:val="16"/>
          <w:szCs w:val="16"/>
        </w:rPr>
        <w:t>2020</w:t>
      </w:r>
      <w:r w:rsidRPr="006D3FDC">
        <w:rPr>
          <w:rFonts w:ascii="Times New Roman" w:hAnsi="Times New Roman" w:cs="Times New Roman"/>
          <w:sz w:val="16"/>
          <w:szCs w:val="16"/>
        </w:rPr>
        <w:t>].</w:t>
      </w:r>
    </w:p>
  </w:footnote>
  <w:footnote w:id="11">
    <w:p w:rsidR="00077ACD" w:rsidRPr="00154BDF" w:rsidRDefault="00077ACD" w:rsidP="005B0288">
      <w:pPr>
        <w:pStyle w:val="Tekstprzypisudolnego"/>
        <w:jc w:val="both"/>
        <w:rPr>
          <w:rFonts w:ascii="Times New Roman" w:hAnsi="Times New Roman" w:cs="Times New Roman"/>
          <w:sz w:val="16"/>
          <w:szCs w:val="16"/>
        </w:rPr>
      </w:pPr>
      <w:r w:rsidRPr="00154BDF">
        <w:rPr>
          <w:rStyle w:val="Odwoanieprzypisudolnego"/>
          <w:rFonts w:ascii="Times New Roman" w:hAnsi="Times New Roman" w:cs="Times New Roman"/>
          <w:sz w:val="16"/>
          <w:szCs w:val="16"/>
        </w:rPr>
        <w:footnoteRef/>
      </w:r>
      <w:r w:rsidRPr="00154BDF">
        <w:rPr>
          <w:rFonts w:ascii="Times New Roman" w:hAnsi="Times New Roman" w:cs="Times New Roman"/>
          <w:sz w:val="16"/>
          <w:szCs w:val="16"/>
        </w:rPr>
        <w:t xml:space="preserve"> Bez osób fizycznych prowadzących wyłącznie indywidualne gospodarstwa rolne. Rozkład procentowy w</w:t>
      </w:r>
      <w:r>
        <w:rPr>
          <w:rFonts w:ascii="Times New Roman" w:hAnsi="Times New Roman" w:cs="Times New Roman"/>
          <w:sz w:val="16"/>
          <w:szCs w:val="16"/>
        </w:rPr>
        <w:t>edłu</w:t>
      </w:r>
      <w:r w:rsidRPr="00154BDF">
        <w:rPr>
          <w:rFonts w:ascii="Times New Roman" w:hAnsi="Times New Roman" w:cs="Times New Roman"/>
          <w:sz w:val="16"/>
          <w:szCs w:val="16"/>
        </w:rPr>
        <w:t>g przewidywanej liczby pracujących.</w:t>
      </w:r>
    </w:p>
  </w:footnote>
  <w:footnote w:id="12">
    <w:p w:rsidR="00077ACD" w:rsidRPr="00B12282" w:rsidRDefault="00077ACD" w:rsidP="005B0288">
      <w:pPr>
        <w:pStyle w:val="Tekstprzypisudolnego"/>
        <w:jc w:val="both"/>
        <w:rPr>
          <w:rFonts w:ascii="Times New Roman" w:hAnsi="Times New Roman" w:cs="Times New Roman"/>
          <w:sz w:val="16"/>
          <w:szCs w:val="16"/>
        </w:rPr>
      </w:pPr>
      <w:r w:rsidRPr="009C550F">
        <w:rPr>
          <w:rStyle w:val="Odwoanieprzypisudolnego"/>
          <w:rFonts w:ascii="Times New Roman" w:hAnsi="Times New Roman" w:cs="Times New Roman"/>
          <w:sz w:val="16"/>
          <w:szCs w:val="16"/>
        </w:rPr>
        <w:footnoteRef/>
      </w:r>
      <w:r w:rsidRPr="009C550F">
        <w:rPr>
          <w:rFonts w:ascii="Times New Roman" w:hAnsi="Times New Roman" w:cs="Times New Roman"/>
          <w:sz w:val="16"/>
          <w:szCs w:val="16"/>
        </w:rPr>
        <w:t xml:space="preserve"> Takie same skupienia, w zakresie kumulacji przewidywanej liczby osób pracujących w podmiotach w przedziale 0-9 odnotowano we wszystkich województwach w kraju – i co jest z tym powiązane – dla średniej ogólnopolskiej </w:t>
      </w:r>
      <w:r>
        <w:rPr>
          <w:rFonts w:ascii="Times New Roman" w:hAnsi="Times New Roman" w:cs="Times New Roman"/>
          <w:sz w:val="16"/>
          <w:szCs w:val="16"/>
        </w:rPr>
        <w:t xml:space="preserve">tj. </w:t>
      </w:r>
      <w:r w:rsidRPr="009C550F">
        <w:rPr>
          <w:rFonts w:ascii="Times New Roman" w:hAnsi="Times New Roman" w:cs="Times New Roman"/>
          <w:sz w:val="16"/>
          <w:szCs w:val="16"/>
        </w:rPr>
        <w:t xml:space="preserve">96,4 </w:t>
      </w:r>
      <w:r>
        <w:rPr>
          <w:rFonts w:ascii="Times New Roman" w:hAnsi="Times New Roman" w:cs="Times New Roman"/>
          <w:sz w:val="16"/>
          <w:szCs w:val="16"/>
        </w:rPr>
        <w:t>proc.</w:t>
      </w:r>
    </w:p>
  </w:footnote>
  <w:footnote w:id="13">
    <w:p w:rsidR="00077ACD" w:rsidRPr="001B54E4" w:rsidRDefault="00077ACD" w:rsidP="005B0288">
      <w:pPr>
        <w:pStyle w:val="Tekstprzypisudolnego"/>
        <w:rPr>
          <w:rFonts w:ascii="Times New Roman" w:hAnsi="Times New Roman" w:cs="Times New Roman"/>
          <w:sz w:val="16"/>
          <w:szCs w:val="16"/>
        </w:rPr>
      </w:pPr>
      <w:r w:rsidRPr="00CB2777">
        <w:rPr>
          <w:rStyle w:val="Odwoanieprzypisudolnego"/>
          <w:rFonts w:ascii="Times New Roman" w:hAnsi="Times New Roman" w:cs="Times New Roman"/>
          <w:sz w:val="16"/>
          <w:szCs w:val="16"/>
        </w:rPr>
        <w:footnoteRef/>
      </w:r>
      <w:r w:rsidRPr="00CB2777">
        <w:rPr>
          <w:rFonts w:ascii="Times New Roman" w:hAnsi="Times New Roman" w:cs="Times New Roman"/>
          <w:sz w:val="16"/>
          <w:szCs w:val="16"/>
        </w:rPr>
        <w:t xml:space="preserve"> Podmioty gospodarcze wg przewidywanej liczby pracujących  i bez osób fizycznych prowadzących wyłącznie indywidualne gospodarstwa rolne (dot. tab. 6 – 12 i wykresów 8–9).</w:t>
      </w:r>
    </w:p>
  </w:footnote>
  <w:footnote w:id="14">
    <w:p w:rsidR="00077ACD" w:rsidRPr="009A7531" w:rsidRDefault="00077ACD" w:rsidP="005B0288">
      <w:pPr>
        <w:pStyle w:val="Tekstprzypisudolnego"/>
        <w:jc w:val="both"/>
        <w:rPr>
          <w:rFonts w:ascii="Times New Roman" w:hAnsi="Times New Roman" w:cs="Times New Roman"/>
          <w:sz w:val="16"/>
          <w:szCs w:val="16"/>
        </w:rPr>
      </w:pPr>
      <w:r w:rsidRPr="009A7531">
        <w:rPr>
          <w:rStyle w:val="Odwoanieprzypisudolnego"/>
          <w:rFonts w:ascii="Times New Roman" w:hAnsi="Times New Roman" w:cs="Times New Roman"/>
          <w:sz w:val="16"/>
          <w:szCs w:val="16"/>
        </w:rPr>
        <w:footnoteRef/>
      </w:r>
      <w:r w:rsidRPr="009A7531">
        <w:rPr>
          <w:rFonts w:ascii="Times New Roman" w:hAnsi="Times New Roman" w:cs="Times New Roman"/>
          <w:sz w:val="16"/>
          <w:szCs w:val="16"/>
        </w:rPr>
        <w:t xml:space="preserve"> Różnica pomiędzy napływem a odpływem jest równa różnicy pomiędzy stanem początkowym i końcowym dla badanego okresu.</w:t>
      </w:r>
    </w:p>
  </w:footnote>
  <w:footnote w:id="15">
    <w:p w:rsidR="00077ACD" w:rsidRPr="00AF406C" w:rsidRDefault="00077ACD" w:rsidP="005B0288">
      <w:pPr>
        <w:pStyle w:val="Tekstprzypisudolnego"/>
        <w:rPr>
          <w:rFonts w:ascii="Times New Roman" w:hAnsi="Times New Roman" w:cs="Times New Roman"/>
          <w:sz w:val="16"/>
          <w:szCs w:val="16"/>
        </w:rPr>
      </w:pPr>
      <w:r w:rsidRPr="00AF406C">
        <w:rPr>
          <w:rStyle w:val="Odwoanieprzypisudolnego"/>
          <w:rFonts w:ascii="Times New Roman" w:hAnsi="Times New Roman" w:cs="Times New Roman"/>
          <w:sz w:val="16"/>
          <w:szCs w:val="16"/>
        </w:rPr>
        <w:footnoteRef/>
      </w:r>
      <w:r w:rsidRPr="00AF406C">
        <w:rPr>
          <w:rFonts w:ascii="Times New Roman" w:hAnsi="Times New Roman" w:cs="Times New Roman"/>
          <w:sz w:val="16"/>
          <w:szCs w:val="16"/>
        </w:rPr>
        <w:t xml:space="preserve"> </w:t>
      </w:r>
      <w:r>
        <w:rPr>
          <w:rFonts w:ascii="Times New Roman" w:hAnsi="Times New Roman" w:cs="Times New Roman"/>
          <w:sz w:val="16"/>
          <w:szCs w:val="16"/>
        </w:rPr>
        <w:t>Handel – h</w:t>
      </w:r>
      <w:r w:rsidRPr="00AF406C">
        <w:rPr>
          <w:rFonts w:ascii="Times New Roman" w:hAnsi="Times New Roman" w:cs="Times New Roman"/>
          <w:sz w:val="16"/>
          <w:szCs w:val="16"/>
        </w:rPr>
        <w:t>urtowy</w:t>
      </w:r>
      <w:r>
        <w:rPr>
          <w:rFonts w:ascii="Times New Roman" w:hAnsi="Times New Roman" w:cs="Times New Roman"/>
          <w:sz w:val="16"/>
          <w:szCs w:val="16"/>
        </w:rPr>
        <w:t xml:space="preserve"> </w:t>
      </w:r>
      <w:r w:rsidRPr="00AF406C">
        <w:rPr>
          <w:rFonts w:ascii="Times New Roman" w:hAnsi="Times New Roman" w:cs="Times New Roman"/>
          <w:sz w:val="16"/>
          <w:szCs w:val="16"/>
        </w:rPr>
        <w:t>i detaliczny, łącznie z naprawą pojazdów jednośladowych</w:t>
      </w:r>
      <w:r>
        <w:rPr>
          <w:rFonts w:ascii="Times New Roman" w:hAnsi="Times New Roman" w:cs="Times New Roman"/>
          <w:sz w:val="16"/>
          <w:szCs w:val="16"/>
        </w:rPr>
        <w:t xml:space="preserve">  </w:t>
      </w:r>
      <w:r w:rsidRPr="00AF406C">
        <w:rPr>
          <w:rFonts w:ascii="Times New Roman" w:hAnsi="Times New Roman" w:cs="Times New Roman"/>
          <w:sz w:val="16"/>
          <w:szCs w:val="16"/>
        </w:rPr>
        <w:t>i dwuśladowych.</w:t>
      </w:r>
    </w:p>
  </w:footnote>
  <w:footnote w:id="16">
    <w:p w:rsidR="00077ACD" w:rsidRPr="00810685" w:rsidRDefault="00077ACD" w:rsidP="005B0288">
      <w:pPr>
        <w:pStyle w:val="Tekstprzypisudolnego"/>
        <w:jc w:val="both"/>
        <w:rPr>
          <w:rFonts w:ascii="Times New Roman" w:hAnsi="Times New Roman" w:cs="Times New Roman"/>
          <w:sz w:val="16"/>
          <w:szCs w:val="16"/>
        </w:rPr>
      </w:pPr>
      <w:r w:rsidRPr="00810685">
        <w:rPr>
          <w:rStyle w:val="Odwoanieprzypisudolnego"/>
          <w:rFonts w:ascii="Times New Roman" w:hAnsi="Times New Roman" w:cs="Times New Roman"/>
          <w:sz w:val="16"/>
          <w:szCs w:val="16"/>
        </w:rPr>
        <w:footnoteRef/>
      </w:r>
      <w:r w:rsidRPr="00810685">
        <w:rPr>
          <w:rFonts w:ascii="Times New Roman" w:hAnsi="Times New Roman" w:cs="Times New Roman"/>
          <w:sz w:val="16"/>
          <w:szCs w:val="16"/>
        </w:rPr>
        <w:t xml:space="preserve"> W badaniach GUS (zgodnie z teorią creative class) tzw. </w:t>
      </w:r>
      <w:r w:rsidRPr="00810685">
        <w:rPr>
          <w:rFonts w:ascii="Times New Roman" w:hAnsi="Times New Roman" w:cs="Times New Roman"/>
          <w:b/>
          <w:sz w:val="16"/>
          <w:szCs w:val="16"/>
        </w:rPr>
        <w:t>sektor kreatywny</w:t>
      </w:r>
      <w:r w:rsidRPr="00810685">
        <w:rPr>
          <w:rFonts w:ascii="Times New Roman" w:hAnsi="Times New Roman" w:cs="Times New Roman"/>
          <w:sz w:val="16"/>
          <w:szCs w:val="16"/>
        </w:rPr>
        <w:t xml:space="preserve"> to następujące sekcje Polskiej Klasyfikacji Działalności: sekcja J dział 59, dział 60, sekcja M dział 71 - 74, sekcja R dział 90. Sektor wysokiej technologii zawiera sekcje: C działy 20-32, E działy 38 i 39, J</w:t>
      </w:r>
      <w:r>
        <w:rPr>
          <w:rFonts w:ascii="Times New Roman" w:hAnsi="Times New Roman" w:cs="Times New Roman"/>
          <w:sz w:val="16"/>
          <w:szCs w:val="16"/>
        </w:rPr>
        <w:t> </w:t>
      </w:r>
      <w:r w:rsidRPr="00810685">
        <w:rPr>
          <w:rFonts w:ascii="Times New Roman" w:hAnsi="Times New Roman" w:cs="Times New Roman"/>
          <w:sz w:val="16"/>
          <w:szCs w:val="16"/>
        </w:rPr>
        <w:t xml:space="preserve">dział  62, M działy 71,72 i 74 i Q dział 86. Dane dotyczące sektora przemysłu high-tech i kreatywnego są porównywalne, ponieważ zostały obliczone wg tej samej metody. </w:t>
      </w:r>
      <w:r w:rsidRPr="00810685">
        <w:rPr>
          <w:rFonts w:ascii="Times New Roman" w:hAnsi="Times New Roman" w:cs="Times New Roman"/>
          <w:b/>
          <w:sz w:val="16"/>
          <w:szCs w:val="16"/>
        </w:rPr>
        <w:t>Przemysł high-tech</w:t>
      </w:r>
      <w:r w:rsidRPr="00810685">
        <w:rPr>
          <w:rFonts w:ascii="Times New Roman" w:hAnsi="Times New Roman" w:cs="Times New Roman"/>
          <w:sz w:val="16"/>
          <w:szCs w:val="16"/>
        </w:rPr>
        <w:t xml:space="preserve"> wykazuje niższe wartości</w:t>
      </w:r>
      <w:r>
        <w:rPr>
          <w:rFonts w:ascii="Times New Roman" w:hAnsi="Times New Roman" w:cs="Times New Roman"/>
          <w:sz w:val="16"/>
          <w:szCs w:val="16"/>
        </w:rPr>
        <w:t>,</w:t>
      </w:r>
      <w:r w:rsidRPr="00810685">
        <w:rPr>
          <w:rFonts w:ascii="Times New Roman" w:hAnsi="Times New Roman" w:cs="Times New Roman"/>
          <w:sz w:val="16"/>
          <w:szCs w:val="16"/>
        </w:rPr>
        <w:t xml:space="preserve"> ponieważ zawiera tylko działalność związaną bezpośrednio z produkcją, tworzeniem programów komputerowych, praktyczną działalnością w zakresie ochrony środowiska naturalnego i</w:t>
      </w:r>
      <w:r>
        <w:rPr>
          <w:rFonts w:ascii="Times New Roman" w:hAnsi="Times New Roman" w:cs="Times New Roman"/>
          <w:sz w:val="16"/>
          <w:szCs w:val="16"/>
        </w:rPr>
        <w:t> </w:t>
      </w:r>
      <w:r w:rsidRPr="00810685">
        <w:rPr>
          <w:rFonts w:ascii="Times New Roman" w:hAnsi="Times New Roman" w:cs="Times New Roman"/>
          <w:sz w:val="16"/>
          <w:szCs w:val="16"/>
        </w:rPr>
        <w:t>racjonalnej gospodarki odpadami, projektowaniem  maszyn i kontrolą jakości. High - tech zawiera również działalność badawczą w</w:t>
      </w:r>
      <w:r>
        <w:rPr>
          <w:rFonts w:ascii="Times New Roman" w:hAnsi="Times New Roman" w:cs="Times New Roman"/>
          <w:sz w:val="16"/>
          <w:szCs w:val="16"/>
        </w:rPr>
        <w:t> </w:t>
      </w:r>
      <w:r w:rsidRPr="00810685">
        <w:rPr>
          <w:rFonts w:ascii="Times New Roman" w:hAnsi="Times New Roman" w:cs="Times New Roman"/>
          <w:sz w:val="16"/>
          <w:szCs w:val="16"/>
        </w:rPr>
        <w:t>implementacji odkryć nauk ścisłych do produkcji przemysłowej oraz wzornictwa przemysłowego, działalność w zakresie usług opieki zdrowotnej tj. również wykorzystanie najnowszych technologii medycznych w diagnostyce i terapii.</w:t>
      </w:r>
    </w:p>
  </w:footnote>
  <w:footnote w:id="17">
    <w:p w:rsidR="00077ACD" w:rsidRPr="00793402" w:rsidRDefault="00077ACD" w:rsidP="00D74343">
      <w:pPr>
        <w:pStyle w:val="Tekstprzypisudolnego"/>
        <w:jc w:val="both"/>
        <w:rPr>
          <w:rFonts w:ascii="Times New Roman" w:hAnsi="Times New Roman" w:cs="Times New Roman"/>
          <w:sz w:val="16"/>
          <w:szCs w:val="16"/>
        </w:rPr>
      </w:pPr>
      <w:r w:rsidRPr="00793402">
        <w:rPr>
          <w:rStyle w:val="Odwoanieprzypisudolnego"/>
          <w:rFonts w:ascii="Times New Roman" w:hAnsi="Times New Roman" w:cs="Times New Roman"/>
          <w:sz w:val="16"/>
          <w:szCs w:val="16"/>
        </w:rPr>
        <w:footnoteRef/>
      </w:r>
      <w:r w:rsidRPr="00793402">
        <w:rPr>
          <w:rFonts w:ascii="Times New Roman" w:hAnsi="Times New Roman" w:cs="Times New Roman"/>
          <w:sz w:val="16"/>
          <w:szCs w:val="16"/>
        </w:rPr>
        <w:t xml:space="preserve"> Liczba dotyczy pracujących cywili. Bez zatrudnionych w jednostkach obrony narodowej, bezpieczeństwa publicznego.</w:t>
      </w:r>
    </w:p>
  </w:footnote>
  <w:footnote w:id="18">
    <w:p w:rsidR="00077ACD" w:rsidRPr="00D0224E" w:rsidRDefault="00077ACD" w:rsidP="00D74343">
      <w:pPr>
        <w:pStyle w:val="Tekstprzypisudolnego"/>
        <w:rPr>
          <w:rFonts w:ascii="Times New Roman" w:hAnsi="Times New Roman" w:cs="Times New Roman"/>
          <w:sz w:val="16"/>
          <w:szCs w:val="16"/>
        </w:rPr>
      </w:pPr>
      <w:r w:rsidRPr="00D0224E">
        <w:rPr>
          <w:rStyle w:val="Odwoanieprzypisudolnego"/>
          <w:rFonts w:ascii="Times New Roman" w:hAnsi="Times New Roman" w:cs="Times New Roman"/>
          <w:sz w:val="16"/>
          <w:szCs w:val="16"/>
        </w:rPr>
        <w:footnoteRef/>
      </w:r>
      <w:r w:rsidRPr="00D0224E">
        <w:rPr>
          <w:rFonts w:ascii="Times New Roman" w:hAnsi="Times New Roman" w:cs="Times New Roman"/>
          <w:sz w:val="16"/>
          <w:szCs w:val="16"/>
        </w:rPr>
        <w:t xml:space="preserve"> Pod pojęciem „przemysł i budownictwo” znajdują się sekcja B – górnictwo i wydobywanie, sekcja C – przetwórstwo przemysłowe, sekcja D – wytwarzanie i zaopatrywanie w energię elektryczną, gaz, parę wodną i gorącą wodę i powietrze do układów klimatyzacyjnych, sekcja E – dostawa wody; gospodarowanie ściekami i odpadami oraz działalność związana z rekultywacją i sekcja F – budownictwo</w:t>
      </w:r>
      <w:r>
        <w:rPr>
          <w:rFonts w:ascii="Times New Roman" w:hAnsi="Times New Roman" w:cs="Times New Roman"/>
          <w:sz w:val="16"/>
          <w:szCs w:val="16"/>
        </w:rPr>
        <w:t>.</w:t>
      </w:r>
    </w:p>
  </w:footnote>
  <w:footnote w:id="19">
    <w:p w:rsidR="00077ACD" w:rsidRPr="002B59DD" w:rsidRDefault="00077ACD" w:rsidP="00D74343">
      <w:pPr>
        <w:pStyle w:val="Tekstprzypisudolnego"/>
        <w:jc w:val="both"/>
        <w:rPr>
          <w:rFonts w:ascii="Times New Roman" w:hAnsi="Times New Roman" w:cs="Times New Roman"/>
          <w:color w:val="000000" w:themeColor="text1"/>
          <w:sz w:val="16"/>
          <w:szCs w:val="16"/>
        </w:rPr>
      </w:pPr>
      <w:r w:rsidRPr="002B59DD">
        <w:rPr>
          <w:rStyle w:val="Odwoanieprzypisudolnego"/>
          <w:rFonts w:ascii="Times New Roman" w:hAnsi="Times New Roman" w:cs="Times New Roman"/>
          <w:color w:val="000000" w:themeColor="text1"/>
          <w:sz w:val="16"/>
          <w:szCs w:val="16"/>
        </w:rPr>
        <w:footnoteRef/>
      </w:r>
      <w:r w:rsidRPr="002B59DD">
        <w:rPr>
          <w:rFonts w:ascii="Times New Roman" w:hAnsi="Times New Roman" w:cs="Times New Roman"/>
          <w:color w:val="000000" w:themeColor="text1"/>
          <w:sz w:val="16"/>
          <w:szCs w:val="16"/>
        </w:rPr>
        <w:t xml:space="preserve"> Przetwórstwo przemysłowe żywności zawarte jest w produkcji</w:t>
      </w:r>
      <w:r>
        <w:rPr>
          <w:rFonts w:ascii="Times New Roman" w:hAnsi="Times New Roman" w:cs="Times New Roman"/>
          <w:color w:val="000000" w:themeColor="text1"/>
          <w:sz w:val="16"/>
          <w:szCs w:val="16"/>
        </w:rPr>
        <w:t>.</w:t>
      </w:r>
    </w:p>
  </w:footnote>
  <w:footnote w:id="20">
    <w:p w:rsidR="00077ACD" w:rsidRPr="002B59DD" w:rsidRDefault="00077ACD" w:rsidP="00D74343">
      <w:pPr>
        <w:pStyle w:val="Tekstprzypisudolnego"/>
        <w:jc w:val="both"/>
        <w:rPr>
          <w:rFonts w:ascii="Times New Roman" w:hAnsi="Times New Roman" w:cs="Times New Roman"/>
          <w:color w:val="000000" w:themeColor="text1"/>
          <w:sz w:val="16"/>
          <w:szCs w:val="16"/>
        </w:rPr>
      </w:pPr>
      <w:r w:rsidRPr="002B59DD">
        <w:rPr>
          <w:rStyle w:val="Odwoanieprzypisudolnego"/>
          <w:rFonts w:ascii="Times New Roman" w:hAnsi="Times New Roman" w:cs="Times New Roman"/>
          <w:color w:val="000000" w:themeColor="text1"/>
          <w:sz w:val="16"/>
          <w:szCs w:val="16"/>
        </w:rPr>
        <w:footnoteRef/>
      </w:r>
      <w:r w:rsidRPr="002B59DD">
        <w:rPr>
          <w:rFonts w:ascii="Times New Roman" w:hAnsi="Times New Roman" w:cs="Times New Roman"/>
          <w:color w:val="000000" w:themeColor="text1"/>
          <w:sz w:val="16"/>
          <w:szCs w:val="16"/>
        </w:rPr>
        <w:t xml:space="preserve"> Przyjęto podział na sekcje A rolnictwo, sekcje B– F produkcja, sekcja G handel, sekcje H-U Usługi</w:t>
      </w:r>
      <w:r>
        <w:rPr>
          <w:rFonts w:ascii="Times New Roman" w:hAnsi="Times New Roman" w:cs="Times New Roman"/>
          <w:color w:val="000000" w:themeColor="text1"/>
          <w:sz w:val="16"/>
          <w:szCs w:val="16"/>
        </w:rPr>
        <w:t>.</w:t>
      </w:r>
    </w:p>
  </w:footnote>
  <w:footnote w:id="21">
    <w:p w:rsidR="00077ACD" w:rsidRPr="002B59DD" w:rsidRDefault="00077ACD" w:rsidP="00D74343">
      <w:pPr>
        <w:pStyle w:val="Tekstprzypisudolnego"/>
        <w:jc w:val="both"/>
        <w:rPr>
          <w:rFonts w:ascii="Times New Roman" w:hAnsi="Times New Roman" w:cs="Times New Roman"/>
          <w:color w:val="000000" w:themeColor="text1"/>
          <w:sz w:val="16"/>
          <w:szCs w:val="16"/>
        </w:rPr>
      </w:pPr>
      <w:r w:rsidRPr="002B59DD">
        <w:rPr>
          <w:rStyle w:val="Odwoanieprzypisudolnego"/>
          <w:rFonts w:ascii="Times New Roman" w:hAnsi="Times New Roman" w:cs="Times New Roman"/>
          <w:b/>
          <w:color w:val="000000" w:themeColor="text1"/>
          <w:sz w:val="16"/>
          <w:szCs w:val="16"/>
        </w:rPr>
        <w:footnoteRef/>
      </w:r>
      <w:r w:rsidRPr="002B59DD">
        <w:rPr>
          <w:rFonts w:ascii="Times New Roman" w:hAnsi="Times New Roman" w:cs="Times New Roman"/>
          <w:b/>
          <w:color w:val="000000" w:themeColor="text1"/>
          <w:sz w:val="16"/>
          <w:szCs w:val="16"/>
        </w:rPr>
        <w:t xml:space="preserve"> Bez podmiotów gospodarczych o liczbie pracujących do 9 osób</w:t>
      </w:r>
      <w:r w:rsidRPr="002B59DD">
        <w:rPr>
          <w:rFonts w:ascii="Times New Roman" w:hAnsi="Times New Roman" w:cs="Times New Roman"/>
          <w:color w:val="000000" w:themeColor="text1"/>
          <w:sz w:val="16"/>
          <w:szCs w:val="16"/>
        </w:rPr>
        <w:t>, duchownych i pracujących w jednostkach budżetowych działających w zakresie obrony narodowej i bezpieczeństwa publicznego. Dane łącznie z rolnictwem indywidualnym i pracującymi w organizacjach, fundacjach, związkach (tj. związkach zawodowych wg sprawozdania GUS - SOF) wg faktycznego miejsca pracy i rodzaju działalności.</w:t>
      </w:r>
    </w:p>
  </w:footnote>
  <w:footnote w:id="22">
    <w:p w:rsidR="00077ACD" w:rsidRDefault="00077ACD" w:rsidP="00D74343">
      <w:pPr>
        <w:pStyle w:val="Tekstprzypisudolnego"/>
        <w:jc w:val="both"/>
        <w:rPr>
          <w:rFonts w:ascii="Times New Roman" w:hAnsi="Times New Roman" w:cs="Times New Roman"/>
          <w:sz w:val="16"/>
          <w:szCs w:val="16"/>
        </w:rPr>
      </w:pPr>
      <w:r w:rsidRPr="006A5904">
        <w:rPr>
          <w:rStyle w:val="Odwoanieprzypisudolnego"/>
        </w:rPr>
        <w:footnoteRef/>
      </w:r>
      <w:r w:rsidRPr="006A5904">
        <w:t xml:space="preserve"> </w:t>
      </w:r>
      <w:r w:rsidRPr="006A5904">
        <w:rPr>
          <w:rFonts w:ascii="Times New Roman" w:hAnsi="Times New Roman" w:cs="Times New Roman"/>
          <w:sz w:val="16"/>
          <w:szCs w:val="16"/>
        </w:rPr>
        <w:t>Dane średnioroczne - dotyczą ludności w wieku 15 lat i więcej, według faktycznego miejsca zamieszkania.</w:t>
      </w:r>
    </w:p>
    <w:p w:rsidR="00077ACD" w:rsidRPr="006A5904" w:rsidRDefault="00077ACD" w:rsidP="00D74343">
      <w:pPr>
        <w:pStyle w:val="Tekstprzypisudolnego"/>
        <w:jc w:val="both"/>
        <w:rPr>
          <w:rFonts w:ascii="Times New Roman" w:hAnsi="Times New Roman" w:cs="Times New Roman"/>
          <w:sz w:val="16"/>
          <w:szCs w:val="16"/>
        </w:rPr>
      </w:pPr>
      <w:r w:rsidRPr="006A5904">
        <w:rPr>
          <w:rFonts w:ascii="Times New Roman" w:hAnsi="Times New Roman" w:cs="Times New Roman"/>
          <w:sz w:val="16"/>
          <w:szCs w:val="16"/>
        </w:rPr>
        <w:t xml:space="preserve">Wskaźnik obliczono jako udział osób w wieku 25 – 64 lata uczących się lub dokształcających w ludności ogółem w tej samej grupie wieku. Dane wynikają z reprezentatywnego badania BAEL (aktywności ekonomicznej ludności w wieku 15 lat i więcej). Badaniem objęte są osoby będące członkami wylosowanych gospodarstw domowych. Przedmiot badania to sytuacja w zakresie aktywności ekonomicznej ludności, tzn. fakt </w:t>
      </w:r>
      <w:r w:rsidRPr="006A5904">
        <w:rPr>
          <w:rFonts w:ascii="Times New Roman" w:hAnsi="Times New Roman" w:cs="Times New Roman"/>
          <w:b/>
          <w:sz w:val="16"/>
          <w:szCs w:val="16"/>
        </w:rPr>
        <w:t>wykonywania pracy, pozostawania bezrobotnym lub biernym zawodowo</w:t>
      </w:r>
      <w:r w:rsidRPr="006A5904">
        <w:rPr>
          <w:rFonts w:ascii="Times New Roman" w:hAnsi="Times New Roman" w:cs="Times New Roman"/>
          <w:sz w:val="16"/>
          <w:szCs w:val="16"/>
        </w:rPr>
        <w:t xml:space="preserve"> w badanym tygodniu.</w:t>
      </w:r>
    </w:p>
    <w:p w:rsidR="00077ACD" w:rsidRDefault="00077ACD" w:rsidP="00D74343">
      <w:pPr>
        <w:pStyle w:val="Tekstprzypisudolnego"/>
        <w:jc w:val="both"/>
        <w:rPr>
          <w:rFonts w:ascii="Times New Roman" w:hAnsi="Times New Roman" w:cs="Times New Roman"/>
          <w:sz w:val="16"/>
          <w:szCs w:val="16"/>
        </w:rPr>
      </w:pPr>
      <w:r w:rsidRPr="006A5904">
        <w:rPr>
          <w:rFonts w:ascii="Times New Roman" w:hAnsi="Times New Roman" w:cs="Times New Roman"/>
          <w:sz w:val="16"/>
          <w:szCs w:val="16"/>
        </w:rPr>
        <w:t>Od IV kwartału 1999 r. została zmieniona metoda prowadzenia badania. Obserwacja wybranego tygodnia w środkowym miesiącu kwartału została zastąpiona metodą obserwacji ciągłej (ruchomy tydzień badania), pozwalającą na zilustrowanie sytuacji na rynku pracy w okresie całego kwartału. Od I kwartału 2003 r. do II kwartału 2012 r. do uogólniania wyników badania na populację generalną wykorzystywane były dane o ludności Polski (ludność w wieku 15 lat i więcej) pochodzące z bilansów opracowanych na podstawie wyników Narodowego Spisu Powszechnego Ludności i Mieszkań 2002 r., w związku z czym wyniki BAEL nie są w pełni porównywalne z wynikami badań z lat poprzednich. Od III kwartału 2012 r. do uogólniania wyników badania na populację generalną zastosowano dane o ludności pochodzące z</w:t>
      </w:r>
      <w:r>
        <w:rPr>
          <w:rFonts w:ascii="Times New Roman" w:hAnsi="Times New Roman" w:cs="Times New Roman"/>
          <w:sz w:val="16"/>
          <w:szCs w:val="16"/>
        </w:rPr>
        <w:t> </w:t>
      </w:r>
      <w:r w:rsidRPr="006A5904">
        <w:rPr>
          <w:rFonts w:ascii="Times New Roman" w:hAnsi="Times New Roman" w:cs="Times New Roman"/>
          <w:sz w:val="16"/>
          <w:szCs w:val="16"/>
        </w:rPr>
        <w:t>bilansów opracowanych na podstawie wyników Narodowego Spisu Powszechnego Ludności i Mieszkań 2011. Ponadto nastąpiły zmiany metodologiczne: od III kwartału 2012 r. poza zakresem badania pozostają osoby przebywające poza gospodarstwem domowym 12 miesięcy lub więcej; do II kwartału 2012 r. - powyżej 3 miesięcy. W związku z powyższym dane BAEL od III kwartału 2012 r. nie są w pełni porównywalne z danymi za okresy wcześniejsze. Dane za okres: od I kwartału 2010 r. do II kwartału 2012 r. zostały przeliczone zgodnie z</w:t>
      </w:r>
      <w:r>
        <w:rPr>
          <w:rFonts w:ascii="Times New Roman" w:hAnsi="Times New Roman" w:cs="Times New Roman"/>
          <w:sz w:val="16"/>
          <w:szCs w:val="16"/>
        </w:rPr>
        <w:t> </w:t>
      </w:r>
      <w:r w:rsidRPr="006A5904">
        <w:rPr>
          <w:rFonts w:ascii="Times New Roman" w:hAnsi="Times New Roman" w:cs="Times New Roman"/>
          <w:sz w:val="16"/>
          <w:szCs w:val="16"/>
        </w:rPr>
        <w:t>nową metodologią i nową podstawą uogólniania wyników. Dane prezentowane według grup wieku obliczane są w oparciu o dokładną datę urodzenia, do I kwartału 2006 roku - z wyjątkiem osób w wieku 15 lat - przedstawiane były według roku urodzenia. W niektórych tablicach sumy składników mogą być różne od wielkości podanych w pozycjach "Ogółem". Wynika to z zaokrągleń dokonywanych przy uogólnianiu wyników badania. Wartości liczbowe poniżej 5 tysięcy nie są prezentowane ze względu na wysoki losowy błąd próby.</w:t>
      </w:r>
    </w:p>
    <w:p w:rsidR="00077ACD" w:rsidRDefault="00077ACD" w:rsidP="00D74343">
      <w:pPr>
        <w:pStyle w:val="Tekstprzypisudolnego"/>
        <w:jc w:val="both"/>
      </w:pPr>
      <w:r w:rsidRPr="00D96C18">
        <w:rPr>
          <w:rFonts w:ascii="Times New Roman" w:hAnsi="Times New Roman" w:cs="Times New Roman"/>
          <w:sz w:val="16"/>
          <w:szCs w:val="16"/>
        </w:rPr>
        <w:t>Wykorzystując zamieszczone wskaźniki precyzji można dla procentowego udziału osób 25-64 lat w szkoleniach obliczyć przedziały ufności, w których z prawdopodobieństwem 95</w:t>
      </w:r>
      <w:r>
        <w:rPr>
          <w:rFonts w:ascii="Times New Roman" w:hAnsi="Times New Roman" w:cs="Times New Roman"/>
          <w:sz w:val="16"/>
          <w:szCs w:val="16"/>
        </w:rPr>
        <w:t xml:space="preserve"> proc.</w:t>
      </w:r>
      <w:r w:rsidRPr="00D96C18">
        <w:rPr>
          <w:rFonts w:ascii="Times New Roman" w:hAnsi="Times New Roman" w:cs="Times New Roman"/>
          <w:sz w:val="16"/>
          <w:szCs w:val="16"/>
        </w:rPr>
        <w:t xml:space="preserve"> znajdują się faktyczne wartości estymowanego wskaźnika.</w:t>
      </w:r>
    </w:p>
  </w:footnote>
  <w:footnote w:id="23">
    <w:p w:rsidR="00077ACD" w:rsidRPr="00C55271" w:rsidRDefault="00077ACD" w:rsidP="00C348B3">
      <w:pPr>
        <w:pStyle w:val="Tekstprzypisudolnego"/>
        <w:spacing w:line="180" w:lineRule="exact"/>
        <w:jc w:val="both"/>
        <w:rPr>
          <w:rFonts w:ascii="Times New Roman" w:hAnsi="Times New Roman" w:cs="Times New Roman"/>
          <w:sz w:val="16"/>
          <w:szCs w:val="16"/>
        </w:rPr>
      </w:pPr>
      <w:r w:rsidRPr="00C55271">
        <w:rPr>
          <w:rStyle w:val="Odwoanieprzypisudolnego"/>
          <w:rFonts w:ascii="Times New Roman" w:hAnsi="Times New Roman" w:cs="Times New Roman"/>
          <w:sz w:val="16"/>
          <w:szCs w:val="16"/>
        </w:rPr>
        <w:footnoteRef/>
      </w:r>
      <w:r w:rsidRPr="00C55271">
        <w:rPr>
          <w:rFonts w:ascii="Times New Roman" w:hAnsi="Times New Roman" w:cs="Times New Roman"/>
          <w:sz w:val="16"/>
          <w:szCs w:val="16"/>
        </w:rPr>
        <w:t xml:space="preserve"> Inne podjęcia zatrudnienia dotyczą osób bezrobotnych w PUP, którzy podjęli prace subsydiowane. Kategoria ta obejmuje między innymi bezrobotnych, którzy otrzymali jednorazowo środki z Państwowego Funduszu Rehabilitacji Osób Niepełnosprawnych lub z instytucji udzielających pieniądze publiczne w celu podjęcia działalności gospodarczej, w tym w rolnictwie lub na wniesienie wkładu do spółdzielni socjalnej. Pozbawienie statusu bezrobotnego jest od następnego dnia po dniu otrzymania środków na podjęcie działalności lub wniesienie wkładu.</w:t>
      </w:r>
    </w:p>
    <w:p w:rsidR="00077ACD" w:rsidRPr="004E5215" w:rsidRDefault="00077ACD" w:rsidP="00C348B3">
      <w:pPr>
        <w:pStyle w:val="Tekstprzypisudolnego"/>
        <w:spacing w:line="180" w:lineRule="exact"/>
        <w:jc w:val="both"/>
        <w:rPr>
          <w:rFonts w:ascii="Times New Roman" w:hAnsi="Times New Roman" w:cs="Times New Roman"/>
          <w:sz w:val="16"/>
          <w:szCs w:val="16"/>
        </w:rPr>
      </w:pPr>
      <w:r w:rsidRPr="00C55271">
        <w:rPr>
          <w:rFonts w:ascii="Times New Roman" w:hAnsi="Times New Roman" w:cs="Times New Roman"/>
          <w:sz w:val="16"/>
          <w:szCs w:val="16"/>
        </w:rPr>
        <w:t>Inną przyczyną ujęcia w tej kategorii statystycznej może być rozpoczęcie indywidualnego programu zatrudnienia socjalnego lub podpisanie kontraktu  socjalnego. Pozbawienie statusu bezrobotnego jest od następnego dnia po dniu rozpoczęcia realizacji indywidualnego programu zatrudnienia socjalnego lub podpisania kontraktu socjalnego. Kolejną przyczyną jest jednorazowa refundacja poniesionych kosztów z tytułu opłaconych składek na ubezpieczenia społeczne w związku z zatrudnieniem skierowanego bezrobotnego. Refundacja może nastąpić w przypadku, gdy: 1) pracodawca zatrudniał skierowanego bezrobotnego w pełnym wymiarze czasu pracy przez okres co najmniej 12 miesięcy i druga przesłanka 2) po upływie 12 miesięcy zatrudnienia skierowany bezrobotny jest nadal zatrudniony. Obie muszą występować łącznie.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8FC"/>
    <w:multiLevelType w:val="hybridMultilevel"/>
    <w:tmpl w:val="F70E980A"/>
    <w:lvl w:ilvl="0" w:tplc="AF0E2E2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AF0E2E26">
      <w:start w:val="1"/>
      <w:numFmt w:val="bullet"/>
      <w:lvlText w:val="–"/>
      <w:lvlJc w:val="left"/>
      <w:pPr>
        <w:ind w:left="2160" w:hanging="360"/>
      </w:pPr>
      <w:rPr>
        <w:rFonts w:ascii="Calibri" w:hAnsi="Calibri"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1308DA"/>
    <w:multiLevelType w:val="hybridMultilevel"/>
    <w:tmpl w:val="AB7AF3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72075B2"/>
    <w:multiLevelType w:val="hybridMultilevel"/>
    <w:tmpl w:val="0E4E3652"/>
    <w:lvl w:ilvl="0" w:tplc="2294F596">
      <w:start w:val="1"/>
      <w:numFmt w:val="bullet"/>
      <w:lvlText w:val=""/>
      <w:lvlJc w:val="left"/>
      <w:pPr>
        <w:ind w:left="360" w:hanging="360"/>
      </w:pPr>
      <w:rPr>
        <w:rFonts w:ascii="Symbol" w:hAnsi="Symbol" w:hint="default"/>
        <w:sz w:val="2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06A59DC"/>
    <w:multiLevelType w:val="hybridMultilevel"/>
    <w:tmpl w:val="339664A2"/>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FC358F"/>
    <w:multiLevelType w:val="hybridMultilevel"/>
    <w:tmpl w:val="0BCE50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133001E"/>
    <w:multiLevelType w:val="multilevel"/>
    <w:tmpl w:val="C5A6EE28"/>
    <w:lvl w:ilvl="0">
      <w:start w:val="1"/>
      <w:numFmt w:val="decimal"/>
      <w:lvlText w:val="%1."/>
      <w:lvlJc w:val="left"/>
      <w:pPr>
        <w:ind w:left="786" w:hanging="360"/>
      </w:pPr>
      <w:rPr>
        <w:rFonts w:ascii="Times New Roman" w:hAnsi="Times New Roman" w:cs="Times New Roman" w:hint="default"/>
        <w:b w:val="0"/>
        <w:i w:val="0"/>
        <w:sz w:val="18"/>
        <w:szCs w:val="18"/>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6">
    <w:nsid w:val="116D374F"/>
    <w:multiLevelType w:val="hybridMultilevel"/>
    <w:tmpl w:val="0EC4BC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1CA246F"/>
    <w:multiLevelType w:val="hybridMultilevel"/>
    <w:tmpl w:val="ECAACE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73C04DF"/>
    <w:multiLevelType w:val="hybridMultilevel"/>
    <w:tmpl w:val="384E86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C326DEF"/>
    <w:multiLevelType w:val="hybridMultilevel"/>
    <w:tmpl w:val="73481AC6"/>
    <w:lvl w:ilvl="0" w:tplc="AF0E2E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15C70E4"/>
    <w:multiLevelType w:val="hybridMultilevel"/>
    <w:tmpl w:val="628C2F9E"/>
    <w:lvl w:ilvl="0" w:tplc="496AD65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C05AC4"/>
    <w:multiLevelType w:val="hybridMultilevel"/>
    <w:tmpl w:val="94E82C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980612C"/>
    <w:multiLevelType w:val="hybridMultilevel"/>
    <w:tmpl w:val="5496868E"/>
    <w:lvl w:ilvl="0" w:tplc="AF42FC96">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A4C69B4"/>
    <w:multiLevelType w:val="hybridMultilevel"/>
    <w:tmpl w:val="BBA6874A"/>
    <w:lvl w:ilvl="0" w:tplc="F49CC3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BB04001"/>
    <w:multiLevelType w:val="hybridMultilevel"/>
    <w:tmpl w:val="57A4C03C"/>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2180895"/>
    <w:multiLevelType w:val="hybridMultilevel"/>
    <w:tmpl w:val="D222EB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2582444"/>
    <w:multiLevelType w:val="hybridMultilevel"/>
    <w:tmpl w:val="ED1E1FA2"/>
    <w:lvl w:ilvl="0" w:tplc="AF42FC96">
      <w:start w:val="1"/>
      <w:numFmt w:val="bullet"/>
      <w:lvlText w:val=""/>
      <w:lvlJc w:val="left"/>
      <w:pPr>
        <w:ind w:left="750" w:hanging="360"/>
      </w:pPr>
      <w:rPr>
        <w:rFonts w:ascii="Symbol" w:hAnsi="Symbol"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7">
    <w:nsid w:val="327F713B"/>
    <w:multiLevelType w:val="hybridMultilevel"/>
    <w:tmpl w:val="8304A0BE"/>
    <w:lvl w:ilvl="0" w:tplc="AF0E2E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BE03BBD"/>
    <w:multiLevelType w:val="hybridMultilevel"/>
    <w:tmpl w:val="114863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9F451FF"/>
    <w:multiLevelType w:val="hybridMultilevel"/>
    <w:tmpl w:val="D69CC9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C1A3FAA"/>
    <w:multiLevelType w:val="hybridMultilevel"/>
    <w:tmpl w:val="B61E47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515C0DDC"/>
    <w:multiLevelType w:val="hybridMultilevel"/>
    <w:tmpl w:val="AB78C8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52111988"/>
    <w:multiLevelType w:val="hybridMultilevel"/>
    <w:tmpl w:val="211444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54727398"/>
    <w:multiLevelType w:val="hybridMultilevel"/>
    <w:tmpl w:val="A8CE6F8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56245EC3"/>
    <w:multiLevelType w:val="hybridMultilevel"/>
    <w:tmpl w:val="C144D90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7040C57"/>
    <w:multiLevelType w:val="hybridMultilevel"/>
    <w:tmpl w:val="48C8AB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629D70C6"/>
    <w:multiLevelType w:val="hybridMultilevel"/>
    <w:tmpl w:val="36024A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6392193A"/>
    <w:multiLevelType w:val="hybridMultilevel"/>
    <w:tmpl w:val="DC122278"/>
    <w:lvl w:ilvl="0" w:tplc="01DCA18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5884C19"/>
    <w:multiLevelType w:val="hybridMultilevel"/>
    <w:tmpl w:val="3E384B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66504D03"/>
    <w:multiLevelType w:val="hybridMultilevel"/>
    <w:tmpl w:val="3FF61F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673A7816"/>
    <w:multiLevelType w:val="hybridMultilevel"/>
    <w:tmpl w:val="7E5631CA"/>
    <w:lvl w:ilvl="0" w:tplc="AF0E2E2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68A37A95"/>
    <w:multiLevelType w:val="hybridMultilevel"/>
    <w:tmpl w:val="E7B841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nsid w:val="6AFB66A2"/>
    <w:multiLevelType w:val="hybridMultilevel"/>
    <w:tmpl w:val="16BC77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E1033B0"/>
    <w:multiLevelType w:val="multilevel"/>
    <w:tmpl w:val="0415001D"/>
    <w:lvl w:ilvl="0">
      <w:start w:val="1"/>
      <w:numFmt w:val="decimal"/>
      <w:lvlText w:val="%1)"/>
      <w:lvlJc w:val="left"/>
      <w:pPr>
        <w:ind w:left="786" w:hanging="360"/>
      </w:pPr>
    </w:lvl>
    <w:lvl w:ilvl="1">
      <w:start w:val="1"/>
      <w:numFmt w:val="lowerLetter"/>
      <w:lvlText w:val="%2)"/>
      <w:lvlJc w:val="left"/>
      <w:pPr>
        <w:ind w:left="1069"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34">
    <w:nsid w:val="705B224F"/>
    <w:multiLevelType w:val="hybridMultilevel"/>
    <w:tmpl w:val="F61051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2516DD3"/>
    <w:multiLevelType w:val="hybridMultilevel"/>
    <w:tmpl w:val="F0C2C14A"/>
    <w:lvl w:ilvl="0" w:tplc="F49CC35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nsid w:val="7F9668B8"/>
    <w:multiLevelType w:val="hybridMultilevel"/>
    <w:tmpl w:val="4E1C1A6A"/>
    <w:lvl w:ilvl="0" w:tplc="496AD65C">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9"/>
  </w:num>
  <w:num w:numId="2">
    <w:abstractNumId w:val="15"/>
  </w:num>
  <w:num w:numId="3">
    <w:abstractNumId w:val="32"/>
  </w:num>
  <w:num w:numId="4">
    <w:abstractNumId w:val="34"/>
  </w:num>
  <w:num w:numId="5">
    <w:abstractNumId w:val="25"/>
  </w:num>
  <w:num w:numId="6">
    <w:abstractNumId w:val="6"/>
  </w:num>
  <w:num w:numId="7">
    <w:abstractNumId w:val="23"/>
  </w:num>
  <w:num w:numId="8">
    <w:abstractNumId w:val="20"/>
  </w:num>
  <w:num w:numId="9">
    <w:abstractNumId w:val="19"/>
  </w:num>
  <w:num w:numId="10">
    <w:abstractNumId w:val="4"/>
  </w:num>
  <w:num w:numId="11">
    <w:abstractNumId w:val="12"/>
  </w:num>
  <w:num w:numId="12">
    <w:abstractNumId w:val="16"/>
  </w:num>
  <w:num w:numId="13">
    <w:abstractNumId w:val="5"/>
  </w:num>
  <w:num w:numId="14">
    <w:abstractNumId w:val="11"/>
  </w:num>
  <w:num w:numId="15">
    <w:abstractNumId w:val="9"/>
  </w:num>
  <w:num w:numId="16">
    <w:abstractNumId w:val="1"/>
  </w:num>
  <w:num w:numId="17">
    <w:abstractNumId w:val="28"/>
  </w:num>
  <w:num w:numId="18">
    <w:abstractNumId w:val="22"/>
  </w:num>
  <w:num w:numId="19">
    <w:abstractNumId w:val="18"/>
  </w:num>
  <w:num w:numId="20">
    <w:abstractNumId w:val="21"/>
  </w:num>
  <w:num w:numId="21">
    <w:abstractNumId w:val="0"/>
  </w:num>
  <w:num w:numId="22">
    <w:abstractNumId w:val="26"/>
  </w:num>
  <w:num w:numId="23">
    <w:abstractNumId w:val="17"/>
  </w:num>
  <w:num w:numId="24">
    <w:abstractNumId w:val="7"/>
  </w:num>
  <w:num w:numId="25">
    <w:abstractNumId w:val="33"/>
  </w:num>
  <w:num w:numId="26">
    <w:abstractNumId w:val="8"/>
  </w:num>
  <w:num w:numId="27">
    <w:abstractNumId w:val="30"/>
  </w:num>
  <w:num w:numId="28">
    <w:abstractNumId w:val="24"/>
  </w:num>
  <w:num w:numId="29">
    <w:abstractNumId w:val="3"/>
  </w:num>
  <w:num w:numId="30">
    <w:abstractNumId w:val="27"/>
  </w:num>
  <w:num w:numId="31">
    <w:abstractNumId w:val="13"/>
  </w:num>
  <w:num w:numId="32">
    <w:abstractNumId w:val="35"/>
  </w:num>
  <w:num w:numId="33">
    <w:abstractNumId w:val="10"/>
  </w:num>
  <w:num w:numId="34">
    <w:abstractNumId w:val="14"/>
  </w:num>
  <w:num w:numId="35">
    <w:abstractNumId w:val="31"/>
  </w:num>
  <w:num w:numId="36">
    <w:abstractNumId w:val="2"/>
  </w:num>
  <w:num w:numId="37">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6E"/>
    <w:rsid w:val="0000028C"/>
    <w:rsid w:val="00000DDB"/>
    <w:rsid w:val="000010CD"/>
    <w:rsid w:val="00002834"/>
    <w:rsid w:val="00002ABB"/>
    <w:rsid w:val="000034DC"/>
    <w:rsid w:val="00003B0F"/>
    <w:rsid w:val="00003C2E"/>
    <w:rsid w:val="00004257"/>
    <w:rsid w:val="000043E1"/>
    <w:rsid w:val="000046B1"/>
    <w:rsid w:val="00004842"/>
    <w:rsid w:val="0000557E"/>
    <w:rsid w:val="00005736"/>
    <w:rsid w:val="000058EE"/>
    <w:rsid w:val="00005C78"/>
    <w:rsid w:val="00006D81"/>
    <w:rsid w:val="00006E96"/>
    <w:rsid w:val="000078CD"/>
    <w:rsid w:val="00007B25"/>
    <w:rsid w:val="00010481"/>
    <w:rsid w:val="00010B3D"/>
    <w:rsid w:val="00010BE1"/>
    <w:rsid w:val="00010D42"/>
    <w:rsid w:val="00011D62"/>
    <w:rsid w:val="00011FA8"/>
    <w:rsid w:val="0001205D"/>
    <w:rsid w:val="00012A4B"/>
    <w:rsid w:val="00013213"/>
    <w:rsid w:val="00013F6D"/>
    <w:rsid w:val="00014227"/>
    <w:rsid w:val="00014694"/>
    <w:rsid w:val="00014887"/>
    <w:rsid w:val="00014DDE"/>
    <w:rsid w:val="00015531"/>
    <w:rsid w:val="00015579"/>
    <w:rsid w:val="00015CB2"/>
    <w:rsid w:val="00017718"/>
    <w:rsid w:val="000177FF"/>
    <w:rsid w:val="00017EC0"/>
    <w:rsid w:val="000208BC"/>
    <w:rsid w:val="0002115C"/>
    <w:rsid w:val="000211FE"/>
    <w:rsid w:val="0002122E"/>
    <w:rsid w:val="00021720"/>
    <w:rsid w:val="00021948"/>
    <w:rsid w:val="00021D19"/>
    <w:rsid w:val="00022C02"/>
    <w:rsid w:val="00022E6E"/>
    <w:rsid w:val="000234A5"/>
    <w:rsid w:val="00023B2A"/>
    <w:rsid w:val="000246BF"/>
    <w:rsid w:val="000250B5"/>
    <w:rsid w:val="00025368"/>
    <w:rsid w:val="00025448"/>
    <w:rsid w:val="000258C5"/>
    <w:rsid w:val="00025E6D"/>
    <w:rsid w:val="000260E3"/>
    <w:rsid w:val="00027672"/>
    <w:rsid w:val="00027F75"/>
    <w:rsid w:val="000307FD"/>
    <w:rsid w:val="00031F27"/>
    <w:rsid w:val="00032114"/>
    <w:rsid w:val="000324F3"/>
    <w:rsid w:val="00032CB9"/>
    <w:rsid w:val="00032F2E"/>
    <w:rsid w:val="000336A4"/>
    <w:rsid w:val="000339B9"/>
    <w:rsid w:val="00034050"/>
    <w:rsid w:val="000342CD"/>
    <w:rsid w:val="00034639"/>
    <w:rsid w:val="00034D1E"/>
    <w:rsid w:val="00035147"/>
    <w:rsid w:val="00035373"/>
    <w:rsid w:val="0003552D"/>
    <w:rsid w:val="000361BE"/>
    <w:rsid w:val="000374B2"/>
    <w:rsid w:val="000378C0"/>
    <w:rsid w:val="00037BD8"/>
    <w:rsid w:val="000408F3"/>
    <w:rsid w:val="00041868"/>
    <w:rsid w:val="0004293D"/>
    <w:rsid w:val="00042FBB"/>
    <w:rsid w:val="00044181"/>
    <w:rsid w:val="00044529"/>
    <w:rsid w:val="00044661"/>
    <w:rsid w:val="00044978"/>
    <w:rsid w:val="00045784"/>
    <w:rsid w:val="00045838"/>
    <w:rsid w:val="00045A93"/>
    <w:rsid w:val="00045F26"/>
    <w:rsid w:val="00046141"/>
    <w:rsid w:val="0004667A"/>
    <w:rsid w:val="00046888"/>
    <w:rsid w:val="00046F19"/>
    <w:rsid w:val="000473EA"/>
    <w:rsid w:val="00047B02"/>
    <w:rsid w:val="0005008C"/>
    <w:rsid w:val="00050228"/>
    <w:rsid w:val="000503CA"/>
    <w:rsid w:val="0005052D"/>
    <w:rsid w:val="00050898"/>
    <w:rsid w:val="00051207"/>
    <w:rsid w:val="00051597"/>
    <w:rsid w:val="00052477"/>
    <w:rsid w:val="0005295A"/>
    <w:rsid w:val="000533AB"/>
    <w:rsid w:val="000539A9"/>
    <w:rsid w:val="00053B34"/>
    <w:rsid w:val="00053DD5"/>
    <w:rsid w:val="0005421F"/>
    <w:rsid w:val="000549EC"/>
    <w:rsid w:val="00054BE8"/>
    <w:rsid w:val="00055298"/>
    <w:rsid w:val="0005572D"/>
    <w:rsid w:val="00055A7A"/>
    <w:rsid w:val="00055B29"/>
    <w:rsid w:val="00055C65"/>
    <w:rsid w:val="000564AD"/>
    <w:rsid w:val="000566C4"/>
    <w:rsid w:val="00056C3D"/>
    <w:rsid w:val="00057890"/>
    <w:rsid w:val="000579AC"/>
    <w:rsid w:val="00057CC1"/>
    <w:rsid w:val="000604A6"/>
    <w:rsid w:val="00060DFF"/>
    <w:rsid w:val="000615BC"/>
    <w:rsid w:val="00061A4F"/>
    <w:rsid w:val="00061BCF"/>
    <w:rsid w:val="00061BF4"/>
    <w:rsid w:val="00061DF6"/>
    <w:rsid w:val="00063539"/>
    <w:rsid w:val="00063F39"/>
    <w:rsid w:val="000644BF"/>
    <w:rsid w:val="00064AF8"/>
    <w:rsid w:val="00064C88"/>
    <w:rsid w:val="00065741"/>
    <w:rsid w:val="00067065"/>
    <w:rsid w:val="0007058F"/>
    <w:rsid w:val="000706F3"/>
    <w:rsid w:val="0007097F"/>
    <w:rsid w:val="00071101"/>
    <w:rsid w:val="000716D2"/>
    <w:rsid w:val="00071760"/>
    <w:rsid w:val="00071ACF"/>
    <w:rsid w:val="000722BA"/>
    <w:rsid w:val="000726AB"/>
    <w:rsid w:val="00072D31"/>
    <w:rsid w:val="00072FEE"/>
    <w:rsid w:val="00073128"/>
    <w:rsid w:val="0007428E"/>
    <w:rsid w:val="00075545"/>
    <w:rsid w:val="000762C5"/>
    <w:rsid w:val="000765F3"/>
    <w:rsid w:val="00076E79"/>
    <w:rsid w:val="0007707D"/>
    <w:rsid w:val="00077229"/>
    <w:rsid w:val="000772C7"/>
    <w:rsid w:val="00077315"/>
    <w:rsid w:val="00077ACD"/>
    <w:rsid w:val="00080096"/>
    <w:rsid w:val="0008081B"/>
    <w:rsid w:val="00081555"/>
    <w:rsid w:val="0008194D"/>
    <w:rsid w:val="000823E8"/>
    <w:rsid w:val="000829D4"/>
    <w:rsid w:val="000831F0"/>
    <w:rsid w:val="0008397A"/>
    <w:rsid w:val="0008417C"/>
    <w:rsid w:val="00084282"/>
    <w:rsid w:val="0008443B"/>
    <w:rsid w:val="000850C6"/>
    <w:rsid w:val="00085E61"/>
    <w:rsid w:val="00087226"/>
    <w:rsid w:val="00087B4B"/>
    <w:rsid w:val="00087BA5"/>
    <w:rsid w:val="00090DEB"/>
    <w:rsid w:val="000912E1"/>
    <w:rsid w:val="00091EAF"/>
    <w:rsid w:val="0009289E"/>
    <w:rsid w:val="00092F4D"/>
    <w:rsid w:val="00093237"/>
    <w:rsid w:val="00093EFA"/>
    <w:rsid w:val="00093F42"/>
    <w:rsid w:val="00094E2B"/>
    <w:rsid w:val="000958B8"/>
    <w:rsid w:val="00095A6D"/>
    <w:rsid w:val="00095CCA"/>
    <w:rsid w:val="00096666"/>
    <w:rsid w:val="00096E3D"/>
    <w:rsid w:val="0009777C"/>
    <w:rsid w:val="00097CDE"/>
    <w:rsid w:val="000A07A4"/>
    <w:rsid w:val="000A0E30"/>
    <w:rsid w:val="000A23F1"/>
    <w:rsid w:val="000A2DBD"/>
    <w:rsid w:val="000A3537"/>
    <w:rsid w:val="000A3BE5"/>
    <w:rsid w:val="000A461E"/>
    <w:rsid w:val="000A4940"/>
    <w:rsid w:val="000A50E1"/>
    <w:rsid w:val="000A5B66"/>
    <w:rsid w:val="000A62D6"/>
    <w:rsid w:val="000A6FDC"/>
    <w:rsid w:val="000A7312"/>
    <w:rsid w:val="000A7638"/>
    <w:rsid w:val="000A780E"/>
    <w:rsid w:val="000B032D"/>
    <w:rsid w:val="000B0AF1"/>
    <w:rsid w:val="000B1758"/>
    <w:rsid w:val="000B2413"/>
    <w:rsid w:val="000B26E1"/>
    <w:rsid w:val="000B3218"/>
    <w:rsid w:val="000B5A88"/>
    <w:rsid w:val="000B5D76"/>
    <w:rsid w:val="000B6AD7"/>
    <w:rsid w:val="000B6FA7"/>
    <w:rsid w:val="000C0C90"/>
    <w:rsid w:val="000C129C"/>
    <w:rsid w:val="000C13A6"/>
    <w:rsid w:val="000C157D"/>
    <w:rsid w:val="000C1EA2"/>
    <w:rsid w:val="000C25D6"/>
    <w:rsid w:val="000C27C0"/>
    <w:rsid w:val="000C287B"/>
    <w:rsid w:val="000C4AA0"/>
    <w:rsid w:val="000C557E"/>
    <w:rsid w:val="000C5633"/>
    <w:rsid w:val="000C5D3C"/>
    <w:rsid w:val="000C6395"/>
    <w:rsid w:val="000C656E"/>
    <w:rsid w:val="000C663C"/>
    <w:rsid w:val="000C6B59"/>
    <w:rsid w:val="000C78B2"/>
    <w:rsid w:val="000C7A70"/>
    <w:rsid w:val="000C7C31"/>
    <w:rsid w:val="000D0098"/>
    <w:rsid w:val="000D0536"/>
    <w:rsid w:val="000D088B"/>
    <w:rsid w:val="000D0DE3"/>
    <w:rsid w:val="000D1060"/>
    <w:rsid w:val="000D15E1"/>
    <w:rsid w:val="000D1C30"/>
    <w:rsid w:val="000D1C78"/>
    <w:rsid w:val="000D3236"/>
    <w:rsid w:val="000D59FF"/>
    <w:rsid w:val="000D62AE"/>
    <w:rsid w:val="000D6EBC"/>
    <w:rsid w:val="000D73AE"/>
    <w:rsid w:val="000D744D"/>
    <w:rsid w:val="000D7F87"/>
    <w:rsid w:val="000E082B"/>
    <w:rsid w:val="000E084C"/>
    <w:rsid w:val="000E0B67"/>
    <w:rsid w:val="000E0F1A"/>
    <w:rsid w:val="000E17CC"/>
    <w:rsid w:val="000E32A2"/>
    <w:rsid w:val="000E3DFC"/>
    <w:rsid w:val="000E3ED0"/>
    <w:rsid w:val="000E4B86"/>
    <w:rsid w:val="000E4BED"/>
    <w:rsid w:val="000E4FF9"/>
    <w:rsid w:val="000E51B3"/>
    <w:rsid w:val="000E555F"/>
    <w:rsid w:val="000E57EE"/>
    <w:rsid w:val="000E5FE3"/>
    <w:rsid w:val="000E67A2"/>
    <w:rsid w:val="000E6815"/>
    <w:rsid w:val="000E6951"/>
    <w:rsid w:val="000E6A7A"/>
    <w:rsid w:val="000E6BE9"/>
    <w:rsid w:val="000E6FCA"/>
    <w:rsid w:val="000E7274"/>
    <w:rsid w:val="000E77D3"/>
    <w:rsid w:val="000E7842"/>
    <w:rsid w:val="000E7CD4"/>
    <w:rsid w:val="000F01FF"/>
    <w:rsid w:val="000F02A8"/>
    <w:rsid w:val="000F0698"/>
    <w:rsid w:val="000F09BD"/>
    <w:rsid w:val="000F0F06"/>
    <w:rsid w:val="000F1185"/>
    <w:rsid w:val="000F18FF"/>
    <w:rsid w:val="000F1D4A"/>
    <w:rsid w:val="000F26EA"/>
    <w:rsid w:val="000F41D7"/>
    <w:rsid w:val="000F5791"/>
    <w:rsid w:val="000F5952"/>
    <w:rsid w:val="000F5A89"/>
    <w:rsid w:val="000F6265"/>
    <w:rsid w:val="000F6BEE"/>
    <w:rsid w:val="000F785F"/>
    <w:rsid w:val="000F7DBB"/>
    <w:rsid w:val="00100704"/>
    <w:rsid w:val="001024F9"/>
    <w:rsid w:val="00102B00"/>
    <w:rsid w:val="00102D15"/>
    <w:rsid w:val="00102D56"/>
    <w:rsid w:val="00103273"/>
    <w:rsid w:val="0010350D"/>
    <w:rsid w:val="0010395F"/>
    <w:rsid w:val="00103CE5"/>
    <w:rsid w:val="001042A4"/>
    <w:rsid w:val="00104AB6"/>
    <w:rsid w:val="00104B98"/>
    <w:rsid w:val="0010539B"/>
    <w:rsid w:val="00105A0E"/>
    <w:rsid w:val="001073AA"/>
    <w:rsid w:val="00107D62"/>
    <w:rsid w:val="00111097"/>
    <w:rsid w:val="00111A08"/>
    <w:rsid w:val="00112DC7"/>
    <w:rsid w:val="00113AC8"/>
    <w:rsid w:val="00113D43"/>
    <w:rsid w:val="00114BE8"/>
    <w:rsid w:val="001153DE"/>
    <w:rsid w:val="00115840"/>
    <w:rsid w:val="001158D9"/>
    <w:rsid w:val="00115E96"/>
    <w:rsid w:val="00116A87"/>
    <w:rsid w:val="0011770F"/>
    <w:rsid w:val="00117BA5"/>
    <w:rsid w:val="001203FF"/>
    <w:rsid w:val="00120ABC"/>
    <w:rsid w:val="00120AFD"/>
    <w:rsid w:val="001225D8"/>
    <w:rsid w:val="00122719"/>
    <w:rsid w:val="00122BF4"/>
    <w:rsid w:val="001231FA"/>
    <w:rsid w:val="00123540"/>
    <w:rsid w:val="00123D46"/>
    <w:rsid w:val="00123F48"/>
    <w:rsid w:val="00124250"/>
    <w:rsid w:val="00124E47"/>
    <w:rsid w:val="00124E6A"/>
    <w:rsid w:val="0012569B"/>
    <w:rsid w:val="001264FB"/>
    <w:rsid w:val="001265FD"/>
    <w:rsid w:val="00126B85"/>
    <w:rsid w:val="0012708B"/>
    <w:rsid w:val="001274B4"/>
    <w:rsid w:val="001278BA"/>
    <w:rsid w:val="00130586"/>
    <w:rsid w:val="00132A2E"/>
    <w:rsid w:val="00133E4E"/>
    <w:rsid w:val="00134083"/>
    <w:rsid w:val="00134B6F"/>
    <w:rsid w:val="00134C1C"/>
    <w:rsid w:val="00134E4A"/>
    <w:rsid w:val="0013572E"/>
    <w:rsid w:val="00135AC6"/>
    <w:rsid w:val="00136027"/>
    <w:rsid w:val="00136D8A"/>
    <w:rsid w:val="00137ADF"/>
    <w:rsid w:val="00137EF8"/>
    <w:rsid w:val="00140897"/>
    <w:rsid w:val="00140ED1"/>
    <w:rsid w:val="00142A0E"/>
    <w:rsid w:val="0014314F"/>
    <w:rsid w:val="001432AE"/>
    <w:rsid w:val="0014339B"/>
    <w:rsid w:val="00143419"/>
    <w:rsid w:val="00143549"/>
    <w:rsid w:val="0014459C"/>
    <w:rsid w:val="00144D68"/>
    <w:rsid w:val="00144EEC"/>
    <w:rsid w:val="00145AAF"/>
    <w:rsid w:val="001461FB"/>
    <w:rsid w:val="0014696F"/>
    <w:rsid w:val="001470C1"/>
    <w:rsid w:val="001477F2"/>
    <w:rsid w:val="00147AD0"/>
    <w:rsid w:val="00150999"/>
    <w:rsid w:val="00151148"/>
    <w:rsid w:val="001517AD"/>
    <w:rsid w:val="001525D3"/>
    <w:rsid w:val="00152F3B"/>
    <w:rsid w:val="001533BF"/>
    <w:rsid w:val="00153F33"/>
    <w:rsid w:val="001548FE"/>
    <w:rsid w:val="00154E4D"/>
    <w:rsid w:val="00155883"/>
    <w:rsid w:val="00155C38"/>
    <w:rsid w:val="0015680F"/>
    <w:rsid w:val="00156F4A"/>
    <w:rsid w:val="0015715F"/>
    <w:rsid w:val="00160012"/>
    <w:rsid w:val="00160A4B"/>
    <w:rsid w:val="00160DBC"/>
    <w:rsid w:val="001612D3"/>
    <w:rsid w:val="001615E3"/>
    <w:rsid w:val="00162CA9"/>
    <w:rsid w:val="00163087"/>
    <w:rsid w:val="00163A17"/>
    <w:rsid w:val="00163C17"/>
    <w:rsid w:val="00163CF2"/>
    <w:rsid w:val="00163CFC"/>
    <w:rsid w:val="001644C3"/>
    <w:rsid w:val="00164835"/>
    <w:rsid w:val="00165326"/>
    <w:rsid w:val="001653DF"/>
    <w:rsid w:val="00166169"/>
    <w:rsid w:val="001667B8"/>
    <w:rsid w:val="00166940"/>
    <w:rsid w:val="00167F16"/>
    <w:rsid w:val="00170070"/>
    <w:rsid w:val="00170421"/>
    <w:rsid w:val="001704E9"/>
    <w:rsid w:val="00171C4F"/>
    <w:rsid w:val="00172051"/>
    <w:rsid w:val="00172ACE"/>
    <w:rsid w:val="00173689"/>
    <w:rsid w:val="00173710"/>
    <w:rsid w:val="001737FF"/>
    <w:rsid w:val="00173FA2"/>
    <w:rsid w:val="0017512A"/>
    <w:rsid w:val="00175221"/>
    <w:rsid w:val="001756B2"/>
    <w:rsid w:val="0017583F"/>
    <w:rsid w:val="001759E1"/>
    <w:rsid w:val="00175AAF"/>
    <w:rsid w:val="00175CC4"/>
    <w:rsid w:val="00176472"/>
    <w:rsid w:val="001773BA"/>
    <w:rsid w:val="00177956"/>
    <w:rsid w:val="00177BFE"/>
    <w:rsid w:val="001806A1"/>
    <w:rsid w:val="00180AD6"/>
    <w:rsid w:val="00181AA2"/>
    <w:rsid w:val="00182185"/>
    <w:rsid w:val="00182270"/>
    <w:rsid w:val="0018258D"/>
    <w:rsid w:val="00182725"/>
    <w:rsid w:val="00182B86"/>
    <w:rsid w:val="00183478"/>
    <w:rsid w:val="001834A4"/>
    <w:rsid w:val="00183776"/>
    <w:rsid w:val="00183AB1"/>
    <w:rsid w:val="001840C9"/>
    <w:rsid w:val="00184581"/>
    <w:rsid w:val="001845CF"/>
    <w:rsid w:val="0018460F"/>
    <w:rsid w:val="00184655"/>
    <w:rsid w:val="001856DB"/>
    <w:rsid w:val="00185AAD"/>
    <w:rsid w:val="001862D5"/>
    <w:rsid w:val="001863F2"/>
    <w:rsid w:val="0018648B"/>
    <w:rsid w:val="001865A0"/>
    <w:rsid w:val="00186E3C"/>
    <w:rsid w:val="0018732B"/>
    <w:rsid w:val="00187642"/>
    <w:rsid w:val="00187C2C"/>
    <w:rsid w:val="00187C36"/>
    <w:rsid w:val="001906D3"/>
    <w:rsid w:val="001910DE"/>
    <w:rsid w:val="0019168A"/>
    <w:rsid w:val="00191B9C"/>
    <w:rsid w:val="0019350E"/>
    <w:rsid w:val="00193BE3"/>
    <w:rsid w:val="00194088"/>
    <w:rsid w:val="001941FF"/>
    <w:rsid w:val="001942C4"/>
    <w:rsid w:val="001951D9"/>
    <w:rsid w:val="0019549C"/>
    <w:rsid w:val="00197923"/>
    <w:rsid w:val="00197A36"/>
    <w:rsid w:val="00197AAC"/>
    <w:rsid w:val="001A09C9"/>
    <w:rsid w:val="001A147E"/>
    <w:rsid w:val="001A1C2B"/>
    <w:rsid w:val="001A20AE"/>
    <w:rsid w:val="001A2394"/>
    <w:rsid w:val="001A2802"/>
    <w:rsid w:val="001A3DEB"/>
    <w:rsid w:val="001A4604"/>
    <w:rsid w:val="001A46E5"/>
    <w:rsid w:val="001A54F2"/>
    <w:rsid w:val="001A5877"/>
    <w:rsid w:val="001A5E2D"/>
    <w:rsid w:val="001A689B"/>
    <w:rsid w:val="001A7709"/>
    <w:rsid w:val="001A7EF4"/>
    <w:rsid w:val="001B000E"/>
    <w:rsid w:val="001B0474"/>
    <w:rsid w:val="001B0683"/>
    <w:rsid w:val="001B0F5F"/>
    <w:rsid w:val="001B1940"/>
    <w:rsid w:val="001B2026"/>
    <w:rsid w:val="001B29C2"/>
    <w:rsid w:val="001B2B46"/>
    <w:rsid w:val="001B34D7"/>
    <w:rsid w:val="001B4020"/>
    <w:rsid w:val="001B423A"/>
    <w:rsid w:val="001B425D"/>
    <w:rsid w:val="001B44F7"/>
    <w:rsid w:val="001B4B3C"/>
    <w:rsid w:val="001B5D0B"/>
    <w:rsid w:val="001B7111"/>
    <w:rsid w:val="001B7AFA"/>
    <w:rsid w:val="001C02E9"/>
    <w:rsid w:val="001C1F08"/>
    <w:rsid w:val="001C3747"/>
    <w:rsid w:val="001C3CF7"/>
    <w:rsid w:val="001C3D03"/>
    <w:rsid w:val="001C3F21"/>
    <w:rsid w:val="001C4344"/>
    <w:rsid w:val="001C5EDA"/>
    <w:rsid w:val="001C61A8"/>
    <w:rsid w:val="001C6D4E"/>
    <w:rsid w:val="001C78D8"/>
    <w:rsid w:val="001C79B7"/>
    <w:rsid w:val="001D10F5"/>
    <w:rsid w:val="001D1714"/>
    <w:rsid w:val="001D17BA"/>
    <w:rsid w:val="001D20D2"/>
    <w:rsid w:val="001D285C"/>
    <w:rsid w:val="001D3546"/>
    <w:rsid w:val="001D35B7"/>
    <w:rsid w:val="001D3B34"/>
    <w:rsid w:val="001D44A9"/>
    <w:rsid w:val="001D5A91"/>
    <w:rsid w:val="001D7069"/>
    <w:rsid w:val="001E00B5"/>
    <w:rsid w:val="001E0961"/>
    <w:rsid w:val="001E12C2"/>
    <w:rsid w:val="001E1679"/>
    <w:rsid w:val="001E2230"/>
    <w:rsid w:val="001E2A59"/>
    <w:rsid w:val="001E2C87"/>
    <w:rsid w:val="001E58F0"/>
    <w:rsid w:val="001E5ADE"/>
    <w:rsid w:val="001E6423"/>
    <w:rsid w:val="001E6881"/>
    <w:rsid w:val="001E74C4"/>
    <w:rsid w:val="001F03B7"/>
    <w:rsid w:val="001F1808"/>
    <w:rsid w:val="001F2197"/>
    <w:rsid w:val="001F252C"/>
    <w:rsid w:val="001F30E0"/>
    <w:rsid w:val="001F358C"/>
    <w:rsid w:val="001F36E1"/>
    <w:rsid w:val="001F450B"/>
    <w:rsid w:val="001F471E"/>
    <w:rsid w:val="001F504A"/>
    <w:rsid w:val="001F51C0"/>
    <w:rsid w:val="001F5596"/>
    <w:rsid w:val="001F5993"/>
    <w:rsid w:val="001F59FA"/>
    <w:rsid w:val="001F5F15"/>
    <w:rsid w:val="001F614A"/>
    <w:rsid w:val="001F645B"/>
    <w:rsid w:val="001F75DE"/>
    <w:rsid w:val="001F7F73"/>
    <w:rsid w:val="002001EC"/>
    <w:rsid w:val="002004DC"/>
    <w:rsid w:val="0020074D"/>
    <w:rsid w:val="002016F8"/>
    <w:rsid w:val="00201D31"/>
    <w:rsid w:val="00202CF9"/>
    <w:rsid w:val="0020382E"/>
    <w:rsid w:val="002038A6"/>
    <w:rsid w:val="00203EC2"/>
    <w:rsid w:val="00204748"/>
    <w:rsid w:val="002062B1"/>
    <w:rsid w:val="00206376"/>
    <w:rsid w:val="00206C0F"/>
    <w:rsid w:val="00206E94"/>
    <w:rsid w:val="00207996"/>
    <w:rsid w:val="0021024C"/>
    <w:rsid w:val="00210254"/>
    <w:rsid w:val="002111DC"/>
    <w:rsid w:val="00211F80"/>
    <w:rsid w:val="0021229D"/>
    <w:rsid w:val="00213454"/>
    <w:rsid w:val="002139C1"/>
    <w:rsid w:val="0021582F"/>
    <w:rsid w:val="002158E3"/>
    <w:rsid w:val="00215EA5"/>
    <w:rsid w:val="00216122"/>
    <w:rsid w:val="0021632C"/>
    <w:rsid w:val="002165E0"/>
    <w:rsid w:val="00216C72"/>
    <w:rsid w:val="002171E0"/>
    <w:rsid w:val="002203B0"/>
    <w:rsid w:val="00220855"/>
    <w:rsid w:val="00221841"/>
    <w:rsid w:val="00221BB6"/>
    <w:rsid w:val="00221DC4"/>
    <w:rsid w:val="00222B6A"/>
    <w:rsid w:val="00222E15"/>
    <w:rsid w:val="00223948"/>
    <w:rsid w:val="002242CE"/>
    <w:rsid w:val="00224B14"/>
    <w:rsid w:val="00225613"/>
    <w:rsid w:val="0022572F"/>
    <w:rsid w:val="00225C73"/>
    <w:rsid w:val="00226978"/>
    <w:rsid w:val="0022721B"/>
    <w:rsid w:val="00227DAA"/>
    <w:rsid w:val="00230B07"/>
    <w:rsid w:val="00230EA3"/>
    <w:rsid w:val="0023120A"/>
    <w:rsid w:val="002315AD"/>
    <w:rsid w:val="002319A6"/>
    <w:rsid w:val="00231C25"/>
    <w:rsid w:val="002325E6"/>
    <w:rsid w:val="00232AEE"/>
    <w:rsid w:val="00232E30"/>
    <w:rsid w:val="0023309B"/>
    <w:rsid w:val="002337FC"/>
    <w:rsid w:val="00234501"/>
    <w:rsid w:val="00235055"/>
    <w:rsid w:val="00235A6B"/>
    <w:rsid w:val="00235CC4"/>
    <w:rsid w:val="0023621C"/>
    <w:rsid w:val="0023660B"/>
    <w:rsid w:val="0023677A"/>
    <w:rsid w:val="00236AC9"/>
    <w:rsid w:val="00236D89"/>
    <w:rsid w:val="002374F0"/>
    <w:rsid w:val="0023753F"/>
    <w:rsid w:val="00237F10"/>
    <w:rsid w:val="0024006E"/>
    <w:rsid w:val="002402C8"/>
    <w:rsid w:val="002412D7"/>
    <w:rsid w:val="0024133D"/>
    <w:rsid w:val="00241454"/>
    <w:rsid w:val="00242AA3"/>
    <w:rsid w:val="00242C45"/>
    <w:rsid w:val="00242F03"/>
    <w:rsid w:val="0024340E"/>
    <w:rsid w:val="00244A0E"/>
    <w:rsid w:val="0024523E"/>
    <w:rsid w:val="00246BA9"/>
    <w:rsid w:val="00246F26"/>
    <w:rsid w:val="002474CA"/>
    <w:rsid w:val="002505BE"/>
    <w:rsid w:val="00251366"/>
    <w:rsid w:val="00251629"/>
    <w:rsid w:val="00251C40"/>
    <w:rsid w:val="00251FA2"/>
    <w:rsid w:val="00252257"/>
    <w:rsid w:val="00252290"/>
    <w:rsid w:val="002522B5"/>
    <w:rsid w:val="00253302"/>
    <w:rsid w:val="002540CB"/>
    <w:rsid w:val="002558DC"/>
    <w:rsid w:val="00255A9E"/>
    <w:rsid w:val="00255B1E"/>
    <w:rsid w:val="00255FEF"/>
    <w:rsid w:val="002562BB"/>
    <w:rsid w:val="00256EDC"/>
    <w:rsid w:val="00257AA7"/>
    <w:rsid w:val="00260247"/>
    <w:rsid w:val="002605E4"/>
    <w:rsid w:val="00260650"/>
    <w:rsid w:val="00261553"/>
    <w:rsid w:val="00261AE2"/>
    <w:rsid w:val="00261FC2"/>
    <w:rsid w:val="0026366E"/>
    <w:rsid w:val="00263A04"/>
    <w:rsid w:val="002643C8"/>
    <w:rsid w:val="002648C9"/>
    <w:rsid w:val="00264F61"/>
    <w:rsid w:val="00265316"/>
    <w:rsid w:val="00265689"/>
    <w:rsid w:val="00266364"/>
    <w:rsid w:val="00266B9A"/>
    <w:rsid w:val="0026781B"/>
    <w:rsid w:val="00267C2D"/>
    <w:rsid w:val="0027033D"/>
    <w:rsid w:val="002717D4"/>
    <w:rsid w:val="00271C62"/>
    <w:rsid w:val="00271E13"/>
    <w:rsid w:val="00271E82"/>
    <w:rsid w:val="00272CAA"/>
    <w:rsid w:val="00273E11"/>
    <w:rsid w:val="0027454D"/>
    <w:rsid w:val="00274765"/>
    <w:rsid w:val="0027572C"/>
    <w:rsid w:val="0027574A"/>
    <w:rsid w:val="002767B7"/>
    <w:rsid w:val="00276CE4"/>
    <w:rsid w:val="00277027"/>
    <w:rsid w:val="00277633"/>
    <w:rsid w:val="00277813"/>
    <w:rsid w:val="00277947"/>
    <w:rsid w:val="002806AF"/>
    <w:rsid w:val="00280964"/>
    <w:rsid w:val="00280B01"/>
    <w:rsid w:val="00280BA5"/>
    <w:rsid w:val="00281719"/>
    <w:rsid w:val="0028191A"/>
    <w:rsid w:val="0028297B"/>
    <w:rsid w:val="00282C49"/>
    <w:rsid w:val="00282C73"/>
    <w:rsid w:val="002830E7"/>
    <w:rsid w:val="002836A6"/>
    <w:rsid w:val="002839DA"/>
    <w:rsid w:val="00283F25"/>
    <w:rsid w:val="0028447B"/>
    <w:rsid w:val="002844CE"/>
    <w:rsid w:val="00284D15"/>
    <w:rsid w:val="00285D6A"/>
    <w:rsid w:val="00285EBF"/>
    <w:rsid w:val="0028667D"/>
    <w:rsid w:val="00286B69"/>
    <w:rsid w:val="00286D30"/>
    <w:rsid w:val="0028758B"/>
    <w:rsid w:val="00290958"/>
    <w:rsid w:val="00290A53"/>
    <w:rsid w:val="00290F74"/>
    <w:rsid w:val="00291A0B"/>
    <w:rsid w:val="00293037"/>
    <w:rsid w:val="0029394F"/>
    <w:rsid w:val="0029570C"/>
    <w:rsid w:val="00295756"/>
    <w:rsid w:val="0029588D"/>
    <w:rsid w:val="00296256"/>
    <w:rsid w:val="0029671D"/>
    <w:rsid w:val="00296F20"/>
    <w:rsid w:val="00297FBC"/>
    <w:rsid w:val="002A0C2C"/>
    <w:rsid w:val="002A12F9"/>
    <w:rsid w:val="002A161D"/>
    <w:rsid w:val="002A25E6"/>
    <w:rsid w:val="002A2DEB"/>
    <w:rsid w:val="002A3827"/>
    <w:rsid w:val="002A3A5B"/>
    <w:rsid w:val="002A5047"/>
    <w:rsid w:val="002A5774"/>
    <w:rsid w:val="002A5E5A"/>
    <w:rsid w:val="002A6971"/>
    <w:rsid w:val="002A6FDF"/>
    <w:rsid w:val="002B016D"/>
    <w:rsid w:val="002B03E5"/>
    <w:rsid w:val="002B0AE0"/>
    <w:rsid w:val="002B17CB"/>
    <w:rsid w:val="002B1AFD"/>
    <w:rsid w:val="002B278F"/>
    <w:rsid w:val="002B27B4"/>
    <w:rsid w:val="002B3633"/>
    <w:rsid w:val="002B3947"/>
    <w:rsid w:val="002B3C3D"/>
    <w:rsid w:val="002B4519"/>
    <w:rsid w:val="002B4978"/>
    <w:rsid w:val="002B4B5B"/>
    <w:rsid w:val="002B5739"/>
    <w:rsid w:val="002B6DF5"/>
    <w:rsid w:val="002B6E6E"/>
    <w:rsid w:val="002B7268"/>
    <w:rsid w:val="002B7917"/>
    <w:rsid w:val="002B7CDA"/>
    <w:rsid w:val="002C081B"/>
    <w:rsid w:val="002C11E9"/>
    <w:rsid w:val="002C276B"/>
    <w:rsid w:val="002C39A8"/>
    <w:rsid w:val="002C570D"/>
    <w:rsid w:val="002C5D42"/>
    <w:rsid w:val="002C5E6E"/>
    <w:rsid w:val="002C620D"/>
    <w:rsid w:val="002C66BA"/>
    <w:rsid w:val="002C7F42"/>
    <w:rsid w:val="002C7F55"/>
    <w:rsid w:val="002D05D0"/>
    <w:rsid w:val="002D12F9"/>
    <w:rsid w:val="002D1381"/>
    <w:rsid w:val="002D13B7"/>
    <w:rsid w:val="002D1667"/>
    <w:rsid w:val="002D18FA"/>
    <w:rsid w:val="002D1CFD"/>
    <w:rsid w:val="002D2593"/>
    <w:rsid w:val="002D4583"/>
    <w:rsid w:val="002D476F"/>
    <w:rsid w:val="002D47B3"/>
    <w:rsid w:val="002D49DC"/>
    <w:rsid w:val="002D4A0B"/>
    <w:rsid w:val="002D4EF1"/>
    <w:rsid w:val="002D5192"/>
    <w:rsid w:val="002D55B1"/>
    <w:rsid w:val="002D56F0"/>
    <w:rsid w:val="002D5869"/>
    <w:rsid w:val="002D64E5"/>
    <w:rsid w:val="002D6A99"/>
    <w:rsid w:val="002D74C6"/>
    <w:rsid w:val="002D7F25"/>
    <w:rsid w:val="002E0534"/>
    <w:rsid w:val="002E0771"/>
    <w:rsid w:val="002E0A32"/>
    <w:rsid w:val="002E1261"/>
    <w:rsid w:val="002E1558"/>
    <w:rsid w:val="002E1822"/>
    <w:rsid w:val="002E2123"/>
    <w:rsid w:val="002E287C"/>
    <w:rsid w:val="002E2CE3"/>
    <w:rsid w:val="002E4526"/>
    <w:rsid w:val="002E4983"/>
    <w:rsid w:val="002E5367"/>
    <w:rsid w:val="002E5811"/>
    <w:rsid w:val="002E5CC6"/>
    <w:rsid w:val="002E5FA6"/>
    <w:rsid w:val="002E6B28"/>
    <w:rsid w:val="002E740B"/>
    <w:rsid w:val="002E7EEE"/>
    <w:rsid w:val="002F05C7"/>
    <w:rsid w:val="002F07C5"/>
    <w:rsid w:val="002F1353"/>
    <w:rsid w:val="002F157A"/>
    <w:rsid w:val="002F2035"/>
    <w:rsid w:val="002F27B0"/>
    <w:rsid w:val="002F2BF4"/>
    <w:rsid w:val="002F3478"/>
    <w:rsid w:val="002F54E1"/>
    <w:rsid w:val="002F63DF"/>
    <w:rsid w:val="002F6C19"/>
    <w:rsid w:val="002F735A"/>
    <w:rsid w:val="00300E06"/>
    <w:rsid w:val="0030149B"/>
    <w:rsid w:val="003017C3"/>
    <w:rsid w:val="00301D1B"/>
    <w:rsid w:val="00302B29"/>
    <w:rsid w:val="00303406"/>
    <w:rsid w:val="0030351C"/>
    <w:rsid w:val="0030399E"/>
    <w:rsid w:val="00304629"/>
    <w:rsid w:val="003053CC"/>
    <w:rsid w:val="003058C7"/>
    <w:rsid w:val="0030613D"/>
    <w:rsid w:val="00306913"/>
    <w:rsid w:val="00306A68"/>
    <w:rsid w:val="003100F7"/>
    <w:rsid w:val="00310232"/>
    <w:rsid w:val="00311109"/>
    <w:rsid w:val="00311304"/>
    <w:rsid w:val="003115EF"/>
    <w:rsid w:val="00311910"/>
    <w:rsid w:val="003123A5"/>
    <w:rsid w:val="00313389"/>
    <w:rsid w:val="003141E0"/>
    <w:rsid w:val="00315BB2"/>
    <w:rsid w:val="003166CB"/>
    <w:rsid w:val="00316C35"/>
    <w:rsid w:val="00316E4F"/>
    <w:rsid w:val="00317213"/>
    <w:rsid w:val="00320122"/>
    <w:rsid w:val="00320177"/>
    <w:rsid w:val="00320C55"/>
    <w:rsid w:val="00321388"/>
    <w:rsid w:val="00321971"/>
    <w:rsid w:val="003219F9"/>
    <w:rsid w:val="00321A2F"/>
    <w:rsid w:val="003220D6"/>
    <w:rsid w:val="003227DC"/>
    <w:rsid w:val="00322A3E"/>
    <w:rsid w:val="00322DCC"/>
    <w:rsid w:val="00323039"/>
    <w:rsid w:val="003231CD"/>
    <w:rsid w:val="003232E4"/>
    <w:rsid w:val="00323E1B"/>
    <w:rsid w:val="0032418A"/>
    <w:rsid w:val="00325338"/>
    <w:rsid w:val="00325632"/>
    <w:rsid w:val="00325773"/>
    <w:rsid w:val="00325F81"/>
    <w:rsid w:val="00326271"/>
    <w:rsid w:val="00326517"/>
    <w:rsid w:val="00326FBC"/>
    <w:rsid w:val="0032742A"/>
    <w:rsid w:val="00327582"/>
    <w:rsid w:val="00327950"/>
    <w:rsid w:val="00330047"/>
    <w:rsid w:val="003301E1"/>
    <w:rsid w:val="00330F97"/>
    <w:rsid w:val="00332B4F"/>
    <w:rsid w:val="00333D05"/>
    <w:rsid w:val="00333DBD"/>
    <w:rsid w:val="00334375"/>
    <w:rsid w:val="00334F4A"/>
    <w:rsid w:val="00335EC8"/>
    <w:rsid w:val="003360DC"/>
    <w:rsid w:val="00336D39"/>
    <w:rsid w:val="00336F0B"/>
    <w:rsid w:val="00337325"/>
    <w:rsid w:val="00337616"/>
    <w:rsid w:val="00337F1C"/>
    <w:rsid w:val="003404BA"/>
    <w:rsid w:val="0034073B"/>
    <w:rsid w:val="00340CCD"/>
    <w:rsid w:val="00340DA1"/>
    <w:rsid w:val="00340F13"/>
    <w:rsid w:val="003416E8"/>
    <w:rsid w:val="00341FE5"/>
    <w:rsid w:val="00342094"/>
    <w:rsid w:val="00343D09"/>
    <w:rsid w:val="00344344"/>
    <w:rsid w:val="0034442C"/>
    <w:rsid w:val="003444F2"/>
    <w:rsid w:val="00344B3A"/>
    <w:rsid w:val="00345281"/>
    <w:rsid w:val="0034720D"/>
    <w:rsid w:val="00350C0B"/>
    <w:rsid w:val="00350D54"/>
    <w:rsid w:val="00350F35"/>
    <w:rsid w:val="003510D5"/>
    <w:rsid w:val="00351F57"/>
    <w:rsid w:val="00352268"/>
    <w:rsid w:val="00352A72"/>
    <w:rsid w:val="00352C91"/>
    <w:rsid w:val="003532C5"/>
    <w:rsid w:val="00354BAA"/>
    <w:rsid w:val="003554AB"/>
    <w:rsid w:val="00355A59"/>
    <w:rsid w:val="00355EB3"/>
    <w:rsid w:val="0035637A"/>
    <w:rsid w:val="00356536"/>
    <w:rsid w:val="00356959"/>
    <w:rsid w:val="00356C5B"/>
    <w:rsid w:val="00357517"/>
    <w:rsid w:val="00357A2C"/>
    <w:rsid w:val="00360566"/>
    <w:rsid w:val="0036288F"/>
    <w:rsid w:val="003630C1"/>
    <w:rsid w:val="0036428C"/>
    <w:rsid w:val="003643A9"/>
    <w:rsid w:val="00364CCB"/>
    <w:rsid w:val="00364EC9"/>
    <w:rsid w:val="00365228"/>
    <w:rsid w:val="00365760"/>
    <w:rsid w:val="003658AA"/>
    <w:rsid w:val="00366BD5"/>
    <w:rsid w:val="00366D89"/>
    <w:rsid w:val="003676D2"/>
    <w:rsid w:val="003678CC"/>
    <w:rsid w:val="00367E21"/>
    <w:rsid w:val="003701A2"/>
    <w:rsid w:val="00370749"/>
    <w:rsid w:val="003716F4"/>
    <w:rsid w:val="00371F79"/>
    <w:rsid w:val="0037242F"/>
    <w:rsid w:val="00372B56"/>
    <w:rsid w:val="00372B5F"/>
    <w:rsid w:val="003735B5"/>
    <w:rsid w:val="00373BDE"/>
    <w:rsid w:val="00373E8B"/>
    <w:rsid w:val="00374127"/>
    <w:rsid w:val="00374582"/>
    <w:rsid w:val="003748F1"/>
    <w:rsid w:val="00374C2F"/>
    <w:rsid w:val="00375C34"/>
    <w:rsid w:val="0037602E"/>
    <w:rsid w:val="0037661A"/>
    <w:rsid w:val="0037674C"/>
    <w:rsid w:val="0037683D"/>
    <w:rsid w:val="00376972"/>
    <w:rsid w:val="00377046"/>
    <w:rsid w:val="0037749D"/>
    <w:rsid w:val="003775BD"/>
    <w:rsid w:val="0037764D"/>
    <w:rsid w:val="0038009A"/>
    <w:rsid w:val="003802DB"/>
    <w:rsid w:val="00380DB5"/>
    <w:rsid w:val="00380F32"/>
    <w:rsid w:val="0038171F"/>
    <w:rsid w:val="0038177A"/>
    <w:rsid w:val="00382300"/>
    <w:rsid w:val="00382496"/>
    <w:rsid w:val="003825E1"/>
    <w:rsid w:val="00383183"/>
    <w:rsid w:val="00383632"/>
    <w:rsid w:val="00383A43"/>
    <w:rsid w:val="00384D48"/>
    <w:rsid w:val="0038550F"/>
    <w:rsid w:val="00385582"/>
    <w:rsid w:val="003855E3"/>
    <w:rsid w:val="003856D0"/>
    <w:rsid w:val="0038577D"/>
    <w:rsid w:val="00385855"/>
    <w:rsid w:val="0038607C"/>
    <w:rsid w:val="00386632"/>
    <w:rsid w:val="003873E0"/>
    <w:rsid w:val="00387CC6"/>
    <w:rsid w:val="00390421"/>
    <w:rsid w:val="00390D4C"/>
    <w:rsid w:val="00390F76"/>
    <w:rsid w:val="0039125A"/>
    <w:rsid w:val="003918C2"/>
    <w:rsid w:val="00391DB7"/>
    <w:rsid w:val="00392491"/>
    <w:rsid w:val="00392A9A"/>
    <w:rsid w:val="00392EDD"/>
    <w:rsid w:val="00394292"/>
    <w:rsid w:val="00394BBF"/>
    <w:rsid w:val="00394F00"/>
    <w:rsid w:val="003950BA"/>
    <w:rsid w:val="00395101"/>
    <w:rsid w:val="00395834"/>
    <w:rsid w:val="0039593D"/>
    <w:rsid w:val="003959D8"/>
    <w:rsid w:val="003962D1"/>
    <w:rsid w:val="0039682F"/>
    <w:rsid w:val="00397307"/>
    <w:rsid w:val="003975E2"/>
    <w:rsid w:val="00397C70"/>
    <w:rsid w:val="003A061B"/>
    <w:rsid w:val="003A0772"/>
    <w:rsid w:val="003A0CDB"/>
    <w:rsid w:val="003A171F"/>
    <w:rsid w:val="003A2CE2"/>
    <w:rsid w:val="003A2CF6"/>
    <w:rsid w:val="003A3035"/>
    <w:rsid w:val="003A3C12"/>
    <w:rsid w:val="003A4AC9"/>
    <w:rsid w:val="003A4E22"/>
    <w:rsid w:val="003A537D"/>
    <w:rsid w:val="003A540B"/>
    <w:rsid w:val="003A613C"/>
    <w:rsid w:val="003A6CFF"/>
    <w:rsid w:val="003A74B1"/>
    <w:rsid w:val="003A77B1"/>
    <w:rsid w:val="003B0EAF"/>
    <w:rsid w:val="003B15C6"/>
    <w:rsid w:val="003B15D6"/>
    <w:rsid w:val="003B23E0"/>
    <w:rsid w:val="003B296F"/>
    <w:rsid w:val="003B3CA6"/>
    <w:rsid w:val="003B4160"/>
    <w:rsid w:val="003B48E9"/>
    <w:rsid w:val="003B52A9"/>
    <w:rsid w:val="003B5D0E"/>
    <w:rsid w:val="003B5D79"/>
    <w:rsid w:val="003B600A"/>
    <w:rsid w:val="003B60E1"/>
    <w:rsid w:val="003B66D4"/>
    <w:rsid w:val="003B7B26"/>
    <w:rsid w:val="003C07E1"/>
    <w:rsid w:val="003C1F89"/>
    <w:rsid w:val="003C26E2"/>
    <w:rsid w:val="003C319E"/>
    <w:rsid w:val="003C34E3"/>
    <w:rsid w:val="003C3873"/>
    <w:rsid w:val="003C477D"/>
    <w:rsid w:val="003C4786"/>
    <w:rsid w:val="003C4A5E"/>
    <w:rsid w:val="003C4B8B"/>
    <w:rsid w:val="003C539A"/>
    <w:rsid w:val="003C6BF0"/>
    <w:rsid w:val="003C771D"/>
    <w:rsid w:val="003D13D5"/>
    <w:rsid w:val="003D1998"/>
    <w:rsid w:val="003D1A04"/>
    <w:rsid w:val="003D1A94"/>
    <w:rsid w:val="003D1C3F"/>
    <w:rsid w:val="003D2973"/>
    <w:rsid w:val="003D3CEE"/>
    <w:rsid w:val="003D430B"/>
    <w:rsid w:val="003D47F4"/>
    <w:rsid w:val="003D4919"/>
    <w:rsid w:val="003D51B2"/>
    <w:rsid w:val="003D5437"/>
    <w:rsid w:val="003D6041"/>
    <w:rsid w:val="003D6600"/>
    <w:rsid w:val="003D6D06"/>
    <w:rsid w:val="003D727A"/>
    <w:rsid w:val="003E09CE"/>
    <w:rsid w:val="003E0E7E"/>
    <w:rsid w:val="003E139B"/>
    <w:rsid w:val="003E2E67"/>
    <w:rsid w:val="003E3617"/>
    <w:rsid w:val="003E3DC8"/>
    <w:rsid w:val="003E564E"/>
    <w:rsid w:val="003E584D"/>
    <w:rsid w:val="003E58BB"/>
    <w:rsid w:val="003E58C3"/>
    <w:rsid w:val="003E5A90"/>
    <w:rsid w:val="003E6142"/>
    <w:rsid w:val="003E6928"/>
    <w:rsid w:val="003E6FFD"/>
    <w:rsid w:val="003E7943"/>
    <w:rsid w:val="003E7CC1"/>
    <w:rsid w:val="003F048D"/>
    <w:rsid w:val="003F142F"/>
    <w:rsid w:val="003F1E06"/>
    <w:rsid w:val="003F2582"/>
    <w:rsid w:val="003F2704"/>
    <w:rsid w:val="003F27E0"/>
    <w:rsid w:val="003F2B48"/>
    <w:rsid w:val="003F3BE9"/>
    <w:rsid w:val="003F3F65"/>
    <w:rsid w:val="003F60BB"/>
    <w:rsid w:val="003F6DAA"/>
    <w:rsid w:val="003F7F4A"/>
    <w:rsid w:val="00400A37"/>
    <w:rsid w:val="00400EE6"/>
    <w:rsid w:val="004022A2"/>
    <w:rsid w:val="00402310"/>
    <w:rsid w:val="00402455"/>
    <w:rsid w:val="00402713"/>
    <w:rsid w:val="00402E22"/>
    <w:rsid w:val="004034F7"/>
    <w:rsid w:val="00403A19"/>
    <w:rsid w:val="00404BFA"/>
    <w:rsid w:val="00404E5F"/>
    <w:rsid w:val="0040543C"/>
    <w:rsid w:val="00405680"/>
    <w:rsid w:val="004056ED"/>
    <w:rsid w:val="00405A65"/>
    <w:rsid w:val="0040613F"/>
    <w:rsid w:val="00407294"/>
    <w:rsid w:val="00407421"/>
    <w:rsid w:val="00407484"/>
    <w:rsid w:val="00407994"/>
    <w:rsid w:val="00407ABF"/>
    <w:rsid w:val="00407FE3"/>
    <w:rsid w:val="0041162B"/>
    <w:rsid w:val="00411857"/>
    <w:rsid w:val="00413662"/>
    <w:rsid w:val="004141F3"/>
    <w:rsid w:val="00416B07"/>
    <w:rsid w:val="00416D42"/>
    <w:rsid w:val="004178AE"/>
    <w:rsid w:val="004208CD"/>
    <w:rsid w:val="00420C32"/>
    <w:rsid w:val="00420FBE"/>
    <w:rsid w:val="00421450"/>
    <w:rsid w:val="004216B9"/>
    <w:rsid w:val="00421C60"/>
    <w:rsid w:val="0042214F"/>
    <w:rsid w:val="00423CA6"/>
    <w:rsid w:val="00424646"/>
    <w:rsid w:val="00425203"/>
    <w:rsid w:val="00425DD5"/>
    <w:rsid w:val="004267EE"/>
    <w:rsid w:val="00431B91"/>
    <w:rsid w:val="004328C0"/>
    <w:rsid w:val="0043309F"/>
    <w:rsid w:val="004334DB"/>
    <w:rsid w:val="00433714"/>
    <w:rsid w:val="00433AA6"/>
    <w:rsid w:val="00433C06"/>
    <w:rsid w:val="004347E1"/>
    <w:rsid w:val="00435136"/>
    <w:rsid w:val="00435209"/>
    <w:rsid w:val="004357A3"/>
    <w:rsid w:val="00435DDB"/>
    <w:rsid w:val="00435E5C"/>
    <w:rsid w:val="00435EA4"/>
    <w:rsid w:val="00435EF8"/>
    <w:rsid w:val="004368F8"/>
    <w:rsid w:val="004377D9"/>
    <w:rsid w:val="00437882"/>
    <w:rsid w:val="00437A3C"/>
    <w:rsid w:val="0044060B"/>
    <w:rsid w:val="00440FA4"/>
    <w:rsid w:val="00441297"/>
    <w:rsid w:val="00441F82"/>
    <w:rsid w:val="004426F3"/>
    <w:rsid w:val="0044289D"/>
    <w:rsid w:val="00442A65"/>
    <w:rsid w:val="0044320B"/>
    <w:rsid w:val="0044373E"/>
    <w:rsid w:val="0044394D"/>
    <w:rsid w:val="00443F1B"/>
    <w:rsid w:val="00444727"/>
    <w:rsid w:val="00445951"/>
    <w:rsid w:val="00445EE0"/>
    <w:rsid w:val="00445F33"/>
    <w:rsid w:val="00446016"/>
    <w:rsid w:val="0044603E"/>
    <w:rsid w:val="00446578"/>
    <w:rsid w:val="00446780"/>
    <w:rsid w:val="00446D10"/>
    <w:rsid w:val="004470C4"/>
    <w:rsid w:val="004473E0"/>
    <w:rsid w:val="004478A7"/>
    <w:rsid w:val="004500C5"/>
    <w:rsid w:val="00450DA8"/>
    <w:rsid w:val="00451526"/>
    <w:rsid w:val="004515C2"/>
    <w:rsid w:val="00451783"/>
    <w:rsid w:val="0045203D"/>
    <w:rsid w:val="004520F6"/>
    <w:rsid w:val="00452A1B"/>
    <w:rsid w:val="00452D2A"/>
    <w:rsid w:val="0045378A"/>
    <w:rsid w:val="0045668D"/>
    <w:rsid w:val="004567BB"/>
    <w:rsid w:val="0045693A"/>
    <w:rsid w:val="004572D8"/>
    <w:rsid w:val="00457AC3"/>
    <w:rsid w:val="004601B6"/>
    <w:rsid w:val="00460F31"/>
    <w:rsid w:val="004613A4"/>
    <w:rsid w:val="0046160F"/>
    <w:rsid w:val="00461B21"/>
    <w:rsid w:val="00461D77"/>
    <w:rsid w:val="00461F4D"/>
    <w:rsid w:val="004626C6"/>
    <w:rsid w:val="00463996"/>
    <w:rsid w:val="00463CA4"/>
    <w:rsid w:val="00463CE2"/>
    <w:rsid w:val="00464FD8"/>
    <w:rsid w:val="00466760"/>
    <w:rsid w:val="00466B3E"/>
    <w:rsid w:val="00467062"/>
    <w:rsid w:val="00467216"/>
    <w:rsid w:val="004673D1"/>
    <w:rsid w:val="00467E42"/>
    <w:rsid w:val="00467F13"/>
    <w:rsid w:val="00470A44"/>
    <w:rsid w:val="0047128F"/>
    <w:rsid w:val="00472375"/>
    <w:rsid w:val="00473236"/>
    <w:rsid w:val="00473912"/>
    <w:rsid w:val="00474190"/>
    <w:rsid w:val="00474898"/>
    <w:rsid w:val="0047612C"/>
    <w:rsid w:val="00476604"/>
    <w:rsid w:val="00476960"/>
    <w:rsid w:val="00476B48"/>
    <w:rsid w:val="00477EE1"/>
    <w:rsid w:val="00480131"/>
    <w:rsid w:val="00480797"/>
    <w:rsid w:val="00480E3B"/>
    <w:rsid w:val="00481159"/>
    <w:rsid w:val="0048131D"/>
    <w:rsid w:val="00481546"/>
    <w:rsid w:val="00481E7E"/>
    <w:rsid w:val="00481EBA"/>
    <w:rsid w:val="00483397"/>
    <w:rsid w:val="00484002"/>
    <w:rsid w:val="004842FF"/>
    <w:rsid w:val="00484ABA"/>
    <w:rsid w:val="004850B7"/>
    <w:rsid w:val="004860F2"/>
    <w:rsid w:val="00486D94"/>
    <w:rsid w:val="00486D9F"/>
    <w:rsid w:val="0048707C"/>
    <w:rsid w:val="00487F2D"/>
    <w:rsid w:val="00490284"/>
    <w:rsid w:val="00490789"/>
    <w:rsid w:val="00490D8C"/>
    <w:rsid w:val="00491EDC"/>
    <w:rsid w:val="0049201F"/>
    <w:rsid w:val="00492A77"/>
    <w:rsid w:val="00492B25"/>
    <w:rsid w:val="00492E52"/>
    <w:rsid w:val="004935F0"/>
    <w:rsid w:val="00493A5F"/>
    <w:rsid w:val="0049462A"/>
    <w:rsid w:val="00495740"/>
    <w:rsid w:val="00495E6A"/>
    <w:rsid w:val="00496E94"/>
    <w:rsid w:val="004972C0"/>
    <w:rsid w:val="0049770E"/>
    <w:rsid w:val="004A1253"/>
    <w:rsid w:val="004A16DB"/>
    <w:rsid w:val="004A1D08"/>
    <w:rsid w:val="004A1EFD"/>
    <w:rsid w:val="004A21FA"/>
    <w:rsid w:val="004A3897"/>
    <w:rsid w:val="004A3BF8"/>
    <w:rsid w:val="004A49A8"/>
    <w:rsid w:val="004A4E30"/>
    <w:rsid w:val="004A522F"/>
    <w:rsid w:val="004A52AA"/>
    <w:rsid w:val="004A54BF"/>
    <w:rsid w:val="004A5887"/>
    <w:rsid w:val="004A5E1F"/>
    <w:rsid w:val="004B0EE4"/>
    <w:rsid w:val="004B1034"/>
    <w:rsid w:val="004B1F80"/>
    <w:rsid w:val="004B2224"/>
    <w:rsid w:val="004B23EF"/>
    <w:rsid w:val="004B3188"/>
    <w:rsid w:val="004B359A"/>
    <w:rsid w:val="004B383E"/>
    <w:rsid w:val="004B3EB4"/>
    <w:rsid w:val="004B4002"/>
    <w:rsid w:val="004B4524"/>
    <w:rsid w:val="004B48C5"/>
    <w:rsid w:val="004B52C5"/>
    <w:rsid w:val="004B598C"/>
    <w:rsid w:val="004B5A9D"/>
    <w:rsid w:val="004B60CC"/>
    <w:rsid w:val="004B6928"/>
    <w:rsid w:val="004B70B0"/>
    <w:rsid w:val="004C2757"/>
    <w:rsid w:val="004C2845"/>
    <w:rsid w:val="004C333B"/>
    <w:rsid w:val="004C3391"/>
    <w:rsid w:val="004C3D02"/>
    <w:rsid w:val="004C44AC"/>
    <w:rsid w:val="004C5068"/>
    <w:rsid w:val="004C556B"/>
    <w:rsid w:val="004C564D"/>
    <w:rsid w:val="004C5762"/>
    <w:rsid w:val="004C5A20"/>
    <w:rsid w:val="004C619B"/>
    <w:rsid w:val="004C6ED3"/>
    <w:rsid w:val="004D1073"/>
    <w:rsid w:val="004D133A"/>
    <w:rsid w:val="004D1913"/>
    <w:rsid w:val="004D1D1E"/>
    <w:rsid w:val="004D27F2"/>
    <w:rsid w:val="004D2827"/>
    <w:rsid w:val="004D2CD7"/>
    <w:rsid w:val="004D2CDA"/>
    <w:rsid w:val="004D49AD"/>
    <w:rsid w:val="004D49D8"/>
    <w:rsid w:val="004D4E23"/>
    <w:rsid w:val="004D4FC2"/>
    <w:rsid w:val="004D531C"/>
    <w:rsid w:val="004D58A1"/>
    <w:rsid w:val="004D7B05"/>
    <w:rsid w:val="004D7ECB"/>
    <w:rsid w:val="004E0E65"/>
    <w:rsid w:val="004E13DB"/>
    <w:rsid w:val="004E3B3E"/>
    <w:rsid w:val="004E5215"/>
    <w:rsid w:val="004E5582"/>
    <w:rsid w:val="004E55D0"/>
    <w:rsid w:val="004E6AE1"/>
    <w:rsid w:val="004E6CD8"/>
    <w:rsid w:val="004E736C"/>
    <w:rsid w:val="004E7728"/>
    <w:rsid w:val="004E7772"/>
    <w:rsid w:val="004E7DD4"/>
    <w:rsid w:val="004F0AE9"/>
    <w:rsid w:val="004F1CA8"/>
    <w:rsid w:val="004F2AB4"/>
    <w:rsid w:val="004F38D2"/>
    <w:rsid w:val="004F4582"/>
    <w:rsid w:val="004F4DD6"/>
    <w:rsid w:val="004F586F"/>
    <w:rsid w:val="004F61DF"/>
    <w:rsid w:val="004F68E4"/>
    <w:rsid w:val="004F6C99"/>
    <w:rsid w:val="004F7319"/>
    <w:rsid w:val="004F792D"/>
    <w:rsid w:val="004F79BE"/>
    <w:rsid w:val="004F7BD7"/>
    <w:rsid w:val="0050009C"/>
    <w:rsid w:val="0050100B"/>
    <w:rsid w:val="00501206"/>
    <w:rsid w:val="00501276"/>
    <w:rsid w:val="0050215B"/>
    <w:rsid w:val="005027E6"/>
    <w:rsid w:val="00502B61"/>
    <w:rsid w:val="0050464F"/>
    <w:rsid w:val="005052A6"/>
    <w:rsid w:val="00505820"/>
    <w:rsid w:val="0050613D"/>
    <w:rsid w:val="005062ED"/>
    <w:rsid w:val="00506F3F"/>
    <w:rsid w:val="00506FF1"/>
    <w:rsid w:val="00507831"/>
    <w:rsid w:val="00507D07"/>
    <w:rsid w:val="005100B5"/>
    <w:rsid w:val="005102E9"/>
    <w:rsid w:val="0051047D"/>
    <w:rsid w:val="00511568"/>
    <w:rsid w:val="00511DB5"/>
    <w:rsid w:val="0051277A"/>
    <w:rsid w:val="00512AC8"/>
    <w:rsid w:val="00512EBC"/>
    <w:rsid w:val="00513C56"/>
    <w:rsid w:val="00513E1F"/>
    <w:rsid w:val="0051416E"/>
    <w:rsid w:val="005148CD"/>
    <w:rsid w:val="00514B87"/>
    <w:rsid w:val="00514D9F"/>
    <w:rsid w:val="00516004"/>
    <w:rsid w:val="00516B56"/>
    <w:rsid w:val="00520732"/>
    <w:rsid w:val="00521456"/>
    <w:rsid w:val="0052155A"/>
    <w:rsid w:val="0052197E"/>
    <w:rsid w:val="00522A2C"/>
    <w:rsid w:val="00523399"/>
    <w:rsid w:val="005237D7"/>
    <w:rsid w:val="0052432B"/>
    <w:rsid w:val="00525A33"/>
    <w:rsid w:val="00525DEC"/>
    <w:rsid w:val="00526081"/>
    <w:rsid w:val="00526087"/>
    <w:rsid w:val="005261D6"/>
    <w:rsid w:val="00526FD5"/>
    <w:rsid w:val="005277F5"/>
    <w:rsid w:val="0052788C"/>
    <w:rsid w:val="00527CAB"/>
    <w:rsid w:val="00530064"/>
    <w:rsid w:val="005303BD"/>
    <w:rsid w:val="00530660"/>
    <w:rsid w:val="00530984"/>
    <w:rsid w:val="0053216C"/>
    <w:rsid w:val="00533970"/>
    <w:rsid w:val="005339D1"/>
    <w:rsid w:val="00533DBA"/>
    <w:rsid w:val="00534405"/>
    <w:rsid w:val="0053455A"/>
    <w:rsid w:val="00534825"/>
    <w:rsid w:val="00534CAE"/>
    <w:rsid w:val="00534DDC"/>
    <w:rsid w:val="005351C1"/>
    <w:rsid w:val="005352A8"/>
    <w:rsid w:val="0053545D"/>
    <w:rsid w:val="00537A27"/>
    <w:rsid w:val="0054029D"/>
    <w:rsid w:val="00540588"/>
    <w:rsid w:val="00540F25"/>
    <w:rsid w:val="00540F72"/>
    <w:rsid w:val="005417F8"/>
    <w:rsid w:val="00541B65"/>
    <w:rsid w:val="005423FA"/>
    <w:rsid w:val="00542605"/>
    <w:rsid w:val="005431AA"/>
    <w:rsid w:val="005433FC"/>
    <w:rsid w:val="005438E5"/>
    <w:rsid w:val="0054439A"/>
    <w:rsid w:val="005443D2"/>
    <w:rsid w:val="00546602"/>
    <w:rsid w:val="005468E1"/>
    <w:rsid w:val="005469F0"/>
    <w:rsid w:val="00547BA7"/>
    <w:rsid w:val="00547C1E"/>
    <w:rsid w:val="005503DC"/>
    <w:rsid w:val="00550683"/>
    <w:rsid w:val="00550696"/>
    <w:rsid w:val="00551016"/>
    <w:rsid w:val="00552D80"/>
    <w:rsid w:val="00553D15"/>
    <w:rsid w:val="00553E4B"/>
    <w:rsid w:val="005549A9"/>
    <w:rsid w:val="005550E7"/>
    <w:rsid w:val="00555152"/>
    <w:rsid w:val="005556E7"/>
    <w:rsid w:val="00555919"/>
    <w:rsid w:val="00555BA8"/>
    <w:rsid w:val="00556A58"/>
    <w:rsid w:val="00557FF2"/>
    <w:rsid w:val="005602DE"/>
    <w:rsid w:val="005602F6"/>
    <w:rsid w:val="005603F5"/>
    <w:rsid w:val="00560A1C"/>
    <w:rsid w:val="00560F52"/>
    <w:rsid w:val="005610F3"/>
    <w:rsid w:val="005626BA"/>
    <w:rsid w:val="005628A5"/>
    <w:rsid w:val="005635FA"/>
    <w:rsid w:val="0056363A"/>
    <w:rsid w:val="00563A48"/>
    <w:rsid w:val="00564155"/>
    <w:rsid w:val="005647F5"/>
    <w:rsid w:val="00565FE9"/>
    <w:rsid w:val="00566163"/>
    <w:rsid w:val="00566AC0"/>
    <w:rsid w:val="00566DA2"/>
    <w:rsid w:val="00566FCC"/>
    <w:rsid w:val="00567436"/>
    <w:rsid w:val="00567610"/>
    <w:rsid w:val="00567B6A"/>
    <w:rsid w:val="0057026B"/>
    <w:rsid w:val="0057033B"/>
    <w:rsid w:val="0057112B"/>
    <w:rsid w:val="00572BD8"/>
    <w:rsid w:val="00573791"/>
    <w:rsid w:val="005737AB"/>
    <w:rsid w:val="00573D59"/>
    <w:rsid w:val="00574140"/>
    <w:rsid w:val="0057472B"/>
    <w:rsid w:val="005749D6"/>
    <w:rsid w:val="005755C2"/>
    <w:rsid w:val="00576F0C"/>
    <w:rsid w:val="00576F82"/>
    <w:rsid w:val="005800F9"/>
    <w:rsid w:val="00580235"/>
    <w:rsid w:val="0058030C"/>
    <w:rsid w:val="0058066D"/>
    <w:rsid w:val="0058093E"/>
    <w:rsid w:val="005809C8"/>
    <w:rsid w:val="0058184A"/>
    <w:rsid w:val="00581A79"/>
    <w:rsid w:val="00582EE4"/>
    <w:rsid w:val="005830AB"/>
    <w:rsid w:val="005834A2"/>
    <w:rsid w:val="0058364B"/>
    <w:rsid w:val="005836A5"/>
    <w:rsid w:val="005838FE"/>
    <w:rsid w:val="00583E47"/>
    <w:rsid w:val="00584D1E"/>
    <w:rsid w:val="005857ED"/>
    <w:rsid w:val="0058591B"/>
    <w:rsid w:val="005863EA"/>
    <w:rsid w:val="005873B5"/>
    <w:rsid w:val="005879E2"/>
    <w:rsid w:val="00587A87"/>
    <w:rsid w:val="0059036D"/>
    <w:rsid w:val="00590589"/>
    <w:rsid w:val="00590A32"/>
    <w:rsid w:val="00590CF3"/>
    <w:rsid w:val="00591550"/>
    <w:rsid w:val="00591ACE"/>
    <w:rsid w:val="00591D4B"/>
    <w:rsid w:val="0059235F"/>
    <w:rsid w:val="00592505"/>
    <w:rsid w:val="00592DD3"/>
    <w:rsid w:val="0059311B"/>
    <w:rsid w:val="00593216"/>
    <w:rsid w:val="00593645"/>
    <w:rsid w:val="00593EB6"/>
    <w:rsid w:val="005940AC"/>
    <w:rsid w:val="005940E0"/>
    <w:rsid w:val="00594996"/>
    <w:rsid w:val="00594DF5"/>
    <w:rsid w:val="00594E10"/>
    <w:rsid w:val="00595006"/>
    <w:rsid w:val="00595A2F"/>
    <w:rsid w:val="00595DDB"/>
    <w:rsid w:val="0059607C"/>
    <w:rsid w:val="00596413"/>
    <w:rsid w:val="00597400"/>
    <w:rsid w:val="005976BC"/>
    <w:rsid w:val="005978CD"/>
    <w:rsid w:val="005A0F5C"/>
    <w:rsid w:val="005A10CE"/>
    <w:rsid w:val="005A16D6"/>
    <w:rsid w:val="005A17F1"/>
    <w:rsid w:val="005A18CC"/>
    <w:rsid w:val="005A18D1"/>
    <w:rsid w:val="005A2411"/>
    <w:rsid w:val="005A2876"/>
    <w:rsid w:val="005A3E32"/>
    <w:rsid w:val="005A458D"/>
    <w:rsid w:val="005A4B38"/>
    <w:rsid w:val="005A59EC"/>
    <w:rsid w:val="005A64A3"/>
    <w:rsid w:val="005A64F3"/>
    <w:rsid w:val="005A66F0"/>
    <w:rsid w:val="005A7C5D"/>
    <w:rsid w:val="005B0288"/>
    <w:rsid w:val="005B03C5"/>
    <w:rsid w:val="005B27D2"/>
    <w:rsid w:val="005B4FC4"/>
    <w:rsid w:val="005B533C"/>
    <w:rsid w:val="005B5550"/>
    <w:rsid w:val="005B5FF0"/>
    <w:rsid w:val="005B68FF"/>
    <w:rsid w:val="005B76FF"/>
    <w:rsid w:val="005C0431"/>
    <w:rsid w:val="005C0674"/>
    <w:rsid w:val="005C14D0"/>
    <w:rsid w:val="005C1D23"/>
    <w:rsid w:val="005C223D"/>
    <w:rsid w:val="005C2F5C"/>
    <w:rsid w:val="005C4144"/>
    <w:rsid w:val="005C5E97"/>
    <w:rsid w:val="005C6290"/>
    <w:rsid w:val="005C724B"/>
    <w:rsid w:val="005C72B7"/>
    <w:rsid w:val="005C7F65"/>
    <w:rsid w:val="005C7F74"/>
    <w:rsid w:val="005D109C"/>
    <w:rsid w:val="005D1240"/>
    <w:rsid w:val="005D1820"/>
    <w:rsid w:val="005D191B"/>
    <w:rsid w:val="005D30D9"/>
    <w:rsid w:val="005D3BEF"/>
    <w:rsid w:val="005D4055"/>
    <w:rsid w:val="005D4323"/>
    <w:rsid w:val="005D4B17"/>
    <w:rsid w:val="005D65AF"/>
    <w:rsid w:val="005D6D03"/>
    <w:rsid w:val="005D703A"/>
    <w:rsid w:val="005D7076"/>
    <w:rsid w:val="005D71E4"/>
    <w:rsid w:val="005D7F4C"/>
    <w:rsid w:val="005E018F"/>
    <w:rsid w:val="005E1642"/>
    <w:rsid w:val="005E1824"/>
    <w:rsid w:val="005E1D89"/>
    <w:rsid w:val="005E22E8"/>
    <w:rsid w:val="005E248C"/>
    <w:rsid w:val="005E289A"/>
    <w:rsid w:val="005E2C78"/>
    <w:rsid w:val="005E2F94"/>
    <w:rsid w:val="005E375B"/>
    <w:rsid w:val="005E39CC"/>
    <w:rsid w:val="005E4036"/>
    <w:rsid w:val="005E4ABD"/>
    <w:rsid w:val="005E513F"/>
    <w:rsid w:val="005E55DB"/>
    <w:rsid w:val="005E5925"/>
    <w:rsid w:val="005E606A"/>
    <w:rsid w:val="005E66B2"/>
    <w:rsid w:val="005E7EB7"/>
    <w:rsid w:val="005F0483"/>
    <w:rsid w:val="005F0554"/>
    <w:rsid w:val="005F08FE"/>
    <w:rsid w:val="005F1E2B"/>
    <w:rsid w:val="005F245C"/>
    <w:rsid w:val="005F31DA"/>
    <w:rsid w:val="005F3298"/>
    <w:rsid w:val="005F38F3"/>
    <w:rsid w:val="005F3F63"/>
    <w:rsid w:val="005F44A0"/>
    <w:rsid w:val="005F4551"/>
    <w:rsid w:val="005F4595"/>
    <w:rsid w:val="005F58CF"/>
    <w:rsid w:val="005F5C23"/>
    <w:rsid w:val="005F5D20"/>
    <w:rsid w:val="005F65E6"/>
    <w:rsid w:val="005F65FA"/>
    <w:rsid w:val="005F78F0"/>
    <w:rsid w:val="00600379"/>
    <w:rsid w:val="006008F4"/>
    <w:rsid w:val="00600B9B"/>
    <w:rsid w:val="0060166B"/>
    <w:rsid w:val="006027CE"/>
    <w:rsid w:val="006029ED"/>
    <w:rsid w:val="0060344D"/>
    <w:rsid w:val="00603DA2"/>
    <w:rsid w:val="00605366"/>
    <w:rsid w:val="006062A5"/>
    <w:rsid w:val="0060673C"/>
    <w:rsid w:val="00610123"/>
    <w:rsid w:val="006102CD"/>
    <w:rsid w:val="00610972"/>
    <w:rsid w:val="006109AA"/>
    <w:rsid w:val="0061225E"/>
    <w:rsid w:val="006125EB"/>
    <w:rsid w:val="00612654"/>
    <w:rsid w:val="006131DC"/>
    <w:rsid w:val="006135B5"/>
    <w:rsid w:val="00613E59"/>
    <w:rsid w:val="006149A1"/>
    <w:rsid w:val="006149C0"/>
    <w:rsid w:val="00614E9A"/>
    <w:rsid w:val="006161E3"/>
    <w:rsid w:val="006164D8"/>
    <w:rsid w:val="00616617"/>
    <w:rsid w:val="00616A6C"/>
    <w:rsid w:val="00616AAF"/>
    <w:rsid w:val="0061728A"/>
    <w:rsid w:val="00617878"/>
    <w:rsid w:val="00617D0E"/>
    <w:rsid w:val="0062023D"/>
    <w:rsid w:val="006202AD"/>
    <w:rsid w:val="00620CF7"/>
    <w:rsid w:val="00620E71"/>
    <w:rsid w:val="0062135F"/>
    <w:rsid w:val="006218B2"/>
    <w:rsid w:val="00623412"/>
    <w:rsid w:val="00624265"/>
    <w:rsid w:val="00624E73"/>
    <w:rsid w:val="00624EA9"/>
    <w:rsid w:val="00625078"/>
    <w:rsid w:val="006250F0"/>
    <w:rsid w:val="0062527B"/>
    <w:rsid w:val="00625B1C"/>
    <w:rsid w:val="00626410"/>
    <w:rsid w:val="00626954"/>
    <w:rsid w:val="00626AAD"/>
    <w:rsid w:val="00626DCA"/>
    <w:rsid w:val="0062730B"/>
    <w:rsid w:val="00627403"/>
    <w:rsid w:val="00630B95"/>
    <w:rsid w:val="00632160"/>
    <w:rsid w:val="00632982"/>
    <w:rsid w:val="00633F41"/>
    <w:rsid w:val="00633FC9"/>
    <w:rsid w:val="006341AA"/>
    <w:rsid w:val="006346B3"/>
    <w:rsid w:val="00635569"/>
    <w:rsid w:val="006355C6"/>
    <w:rsid w:val="00636188"/>
    <w:rsid w:val="0063671C"/>
    <w:rsid w:val="00636CD0"/>
    <w:rsid w:val="00636CFF"/>
    <w:rsid w:val="00637246"/>
    <w:rsid w:val="006376F3"/>
    <w:rsid w:val="00637955"/>
    <w:rsid w:val="00637B29"/>
    <w:rsid w:val="00637B2D"/>
    <w:rsid w:val="00637FB7"/>
    <w:rsid w:val="00640239"/>
    <w:rsid w:val="00640A1B"/>
    <w:rsid w:val="00640B1E"/>
    <w:rsid w:val="006416D1"/>
    <w:rsid w:val="00641ADD"/>
    <w:rsid w:val="00642DBA"/>
    <w:rsid w:val="00643D32"/>
    <w:rsid w:val="00644EBC"/>
    <w:rsid w:val="006467FD"/>
    <w:rsid w:val="00646CC3"/>
    <w:rsid w:val="00646F48"/>
    <w:rsid w:val="00647081"/>
    <w:rsid w:val="006509DD"/>
    <w:rsid w:val="00650D21"/>
    <w:rsid w:val="00650EE8"/>
    <w:rsid w:val="00651529"/>
    <w:rsid w:val="00651C29"/>
    <w:rsid w:val="0065220A"/>
    <w:rsid w:val="006536E6"/>
    <w:rsid w:val="00653C2C"/>
    <w:rsid w:val="00654604"/>
    <w:rsid w:val="00654764"/>
    <w:rsid w:val="00655037"/>
    <w:rsid w:val="0065515E"/>
    <w:rsid w:val="006553DB"/>
    <w:rsid w:val="0065566E"/>
    <w:rsid w:val="0065592C"/>
    <w:rsid w:val="00656CED"/>
    <w:rsid w:val="00657527"/>
    <w:rsid w:val="0065773D"/>
    <w:rsid w:val="006579E5"/>
    <w:rsid w:val="00657B79"/>
    <w:rsid w:val="00657CF5"/>
    <w:rsid w:val="00660483"/>
    <w:rsid w:val="00660EF8"/>
    <w:rsid w:val="006614B7"/>
    <w:rsid w:val="006616C4"/>
    <w:rsid w:val="00661700"/>
    <w:rsid w:val="00662D6E"/>
    <w:rsid w:val="006630A1"/>
    <w:rsid w:val="006639EE"/>
    <w:rsid w:val="00663CE5"/>
    <w:rsid w:val="00663DDD"/>
    <w:rsid w:val="00663ED7"/>
    <w:rsid w:val="00664205"/>
    <w:rsid w:val="00664578"/>
    <w:rsid w:val="0066554E"/>
    <w:rsid w:val="0066596F"/>
    <w:rsid w:val="006667EE"/>
    <w:rsid w:val="006669B8"/>
    <w:rsid w:val="00666AC9"/>
    <w:rsid w:val="006672CD"/>
    <w:rsid w:val="00667393"/>
    <w:rsid w:val="00667B73"/>
    <w:rsid w:val="006707F1"/>
    <w:rsid w:val="00670C8B"/>
    <w:rsid w:val="006714D7"/>
    <w:rsid w:val="006715E9"/>
    <w:rsid w:val="00672167"/>
    <w:rsid w:val="0067281D"/>
    <w:rsid w:val="00674137"/>
    <w:rsid w:val="0067454E"/>
    <w:rsid w:val="006749C3"/>
    <w:rsid w:val="00675DD3"/>
    <w:rsid w:val="00677A6B"/>
    <w:rsid w:val="00677A91"/>
    <w:rsid w:val="0068079A"/>
    <w:rsid w:val="00680E16"/>
    <w:rsid w:val="006838F8"/>
    <w:rsid w:val="0068415A"/>
    <w:rsid w:val="00684C3D"/>
    <w:rsid w:val="0068503C"/>
    <w:rsid w:val="00685291"/>
    <w:rsid w:val="00685A26"/>
    <w:rsid w:val="00686A57"/>
    <w:rsid w:val="006870D2"/>
    <w:rsid w:val="006872F4"/>
    <w:rsid w:val="00687B06"/>
    <w:rsid w:val="0069019A"/>
    <w:rsid w:val="00690B86"/>
    <w:rsid w:val="00690D03"/>
    <w:rsid w:val="00690E11"/>
    <w:rsid w:val="00691947"/>
    <w:rsid w:val="00692008"/>
    <w:rsid w:val="0069405B"/>
    <w:rsid w:val="00694F79"/>
    <w:rsid w:val="006964E8"/>
    <w:rsid w:val="00696840"/>
    <w:rsid w:val="006973C8"/>
    <w:rsid w:val="00697EB8"/>
    <w:rsid w:val="006A01D5"/>
    <w:rsid w:val="006A084C"/>
    <w:rsid w:val="006A132D"/>
    <w:rsid w:val="006A2B59"/>
    <w:rsid w:val="006A3B2F"/>
    <w:rsid w:val="006A3CE0"/>
    <w:rsid w:val="006A4151"/>
    <w:rsid w:val="006A41B7"/>
    <w:rsid w:val="006A43F3"/>
    <w:rsid w:val="006A4702"/>
    <w:rsid w:val="006A5010"/>
    <w:rsid w:val="006A528D"/>
    <w:rsid w:val="006A5C71"/>
    <w:rsid w:val="006A6909"/>
    <w:rsid w:val="006A6988"/>
    <w:rsid w:val="006A6FBA"/>
    <w:rsid w:val="006A7CD8"/>
    <w:rsid w:val="006A7CF1"/>
    <w:rsid w:val="006A7F81"/>
    <w:rsid w:val="006B0C57"/>
    <w:rsid w:val="006B0DA7"/>
    <w:rsid w:val="006B1548"/>
    <w:rsid w:val="006B1EB9"/>
    <w:rsid w:val="006B2347"/>
    <w:rsid w:val="006B272E"/>
    <w:rsid w:val="006B32EE"/>
    <w:rsid w:val="006B3FB9"/>
    <w:rsid w:val="006B4BF2"/>
    <w:rsid w:val="006B538A"/>
    <w:rsid w:val="006B59DA"/>
    <w:rsid w:val="006B5A07"/>
    <w:rsid w:val="006B5DBB"/>
    <w:rsid w:val="006B5DD6"/>
    <w:rsid w:val="006B6680"/>
    <w:rsid w:val="006B66D1"/>
    <w:rsid w:val="006B6982"/>
    <w:rsid w:val="006B7938"/>
    <w:rsid w:val="006B7EEA"/>
    <w:rsid w:val="006C0365"/>
    <w:rsid w:val="006C1541"/>
    <w:rsid w:val="006C1ACF"/>
    <w:rsid w:val="006C1E3B"/>
    <w:rsid w:val="006C2296"/>
    <w:rsid w:val="006C2362"/>
    <w:rsid w:val="006C3BA3"/>
    <w:rsid w:val="006C4273"/>
    <w:rsid w:val="006C502E"/>
    <w:rsid w:val="006C57B2"/>
    <w:rsid w:val="006C6C01"/>
    <w:rsid w:val="006C7DCA"/>
    <w:rsid w:val="006D060E"/>
    <w:rsid w:val="006D0819"/>
    <w:rsid w:val="006D11DA"/>
    <w:rsid w:val="006D2060"/>
    <w:rsid w:val="006D21BC"/>
    <w:rsid w:val="006D3FDC"/>
    <w:rsid w:val="006D4DD4"/>
    <w:rsid w:val="006D4E02"/>
    <w:rsid w:val="006D521F"/>
    <w:rsid w:val="006D52F1"/>
    <w:rsid w:val="006D539E"/>
    <w:rsid w:val="006D5B43"/>
    <w:rsid w:val="006D668D"/>
    <w:rsid w:val="006D6908"/>
    <w:rsid w:val="006D6D4B"/>
    <w:rsid w:val="006D71E4"/>
    <w:rsid w:val="006E044D"/>
    <w:rsid w:val="006E0497"/>
    <w:rsid w:val="006E0F25"/>
    <w:rsid w:val="006E177D"/>
    <w:rsid w:val="006E2312"/>
    <w:rsid w:val="006E2F4D"/>
    <w:rsid w:val="006E3834"/>
    <w:rsid w:val="006E3B89"/>
    <w:rsid w:val="006E3F79"/>
    <w:rsid w:val="006E59EF"/>
    <w:rsid w:val="006E5CF3"/>
    <w:rsid w:val="006E65C8"/>
    <w:rsid w:val="006E665D"/>
    <w:rsid w:val="006F1930"/>
    <w:rsid w:val="006F1B30"/>
    <w:rsid w:val="006F2D96"/>
    <w:rsid w:val="006F3D1E"/>
    <w:rsid w:val="006F495A"/>
    <w:rsid w:val="006F5528"/>
    <w:rsid w:val="006F5925"/>
    <w:rsid w:val="006F7D43"/>
    <w:rsid w:val="00700786"/>
    <w:rsid w:val="00700DEA"/>
    <w:rsid w:val="00700F59"/>
    <w:rsid w:val="00701DB2"/>
    <w:rsid w:val="0070206D"/>
    <w:rsid w:val="007029BA"/>
    <w:rsid w:val="007030B5"/>
    <w:rsid w:val="007036D0"/>
    <w:rsid w:val="007036E5"/>
    <w:rsid w:val="007050F1"/>
    <w:rsid w:val="007052FA"/>
    <w:rsid w:val="007055A9"/>
    <w:rsid w:val="00705A14"/>
    <w:rsid w:val="00705C22"/>
    <w:rsid w:val="0070615D"/>
    <w:rsid w:val="007066C9"/>
    <w:rsid w:val="007066E6"/>
    <w:rsid w:val="00707126"/>
    <w:rsid w:val="00710AB4"/>
    <w:rsid w:val="00711074"/>
    <w:rsid w:val="0071127B"/>
    <w:rsid w:val="007120B2"/>
    <w:rsid w:val="00712460"/>
    <w:rsid w:val="00712F98"/>
    <w:rsid w:val="0071436A"/>
    <w:rsid w:val="0071522F"/>
    <w:rsid w:val="007154DA"/>
    <w:rsid w:val="00716382"/>
    <w:rsid w:val="007168FB"/>
    <w:rsid w:val="00717215"/>
    <w:rsid w:val="007201D8"/>
    <w:rsid w:val="00721619"/>
    <w:rsid w:val="00721CE3"/>
    <w:rsid w:val="00722BF8"/>
    <w:rsid w:val="0072334C"/>
    <w:rsid w:val="00723454"/>
    <w:rsid w:val="0072373D"/>
    <w:rsid w:val="00724895"/>
    <w:rsid w:val="0072501C"/>
    <w:rsid w:val="00725BA8"/>
    <w:rsid w:val="00726157"/>
    <w:rsid w:val="007265C0"/>
    <w:rsid w:val="00726DAB"/>
    <w:rsid w:val="007306A4"/>
    <w:rsid w:val="007308D8"/>
    <w:rsid w:val="00731B29"/>
    <w:rsid w:val="00731D43"/>
    <w:rsid w:val="007326B8"/>
    <w:rsid w:val="00732A38"/>
    <w:rsid w:val="00732B13"/>
    <w:rsid w:val="007335CD"/>
    <w:rsid w:val="00733CA1"/>
    <w:rsid w:val="00734013"/>
    <w:rsid w:val="007346E1"/>
    <w:rsid w:val="0073493F"/>
    <w:rsid w:val="00735B25"/>
    <w:rsid w:val="00737F37"/>
    <w:rsid w:val="0074010B"/>
    <w:rsid w:val="0074264A"/>
    <w:rsid w:val="00742A59"/>
    <w:rsid w:val="00743FAC"/>
    <w:rsid w:val="007445B0"/>
    <w:rsid w:val="007451AA"/>
    <w:rsid w:val="007457D6"/>
    <w:rsid w:val="00746363"/>
    <w:rsid w:val="00746B0B"/>
    <w:rsid w:val="0074777F"/>
    <w:rsid w:val="00747A95"/>
    <w:rsid w:val="00747C84"/>
    <w:rsid w:val="0075081C"/>
    <w:rsid w:val="00752510"/>
    <w:rsid w:val="00752845"/>
    <w:rsid w:val="00753452"/>
    <w:rsid w:val="0075378C"/>
    <w:rsid w:val="007542B1"/>
    <w:rsid w:val="00754401"/>
    <w:rsid w:val="00754460"/>
    <w:rsid w:val="00754BD7"/>
    <w:rsid w:val="00754F8F"/>
    <w:rsid w:val="00755177"/>
    <w:rsid w:val="0075523D"/>
    <w:rsid w:val="007556EC"/>
    <w:rsid w:val="00756604"/>
    <w:rsid w:val="00756F00"/>
    <w:rsid w:val="0075743F"/>
    <w:rsid w:val="00757870"/>
    <w:rsid w:val="00757E6C"/>
    <w:rsid w:val="007608A5"/>
    <w:rsid w:val="00760A1A"/>
    <w:rsid w:val="00761E9B"/>
    <w:rsid w:val="007620E2"/>
    <w:rsid w:val="0076273C"/>
    <w:rsid w:val="007632F1"/>
    <w:rsid w:val="00763362"/>
    <w:rsid w:val="0076391F"/>
    <w:rsid w:val="00763C8E"/>
    <w:rsid w:val="007643A4"/>
    <w:rsid w:val="00764AF3"/>
    <w:rsid w:val="00764DB3"/>
    <w:rsid w:val="007651E0"/>
    <w:rsid w:val="007656C9"/>
    <w:rsid w:val="0076614A"/>
    <w:rsid w:val="007666AF"/>
    <w:rsid w:val="007668A0"/>
    <w:rsid w:val="007669FE"/>
    <w:rsid w:val="00766AE7"/>
    <w:rsid w:val="0076774D"/>
    <w:rsid w:val="0077001D"/>
    <w:rsid w:val="00770207"/>
    <w:rsid w:val="00770E05"/>
    <w:rsid w:val="00770F96"/>
    <w:rsid w:val="007728D0"/>
    <w:rsid w:val="00772F51"/>
    <w:rsid w:val="007734EB"/>
    <w:rsid w:val="00773560"/>
    <w:rsid w:val="007741A3"/>
    <w:rsid w:val="00774BAC"/>
    <w:rsid w:val="00774E17"/>
    <w:rsid w:val="00775AFE"/>
    <w:rsid w:val="0077672C"/>
    <w:rsid w:val="00777A60"/>
    <w:rsid w:val="00777DBD"/>
    <w:rsid w:val="00780BE4"/>
    <w:rsid w:val="00780FE1"/>
    <w:rsid w:val="00781226"/>
    <w:rsid w:val="00781405"/>
    <w:rsid w:val="00781DA5"/>
    <w:rsid w:val="00782597"/>
    <w:rsid w:val="007842AD"/>
    <w:rsid w:val="007846DB"/>
    <w:rsid w:val="007847A5"/>
    <w:rsid w:val="007847AD"/>
    <w:rsid w:val="00784F9F"/>
    <w:rsid w:val="00784FDE"/>
    <w:rsid w:val="007856D1"/>
    <w:rsid w:val="00785CAC"/>
    <w:rsid w:val="007873F7"/>
    <w:rsid w:val="00787764"/>
    <w:rsid w:val="007901AF"/>
    <w:rsid w:val="0079024D"/>
    <w:rsid w:val="0079046A"/>
    <w:rsid w:val="0079061A"/>
    <w:rsid w:val="00790E41"/>
    <w:rsid w:val="0079147D"/>
    <w:rsid w:val="00791906"/>
    <w:rsid w:val="00792260"/>
    <w:rsid w:val="007926C1"/>
    <w:rsid w:val="00792981"/>
    <w:rsid w:val="00793402"/>
    <w:rsid w:val="00793E91"/>
    <w:rsid w:val="00794D8C"/>
    <w:rsid w:val="0079532C"/>
    <w:rsid w:val="007954E0"/>
    <w:rsid w:val="00795D57"/>
    <w:rsid w:val="00796078"/>
    <w:rsid w:val="00796D02"/>
    <w:rsid w:val="00796F6E"/>
    <w:rsid w:val="007975CB"/>
    <w:rsid w:val="00797BAB"/>
    <w:rsid w:val="00797F16"/>
    <w:rsid w:val="007A067F"/>
    <w:rsid w:val="007A10D1"/>
    <w:rsid w:val="007A142D"/>
    <w:rsid w:val="007A169A"/>
    <w:rsid w:val="007A1BF2"/>
    <w:rsid w:val="007A1EB3"/>
    <w:rsid w:val="007A253C"/>
    <w:rsid w:val="007A2A35"/>
    <w:rsid w:val="007A393D"/>
    <w:rsid w:val="007A3C22"/>
    <w:rsid w:val="007A3E7D"/>
    <w:rsid w:val="007A40AD"/>
    <w:rsid w:val="007A4452"/>
    <w:rsid w:val="007A487D"/>
    <w:rsid w:val="007A4CEB"/>
    <w:rsid w:val="007A4F5F"/>
    <w:rsid w:val="007A5D3E"/>
    <w:rsid w:val="007A767E"/>
    <w:rsid w:val="007B0B72"/>
    <w:rsid w:val="007B1031"/>
    <w:rsid w:val="007B1A56"/>
    <w:rsid w:val="007B1E3D"/>
    <w:rsid w:val="007B221E"/>
    <w:rsid w:val="007B34F0"/>
    <w:rsid w:val="007B3733"/>
    <w:rsid w:val="007B3FDA"/>
    <w:rsid w:val="007B41A0"/>
    <w:rsid w:val="007B4819"/>
    <w:rsid w:val="007B50B0"/>
    <w:rsid w:val="007B53FB"/>
    <w:rsid w:val="007B617D"/>
    <w:rsid w:val="007B671E"/>
    <w:rsid w:val="007B6B23"/>
    <w:rsid w:val="007B6C6E"/>
    <w:rsid w:val="007B7781"/>
    <w:rsid w:val="007B7D12"/>
    <w:rsid w:val="007C01DE"/>
    <w:rsid w:val="007C037A"/>
    <w:rsid w:val="007C0928"/>
    <w:rsid w:val="007C0B2A"/>
    <w:rsid w:val="007C0E95"/>
    <w:rsid w:val="007C226D"/>
    <w:rsid w:val="007C25DF"/>
    <w:rsid w:val="007C2765"/>
    <w:rsid w:val="007C2C82"/>
    <w:rsid w:val="007C2EE4"/>
    <w:rsid w:val="007C532E"/>
    <w:rsid w:val="007C65AB"/>
    <w:rsid w:val="007C684F"/>
    <w:rsid w:val="007C7D0A"/>
    <w:rsid w:val="007D00FC"/>
    <w:rsid w:val="007D01B9"/>
    <w:rsid w:val="007D162C"/>
    <w:rsid w:val="007D20C1"/>
    <w:rsid w:val="007D25A9"/>
    <w:rsid w:val="007D2CB1"/>
    <w:rsid w:val="007D3407"/>
    <w:rsid w:val="007D35D3"/>
    <w:rsid w:val="007D3922"/>
    <w:rsid w:val="007D3D97"/>
    <w:rsid w:val="007D406E"/>
    <w:rsid w:val="007D41A0"/>
    <w:rsid w:val="007D42C4"/>
    <w:rsid w:val="007D4AF1"/>
    <w:rsid w:val="007D5104"/>
    <w:rsid w:val="007D5260"/>
    <w:rsid w:val="007D6315"/>
    <w:rsid w:val="007D71A8"/>
    <w:rsid w:val="007D75C7"/>
    <w:rsid w:val="007D7E92"/>
    <w:rsid w:val="007E043E"/>
    <w:rsid w:val="007E0A80"/>
    <w:rsid w:val="007E17AF"/>
    <w:rsid w:val="007E1B52"/>
    <w:rsid w:val="007E27F0"/>
    <w:rsid w:val="007E2978"/>
    <w:rsid w:val="007E2D41"/>
    <w:rsid w:val="007E3EDC"/>
    <w:rsid w:val="007E4B81"/>
    <w:rsid w:val="007E4F8B"/>
    <w:rsid w:val="007E55F6"/>
    <w:rsid w:val="007E5CE9"/>
    <w:rsid w:val="007E5DA2"/>
    <w:rsid w:val="007E6F5D"/>
    <w:rsid w:val="007E70A2"/>
    <w:rsid w:val="007E72CE"/>
    <w:rsid w:val="007E7469"/>
    <w:rsid w:val="007E75AA"/>
    <w:rsid w:val="007F00C3"/>
    <w:rsid w:val="007F037F"/>
    <w:rsid w:val="007F0993"/>
    <w:rsid w:val="007F0A73"/>
    <w:rsid w:val="007F1042"/>
    <w:rsid w:val="007F14C5"/>
    <w:rsid w:val="007F233F"/>
    <w:rsid w:val="007F24E6"/>
    <w:rsid w:val="007F2793"/>
    <w:rsid w:val="007F3A79"/>
    <w:rsid w:val="007F3B83"/>
    <w:rsid w:val="007F4380"/>
    <w:rsid w:val="007F50C7"/>
    <w:rsid w:val="007F57D8"/>
    <w:rsid w:val="007F5A7D"/>
    <w:rsid w:val="007F5B02"/>
    <w:rsid w:val="007F6629"/>
    <w:rsid w:val="007F683E"/>
    <w:rsid w:val="007F6A04"/>
    <w:rsid w:val="007F6C4B"/>
    <w:rsid w:val="007F6C6A"/>
    <w:rsid w:val="007F6CDD"/>
    <w:rsid w:val="007F7507"/>
    <w:rsid w:val="007F7614"/>
    <w:rsid w:val="008007E1"/>
    <w:rsid w:val="00801242"/>
    <w:rsid w:val="00802156"/>
    <w:rsid w:val="00802AFE"/>
    <w:rsid w:val="008036FD"/>
    <w:rsid w:val="00803BAE"/>
    <w:rsid w:val="008041C1"/>
    <w:rsid w:val="0080435C"/>
    <w:rsid w:val="00804CED"/>
    <w:rsid w:val="00806A62"/>
    <w:rsid w:val="00807C86"/>
    <w:rsid w:val="00807DD0"/>
    <w:rsid w:val="00807EF3"/>
    <w:rsid w:val="0081187A"/>
    <w:rsid w:val="00812064"/>
    <w:rsid w:val="008121C5"/>
    <w:rsid w:val="0081280B"/>
    <w:rsid w:val="0081385D"/>
    <w:rsid w:val="00813D56"/>
    <w:rsid w:val="008143DA"/>
    <w:rsid w:val="00814D6F"/>
    <w:rsid w:val="00815213"/>
    <w:rsid w:val="00815964"/>
    <w:rsid w:val="008159AE"/>
    <w:rsid w:val="00815F9D"/>
    <w:rsid w:val="00816676"/>
    <w:rsid w:val="0081673A"/>
    <w:rsid w:val="00816FBA"/>
    <w:rsid w:val="00817F67"/>
    <w:rsid w:val="008203E9"/>
    <w:rsid w:val="00821092"/>
    <w:rsid w:val="008217F8"/>
    <w:rsid w:val="00822AB7"/>
    <w:rsid w:val="008233CF"/>
    <w:rsid w:val="00824039"/>
    <w:rsid w:val="008240AB"/>
    <w:rsid w:val="00824FA7"/>
    <w:rsid w:val="008260E7"/>
    <w:rsid w:val="00827022"/>
    <w:rsid w:val="008278DB"/>
    <w:rsid w:val="00830219"/>
    <w:rsid w:val="00830271"/>
    <w:rsid w:val="008309D8"/>
    <w:rsid w:val="00831657"/>
    <w:rsid w:val="008324DC"/>
    <w:rsid w:val="008349F4"/>
    <w:rsid w:val="00834BDD"/>
    <w:rsid w:val="0083581A"/>
    <w:rsid w:val="00835A64"/>
    <w:rsid w:val="00835B4D"/>
    <w:rsid w:val="00835E63"/>
    <w:rsid w:val="00836EA1"/>
    <w:rsid w:val="00837776"/>
    <w:rsid w:val="00837E36"/>
    <w:rsid w:val="0084044B"/>
    <w:rsid w:val="008406A4"/>
    <w:rsid w:val="008422C8"/>
    <w:rsid w:val="00842850"/>
    <w:rsid w:val="008428D8"/>
    <w:rsid w:val="00842F61"/>
    <w:rsid w:val="0084340D"/>
    <w:rsid w:val="00845B6B"/>
    <w:rsid w:val="00846195"/>
    <w:rsid w:val="00846280"/>
    <w:rsid w:val="00846A2A"/>
    <w:rsid w:val="00846C20"/>
    <w:rsid w:val="00847383"/>
    <w:rsid w:val="00847B3F"/>
    <w:rsid w:val="0085025A"/>
    <w:rsid w:val="00850D88"/>
    <w:rsid w:val="00850DF9"/>
    <w:rsid w:val="008512C8"/>
    <w:rsid w:val="008514B8"/>
    <w:rsid w:val="008515B9"/>
    <w:rsid w:val="00852874"/>
    <w:rsid w:val="00852FA1"/>
    <w:rsid w:val="00852FD0"/>
    <w:rsid w:val="008530D3"/>
    <w:rsid w:val="00853285"/>
    <w:rsid w:val="0085357D"/>
    <w:rsid w:val="00853754"/>
    <w:rsid w:val="008537F5"/>
    <w:rsid w:val="00854227"/>
    <w:rsid w:val="00855552"/>
    <w:rsid w:val="00855A17"/>
    <w:rsid w:val="00855E6D"/>
    <w:rsid w:val="0085612C"/>
    <w:rsid w:val="00857674"/>
    <w:rsid w:val="00860225"/>
    <w:rsid w:val="00860322"/>
    <w:rsid w:val="00860F76"/>
    <w:rsid w:val="008615AF"/>
    <w:rsid w:val="008621F3"/>
    <w:rsid w:val="00862929"/>
    <w:rsid w:val="00862E1D"/>
    <w:rsid w:val="00862E87"/>
    <w:rsid w:val="008639CF"/>
    <w:rsid w:val="00863A00"/>
    <w:rsid w:val="00863ABB"/>
    <w:rsid w:val="00864052"/>
    <w:rsid w:val="00864CCA"/>
    <w:rsid w:val="00865A63"/>
    <w:rsid w:val="00865C43"/>
    <w:rsid w:val="0086627C"/>
    <w:rsid w:val="008664BC"/>
    <w:rsid w:val="008665AC"/>
    <w:rsid w:val="008667F9"/>
    <w:rsid w:val="00866DE9"/>
    <w:rsid w:val="00867F20"/>
    <w:rsid w:val="0087032F"/>
    <w:rsid w:val="00870370"/>
    <w:rsid w:val="00870A42"/>
    <w:rsid w:val="00870B69"/>
    <w:rsid w:val="00870CD1"/>
    <w:rsid w:val="00870EE2"/>
    <w:rsid w:val="008713E0"/>
    <w:rsid w:val="00871609"/>
    <w:rsid w:val="00871A5B"/>
    <w:rsid w:val="00871B95"/>
    <w:rsid w:val="00871F7B"/>
    <w:rsid w:val="00872428"/>
    <w:rsid w:val="0087429F"/>
    <w:rsid w:val="00874F65"/>
    <w:rsid w:val="008756C4"/>
    <w:rsid w:val="00876325"/>
    <w:rsid w:val="0087682D"/>
    <w:rsid w:val="00877885"/>
    <w:rsid w:val="00880F52"/>
    <w:rsid w:val="00881E1F"/>
    <w:rsid w:val="008820F1"/>
    <w:rsid w:val="00882558"/>
    <w:rsid w:val="00882F2C"/>
    <w:rsid w:val="008832B8"/>
    <w:rsid w:val="00883A9D"/>
    <w:rsid w:val="00885011"/>
    <w:rsid w:val="00885A41"/>
    <w:rsid w:val="00885AA7"/>
    <w:rsid w:val="00885D9E"/>
    <w:rsid w:val="008878A0"/>
    <w:rsid w:val="008902A1"/>
    <w:rsid w:val="008921A9"/>
    <w:rsid w:val="008924D6"/>
    <w:rsid w:val="008928D5"/>
    <w:rsid w:val="00892A57"/>
    <w:rsid w:val="00892E34"/>
    <w:rsid w:val="00892E8E"/>
    <w:rsid w:val="008938C9"/>
    <w:rsid w:val="00894139"/>
    <w:rsid w:val="00894482"/>
    <w:rsid w:val="00894877"/>
    <w:rsid w:val="00894E04"/>
    <w:rsid w:val="0089569C"/>
    <w:rsid w:val="0089613F"/>
    <w:rsid w:val="0089614C"/>
    <w:rsid w:val="00896629"/>
    <w:rsid w:val="008A0669"/>
    <w:rsid w:val="008A0E7E"/>
    <w:rsid w:val="008A23D6"/>
    <w:rsid w:val="008A2614"/>
    <w:rsid w:val="008A2745"/>
    <w:rsid w:val="008A2874"/>
    <w:rsid w:val="008A3480"/>
    <w:rsid w:val="008A39CC"/>
    <w:rsid w:val="008A435B"/>
    <w:rsid w:val="008A523C"/>
    <w:rsid w:val="008A5362"/>
    <w:rsid w:val="008A5E42"/>
    <w:rsid w:val="008A61CD"/>
    <w:rsid w:val="008A6366"/>
    <w:rsid w:val="008A65FC"/>
    <w:rsid w:val="008A67BA"/>
    <w:rsid w:val="008A78CE"/>
    <w:rsid w:val="008A798C"/>
    <w:rsid w:val="008A7B13"/>
    <w:rsid w:val="008A7EA9"/>
    <w:rsid w:val="008B2C50"/>
    <w:rsid w:val="008B30DF"/>
    <w:rsid w:val="008B3DB9"/>
    <w:rsid w:val="008B4AF1"/>
    <w:rsid w:val="008B4D7C"/>
    <w:rsid w:val="008B5774"/>
    <w:rsid w:val="008B5DD7"/>
    <w:rsid w:val="008B66D3"/>
    <w:rsid w:val="008B683A"/>
    <w:rsid w:val="008B7684"/>
    <w:rsid w:val="008C1351"/>
    <w:rsid w:val="008C19DF"/>
    <w:rsid w:val="008C1CC9"/>
    <w:rsid w:val="008C1EA0"/>
    <w:rsid w:val="008C1FD4"/>
    <w:rsid w:val="008C215E"/>
    <w:rsid w:val="008C2B8D"/>
    <w:rsid w:val="008C2CEB"/>
    <w:rsid w:val="008C32AA"/>
    <w:rsid w:val="008C32B7"/>
    <w:rsid w:val="008C3D3B"/>
    <w:rsid w:val="008C3FC1"/>
    <w:rsid w:val="008C5459"/>
    <w:rsid w:val="008C5A84"/>
    <w:rsid w:val="008C5FD8"/>
    <w:rsid w:val="008C6004"/>
    <w:rsid w:val="008C6D42"/>
    <w:rsid w:val="008C73B3"/>
    <w:rsid w:val="008C7FDE"/>
    <w:rsid w:val="008D04B7"/>
    <w:rsid w:val="008D16BA"/>
    <w:rsid w:val="008D17E3"/>
    <w:rsid w:val="008D2516"/>
    <w:rsid w:val="008D389C"/>
    <w:rsid w:val="008D55E1"/>
    <w:rsid w:val="008D5AAC"/>
    <w:rsid w:val="008D5FED"/>
    <w:rsid w:val="008D6471"/>
    <w:rsid w:val="008D68EC"/>
    <w:rsid w:val="008D6D87"/>
    <w:rsid w:val="008D7B5D"/>
    <w:rsid w:val="008E03EC"/>
    <w:rsid w:val="008E04C9"/>
    <w:rsid w:val="008E086D"/>
    <w:rsid w:val="008E0947"/>
    <w:rsid w:val="008E0FDE"/>
    <w:rsid w:val="008E1824"/>
    <w:rsid w:val="008E2047"/>
    <w:rsid w:val="008E232B"/>
    <w:rsid w:val="008E281E"/>
    <w:rsid w:val="008E2A23"/>
    <w:rsid w:val="008E2D92"/>
    <w:rsid w:val="008E2F76"/>
    <w:rsid w:val="008E3818"/>
    <w:rsid w:val="008E4DB0"/>
    <w:rsid w:val="008E60D0"/>
    <w:rsid w:val="008E611E"/>
    <w:rsid w:val="008E685C"/>
    <w:rsid w:val="008E6B5B"/>
    <w:rsid w:val="008E6EF2"/>
    <w:rsid w:val="008E736B"/>
    <w:rsid w:val="008E77BF"/>
    <w:rsid w:val="008E7856"/>
    <w:rsid w:val="008E7C68"/>
    <w:rsid w:val="008E7DEA"/>
    <w:rsid w:val="008F010F"/>
    <w:rsid w:val="008F186F"/>
    <w:rsid w:val="008F1F52"/>
    <w:rsid w:val="008F2E57"/>
    <w:rsid w:val="008F2E68"/>
    <w:rsid w:val="008F387B"/>
    <w:rsid w:val="008F3ACB"/>
    <w:rsid w:val="008F3FB2"/>
    <w:rsid w:val="008F5BF7"/>
    <w:rsid w:val="008F64AB"/>
    <w:rsid w:val="008F684D"/>
    <w:rsid w:val="008F68D7"/>
    <w:rsid w:val="008F6E36"/>
    <w:rsid w:val="008F7012"/>
    <w:rsid w:val="008F787A"/>
    <w:rsid w:val="008F7AB9"/>
    <w:rsid w:val="00900C64"/>
    <w:rsid w:val="00900F02"/>
    <w:rsid w:val="009014E1"/>
    <w:rsid w:val="009024E6"/>
    <w:rsid w:val="009025A5"/>
    <w:rsid w:val="00902EF3"/>
    <w:rsid w:val="00903650"/>
    <w:rsid w:val="009036E4"/>
    <w:rsid w:val="00903C11"/>
    <w:rsid w:val="009044C9"/>
    <w:rsid w:val="00904EA2"/>
    <w:rsid w:val="0090576F"/>
    <w:rsid w:val="00905783"/>
    <w:rsid w:val="00905F63"/>
    <w:rsid w:val="009073C4"/>
    <w:rsid w:val="00907451"/>
    <w:rsid w:val="00907551"/>
    <w:rsid w:val="00907B90"/>
    <w:rsid w:val="0091033A"/>
    <w:rsid w:val="009108CE"/>
    <w:rsid w:val="00910D26"/>
    <w:rsid w:val="00910D99"/>
    <w:rsid w:val="00912104"/>
    <w:rsid w:val="00912147"/>
    <w:rsid w:val="0091264D"/>
    <w:rsid w:val="00912F37"/>
    <w:rsid w:val="00912F71"/>
    <w:rsid w:val="009130E5"/>
    <w:rsid w:val="0091362F"/>
    <w:rsid w:val="009143C1"/>
    <w:rsid w:val="00915A9D"/>
    <w:rsid w:val="00915B61"/>
    <w:rsid w:val="00916468"/>
    <w:rsid w:val="0091652B"/>
    <w:rsid w:val="009168BB"/>
    <w:rsid w:val="00916BC0"/>
    <w:rsid w:val="00917B16"/>
    <w:rsid w:val="009205E9"/>
    <w:rsid w:val="00920AB0"/>
    <w:rsid w:val="00920D43"/>
    <w:rsid w:val="00920F4E"/>
    <w:rsid w:val="009213FB"/>
    <w:rsid w:val="00921CB3"/>
    <w:rsid w:val="0092216F"/>
    <w:rsid w:val="009221BA"/>
    <w:rsid w:val="0092230C"/>
    <w:rsid w:val="00923130"/>
    <w:rsid w:val="00923D55"/>
    <w:rsid w:val="00924AC0"/>
    <w:rsid w:val="00924F6D"/>
    <w:rsid w:val="0092545A"/>
    <w:rsid w:val="00925F63"/>
    <w:rsid w:val="00926046"/>
    <w:rsid w:val="009265F3"/>
    <w:rsid w:val="009266CF"/>
    <w:rsid w:val="00926A24"/>
    <w:rsid w:val="00926D4D"/>
    <w:rsid w:val="00927556"/>
    <w:rsid w:val="00927E06"/>
    <w:rsid w:val="0093046E"/>
    <w:rsid w:val="00930B94"/>
    <w:rsid w:val="00930FAF"/>
    <w:rsid w:val="0093105B"/>
    <w:rsid w:val="0093132E"/>
    <w:rsid w:val="00931A5A"/>
    <w:rsid w:val="00932BEB"/>
    <w:rsid w:val="00933117"/>
    <w:rsid w:val="00934248"/>
    <w:rsid w:val="009345EE"/>
    <w:rsid w:val="009348E6"/>
    <w:rsid w:val="00935270"/>
    <w:rsid w:val="009355BE"/>
    <w:rsid w:val="00935E51"/>
    <w:rsid w:val="00935FEC"/>
    <w:rsid w:val="00936809"/>
    <w:rsid w:val="00936980"/>
    <w:rsid w:val="00936EF0"/>
    <w:rsid w:val="009375F1"/>
    <w:rsid w:val="00937F7B"/>
    <w:rsid w:val="00940256"/>
    <w:rsid w:val="00940739"/>
    <w:rsid w:val="0094096D"/>
    <w:rsid w:val="0094122B"/>
    <w:rsid w:val="009413CA"/>
    <w:rsid w:val="0094260E"/>
    <w:rsid w:val="009426A0"/>
    <w:rsid w:val="00942816"/>
    <w:rsid w:val="00943665"/>
    <w:rsid w:val="00943A0E"/>
    <w:rsid w:val="00943E66"/>
    <w:rsid w:val="009442F5"/>
    <w:rsid w:val="009443FA"/>
    <w:rsid w:val="0094440D"/>
    <w:rsid w:val="009455F5"/>
    <w:rsid w:val="00945CCD"/>
    <w:rsid w:val="009476A7"/>
    <w:rsid w:val="009477B4"/>
    <w:rsid w:val="0095049A"/>
    <w:rsid w:val="009504D9"/>
    <w:rsid w:val="00950DBA"/>
    <w:rsid w:val="00951410"/>
    <w:rsid w:val="009517E6"/>
    <w:rsid w:val="00952199"/>
    <w:rsid w:val="009528F9"/>
    <w:rsid w:val="00952A4C"/>
    <w:rsid w:val="00952A6F"/>
    <w:rsid w:val="00952E2F"/>
    <w:rsid w:val="009531B0"/>
    <w:rsid w:val="00954080"/>
    <w:rsid w:val="0095437B"/>
    <w:rsid w:val="00954564"/>
    <w:rsid w:val="00954CE8"/>
    <w:rsid w:val="00954F21"/>
    <w:rsid w:val="00955A76"/>
    <w:rsid w:val="00955ACF"/>
    <w:rsid w:val="00956101"/>
    <w:rsid w:val="0095614B"/>
    <w:rsid w:val="00956977"/>
    <w:rsid w:val="00956AC4"/>
    <w:rsid w:val="00956E26"/>
    <w:rsid w:val="009577B0"/>
    <w:rsid w:val="00957971"/>
    <w:rsid w:val="009579AB"/>
    <w:rsid w:val="0096006B"/>
    <w:rsid w:val="00960071"/>
    <w:rsid w:val="00961298"/>
    <w:rsid w:val="009619F9"/>
    <w:rsid w:val="00961C7D"/>
    <w:rsid w:val="00962580"/>
    <w:rsid w:val="0096376C"/>
    <w:rsid w:val="00963A5C"/>
    <w:rsid w:val="00963E62"/>
    <w:rsid w:val="00964E6E"/>
    <w:rsid w:val="00964F0E"/>
    <w:rsid w:val="00965188"/>
    <w:rsid w:val="00965949"/>
    <w:rsid w:val="009659B3"/>
    <w:rsid w:val="00965EF5"/>
    <w:rsid w:val="0096679F"/>
    <w:rsid w:val="00967689"/>
    <w:rsid w:val="00967E9A"/>
    <w:rsid w:val="00970090"/>
    <w:rsid w:val="0097056A"/>
    <w:rsid w:val="00970857"/>
    <w:rsid w:val="00970BCE"/>
    <w:rsid w:val="00971601"/>
    <w:rsid w:val="009719D5"/>
    <w:rsid w:val="00971B75"/>
    <w:rsid w:val="00971FF9"/>
    <w:rsid w:val="00972333"/>
    <w:rsid w:val="00972812"/>
    <w:rsid w:val="00973CEA"/>
    <w:rsid w:val="00974178"/>
    <w:rsid w:val="00974326"/>
    <w:rsid w:val="00975833"/>
    <w:rsid w:val="0097627F"/>
    <w:rsid w:val="009776FC"/>
    <w:rsid w:val="00977C90"/>
    <w:rsid w:val="00980725"/>
    <w:rsid w:val="00980EC8"/>
    <w:rsid w:val="009822D5"/>
    <w:rsid w:val="009824F3"/>
    <w:rsid w:val="00982AC1"/>
    <w:rsid w:val="00983640"/>
    <w:rsid w:val="00985C67"/>
    <w:rsid w:val="0098603D"/>
    <w:rsid w:val="0098629D"/>
    <w:rsid w:val="0098787A"/>
    <w:rsid w:val="009915C6"/>
    <w:rsid w:val="00991E9E"/>
    <w:rsid w:val="00992E19"/>
    <w:rsid w:val="0099331A"/>
    <w:rsid w:val="009939B3"/>
    <w:rsid w:val="00993D42"/>
    <w:rsid w:val="00993FDF"/>
    <w:rsid w:val="00994CC7"/>
    <w:rsid w:val="00994F30"/>
    <w:rsid w:val="0099510B"/>
    <w:rsid w:val="00997617"/>
    <w:rsid w:val="00997D32"/>
    <w:rsid w:val="00997E7A"/>
    <w:rsid w:val="009A0628"/>
    <w:rsid w:val="009A1B61"/>
    <w:rsid w:val="009A1C8B"/>
    <w:rsid w:val="009A1E32"/>
    <w:rsid w:val="009A1F42"/>
    <w:rsid w:val="009A20BB"/>
    <w:rsid w:val="009A3D94"/>
    <w:rsid w:val="009A51CF"/>
    <w:rsid w:val="009A5C18"/>
    <w:rsid w:val="009A6189"/>
    <w:rsid w:val="009A6205"/>
    <w:rsid w:val="009A6A63"/>
    <w:rsid w:val="009A6CAF"/>
    <w:rsid w:val="009A737E"/>
    <w:rsid w:val="009A7519"/>
    <w:rsid w:val="009B118C"/>
    <w:rsid w:val="009B1527"/>
    <w:rsid w:val="009B1B1D"/>
    <w:rsid w:val="009B1FC4"/>
    <w:rsid w:val="009B26E7"/>
    <w:rsid w:val="009B291C"/>
    <w:rsid w:val="009B2F18"/>
    <w:rsid w:val="009B3011"/>
    <w:rsid w:val="009B35A4"/>
    <w:rsid w:val="009B3959"/>
    <w:rsid w:val="009B45D0"/>
    <w:rsid w:val="009B465D"/>
    <w:rsid w:val="009B5848"/>
    <w:rsid w:val="009B62DA"/>
    <w:rsid w:val="009B654E"/>
    <w:rsid w:val="009B6854"/>
    <w:rsid w:val="009B7A48"/>
    <w:rsid w:val="009C0A43"/>
    <w:rsid w:val="009C0AF1"/>
    <w:rsid w:val="009C1190"/>
    <w:rsid w:val="009C15B7"/>
    <w:rsid w:val="009C170A"/>
    <w:rsid w:val="009C19F8"/>
    <w:rsid w:val="009C1B5E"/>
    <w:rsid w:val="009C202F"/>
    <w:rsid w:val="009C228D"/>
    <w:rsid w:val="009C2E38"/>
    <w:rsid w:val="009C2FA7"/>
    <w:rsid w:val="009C3002"/>
    <w:rsid w:val="009C343B"/>
    <w:rsid w:val="009C3985"/>
    <w:rsid w:val="009C4197"/>
    <w:rsid w:val="009C4968"/>
    <w:rsid w:val="009C57DF"/>
    <w:rsid w:val="009C5E5D"/>
    <w:rsid w:val="009C60B7"/>
    <w:rsid w:val="009C6199"/>
    <w:rsid w:val="009C62C4"/>
    <w:rsid w:val="009C65FF"/>
    <w:rsid w:val="009C6A70"/>
    <w:rsid w:val="009C71B7"/>
    <w:rsid w:val="009D1017"/>
    <w:rsid w:val="009D1165"/>
    <w:rsid w:val="009D1480"/>
    <w:rsid w:val="009D22CD"/>
    <w:rsid w:val="009D2364"/>
    <w:rsid w:val="009D25D7"/>
    <w:rsid w:val="009D2EC6"/>
    <w:rsid w:val="009D2F87"/>
    <w:rsid w:val="009D36EA"/>
    <w:rsid w:val="009D42DE"/>
    <w:rsid w:val="009D4588"/>
    <w:rsid w:val="009D4603"/>
    <w:rsid w:val="009D5399"/>
    <w:rsid w:val="009D559B"/>
    <w:rsid w:val="009D5D3A"/>
    <w:rsid w:val="009D60DF"/>
    <w:rsid w:val="009D6151"/>
    <w:rsid w:val="009D6CC5"/>
    <w:rsid w:val="009D7A5D"/>
    <w:rsid w:val="009D7D29"/>
    <w:rsid w:val="009E0E7C"/>
    <w:rsid w:val="009E1052"/>
    <w:rsid w:val="009E1353"/>
    <w:rsid w:val="009E19ED"/>
    <w:rsid w:val="009E1E58"/>
    <w:rsid w:val="009E2903"/>
    <w:rsid w:val="009E3AFD"/>
    <w:rsid w:val="009E3D27"/>
    <w:rsid w:val="009E47CD"/>
    <w:rsid w:val="009E4A6B"/>
    <w:rsid w:val="009E4C00"/>
    <w:rsid w:val="009E4FCA"/>
    <w:rsid w:val="009E6121"/>
    <w:rsid w:val="009E6406"/>
    <w:rsid w:val="009E6792"/>
    <w:rsid w:val="009E70A0"/>
    <w:rsid w:val="009E710E"/>
    <w:rsid w:val="009E7A62"/>
    <w:rsid w:val="009E7DDE"/>
    <w:rsid w:val="009F03A6"/>
    <w:rsid w:val="009F115B"/>
    <w:rsid w:val="009F1691"/>
    <w:rsid w:val="009F1E9C"/>
    <w:rsid w:val="009F21A8"/>
    <w:rsid w:val="009F24FF"/>
    <w:rsid w:val="009F2732"/>
    <w:rsid w:val="009F318F"/>
    <w:rsid w:val="009F3EB1"/>
    <w:rsid w:val="009F4374"/>
    <w:rsid w:val="009F5CD5"/>
    <w:rsid w:val="009F5D90"/>
    <w:rsid w:val="009F6448"/>
    <w:rsid w:val="009F723E"/>
    <w:rsid w:val="009F7589"/>
    <w:rsid w:val="00A0041A"/>
    <w:rsid w:val="00A00DA0"/>
    <w:rsid w:val="00A01CA1"/>
    <w:rsid w:val="00A033D7"/>
    <w:rsid w:val="00A034D9"/>
    <w:rsid w:val="00A04630"/>
    <w:rsid w:val="00A04BE5"/>
    <w:rsid w:val="00A04E49"/>
    <w:rsid w:val="00A0511C"/>
    <w:rsid w:val="00A0535A"/>
    <w:rsid w:val="00A05D18"/>
    <w:rsid w:val="00A05D34"/>
    <w:rsid w:val="00A06B0B"/>
    <w:rsid w:val="00A06D8A"/>
    <w:rsid w:val="00A06DA8"/>
    <w:rsid w:val="00A075C0"/>
    <w:rsid w:val="00A07AEE"/>
    <w:rsid w:val="00A07C02"/>
    <w:rsid w:val="00A10062"/>
    <w:rsid w:val="00A10AE8"/>
    <w:rsid w:val="00A11007"/>
    <w:rsid w:val="00A1197C"/>
    <w:rsid w:val="00A11E10"/>
    <w:rsid w:val="00A124DD"/>
    <w:rsid w:val="00A13D2B"/>
    <w:rsid w:val="00A1404A"/>
    <w:rsid w:val="00A14A64"/>
    <w:rsid w:val="00A15D94"/>
    <w:rsid w:val="00A16A80"/>
    <w:rsid w:val="00A200B5"/>
    <w:rsid w:val="00A2039C"/>
    <w:rsid w:val="00A2064B"/>
    <w:rsid w:val="00A20A34"/>
    <w:rsid w:val="00A21289"/>
    <w:rsid w:val="00A215D0"/>
    <w:rsid w:val="00A2160C"/>
    <w:rsid w:val="00A217E2"/>
    <w:rsid w:val="00A22602"/>
    <w:rsid w:val="00A22696"/>
    <w:rsid w:val="00A23134"/>
    <w:rsid w:val="00A2374E"/>
    <w:rsid w:val="00A23E8E"/>
    <w:rsid w:val="00A24334"/>
    <w:rsid w:val="00A24697"/>
    <w:rsid w:val="00A24859"/>
    <w:rsid w:val="00A2498B"/>
    <w:rsid w:val="00A251B1"/>
    <w:rsid w:val="00A25886"/>
    <w:rsid w:val="00A267FE"/>
    <w:rsid w:val="00A26BA0"/>
    <w:rsid w:val="00A2704C"/>
    <w:rsid w:val="00A2717E"/>
    <w:rsid w:val="00A27738"/>
    <w:rsid w:val="00A27EA8"/>
    <w:rsid w:val="00A3018A"/>
    <w:rsid w:val="00A317DA"/>
    <w:rsid w:val="00A31FF4"/>
    <w:rsid w:val="00A326C7"/>
    <w:rsid w:val="00A332CD"/>
    <w:rsid w:val="00A34E2A"/>
    <w:rsid w:val="00A35569"/>
    <w:rsid w:val="00A36414"/>
    <w:rsid w:val="00A36A8F"/>
    <w:rsid w:val="00A37198"/>
    <w:rsid w:val="00A377D6"/>
    <w:rsid w:val="00A37AC5"/>
    <w:rsid w:val="00A40E2A"/>
    <w:rsid w:val="00A41923"/>
    <w:rsid w:val="00A42316"/>
    <w:rsid w:val="00A4246B"/>
    <w:rsid w:val="00A43653"/>
    <w:rsid w:val="00A44C67"/>
    <w:rsid w:val="00A44D68"/>
    <w:rsid w:val="00A46258"/>
    <w:rsid w:val="00A4660C"/>
    <w:rsid w:val="00A46738"/>
    <w:rsid w:val="00A46E73"/>
    <w:rsid w:val="00A4745F"/>
    <w:rsid w:val="00A47AD3"/>
    <w:rsid w:val="00A503AF"/>
    <w:rsid w:val="00A50763"/>
    <w:rsid w:val="00A5100A"/>
    <w:rsid w:val="00A514BF"/>
    <w:rsid w:val="00A51686"/>
    <w:rsid w:val="00A51FE0"/>
    <w:rsid w:val="00A52016"/>
    <w:rsid w:val="00A5263B"/>
    <w:rsid w:val="00A52915"/>
    <w:rsid w:val="00A54388"/>
    <w:rsid w:val="00A5457B"/>
    <w:rsid w:val="00A55DA9"/>
    <w:rsid w:val="00A55EC1"/>
    <w:rsid w:val="00A5718F"/>
    <w:rsid w:val="00A603A0"/>
    <w:rsid w:val="00A60C15"/>
    <w:rsid w:val="00A60C3B"/>
    <w:rsid w:val="00A60CAD"/>
    <w:rsid w:val="00A60EFB"/>
    <w:rsid w:val="00A61839"/>
    <w:rsid w:val="00A6255E"/>
    <w:rsid w:val="00A62880"/>
    <w:rsid w:val="00A6488E"/>
    <w:rsid w:val="00A65452"/>
    <w:rsid w:val="00A657DB"/>
    <w:rsid w:val="00A65AF3"/>
    <w:rsid w:val="00A66B02"/>
    <w:rsid w:val="00A673BF"/>
    <w:rsid w:val="00A677B5"/>
    <w:rsid w:val="00A67CDC"/>
    <w:rsid w:val="00A67D60"/>
    <w:rsid w:val="00A67F49"/>
    <w:rsid w:val="00A7023F"/>
    <w:rsid w:val="00A70831"/>
    <w:rsid w:val="00A709B9"/>
    <w:rsid w:val="00A70D3A"/>
    <w:rsid w:val="00A712E2"/>
    <w:rsid w:val="00A71CD2"/>
    <w:rsid w:val="00A71E93"/>
    <w:rsid w:val="00A737F5"/>
    <w:rsid w:val="00A74C1B"/>
    <w:rsid w:val="00A75039"/>
    <w:rsid w:val="00A76EE4"/>
    <w:rsid w:val="00A76F64"/>
    <w:rsid w:val="00A7795C"/>
    <w:rsid w:val="00A77C76"/>
    <w:rsid w:val="00A77D3D"/>
    <w:rsid w:val="00A77EEC"/>
    <w:rsid w:val="00A77FE2"/>
    <w:rsid w:val="00A80710"/>
    <w:rsid w:val="00A835F1"/>
    <w:rsid w:val="00A83FC0"/>
    <w:rsid w:val="00A84BA7"/>
    <w:rsid w:val="00A84CFE"/>
    <w:rsid w:val="00A85A1E"/>
    <w:rsid w:val="00A8656C"/>
    <w:rsid w:val="00A86C17"/>
    <w:rsid w:val="00A8779D"/>
    <w:rsid w:val="00A87C37"/>
    <w:rsid w:val="00A906F9"/>
    <w:rsid w:val="00A907CA"/>
    <w:rsid w:val="00A9132A"/>
    <w:rsid w:val="00A91771"/>
    <w:rsid w:val="00A9224D"/>
    <w:rsid w:val="00A93100"/>
    <w:rsid w:val="00A93825"/>
    <w:rsid w:val="00A93ADB"/>
    <w:rsid w:val="00A93E3D"/>
    <w:rsid w:val="00A93F05"/>
    <w:rsid w:val="00A94592"/>
    <w:rsid w:val="00A95703"/>
    <w:rsid w:val="00A95D0E"/>
    <w:rsid w:val="00A96872"/>
    <w:rsid w:val="00A96D44"/>
    <w:rsid w:val="00A9774B"/>
    <w:rsid w:val="00A97D64"/>
    <w:rsid w:val="00A97EF7"/>
    <w:rsid w:val="00AA08DA"/>
    <w:rsid w:val="00AA0C8D"/>
    <w:rsid w:val="00AA0FB6"/>
    <w:rsid w:val="00AA114E"/>
    <w:rsid w:val="00AA20E3"/>
    <w:rsid w:val="00AA252B"/>
    <w:rsid w:val="00AA2532"/>
    <w:rsid w:val="00AA2E82"/>
    <w:rsid w:val="00AA3114"/>
    <w:rsid w:val="00AA47E6"/>
    <w:rsid w:val="00AA501D"/>
    <w:rsid w:val="00AA5268"/>
    <w:rsid w:val="00AA6413"/>
    <w:rsid w:val="00AA68D0"/>
    <w:rsid w:val="00AA755B"/>
    <w:rsid w:val="00AB230B"/>
    <w:rsid w:val="00AB31C7"/>
    <w:rsid w:val="00AB3BBF"/>
    <w:rsid w:val="00AB4191"/>
    <w:rsid w:val="00AB4C93"/>
    <w:rsid w:val="00AB4D19"/>
    <w:rsid w:val="00AB538E"/>
    <w:rsid w:val="00AB5B84"/>
    <w:rsid w:val="00AB6255"/>
    <w:rsid w:val="00AB63C3"/>
    <w:rsid w:val="00AB63E5"/>
    <w:rsid w:val="00AB63EA"/>
    <w:rsid w:val="00AB684D"/>
    <w:rsid w:val="00AC0B8B"/>
    <w:rsid w:val="00AC0E15"/>
    <w:rsid w:val="00AC0EAF"/>
    <w:rsid w:val="00AC1760"/>
    <w:rsid w:val="00AC3029"/>
    <w:rsid w:val="00AC38FF"/>
    <w:rsid w:val="00AC3C59"/>
    <w:rsid w:val="00AC4ECD"/>
    <w:rsid w:val="00AC550A"/>
    <w:rsid w:val="00AC6346"/>
    <w:rsid w:val="00AC65B4"/>
    <w:rsid w:val="00AC724C"/>
    <w:rsid w:val="00AC7323"/>
    <w:rsid w:val="00AC7586"/>
    <w:rsid w:val="00AC773C"/>
    <w:rsid w:val="00AC780A"/>
    <w:rsid w:val="00AC7AC0"/>
    <w:rsid w:val="00AD036F"/>
    <w:rsid w:val="00AD2302"/>
    <w:rsid w:val="00AD278B"/>
    <w:rsid w:val="00AD28BB"/>
    <w:rsid w:val="00AD2BD6"/>
    <w:rsid w:val="00AD3807"/>
    <w:rsid w:val="00AD3E48"/>
    <w:rsid w:val="00AD45A3"/>
    <w:rsid w:val="00AD4877"/>
    <w:rsid w:val="00AD4AB8"/>
    <w:rsid w:val="00AD55FB"/>
    <w:rsid w:val="00AD59A2"/>
    <w:rsid w:val="00AD6076"/>
    <w:rsid w:val="00AD6545"/>
    <w:rsid w:val="00AD6A68"/>
    <w:rsid w:val="00AD6A88"/>
    <w:rsid w:val="00AD7F58"/>
    <w:rsid w:val="00AE04E1"/>
    <w:rsid w:val="00AE0792"/>
    <w:rsid w:val="00AE1713"/>
    <w:rsid w:val="00AE1A63"/>
    <w:rsid w:val="00AE25AF"/>
    <w:rsid w:val="00AE265F"/>
    <w:rsid w:val="00AE279C"/>
    <w:rsid w:val="00AE2F19"/>
    <w:rsid w:val="00AE36F1"/>
    <w:rsid w:val="00AE4725"/>
    <w:rsid w:val="00AE4A73"/>
    <w:rsid w:val="00AE4F70"/>
    <w:rsid w:val="00AE4FF2"/>
    <w:rsid w:val="00AE5712"/>
    <w:rsid w:val="00AE5A38"/>
    <w:rsid w:val="00AE6323"/>
    <w:rsid w:val="00AE6B04"/>
    <w:rsid w:val="00AE6B59"/>
    <w:rsid w:val="00AE74EF"/>
    <w:rsid w:val="00AE771B"/>
    <w:rsid w:val="00AE7C9B"/>
    <w:rsid w:val="00AF0320"/>
    <w:rsid w:val="00AF1078"/>
    <w:rsid w:val="00AF3904"/>
    <w:rsid w:val="00AF49A3"/>
    <w:rsid w:val="00AF4A24"/>
    <w:rsid w:val="00AF4B2E"/>
    <w:rsid w:val="00AF4ED8"/>
    <w:rsid w:val="00AF5B75"/>
    <w:rsid w:val="00AF6346"/>
    <w:rsid w:val="00AF715D"/>
    <w:rsid w:val="00AF7A67"/>
    <w:rsid w:val="00AF7F46"/>
    <w:rsid w:val="00B001F2"/>
    <w:rsid w:val="00B0021C"/>
    <w:rsid w:val="00B00AE2"/>
    <w:rsid w:val="00B00BC2"/>
    <w:rsid w:val="00B00CD8"/>
    <w:rsid w:val="00B01491"/>
    <w:rsid w:val="00B01C18"/>
    <w:rsid w:val="00B023B5"/>
    <w:rsid w:val="00B02DD8"/>
    <w:rsid w:val="00B03190"/>
    <w:rsid w:val="00B04939"/>
    <w:rsid w:val="00B04D81"/>
    <w:rsid w:val="00B04E6A"/>
    <w:rsid w:val="00B05123"/>
    <w:rsid w:val="00B05587"/>
    <w:rsid w:val="00B059AF"/>
    <w:rsid w:val="00B059B3"/>
    <w:rsid w:val="00B059D2"/>
    <w:rsid w:val="00B063CD"/>
    <w:rsid w:val="00B110BF"/>
    <w:rsid w:val="00B1125F"/>
    <w:rsid w:val="00B1136B"/>
    <w:rsid w:val="00B11BA3"/>
    <w:rsid w:val="00B1201E"/>
    <w:rsid w:val="00B12282"/>
    <w:rsid w:val="00B13486"/>
    <w:rsid w:val="00B142AA"/>
    <w:rsid w:val="00B144D6"/>
    <w:rsid w:val="00B1456C"/>
    <w:rsid w:val="00B14D95"/>
    <w:rsid w:val="00B1523C"/>
    <w:rsid w:val="00B152FF"/>
    <w:rsid w:val="00B15B69"/>
    <w:rsid w:val="00B15EC4"/>
    <w:rsid w:val="00B15FAF"/>
    <w:rsid w:val="00B16EA8"/>
    <w:rsid w:val="00B17AFC"/>
    <w:rsid w:val="00B17DA9"/>
    <w:rsid w:val="00B20CC7"/>
    <w:rsid w:val="00B20E4F"/>
    <w:rsid w:val="00B210A9"/>
    <w:rsid w:val="00B217D9"/>
    <w:rsid w:val="00B21DA4"/>
    <w:rsid w:val="00B220FE"/>
    <w:rsid w:val="00B224AD"/>
    <w:rsid w:val="00B23461"/>
    <w:rsid w:val="00B23875"/>
    <w:rsid w:val="00B23E82"/>
    <w:rsid w:val="00B23F50"/>
    <w:rsid w:val="00B2450B"/>
    <w:rsid w:val="00B2463E"/>
    <w:rsid w:val="00B2492F"/>
    <w:rsid w:val="00B25801"/>
    <w:rsid w:val="00B261C2"/>
    <w:rsid w:val="00B279C3"/>
    <w:rsid w:val="00B27C6D"/>
    <w:rsid w:val="00B27E06"/>
    <w:rsid w:val="00B27F2A"/>
    <w:rsid w:val="00B3056F"/>
    <w:rsid w:val="00B30EC7"/>
    <w:rsid w:val="00B30EF9"/>
    <w:rsid w:val="00B30F64"/>
    <w:rsid w:val="00B315A4"/>
    <w:rsid w:val="00B32A92"/>
    <w:rsid w:val="00B32EF3"/>
    <w:rsid w:val="00B33F30"/>
    <w:rsid w:val="00B3420C"/>
    <w:rsid w:val="00B342BB"/>
    <w:rsid w:val="00B34795"/>
    <w:rsid w:val="00B357FC"/>
    <w:rsid w:val="00B35D5D"/>
    <w:rsid w:val="00B368D1"/>
    <w:rsid w:val="00B3694D"/>
    <w:rsid w:val="00B36A0B"/>
    <w:rsid w:val="00B36E9E"/>
    <w:rsid w:val="00B371E0"/>
    <w:rsid w:val="00B37385"/>
    <w:rsid w:val="00B378D0"/>
    <w:rsid w:val="00B4053E"/>
    <w:rsid w:val="00B407AB"/>
    <w:rsid w:val="00B40B31"/>
    <w:rsid w:val="00B41091"/>
    <w:rsid w:val="00B412EB"/>
    <w:rsid w:val="00B41CD2"/>
    <w:rsid w:val="00B42095"/>
    <w:rsid w:val="00B424B5"/>
    <w:rsid w:val="00B424C2"/>
    <w:rsid w:val="00B42FCC"/>
    <w:rsid w:val="00B458CC"/>
    <w:rsid w:val="00B46196"/>
    <w:rsid w:val="00B46782"/>
    <w:rsid w:val="00B46AC7"/>
    <w:rsid w:val="00B477F4"/>
    <w:rsid w:val="00B50749"/>
    <w:rsid w:val="00B51C47"/>
    <w:rsid w:val="00B532D0"/>
    <w:rsid w:val="00B53778"/>
    <w:rsid w:val="00B54ACA"/>
    <w:rsid w:val="00B552A4"/>
    <w:rsid w:val="00B55F30"/>
    <w:rsid w:val="00B56A07"/>
    <w:rsid w:val="00B56AB8"/>
    <w:rsid w:val="00B56D55"/>
    <w:rsid w:val="00B60174"/>
    <w:rsid w:val="00B60432"/>
    <w:rsid w:val="00B60635"/>
    <w:rsid w:val="00B60A3F"/>
    <w:rsid w:val="00B60C30"/>
    <w:rsid w:val="00B621A3"/>
    <w:rsid w:val="00B627B7"/>
    <w:rsid w:val="00B62B99"/>
    <w:rsid w:val="00B63C2D"/>
    <w:rsid w:val="00B63CF2"/>
    <w:rsid w:val="00B63FEA"/>
    <w:rsid w:val="00B6403E"/>
    <w:rsid w:val="00B64757"/>
    <w:rsid w:val="00B647CE"/>
    <w:rsid w:val="00B64AE3"/>
    <w:rsid w:val="00B64D86"/>
    <w:rsid w:val="00B6569A"/>
    <w:rsid w:val="00B65BC0"/>
    <w:rsid w:val="00B65E28"/>
    <w:rsid w:val="00B662EB"/>
    <w:rsid w:val="00B6756F"/>
    <w:rsid w:val="00B675D8"/>
    <w:rsid w:val="00B678DC"/>
    <w:rsid w:val="00B6796D"/>
    <w:rsid w:val="00B679DE"/>
    <w:rsid w:val="00B706BA"/>
    <w:rsid w:val="00B7165C"/>
    <w:rsid w:val="00B722DF"/>
    <w:rsid w:val="00B722F9"/>
    <w:rsid w:val="00B723A5"/>
    <w:rsid w:val="00B732A0"/>
    <w:rsid w:val="00B73628"/>
    <w:rsid w:val="00B73D07"/>
    <w:rsid w:val="00B7500F"/>
    <w:rsid w:val="00B75598"/>
    <w:rsid w:val="00B75619"/>
    <w:rsid w:val="00B75ECD"/>
    <w:rsid w:val="00B761C8"/>
    <w:rsid w:val="00B766DA"/>
    <w:rsid w:val="00B77F9D"/>
    <w:rsid w:val="00B80904"/>
    <w:rsid w:val="00B81E6F"/>
    <w:rsid w:val="00B823EC"/>
    <w:rsid w:val="00B82476"/>
    <w:rsid w:val="00B83699"/>
    <w:rsid w:val="00B853F5"/>
    <w:rsid w:val="00B86708"/>
    <w:rsid w:val="00B86A20"/>
    <w:rsid w:val="00B8715F"/>
    <w:rsid w:val="00B9006B"/>
    <w:rsid w:val="00B91AAC"/>
    <w:rsid w:val="00B92319"/>
    <w:rsid w:val="00B9244B"/>
    <w:rsid w:val="00B92513"/>
    <w:rsid w:val="00B927AC"/>
    <w:rsid w:val="00B92A5D"/>
    <w:rsid w:val="00B92E45"/>
    <w:rsid w:val="00B93572"/>
    <w:rsid w:val="00B93D10"/>
    <w:rsid w:val="00B946C4"/>
    <w:rsid w:val="00B94D2B"/>
    <w:rsid w:val="00B95342"/>
    <w:rsid w:val="00B95C9E"/>
    <w:rsid w:val="00B96434"/>
    <w:rsid w:val="00B9690D"/>
    <w:rsid w:val="00B9794E"/>
    <w:rsid w:val="00BA02D3"/>
    <w:rsid w:val="00BA045F"/>
    <w:rsid w:val="00BA0C57"/>
    <w:rsid w:val="00BA1265"/>
    <w:rsid w:val="00BA2014"/>
    <w:rsid w:val="00BA27BF"/>
    <w:rsid w:val="00BA2989"/>
    <w:rsid w:val="00BA374B"/>
    <w:rsid w:val="00BA419E"/>
    <w:rsid w:val="00BA4750"/>
    <w:rsid w:val="00BA510A"/>
    <w:rsid w:val="00BA58A9"/>
    <w:rsid w:val="00BA66D0"/>
    <w:rsid w:val="00BA73F5"/>
    <w:rsid w:val="00BB0182"/>
    <w:rsid w:val="00BB0418"/>
    <w:rsid w:val="00BB08FC"/>
    <w:rsid w:val="00BB0975"/>
    <w:rsid w:val="00BB12AB"/>
    <w:rsid w:val="00BB181B"/>
    <w:rsid w:val="00BB2AD5"/>
    <w:rsid w:val="00BB2C24"/>
    <w:rsid w:val="00BB312B"/>
    <w:rsid w:val="00BB3597"/>
    <w:rsid w:val="00BB3DB8"/>
    <w:rsid w:val="00BB3E5A"/>
    <w:rsid w:val="00BB5D89"/>
    <w:rsid w:val="00BB5E65"/>
    <w:rsid w:val="00BB7599"/>
    <w:rsid w:val="00BB7DCE"/>
    <w:rsid w:val="00BC066E"/>
    <w:rsid w:val="00BC1204"/>
    <w:rsid w:val="00BC1584"/>
    <w:rsid w:val="00BC1799"/>
    <w:rsid w:val="00BC2477"/>
    <w:rsid w:val="00BC2B5A"/>
    <w:rsid w:val="00BC2E7D"/>
    <w:rsid w:val="00BC2F62"/>
    <w:rsid w:val="00BC4085"/>
    <w:rsid w:val="00BC446F"/>
    <w:rsid w:val="00BC4674"/>
    <w:rsid w:val="00BC4A21"/>
    <w:rsid w:val="00BC5E80"/>
    <w:rsid w:val="00BC6128"/>
    <w:rsid w:val="00BC6E62"/>
    <w:rsid w:val="00BC70D5"/>
    <w:rsid w:val="00BD01C4"/>
    <w:rsid w:val="00BD0309"/>
    <w:rsid w:val="00BD0BA7"/>
    <w:rsid w:val="00BD0C81"/>
    <w:rsid w:val="00BD14F9"/>
    <w:rsid w:val="00BD17AC"/>
    <w:rsid w:val="00BD19DD"/>
    <w:rsid w:val="00BD24F4"/>
    <w:rsid w:val="00BD284D"/>
    <w:rsid w:val="00BD2900"/>
    <w:rsid w:val="00BD2C14"/>
    <w:rsid w:val="00BD2C3C"/>
    <w:rsid w:val="00BD2CC6"/>
    <w:rsid w:val="00BD2D95"/>
    <w:rsid w:val="00BD3C50"/>
    <w:rsid w:val="00BD4304"/>
    <w:rsid w:val="00BD4515"/>
    <w:rsid w:val="00BD46BA"/>
    <w:rsid w:val="00BD549E"/>
    <w:rsid w:val="00BD58A9"/>
    <w:rsid w:val="00BD5AFF"/>
    <w:rsid w:val="00BD6F87"/>
    <w:rsid w:val="00BD72F1"/>
    <w:rsid w:val="00BD7E6A"/>
    <w:rsid w:val="00BE11AB"/>
    <w:rsid w:val="00BE156B"/>
    <w:rsid w:val="00BE23EA"/>
    <w:rsid w:val="00BE24D2"/>
    <w:rsid w:val="00BE2903"/>
    <w:rsid w:val="00BE2E5E"/>
    <w:rsid w:val="00BE425A"/>
    <w:rsid w:val="00BE4809"/>
    <w:rsid w:val="00BE504C"/>
    <w:rsid w:val="00BE5974"/>
    <w:rsid w:val="00BE5C91"/>
    <w:rsid w:val="00BE67A3"/>
    <w:rsid w:val="00BE6FC1"/>
    <w:rsid w:val="00BE7914"/>
    <w:rsid w:val="00BE7F62"/>
    <w:rsid w:val="00BF11D6"/>
    <w:rsid w:val="00BF1C44"/>
    <w:rsid w:val="00BF20A0"/>
    <w:rsid w:val="00BF222A"/>
    <w:rsid w:val="00BF24EC"/>
    <w:rsid w:val="00BF2BE7"/>
    <w:rsid w:val="00BF311A"/>
    <w:rsid w:val="00BF391A"/>
    <w:rsid w:val="00BF3B7F"/>
    <w:rsid w:val="00BF4BCA"/>
    <w:rsid w:val="00BF4CFF"/>
    <w:rsid w:val="00BF64E2"/>
    <w:rsid w:val="00BF7435"/>
    <w:rsid w:val="00C0048F"/>
    <w:rsid w:val="00C01480"/>
    <w:rsid w:val="00C0182A"/>
    <w:rsid w:val="00C01EC5"/>
    <w:rsid w:val="00C020E1"/>
    <w:rsid w:val="00C0282B"/>
    <w:rsid w:val="00C028D0"/>
    <w:rsid w:val="00C02952"/>
    <w:rsid w:val="00C02E4F"/>
    <w:rsid w:val="00C030C2"/>
    <w:rsid w:val="00C04A38"/>
    <w:rsid w:val="00C04F50"/>
    <w:rsid w:val="00C05F68"/>
    <w:rsid w:val="00C0698F"/>
    <w:rsid w:val="00C06F00"/>
    <w:rsid w:val="00C101E2"/>
    <w:rsid w:val="00C10230"/>
    <w:rsid w:val="00C10319"/>
    <w:rsid w:val="00C10391"/>
    <w:rsid w:val="00C10632"/>
    <w:rsid w:val="00C10F0A"/>
    <w:rsid w:val="00C114A3"/>
    <w:rsid w:val="00C11B0E"/>
    <w:rsid w:val="00C12534"/>
    <w:rsid w:val="00C13224"/>
    <w:rsid w:val="00C1340D"/>
    <w:rsid w:val="00C14689"/>
    <w:rsid w:val="00C154D1"/>
    <w:rsid w:val="00C16679"/>
    <w:rsid w:val="00C168FD"/>
    <w:rsid w:val="00C16B19"/>
    <w:rsid w:val="00C16B2C"/>
    <w:rsid w:val="00C176A9"/>
    <w:rsid w:val="00C1772F"/>
    <w:rsid w:val="00C177D1"/>
    <w:rsid w:val="00C177DA"/>
    <w:rsid w:val="00C17A47"/>
    <w:rsid w:val="00C20549"/>
    <w:rsid w:val="00C2104D"/>
    <w:rsid w:val="00C2116D"/>
    <w:rsid w:val="00C211A6"/>
    <w:rsid w:val="00C21956"/>
    <w:rsid w:val="00C2198F"/>
    <w:rsid w:val="00C2284E"/>
    <w:rsid w:val="00C239B9"/>
    <w:rsid w:val="00C26320"/>
    <w:rsid w:val="00C26F0A"/>
    <w:rsid w:val="00C27BA8"/>
    <w:rsid w:val="00C30222"/>
    <w:rsid w:val="00C30343"/>
    <w:rsid w:val="00C30590"/>
    <w:rsid w:val="00C30742"/>
    <w:rsid w:val="00C30883"/>
    <w:rsid w:val="00C30D53"/>
    <w:rsid w:val="00C30EC7"/>
    <w:rsid w:val="00C30F25"/>
    <w:rsid w:val="00C31034"/>
    <w:rsid w:val="00C31CE4"/>
    <w:rsid w:val="00C32A71"/>
    <w:rsid w:val="00C33323"/>
    <w:rsid w:val="00C339EE"/>
    <w:rsid w:val="00C33E08"/>
    <w:rsid w:val="00C348B3"/>
    <w:rsid w:val="00C35188"/>
    <w:rsid w:val="00C35215"/>
    <w:rsid w:val="00C3571C"/>
    <w:rsid w:val="00C35FE0"/>
    <w:rsid w:val="00C36BAB"/>
    <w:rsid w:val="00C36CB3"/>
    <w:rsid w:val="00C37012"/>
    <w:rsid w:val="00C40491"/>
    <w:rsid w:val="00C413A2"/>
    <w:rsid w:val="00C418EA"/>
    <w:rsid w:val="00C41D14"/>
    <w:rsid w:val="00C41D28"/>
    <w:rsid w:val="00C4233F"/>
    <w:rsid w:val="00C434CC"/>
    <w:rsid w:val="00C439C9"/>
    <w:rsid w:val="00C44A4C"/>
    <w:rsid w:val="00C44E47"/>
    <w:rsid w:val="00C45C43"/>
    <w:rsid w:val="00C46BD1"/>
    <w:rsid w:val="00C47AA2"/>
    <w:rsid w:val="00C47C00"/>
    <w:rsid w:val="00C47FB7"/>
    <w:rsid w:val="00C507DA"/>
    <w:rsid w:val="00C51255"/>
    <w:rsid w:val="00C51373"/>
    <w:rsid w:val="00C519AC"/>
    <w:rsid w:val="00C519CA"/>
    <w:rsid w:val="00C5262B"/>
    <w:rsid w:val="00C53EEE"/>
    <w:rsid w:val="00C53EF9"/>
    <w:rsid w:val="00C540B1"/>
    <w:rsid w:val="00C540DC"/>
    <w:rsid w:val="00C546E2"/>
    <w:rsid w:val="00C54B4F"/>
    <w:rsid w:val="00C551C8"/>
    <w:rsid w:val="00C55271"/>
    <w:rsid w:val="00C55829"/>
    <w:rsid w:val="00C56833"/>
    <w:rsid w:val="00C578C6"/>
    <w:rsid w:val="00C600B6"/>
    <w:rsid w:val="00C6076D"/>
    <w:rsid w:val="00C6082B"/>
    <w:rsid w:val="00C60F5D"/>
    <w:rsid w:val="00C624EE"/>
    <w:rsid w:val="00C626C3"/>
    <w:rsid w:val="00C6309D"/>
    <w:rsid w:val="00C63658"/>
    <w:rsid w:val="00C63A15"/>
    <w:rsid w:val="00C63CA9"/>
    <w:rsid w:val="00C642EE"/>
    <w:rsid w:val="00C64F5C"/>
    <w:rsid w:val="00C65970"/>
    <w:rsid w:val="00C65AF6"/>
    <w:rsid w:val="00C6685B"/>
    <w:rsid w:val="00C66996"/>
    <w:rsid w:val="00C675BA"/>
    <w:rsid w:val="00C676CB"/>
    <w:rsid w:val="00C71633"/>
    <w:rsid w:val="00C71750"/>
    <w:rsid w:val="00C71C92"/>
    <w:rsid w:val="00C7202C"/>
    <w:rsid w:val="00C72652"/>
    <w:rsid w:val="00C72806"/>
    <w:rsid w:val="00C72E81"/>
    <w:rsid w:val="00C735C8"/>
    <w:rsid w:val="00C73CF7"/>
    <w:rsid w:val="00C73FCA"/>
    <w:rsid w:val="00C7411C"/>
    <w:rsid w:val="00C741CE"/>
    <w:rsid w:val="00C74534"/>
    <w:rsid w:val="00C75048"/>
    <w:rsid w:val="00C755BB"/>
    <w:rsid w:val="00C7605C"/>
    <w:rsid w:val="00C760DC"/>
    <w:rsid w:val="00C80EB8"/>
    <w:rsid w:val="00C81485"/>
    <w:rsid w:val="00C82AB0"/>
    <w:rsid w:val="00C82FA3"/>
    <w:rsid w:val="00C836C9"/>
    <w:rsid w:val="00C837FF"/>
    <w:rsid w:val="00C83B17"/>
    <w:rsid w:val="00C83DEE"/>
    <w:rsid w:val="00C84065"/>
    <w:rsid w:val="00C845A9"/>
    <w:rsid w:val="00C84613"/>
    <w:rsid w:val="00C84EC4"/>
    <w:rsid w:val="00C851A5"/>
    <w:rsid w:val="00C85B6B"/>
    <w:rsid w:val="00C85C44"/>
    <w:rsid w:val="00C86A46"/>
    <w:rsid w:val="00C87174"/>
    <w:rsid w:val="00C87960"/>
    <w:rsid w:val="00C9027C"/>
    <w:rsid w:val="00C9044D"/>
    <w:rsid w:val="00C904C2"/>
    <w:rsid w:val="00C92247"/>
    <w:rsid w:val="00C9358D"/>
    <w:rsid w:val="00C9656E"/>
    <w:rsid w:val="00C9697E"/>
    <w:rsid w:val="00C97B2E"/>
    <w:rsid w:val="00C97C2A"/>
    <w:rsid w:val="00CA0217"/>
    <w:rsid w:val="00CA04C8"/>
    <w:rsid w:val="00CA1402"/>
    <w:rsid w:val="00CA21CF"/>
    <w:rsid w:val="00CA28E5"/>
    <w:rsid w:val="00CA2F48"/>
    <w:rsid w:val="00CA3E5B"/>
    <w:rsid w:val="00CA4160"/>
    <w:rsid w:val="00CA55FD"/>
    <w:rsid w:val="00CA5BA5"/>
    <w:rsid w:val="00CA68F2"/>
    <w:rsid w:val="00CA6A77"/>
    <w:rsid w:val="00CA72C7"/>
    <w:rsid w:val="00CA7680"/>
    <w:rsid w:val="00CB17A2"/>
    <w:rsid w:val="00CB3E9A"/>
    <w:rsid w:val="00CB43F3"/>
    <w:rsid w:val="00CB472E"/>
    <w:rsid w:val="00CB5F45"/>
    <w:rsid w:val="00CB68C1"/>
    <w:rsid w:val="00CB76CA"/>
    <w:rsid w:val="00CB7C4E"/>
    <w:rsid w:val="00CB7E07"/>
    <w:rsid w:val="00CB7E57"/>
    <w:rsid w:val="00CC02AC"/>
    <w:rsid w:val="00CC0FE9"/>
    <w:rsid w:val="00CC119B"/>
    <w:rsid w:val="00CC18AD"/>
    <w:rsid w:val="00CC2651"/>
    <w:rsid w:val="00CC326C"/>
    <w:rsid w:val="00CC4555"/>
    <w:rsid w:val="00CC47F0"/>
    <w:rsid w:val="00CC5119"/>
    <w:rsid w:val="00CC5402"/>
    <w:rsid w:val="00CC546E"/>
    <w:rsid w:val="00CC6292"/>
    <w:rsid w:val="00CC65C0"/>
    <w:rsid w:val="00CC6CEC"/>
    <w:rsid w:val="00CC7AA2"/>
    <w:rsid w:val="00CC7E52"/>
    <w:rsid w:val="00CD03A1"/>
    <w:rsid w:val="00CD0A34"/>
    <w:rsid w:val="00CD1263"/>
    <w:rsid w:val="00CD1D4A"/>
    <w:rsid w:val="00CD215C"/>
    <w:rsid w:val="00CD25CB"/>
    <w:rsid w:val="00CD2CCC"/>
    <w:rsid w:val="00CD33EE"/>
    <w:rsid w:val="00CD4065"/>
    <w:rsid w:val="00CD4B87"/>
    <w:rsid w:val="00CD5D75"/>
    <w:rsid w:val="00CD6461"/>
    <w:rsid w:val="00CD75B9"/>
    <w:rsid w:val="00CD7FCF"/>
    <w:rsid w:val="00CE022F"/>
    <w:rsid w:val="00CE02A2"/>
    <w:rsid w:val="00CE05CC"/>
    <w:rsid w:val="00CE1551"/>
    <w:rsid w:val="00CE167D"/>
    <w:rsid w:val="00CE1D30"/>
    <w:rsid w:val="00CE1DEC"/>
    <w:rsid w:val="00CE21FE"/>
    <w:rsid w:val="00CE22FA"/>
    <w:rsid w:val="00CE23BD"/>
    <w:rsid w:val="00CE2469"/>
    <w:rsid w:val="00CE254B"/>
    <w:rsid w:val="00CE2601"/>
    <w:rsid w:val="00CE2E60"/>
    <w:rsid w:val="00CE359C"/>
    <w:rsid w:val="00CE3B4A"/>
    <w:rsid w:val="00CE435D"/>
    <w:rsid w:val="00CE4449"/>
    <w:rsid w:val="00CE5AA4"/>
    <w:rsid w:val="00CE5FE2"/>
    <w:rsid w:val="00CE6796"/>
    <w:rsid w:val="00CE70F1"/>
    <w:rsid w:val="00CE7645"/>
    <w:rsid w:val="00CE78CC"/>
    <w:rsid w:val="00CF045A"/>
    <w:rsid w:val="00CF0C74"/>
    <w:rsid w:val="00CF0C76"/>
    <w:rsid w:val="00CF24C6"/>
    <w:rsid w:val="00CF2977"/>
    <w:rsid w:val="00CF2FA3"/>
    <w:rsid w:val="00CF384A"/>
    <w:rsid w:val="00CF3C61"/>
    <w:rsid w:val="00CF5F99"/>
    <w:rsid w:val="00CF6252"/>
    <w:rsid w:val="00CF6291"/>
    <w:rsid w:val="00CF6326"/>
    <w:rsid w:val="00CF668F"/>
    <w:rsid w:val="00CF6B45"/>
    <w:rsid w:val="00CF75E4"/>
    <w:rsid w:val="00D01004"/>
    <w:rsid w:val="00D011EE"/>
    <w:rsid w:val="00D0234A"/>
    <w:rsid w:val="00D031D3"/>
    <w:rsid w:val="00D03AF2"/>
    <w:rsid w:val="00D0407F"/>
    <w:rsid w:val="00D04589"/>
    <w:rsid w:val="00D04B7B"/>
    <w:rsid w:val="00D0507E"/>
    <w:rsid w:val="00D053F2"/>
    <w:rsid w:val="00D05734"/>
    <w:rsid w:val="00D06DD0"/>
    <w:rsid w:val="00D0702E"/>
    <w:rsid w:val="00D0769C"/>
    <w:rsid w:val="00D07D63"/>
    <w:rsid w:val="00D1050D"/>
    <w:rsid w:val="00D107AF"/>
    <w:rsid w:val="00D11295"/>
    <w:rsid w:val="00D15641"/>
    <w:rsid w:val="00D15A03"/>
    <w:rsid w:val="00D17264"/>
    <w:rsid w:val="00D172FF"/>
    <w:rsid w:val="00D1788C"/>
    <w:rsid w:val="00D17993"/>
    <w:rsid w:val="00D17C5E"/>
    <w:rsid w:val="00D205F3"/>
    <w:rsid w:val="00D209AB"/>
    <w:rsid w:val="00D21411"/>
    <w:rsid w:val="00D2142D"/>
    <w:rsid w:val="00D21FF6"/>
    <w:rsid w:val="00D226A3"/>
    <w:rsid w:val="00D22C55"/>
    <w:rsid w:val="00D22F1C"/>
    <w:rsid w:val="00D23099"/>
    <w:rsid w:val="00D23299"/>
    <w:rsid w:val="00D23C6F"/>
    <w:rsid w:val="00D2627B"/>
    <w:rsid w:val="00D2736E"/>
    <w:rsid w:val="00D27A37"/>
    <w:rsid w:val="00D3025C"/>
    <w:rsid w:val="00D315FE"/>
    <w:rsid w:val="00D31667"/>
    <w:rsid w:val="00D31864"/>
    <w:rsid w:val="00D3271D"/>
    <w:rsid w:val="00D32D14"/>
    <w:rsid w:val="00D34A5A"/>
    <w:rsid w:val="00D34EAB"/>
    <w:rsid w:val="00D35AA5"/>
    <w:rsid w:val="00D35BF6"/>
    <w:rsid w:val="00D35CA1"/>
    <w:rsid w:val="00D365A2"/>
    <w:rsid w:val="00D367AC"/>
    <w:rsid w:val="00D36B46"/>
    <w:rsid w:val="00D37127"/>
    <w:rsid w:val="00D374C9"/>
    <w:rsid w:val="00D4039B"/>
    <w:rsid w:val="00D40A41"/>
    <w:rsid w:val="00D40E4C"/>
    <w:rsid w:val="00D41DC4"/>
    <w:rsid w:val="00D41E9F"/>
    <w:rsid w:val="00D42079"/>
    <w:rsid w:val="00D42B9C"/>
    <w:rsid w:val="00D436C5"/>
    <w:rsid w:val="00D437FD"/>
    <w:rsid w:val="00D43F8F"/>
    <w:rsid w:val="00D44220"/>
    <w:rsid w:val="00D443BB"/>
    <w:rsid w:val="00D44B3B"/>
    <w:rsid w:val="00D45121"/>
    <w:rsid w:val="00D46A4B"/>
    <w:rsid w:val="00D47256"/>
    <w:rsid w:val="00D47765"/>
    <w:rsid w:val="00D47A8B"/>
    <w:rsid w:val="00D500B4"/>
    <w:rsid w:val="00D5042F"/>
    <w:rsid w:val="00D52178"/>
    <w:rsid w:val="00D522F9"/>
    <w:rsid w:val="00D52679"/>
    <w:rsid w:val="00D52C83"/>
    <w:rsid w:val="00D54602"/>
    <w:rsid w:val="00D54BBE"/>
    <w:rsid w:val="00D54C2E"/>
    <w:rsid w:val="00D5590D"/>
    <w:rsid w:val="00D57AB6"/>
    <w:rsid w:val="00D6093B"/>
    <w:rsid w:val="00D61008"/>
    <w:rsid w:val="00D6148C"/>
    <w:rsid w:val="00D6158B"/>
    <w:rsid w:val="00D615F0"/>
    <w:rsid w:val="00D61E4A"/>
    <w:rsid w:val="00D62B23"/>
    <w:rsid w:val="00D62E27"/>
    <w:rsid w:val="00D6428C"/>
    <w:rsid w:val="00D64911"/>
    <w:rsid w:val="00D64948"/>
    <w:rsid w:val="00D64F1E"/>
    <w:rsid w:val="00D665E1"/>
    <w:rsid w:val="00D6683C"/>
    <w:rsid w:val="00D66D8E"/>
    <w:rsid w:val="00D678ED"/>
    <w:rsid w:val="00D67D1F"/>
    <w:rsid w:val="00D7041B"/>
    <w:rsid w:val="00D704BF"/>
    <w:rsid w:val="00D70ABB"/>
    <w:rsid w:val="00D71433"/>
    <w:rsid w:val="00D71BC5"/>
    <w:rsid w:val="00D72535"/>
    <w:rsid w:val="00D729B0"/>
    <w:rsid w:val="00D72BA9"/>
    <w:rsid w:val="00D72FCD"/>
    <w:rsid w:val="00D73118"/>
    <w:rsid w:val="00D7352E"/>
    <w:rsid w:val="00D7397D"/>
    <w:rsid w:val="00D73DE9"/>
    <w:rsid w:val="00D73EE7"/>
    <w:rsid w:val="00D74343"/>
    <w:rsid w:val="00D74447"/>
    <w:rsid w:val="00D74EA2"/>
    <w:rsid w:val="00D7537B"/>
    <w:rsid w:val="00D75843"/>
    <w:rsid w:val="00D75D24"/>
    <w:rsid w:val="00D75F9E"/>
    <w:rsid w:val="00D75FBE"/>
    <w:rsid w:val="00D80063"/>
    <w:rsid w:val="00D814A7"/>
    <w:rsid w:val="00D819E5"/>
    <w:rsid w:val="00D824B1"/>
    <w:rsid w:val="00D82B5B"/>
    <w:rsid w:val="00D8355B"/>
    <w:rsid w:val="00D8379B"/>
    <w:rsid w:val="00D84089"/>
    <w:rsid w:val="00D84897"/>
    <w:rsid w:val="00D84F48"/>
    <w:rsid w:val="00D850E5"/>
    <w:rsid w:val="00D8575B"/>
    <w:rsid w:val="00D85F78"/>
    <w:rsid w:val="00D861C9"/>
    <w:rsid w:val="00D86A9A"/>
    <w:rsid w:val="00D872C7"/>
    <w:rsid w:val="00D87433"/>
    <w:rsid w:val="00D87478"/>
    <w:rsid w:val="00D87693"/>
    <w:rsid w:val="00D906C6"/>
    <w:rsid w:val="00D90D44"/>
    <w:rsid w:val="00D91141"/>
    <w:rsid w:val="00D91645"/>
    <w:rsid w:val="00D92007"/>
    <w:rsid w:val="00D92058"/>
    <w:rsid w:val="00D92C1A"/>
    <w:rsid w:val="00D93B8D"/>
    <w:rsid w:val="00D943A8"/>
    <w:rsid w:val="00D94663"/>
    <w:rsid w:val="00D94BC3"/>
    <w:rsid w:val="00D94C28"/>
    <w:rsid w:val="00D9525D"/>
    <w:rsid w:val="00D954B6"/>
    <w:rsid w:val="00D96644"/>
    <w:rsid w:val="00D96698"/>
    <w:rsid w:val="00D9775A"/>
    <w:rsid w:val="00D97D9D"/>
    <w:rsid w:val="00DA03D4"/>
    <w:rsid w:val="00DA0823"/>
    <w:rsid w:val="00DA091C"/>
    <w:rsid w:val="00DA1446"/>
    <w:rsid w:val="00DA16B5"/>
    <w:rsid w:val="00DA2494"/>
    <w:rsid w:val="00DA3142"/>
    <w:rsid w:val="00DA32C0"/>
    <w:rsid w:val="00DA340A"/>
    <w:rsid w:val="00DA3BD3"/>
    <w:rsid w:val="00DA47C9"/>
    <w:rsid w:val="00DA4BDF"/>
    <w:rsid w:val="00DA550C"/>
    <w:rsid w:val="00DA5DC7"/>
    <w:rsid w:val="00DA6101"/>
    <w:rsid w:val="00DA6253"/>
    <w:rsid w:val="00DA6325"/>
    <w:rsid w:val="00DA6472"/>
    <w:rsid w:val="00DA6A70"/>
    <w:rsid w:val="00DA7030"/>
    <w:rsid w:val="00DA7086"/>
    <w:rsid w:val="00DA7A7C"/>
    <w:rsid w:val="00DB04BB"/>
    <w:rsid w:val="00DB0BC8"/>
    <w:rsid w:val="00DB1377"/>
    <w:rsid w:val="00DB2297"/>
    <w:rsid w:val="00DB3079"/>
    <w:rsid w:val="00DB3181"/>
    <w:rsid w:val="00DB3AFB"/>
    <w:rsid w:val="00DB3B4A"/>
    <w:rsid w:val="00DB47B2"/>
    <w:rsid w:val="00DB662A"/>
    <w:rsid w:val="00DB745A"/>
    <w:rsid w:val="00DB747A"/>
    <w:rsid w:val="00DB7F9E"/>
    <w:rsid w:val="00DC0130"/>
    <w:rsid w:val="00DC246C"/>
    <w:rsid w:val="00DC268F"/>
    <w:rsid w:val="00DC2FC5"/>
    <w:rsid w:val="00DC3731"/>
    <w:rsid w:val="00DC3C03"/>
    <w:rsid w:val="00DC4FB8"/>
    <w:rsid w:val="00DC5066"/>
    <w:rsid w:val="00DC51E7"/>
    <w:rsid w:val="00DC552B"/>
    <w:rsid w:val="00DC5AF4"/>
    <w:rsid w:val="00DC6C1E"/>
    <w:rsid w:val="00DC6D8B"/>
    <w:rsid w:val="00DC7BA9"/>
    <w:rsid w:val="00DC7D72"/>
    <w:rsid w:val="00DC7FCD"/>
    <w:rsid w:val="00DD09AB"/>
    <w:rsid w:val="00DD0AC5"/>
    <w:rsid w:val="00DD1BE9"/>
    <w:rsid w:val="00DD36CF"/>
    <w:rsid w:val="00DD37EF"/>
    <w:rsid w:val="00DD3E2A"/>
    <w:rsid w:val="00DD4FBC"/>
    <w:rsid w:val="00DD5AA4"/>
    <w:rsid w:val="00DD5C7B"/>
    <w:rsid w:val="00DD5D89"/>
    <w:rsid w:val="00DD7495"/>
    <w:rsid w:val="00DE0A46"/>
    <w:rsid w:val="00DE0CA5"/>
    <w:rsid w:val="00DE0EA8"/>
    <w:rsid w:val="00DE1370"/>
    <w:rsid w:val="00DE1781"/>
    <w:rsid w:val="00DE185E"/>
    <w:rsid w:val="00DE1E38"/>
    <w:rsid w:val="00DE2057"/>
    <w:rsid w:val="00DE22BF"/>
    <w:rsid w:val="00DE2B03"/>
    <w:rsid w:val="00DE2D41"/>
    <w:rsid w:val="00DE2EF0"/>
    <w:rsid w:val="00DE4883"/>
    <w:rsid w:val="00DE4C6B"/>
    <w:rsid w:val="00DE4DF0"/>
    <w:rsid w:val="00DE52F0"/>
    <w:rsid w:val="00DE5601"/>
    <w:rsid w:val="00DE5750"/>
    <w:rsid w:val="00DE5DAF"/>
    <w:rsid w:val="00DE6828"/>
    <w:rsid w:val="00DE71BA"/>
    <w:rsid w:val="00DE74E0"/>
    <w:rsid w:val="00DF0EB3"/>
    <w:rsid w:val="00DF101F"/>
    <w:rsid w:val="00DF18CC"/>
    <w:rsid w:val="00DF1961"/>
    <w:rsid w:val="00DF2E38"/>
    <w:rsid w:val="00DF3147"/>
    <w:rsid w:val="00DF351A"/>
    <w:rsid w:val="00DF40C5"/>
    <w:rsid w:val="00DF43C7"/>
    <w:rsid w:val="00DF5323"/>
    <w:rsid w:val="00DF53D3"/>
    <w:rsid w:val="00DF5650"/>
    <w:rsid w:val="00DF56F6"/>
    <w:rsid w:val="00DF5BC7"/>
    <w:rsid w:val="00DF6845"/>
    <w:rsid w:val="00DF6B8E"/>
    <w:rsid w:val="00DF73F2"/>
    <w:rsid w:val="00DF7800"/>
    <w:rsid w:val="00E0045B"/>
    <w:rsid w:val="00E006A4"/>
    <w:rsid w:val="00E0097F"/>
    <w:rsid w:val="00E00C0E"/>
    <w:rsid w:val="00E01227"/>
    <w:rsid w:val="00E0190D"/>
    <w:rsid w:val="00E0204C"/>
    <w:rsid w:val="00E025B5"/>
    <w:rsid w:val="00E02738"/>
    <w:rsid w:val="00E03E7E"/>
    <w:rsid w:val="00E049D4"/>
    <w:rsid w:val="00E06282"/>
    <w:rsid w:val="00E06C87"/>
    <w:rsid w:val="00E06D94"/>
    <w:rsid w:val="00E06FC9"/>
    <w:rsid w:val="00E07000"/>
    <w:rsid w:val="00E07506"/>
    <w:rsid w:val="00E07D53"/>
    <w:rsid w:val="00E10F11"/>
    <w:rsid w:val="00E1187F"/>
    <w:rsid w:val="00E118D8"/>
    <w:rsid w:val="00E11D24"/>
    <w:rsid w:val="00E11D7E"/>
    <w:rsid w:val="00E1208E"/>
    <w:rsid w:val="00E1252E"/>
    <w:rsid w:val="00E12615"/>
    <w:rsid w:val="00E12B19"/>
    <w:rsid w:val="00E12B57"/>
    <w:rsid w:val="00E131EC"/>
    <w:rsid w:val="00E13218"/>
    <w:rsid w:val="00E1342F"/>
    <w:rsid w:val="00E135B6"/>
    <w:rsid w:val="00E141C0"/>
    <w:rsid w:val="00E14AA5"/>
    <w:rsid w:val="00E14BB0"/>
    <w:rsid w:val="00E14EDF"/>
    <w:rsid w:val="00E164D7"/>
    <w:rsid w:val="00E17ECC"/>
    <w:rsid w:val="00E2037F"/>
    <w:rsid w:val="00E20912"/>
    <w:rsid w:val="00E20AE1"/>
    <w:rsid w:val="00E211BA"/>
    <w:rsid w:val="00E216C5"/>
    <w:rsid w:val="00E217E1"/>
    <w:rsid w:val="00E22273"/>
    <w:rsid w:val="00E231A0"/>
    <w:rsid w:val="00E232D7"/>
    <w:rsid w:val="00E27209"/>
    <w:rsid w:val="00E27DE2"/>
    <w:rsid w:val="00E30446"/>
    <w:rsid w:val="00E30487"/>
    <w:rsid w:val="00E3073E"/>
    <w:rsid w:val="00E30A19"/>
    <w:rsid w:val="00E31B03"/>
    <w:rsid w:val="00E31C41"/>
    <w:rsid w:val="00E31E15"/>
    <w:rsid w:val="00E324E9"/>
    <w:rsid w:val="00E33572"/>
    <w:rsid w:val="00E3422D"/>
    <w:rsid w:val="00E343F3"/>
    <w:rsid w:val="00E345EA"/>
    <w:rsid w:val="00E34DB7"/>
    <w:rsid w:val="00E34DD0"/>
    <w:rsid w:val="00E353ED"/>
    <w:rsid w:val="00E35749"/>
    <w:rsid w:val="00E358D1"/>
    <w:rsid w:val="00E36F44"/>
    <w:rsid w:val="00E3704B"/>
    <w:rsid w:val="00E37D60"/>
    <w:rsid w:val="00E40420"/>
    <w:rsid w:val="00E41264"/>
    <w:rsid w:val="00E41479"/>
    <w:rsid w:val="00E423F5"/>
    <w:rsid w:val="00E42AF6"/>
    <w:rsid w:val="00E42CD3"/>
    <w:rsid w:val="00E42DE1"/>
    <w:rsid w:val="00E42E36"/>
    <w:rsid w:val="00E434BE"/>
    <w:rsid w:val="00E43B91"/>
    <w:rsid w:val="00E43C6F"/>
    <w:rsid w:val="00E4404B"/>
    <w:rsid w:val="00E4437C"/>
    <w:rsid w:val="00E4465F"/>
    <w:rsid w:val="00E44D0F"/>
    <w:rsid w:val="00E450EA"/>
    <w:rsid w:val="00E45E56"/>
    <w:rsid w:val="00E46E0C"/>
    <w:rsid w:val="00E47177"/>
    <w:rsid w:val="00E47D7F"/>
    <w:rsid w:val="00E503B0"/>
    <w:rsid w:val="00E504EE"/>
    <w:rsid w:val="00E530F2"/>
    <w:rsid w:val="00E53783"/>
    <w:rsid w:val="00E538F7"/>
    <w:rsid w:val="00E53ED5"/>
    <w:rsid w:val="00E542B1"/>
    <w:rsid w:val="00E544C5"/>
    <w:rsid w:val="00E554E3"/>
    <w:rsid w:val="00E55FE5"/>
    <w:rsid w:val="00E564A6"/>
    <w:rsid w:val="00E57116"/>
    <w:rsid w:val="00E57565"/>
    <w:rsid w:val="00E606C8"/>
    <w:rsid w:val="00E6083B"/>
    <w:rsid w:val="00E608E2"/>
    <w:rsid w:val="00E613E0"/>
    <w:rsid w:val="00E613EA"/>
    <w:rsid w:val="00E61FAA"/>
    <w:rsid w:val="00E6207F"/>
    <w:rsid w:val="00E62DAB"/>
    <w:rsid w:val="00E63372"/>
    <w:rsid w:val="00E639EB"/>
    <w:rsid w:val="00E64818"/>
    <w:rsid w:val="00E64F1D"/>
    <w:rsid w:val="00E650BA"/>
    <w:rsid w:val="00E66904"/>
    <w:rsid w:val="00E7048D"/>
    <w:rsid w:val="00E70B05"/>
    <w:rsid w:val="00E71DDE"/>
    <w:rsid w:val="00E72EB9"/>
    <w:rsid w:val="00E739C5"/>
    <w:rsid w:val="00E753C4"/>
    <w:rsid w:val="00E75828"/>
    <w:rsid w:val="00E7594F"/>
    <w:rsid w:val="00E761CE"/>
    <w:rsid w:val="00E7785E"/>
    <w:rsid w:val="00E77AD4"/>
    <w:rsid w:val="00E77B6C"/>
    <w:rsid w:val="00E80013"/>
    <w:rsid w:val="00E80658"/>
    <w:rsid w:val="00E80D5E"/>
    <w:rsid w:val="00E81DDB"/>
    <w:rsid w:val="00E8208A"/>
    <w:rsid w:val="00E824B1"/>
    <w:rsid w:val="00E82AAC"/>
    <w:rsid w:val="00E82B2B"/>
    <w:rsid w:val="00E83839"/>
    <w:rsid w:val="00E83DCD"/>
    <w:rsid w:val="00E84E16"/>
    <w:rsid w:val="00E854FD"/>
    <w:rsid w:val="00E8584B"/>
    <w:rsid w:val="00E86EDC"/>
    <w:rsid w:val="00E873B3"/>
    <w:rsid w:val="00E87778"/>
    <w:rsid w:val="00E878B7"/>
    <w:rsid w:val="00E87E0B"/>
    <w:rsid w:val="00E90CE6"/>
    <w:rsid w:val="00E90E82"/>
    <w:rsid w:val="00E92180"/>
    <w:rsid w:val="00E92315"/>
    <w:rsid w:val="00E92972"/>
    <w:rsid w:val="00E92B00"/>
    <w:rsid w:val="00E93658"/>
    <w:rsid w:val="00E94663"/>
    <w:rsid w:val="00E94B4D"/>
    <w:rsid w:val="00E94FC3"/>
    <w:rsid w:val="00E95936"/>
    <w:rsid w:val="00E964F4"/>
    <w:rsid w:val="00E967BD"/>
    <w:rsid w:val="00E96D51"/>
    <w:rsid w:val="00E9749E"/>
    <w:rsid w:val="00EA0BE7"/>
    <w:rsid w:val="00EA0D84"/>
    <w:rsid w:val="00EA38F5"/>
    <w:rsid w:val="00EA4370"/>
    <w:rsid w:val="00EA4617"/>
    <w:rsid w:val="00EA46B8"/>
    <w:rsid w:val="00EA5E1A"/>
    <w:rsid w:val="00EA607E"/>
    <w:rsid w:val="00EA61F9"/>
    <w:rsid w:val="00EA7BFC"/>
    <w:rsid w:val="00EB05F9"/>
    <w:rsid w:val="00EB214E"/>
    <w:rsid w:val="00EB2644"/>
    <w:rsid w:val="00EB374A"/>
    <w:rsid w:val="00EB43F5"/>
    <w:rsid w:val="00EB483E"/>
    <w:rsid w:val="00EB583F"/>
    <w:rsid w:val="00EB6302"/>
    <w:rsid w:val="00EB64E0"/>
    <w:rsid w:val="00EB69EE"/>
    <w:rsid w:val="00EB77BE"/>
    <w:rsid w:val="00EB7938"/>
    <w:rsid w:val="00EC00EE"/>
    <w:rsid w:val="00EC1553"/>
    <w:rsid w:val="00EC19B9"/>
    <w:rsid w:val="00EC223A"/>
    <w:rsid w:val="00EC2F44"/>
    <w:rsid w:val="00EC30A5"/>
    <w:rsid w:val="00EC36ED"/>
    <w:rsid w:val="00EC39E6"/>
    <w:rsid w:val="00EC4005"/>
    <w:rsid w:val="00EC43FA"/>
    <w:rsid w:val="00EC53CA"/>
    <w:rsid w:val="00EC56D5"/>
    <w:rsid w:val="00EC56EF"/>
    <w:rsid w:val="00EC5AD2"/>
    <w:rsid w:val="00EC6281"/>
    <w:rsid w:val="00EC66BA"/>
    <w:rsid w:val="00EC6D88"/>
    <w:rsid w:val="00EC7A76"/>
    <w:rsid w:val="00ED05D3"/>
    <w:rsid w:val="00ED09E8"/>
    <w:rsid w:val="00ED0B81"/>
    <w:rsid w:val="00ED2627"/>
    <w:rsid w:val="00ED2CEA"/>
    <w:rsid w:val="00ED2DC0"/>
    <w:rsid w:val="00ED3688"/>
    <w:rsid w:val="00ED3A67"/>
    <w:rsid w:val="00ED3EC2"/>
    <w:rsid w:val="00ED4695"/>
    <w:rsid w:val="00ED4A4B"/>
    <w:rsid w:val="00ED578D"/>
    <w:rsid w:val="00ED593E"/>
    <w:rsid w:val="00ED5CA6"/>
    <w:rsid w:val="00ED5D2D"/>
    <w:rsid w:val="00ED637B"/>
    <w:rsid w:val="00ED67E7"/>
    <w:rsid w:val="00ED6C54"/>
    <w:rsid w:val="00ED7001"/>
    <w:rsid w:val="00ED7E05"/>
    <w:rsid w:val="00ED7EC8"/>
    <w:rsid w:val="00EE1726"/>
    <w:rsid w:val="00EE274A"/>
    <w:rsid w:val="00EE274B"/>
    <w:rsid w:val="00EE2826"/>
    <w:rsid w:val="00EE2DC5"/>
    <w:rsid w:val="00EE2EF2"/>
    <w:rsid w:val="00EE3609"/>
    <w:rsid w:val="00EE3C53"/>
    <w:rsid w:val="00EE5B46"/>
    <w:rsid w:val="00EE6111"/>
    <w:rsid w:val="00EE61BB"/>
    <w:rsid w:val="00EE6FD9"/>
    <w:rsid w:val="00EE7EE3"/>
    <w:rsid w:val="00EF0122"/>
    <w:rsid w:val="00EF072E"/>
    <w:rsid w:val="00EF16AD"/>
    <w:rsid w:val="00EF16E2"/>
    <w:rsid w:val="00EF2680"/>
    <w:rsid w:val="00EF2794"/>
    <w:rsid w:val="00EF2BA2"/>
    <w:rsid w:val="00EF2BA4"/>
    <w:rsid w:val="00EF48BE"/>
    <w:rsid w:val="00EF4984"/>
    <w:rsid w:val="00EF4A76"/>
    <w:rsid w:val="00EF4D1B"/>
    <w:rsid w:val="00EF50D6"/>
    <w:rsid w:val="00EF5757"/>
    <w:rsid w:val="00EF5933"/>
    <w:rsid w:val="00EF7C43"/>
    <w:rsid w:val="00EF7DFB"/>
    <w:rsid w:val="00F0094C"/>
    <w:rsid w:val="00F00E91"/>
    <w:rsid w:val="00F01117"/>
    <w:rsid w:val="00F01337"/>
    <w:rsid w:val="00F0161D"/>
    <w:rsid w:val="00F0272E"/>
    <w:rsid w:val="00F02A1C"/>
    <w:rsid w:val="00F02B0B"/>
    <w:rsid w:val="00F03010"/>
    <w:rsid w:val="00F044EF"/>
    <w:rsid w:val="00F047B4"/>
    <w:rsid w:val="00F04A72"/>
    <w:rsid w:val="00F04F15"/>
    <w:rsid w:val="00F0500C"/>
    <w:rsid w:val="00F0505E"/>
    <w:rsid w:val="00F05F36"/>
    <w:rsid w:val="00F066B5"/>
    <w:rsid w:val="00F06BA1"/>
    <w:rsid w:val="00F078A6"/>
    <w:rsid w:val="00F07E21"/>
    <w:rsid w:val="00F1012E"/>
    <w:rsid w:val="00F10871"/>
    <w:rsid w:val="00F11191"/>
    <w:rsid w:val="00F1209A"/>
    <w:rsid w:val="00F1212B"/>
    <w:rsid w:val="00F1229B"/>
    <w:rsid w:val="00F12E1F"/>
    <w:rsid w:val="00F1382C"/>
    <w:rsid w:val="00F14723"/>
    <w:rsid w:val="00F14EAE"/>
    <w:rsid w:val="00F15C6B"/>
    <w:rsid w:val="00F1671B"/>
    <w:rsid w:val="00F16CD0"/>
    <w:rsid w:val="00F1748C"/>
    <w:rsid w:val="00F17C27"/>
    <w:rsid w:val="00F2046C"/>
    <w:rsid w:val="00F204A9"/>
    <w:rsid w:val="00F20D55"/>
    <w:rsid w:val="00F22A16"/>
    <w:rsid w:val="00F22D83"/>
    <w:rsid w:val="00F231FC"/>
    <w:rsid w:val="00F234D0"/>
    <w:rsid w:val="00F23B39"/>
    <w:rsid w:val="00F23CD9"/>
    <w:rsid w:val="00F23D54"/>
    <w:rsid w:val="00F252B6"/>
    <w:rsid w:val="00F261F7"/>
    <w:rsid w:val="00F26518"/>
    <w:rsid w:val="00F26C1F"/>
    <w:rsid w:val="00F26E33"/>
    <w:rsid w:val="00F27BDB"/>
    <w:rsid w:val="00F30EBB"/>
    <w:rsid w:val="00F310CA"/>
    <w:rsid w:val="00F3122E"/>
    <w:rsid w:val="00F31475"/>
    <w:rsid w:val="00F315DA"/>
    <w:rsid w:val="00F3172B"/>
    <w:rsid w:val="00F318A0"/>
    <w:rsid w:val="00F31B8E"/>
    <w:rsid w:val="00F31F42"/>
    <w:rsid w:val="00F325DC"/>
    <w:rsid w:val="00F33452"/>
    <w:rsid w:val="00F33B6F"/>
    <w:rsid w:val="00F33F9A"/>
    <w:rsid w:val="00F35001"/>
    <w:rsid w:val="00F352C3"/>
    <w:rsid w:val="00F353CD"/>
    <w:rsid w:val="00F35804"/>
    <w:rsid w:val="00F35BA9"/>
    <w:rsid w:val="00F35E89"/>
    <w:rsid w:val="00F3644A"/>
    <w:rsid w:val="00F36769"/>
    <w:rsid w:val="00F36985"/>
    <w:rsid w:val="00F36A94"/>
    <w:rsid w:val="00F36B61"/>
    <w:rsid w:val="00F36FA3"/>
    <w:rsid w:val="00F37BA4"/>
    <w:rsid w:val="00F37BCF"/>
    <w:rsid w:val="00F37CB7"/>
    <w:rsid w:val="00F37EDC"/>
    <w:rsid w:val="00F40634"/>
    <w:rsid w:val="00F428E6"/>
    <w:rsid w:val="00F43278"/>
    <w:rsid w:val="00F43419"/>
    <w:rsid w:val="00F43A12"/>
    <w:rsid w:val="00F44E6B"/>
    <w:rsid w:val="00F45651"/>
    <w:rsid w:val="00F45FBA"/>
    <w:rsid w:val="00F461D7"/>
    <w:rsid w:val="00F46376"/>
    <w:rsid w:val="00F473A7"/>
    <w:rsid w:val="00F502F5"/>
    <w:rsid w:val="00F50A08"/>
    <w:rsid w:val="00F50CF9"/>
    <w:rsid w:val="00F5153C"/>
    <w:rsid w:val="00F51B83"/>
    <w:rsid w:val="00F529BB"/>
    <w:rsid w:val="00F53556"/>
    <w:rsid w:val="00F53FE2"/>
    <w:rsid w:val="00F540F9"/>
    <w:rsid w:val="00F547FA"/>
    <w:rsid w:val="00F54AFB"/>
    <w:rsid w:val="00F54EBA"/>
    <w:rsid w:val="00F55006"/>
    <w:rsid w:val="00F55258"/>
    <w:rsid w:val="00F558BD"/>
    <w:rsid w:val="00F55D18"/>
    <w:rsid w:val="00F5639A"/>
    <w:rsid w:val="00F56507"/>
    <w:rsid w:val="00F56649"/>
    <w:rsid w:val="00F574CF"/>
    <w:rsid w:val="00F57AD4"/>
    <w:rsid w:val="00F57AD9"/>
    <w:rsid w:val="00F57D18"/>
    <w:rsid w:val="00F6040F"/>
    <w:rsid w:val="00F608AD"/>
    <w:rsid w:val="00F61179"/>
    <w:rsid w:val="00F6141B"/>
    <w:rsid w:val="00F62152"/>
    <w:rsid w:val="00F624B9"/>
    <w:rsid w:val="00F62A6C"/>
    <w:rsid w:val="00F62DCC"/>
    <w:rsid w:val="00F63119"/>
    <w:rsid w:val="00F63A42"/>
    <w:rsid w:val="00F63B04"/>
    <w:rsid w:val="00F65BDA"/>
    <w:rsid w:val="00F6602C"/>
    <w:rsid w:val="00F66143"/>
    <w:rsid w:val="00F66A44"/>
    <w:rsid w:val="00F66DE8"/>
    <w:rsid w:val="00F66E2F"/>
    <w:rsid w:val="00F673B3"/>
    <w:rsid w:val="00F71680"/>
    <w:rsid w:val="00F72634"/>
    <w:rsid w:val="00F72A23"/>
    <w:rsid w:val="00F737EF"/>
    <w:rsid w:val="00F73987"/>
    <w:rsid w:val="00F73B5F"/>
    <w:rsid w:val="00F73E4F"/>
    <w:rsid w:val="00F750A3"/>
    <w:rsid w:val="00F75594"/>
    <w:rsid w:val="00F75956"/>
    <w:rsid w:val="00F7681C"/>
    <w:rsid w:val="00F773B0"/>
    <w:rsid w:val="00F77417"/>
    <w:rsid w:val="00F77639"/>
    <w:rsid w:val="00F80359"/>
    <w:rsid w:val="00F80728"/>
    <w:rsid w:val="00F81306"/>
    <w:rsid w:val="00F8181F"/>
    <w:rsid w:val="00F8225A"/>
    <w:rsid w:val="00F82709"/>
    <w:rsid w:val="00F8452C"/>
    <w:rsid w:val="00F85758"/>
    <w:rsid w:val="00F873A0"/>
    <w:rsid w:val="00F87921"/>
    <w:rsid w:val="00F879C8"/>
    <w:rsid w:val="00F905A7"/>
    <w:rsid w:val="00F90614"/>
    <w:rsid w:val="00F90E94"/>
    <w:rsid w:val="00F910E7"/>
    <w:rsid w:val="00F91C64"/>
    <w:rsid w:val="00F92AA6"/>
    <w:rsid w:val="00F93739"/>
    <w:rsid w:val="00F93886"/>
    <w:rsid w:val="00F940A2"/>
    <w:rsid w:val="00F94AFE"/>
    <w:rsid w:val="00F94DE3"/>
    <w:rsid w:val="00F94EBA"/>
    <w:rsid w:val="00F94F38"/>
    <w:rsid w:val="00F951EA"/>
    <w:rsid w:val="00F95DD3"/>
    <w:rsid w:val="00F95E52"/>
    <w:rsid w:val="00F95E99"/>
    <w:rsid w:val="00F96AF8"/>
    <w:rsid w:val="00F97EF7"/>
    <w:rsid w:val="00FA0C9C"/>
    <w:rsid w:val="00FA1DBB"/>
    <w:rsid w:val="00FA3BB9"/>
    <w:rsid w:val="00FA3CB2"/>
    <w:rsid w:val="00FA50CC"/>
    <w:rsid w:val="00FA6E51"/>
    <w:rsid w:val="00FA6E6E"/>
    <w:rsid w:val="00FA7755"/>
    <w:rsid w:val="00FB1599"/>
    <w:rsid w:val="00FB1767"/>
    <w:rsid w:val="00FB1A48"/>
    <w:rsid w:val="00FB1F5A"/>
    <w:rsid w:val="00FB2016"/>
    <w:rsid w:val="00FB2D04"/>
    <w:rsid w:val="00FB3334"/>
    <w:rsid w:val="00FB462D"/>
    <w:rsid w:val="00FB4D67"/>
    <w:rsid w:val="00FB575B"/>
    <w:rsid w:val="00FB6383"/>
    <w:rsid w:val="00FB66E8"/>
    <w:rsid w:val="00FB6F01"/>
    <w:rsid w:val="00FB7861"/>
    <w:rsid w:val="00FB7D6A"/>
    <w:rsid w:val="00FC0611"/>
    <w:rsid w:val="00FC0859"/>
    <w:rsid w:val="00FC1658"/>
    <w:rsid w:val="00FC1682"/>
    <w:rsid w:val="00FC175C"/>
    <w:rsid w:val="00FC1B7D"/>
    <w:rsid w:val="00FC2383"/>
    <w:rsid w:val="00FC27CE"/>
    <w:rsid w:val="00FC2984"/>
    <w:rsid w:val="00FC32C4"/>
    <w:rsid w:val="00FC3AEB"/>
    <w:rsid w:val="00FC3C93"/>
    <w:rsid w:val="00FC4599"/>
    <w:rsid w:val="00FC4D69"/>
    <w:rsid w:val="00FC4F11"/>
    <w:rsid w:val="00FC4FB2"/>
    <w:rsid w:val="00FC5112"/>
    <w:rsid w:val="00FC56A6"/>
    <w:rsid w:val="00FC5974"/>
    <w:rsid w:val="00FC5BAA"/>
    <w:rsid w:val="00FC6448"/>
    <w:rsid w:val="00FC6B92"/>
    <w:rsid w:val="00FC6F29"/>
    <w:rsid w:val="00FC77E9"/>
    <w:rsid w:val="00FD04E9"/>
    <w:rsid w:val="00FD06BC"/>
    <w:rsid w:val="00FD08B9"/>
    <w:rsid w:val="00FD0B3C"/>
    <w:rsid w:val="00FD0F92"/>
    <w:rsid w:val="00FD1B3C"/>
    <w:rsid w:val="00FD21AA"/>
    <w:rsid w:val="00FD222A"/>
    <w:rsid w:val="00FD2B01"/>
    <w:rsid w:val="00FD391F"/>
    <w:rsid w:val="00FD454E"/>
    <w:rsid w:val="00FD5317"/>
    <w:rsid w:val="00FD6EF8"/>
    <w:rsid w:val="00FD718D"/>
    <w:rsid w:val="00FD752B"/>
    <w:rsid w:val="00FD7B0C"/>
    <w:rsid w:val="00FD7BBA"/>
    <w:rsid w:val="00FE08D7"/>
    <w:rsid w:val="00FE0DA0"/>
    <w:rsid w:val="00FE20F4"/>
    <w:rsid w:val="00FE2497"/>
    <w:rsid w:val="00FE3294"/>
    <w:rsid w:val="00FE4416"/>
    <w:rsid w:val="00FE4D21"/>
    <w:rsid w:val="00FE502C"/>
    <w:rsid w:val="00FE6609"/>
    <w:rsid w:val="00FE724E"/>
    <w:rsid w:val="00FE7E5B"/>
    <w:rsid w:val="00FF0677"/>
    <w:rsid w:val="00FF1F12"/>
    <w:rsid w:val="00FF2B6A"/>
    <w:rsid w:val="00FF36C5"/>
    <w:rsid w:val="00FF40E5"/>
    <w:rsid w:val="00FF46AD"/>
    <w:rsid w:val="00FF4F72"/>
    <w:rsid w:val="00FF5480"/>
    <w:rsid w:val="00FF79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8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100B5"/>
    <w:pPr>
      <w:keepNext/>
      <w:spacing w:after="0" w:line="240" w:lineRule="auto"/>
      <w:jc w:val="center"/>
      <w:outlineLvl w:val="2"/>
    </w:pPr>
    <w:rPr>
      <w:rFonts w:ascii="Cambria" w:eastAsia="Times New Roman" w:hAnsi="Cambria" w:cs="Cambria"/>
      <w:b/>
      <w:bCs/>
      <w:sz w:val="26"/>
      <w:szCs w:val="26"/>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16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9394F"/>
    <w:pPr>
      <w:ind w:left="720"/>
      <w:contextualSpacing/>
    </w:pPr>
  </w:style>
  <w:style w:type="character" w:styleId="Hipercze">
    <w:name w:val="Hyperlink"/>
    <w:basedOn w:val="Domylnaczcionkaakapitu"/>
    <w:uiPriority w:val="99"/>
    <w:unhideWhenUsed/>
    <w:rsid w:val="002B3633"/>
    <w:rPr>
      <w:color w:val="0000FF" w:themeColor="hyperlink"/>
      <w:u w:val="single"/>
    </w:rPr>
  </w:style>
  <w:style w:type="paragraph" w:styleId="Tekstprzypisudolnego">
    <w:name w:val="footnote text"/>
    <w:basedOn w:val="Normalny"/>
    <w:link w:val="TekstprzypisudolnegoZnak"/>
    <w:uiPriority w:val="99"/>
    <w:unhideWhenUsed/>
    <w:rsid w:val="00644E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44EBC"/>
    <w:rPr>
      <w:sz w:val="20"/>
      <w:szCs w:val="20"/>
    </w:rPr>
  </w:style>
  <w:style w:type="character" w:styleId="Odwoanieprzypisudolnego">
    <w:name w:val="footnote reference"/>
    <w:basedOn w:val="Domylnaczcionkaakapitu"/>
    <w:uiPriority w:val="99"/>
    <w:semiHidden/>
    <w:unhideWhenUsed/>
    <w:rsid w:val="00644EBC"/>
    <w:rPr>
      <w:vertAlign w:val="superscript"/>
    </w:rPr>
  </w:style>
  <w:style w:type="paragraph" w:styleId="Tekstpodstawowy2">
    <w:name w:val="Body Text 2"/>
    <w:basedOn w:val="Normalny"/>
    <w:link w:val="Tekstpodstawowy2Znak"/>
    <w:rsid w:val="00035373"/>
    <w:pPr>
      <w:spacing w:after="0" w:line="240" w:lineRule="auto"/>
      <w:jc w:val="center"/>
    </w:pPr>
    <w:rPr>
      <w:rFonts w:ascii="Arial" w:eastAsia="Times New Roman" w:hAnsi="Arial" w:cs="Arial"/>
      <w:sz w:val="16"/>
      <w:szCs w:val="16"/>
      <w:lang w:eastAsia="pl-PL"/>
    </w:rPr>
  </w:style>
  <w:style w:type="character" w:customStyle="1" w:styleId="Tekstpodstawowy2Znak">
    <w:name w:val="Tekst podstawowy 2 Znak"/>
    <w:basedOn w:val="Domylnaczcionkaakapitu"/>
    <w:link w:val="Tekstpodstawowy2"/>
    <w:rsid w:val="00035373"/>
    <w:rPr>
      <w:rFonts w:ascii="Arial" w:eastAsia="Times New Roman" w:hAnsi="Arial" w:cs="Arial"/>
      <w:sz w:val="16"/>
      <w:szCs w:val="16"/>
      <w:lang w:eastAsia="pl-PL"/>
    </w:rPr>
  </w:style>
  <w:style w:type="paragraph" w:styleId="Tekstpodstawowy">
    <w:name w:val="Body Text"/>
    <w:basedOn w:val="Normalny"/>
    <w:link w:val="TekstpodstawowyZnak"/>
    <w:rsid w:val="00035373"/>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rsid w:val="00035373"/>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40F13"/>
    <w:pPr>
      <w:spacing w:after="120" w:line="240" w:lineRule="auto"/>
    </w:pPr>
    <w:rPr>
      <w:rFonts w:ascii="Times New Roman" w:eastAsia="Times New Roman" w:hAnsi="Times New Roman" w:cs="Times New Roman"/>
      <w:sz w:val="16"/>
      <w:szCs w:val="16"/>
      <w:lang w:val="de-DE" w:eastAsia="pl-PL"/>
    </w:rPr>
  </w:style>
  <w:style w:type="character" w:customStyle="1" w:styleId="Tekstpodstawowy3Znak">
    <w:name w:val="Tekst podstawowy 3 Znak"/>
    <w:basedOn w:val="Domylnaczcionkaakapitu"/>
    <w:link w:val="Tekstpodstawowy3"/>
    <w:uiPriority w:val="99"/>
    <w:semiHidden/>
    <w:rsid w:val="00340F13"/>
    <w:rPr>
      <w:rFonts w:ascii="Times New Roman" w:eastAsia="Times New Roman" w:hAnsi="Times New Roman" w:cs="Times New Roman"/>
      <w:sz w:val="16"/>
      <w:szCs w:val="16"/>
      <w:lang w:val="de-DE" w:eastAsia="pl-PL"/>
    </w:rPr>
  </w:style>
  <w:style w:type="paragraph" w:styleId="Tekstdymka">
    <w:name w:val="Balloon Text"/>
    <w:basedOn w:val="Normalny"/>
    <w:link w:val="TekstdymkaZnak"/>
    <w:uiPriority w:val="99"/>
    <w:semiHidden/>
    <w:unhideWhenUsed/>
    <w:rsid w:val="009A6A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A63"/>
    <w:rPr>
      <w:rFonts w:ascii="Tahoma" w:hAnsi="Tahoma" w:cs="Tahoma"/>
      <w:sz w:val="16"/>
      <w:szCs w:val="16"/>
    </w:rPr>
  </w:style>
  <w:style w:type="paragraph" w:styleId="Nagwek">
    <w:name w:val="header"/>
    <w:basedOn w:val="Normalny"/>
    <w:link w:val="NagwekZnak"/>
    <w:uiPriority w:val="99"/>
    <w:unhideWhenUsed/>
    <w:rsid w:val="00BD0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BA7"/>
  </w:style>
  <w:style w:type="paragraph" w:styleId="Stopka">
    <w:name w:val="footer"/>
    <w:basedOn w:val="Normalny"/>
    <w:link w:val="StopkaZnak"/>
    <w:uiPriority w:val="99"/>
    <w:unhideWhenUsed/>
    <w:rsid w:val="00BD0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A7"/>
  </w:style>
  <w:style w:type="table" w:styleId="Tabela-Siatka">
    <w:name w:val="Table Grid"/>
    <w:basedOn w:val="Standardowy"/>
    <w:uiPriority w:val="59"/>
    <w:rsid w:val="003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624B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5100B5"/>
    <w:pPr>
      <w:spacing w:after="120"/>
      <w:ind w:left="283"/>
    </w:pPr>
  </w:style>
  <w:style w:type="character" w:customStyle="1" w:styleId="TekstpodstawowywcityZnak">
    <w:name w:val="Tekst podstawowy wcięty Znak"/>
    <w:basedOn w:val="Domylnaczcionkaakapitu"/>
    <w:link w:val="Tekstpodstawowywcity"/>
    <w:uiPriority w:val="99"/>
    <w:rsid w:val="005100B5"/>
  </w:style>
  <w:style w:type="character" w:customStyle="1" w:styleId="Nagwek3Znak">
    <w:name w:val="Nagłówek 3 Znak"/>
    <w:basedOn w:val="Domylnaczcionkaakapitu"/>
    <w:link w:val="Nagwek3"/>
    <w:uiPriority w:val="9"/>
    <w:rsid w:val="005100B5"/>
    <w:rPr>
      <w:rFonts w:ascii="Cambria" w:eastAsia="Times New Roman" w:hAnsi="Cambria" w:cs="Cambria"/>
      <w:b/>
      <w:bCs/>
      <w:sz w:val="26"/>
      <w:szCs w:val="26"/>
      <w:lang w:val="de-DE" w:eastAsia="pl-PL"/>
    </w:rPr>
  </w:style>
  <w:style w:type="paragraph" w:styleId="Legenda">
    <w:name w:val="caption"/>
    <w:basedOn w:val="Normalny"/>
    <w:next w:val="Normalny"/>
    <w:uiPriority w:val="99"/>
    <w:qFormat/>
    <w:rsid w:val="005100B5"/>
    <w:pPr>
      <w:spacing w:after="0" w:line="240" w:lineRule="auto"/>
    </w:pPr>
    <w:rPr>
      <w:rFonts w:ascii="Times New Roman" w:eastAsia="Times New Roman" w:hAnsi="Times New Roman" w:cs="Times New Roman"/>
      <w:i/>
      <w:iCs/>
      <w:sz w:val="18"/>
      <w:szCs w:val="18"/>
      <w:lang w:eastAsia="pl-PL"/>
    </w:rPr>
  </w:style>
  <w:style w:type="character" w:customStyle="1" w:styleId="Nagwek2Znak">
    <w:name w:val="Nagłówek 2 Znak"/>
    <w:basedOn w:val="Domylnaczcionkaakapitu"/>
    <w:link w:val="Nagwek2"/>
    <w:uiPriority w:val="9"/>
    <w:semiHidden/>
    <w:rsid w:val="0038249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A44C67"/>
    <w:pPr>
      <w:spacing w:after="0" w:line="240" w:lineRule="auto"/>
    </w:pPr>
  </w:style>
  <w:style w:type="character" w:styleId="Odwoaniedokomentarza">
    <w:name w:val="annotation reference"/>
    <w:basedOn w:val="Domylnaczcionkaakapitu"/>
    <w:uiPriority w:val="99"/>
    <w:semiHidden/>
    <w:unhideWhenUsed/>
    <w:rsid w:val="00D5590D"/>
    <w:rPr>
      <w:sz w:val="16"/>
      <w:szCs w:val="16"/>
    </w:rPr>
  </w:style>
  <w:style w:type="paragraph" w:styleId="Tekstkomentarza">
    <w:name w:val="annotation text"/>
    <w:basedOn w:val="Normalny"/>
    <w:link w:val="TekstkomentarzaZnak"/>
    <w:uiPriority w:val="99"/>
    <w:semiHidden/>
    <w:unhideWhenUsed/>
    <w:rsid w:val="00D55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590D"/>
    <w:rPr>
      <w:sz w:val="20"/>
      <w:szCs w:val="20"/>
    </w:rPr>
  </w:style>
  <w:style w:type="paragraph" w:styleId="Tematkomentarza">
    <w:name w:val="annotation subject"/>
    <w:basedOn w:val="Tekstkomentarza"/>
    <w:next w:val="Tekstkomentarza"/>
    <w:link w:val="TematkomentarzaZnak"/>
    <w:uiPriority w:val="99"/>
    <w:semiHidden/>
    <w:unhideWhenUsed/>
    <w:rsid w:val="00D5590D"/>
    <w:rPr>
      <w:b/>
      <w:bCs/>
    </w:rPr>
  </w:style>
  <w:style w:type="character" w:customStyle="1" w:styleId="TematkomentarzaZnak">
    <w:name w:val="Temat komentarza Znak"/>
    <w:basedOn w:val="TekstkomentarzaZnak"/>
    <w:link w:val="Tematkomentarza"/>
    <w:uiPriority w:val="99"/>
    <w:semiHidden/>
    <w:rsid w:val="00D5590D"/>
    <w:rPr>
      <w:b/>
      <w:bCs/>
      <w:sz w:val="20"/>
      <w:szCs w:val="20"/>
    </w:rPr>
  </w:style>
  <w:style w:type="character" w:customStyle="1" w:styleId="Nagwek1Znak">
    <w:name w:val="Nagłówek 1 Znak"/>
    <w:basedOn w:val="Domylnaczcionkaakapitu"/>
    <w:link w:val="Nagwek1"/>
    <w:uiPriority w:val="9"/>
    <w:rsid w:val="00B92E45"/>
    <w:rPr>
      <w:rFonts w:asciiTheme="majorHAnsi" w:eastAsiaTheme="majorEastAsia" w:hAnsiTheme="majorHAnsi" w:cstheme="majorBidi"/>
      <w:b/>
      <w:bCs/>
      <w:color w:val="365F91" w:themeColor="accent1" w:themeShade="BF"/>
      <w:sz w:val="28"/>
      <w:szCs w:val="28"/>
    </w:rPr>
  </w:style>
  <w:style w:type="table" w:styleId="Jasnasiatkaakcent3">
    <w:name w:val="Light Grid Accent 3"/>
    <w:basedOn w:val="Standardowy"/>
    <w:uiPriority w:val="62"/>
    <w:rsid w:val="00B92E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pistreci1">
    <w:name w:val="toc 1"/>
    <w:basedOn w:val="Normalny"/>
    <w:next w:val="Normalny"/>
    <w:autoRedefine/>
    <w:uiPriority w:val="39"/>
    <w:unhideWhenUsed/>
    <w:rsid w:val="004C556B"/>
    <w:pPr>
      <w:tabs>
        <w:tab w:val="right" w:leader="dot" w:pos="9060"/>
      </w:tabs>
      <w:spacing w:after="100"/>
    </w:pPr>
    <w:rPr>
      <w:rFonts w:ascii="Times New Roman" w:hAnsi="Times New Roman" w:cs="Times New Roman"/>
      <w:b/>
      <w:bCs/>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Tekstprzypisukocowego">
    <w:name w:val="endnote text"/>
    <w:basedOn w:val="Normalny"/>
    <w:link w:val="TekstprzypisukocowegoZnak"/>
    <w:uiPriority w:val="99"/>
    <w:semiHidden/>
    <w:unhideWhenUsed/>
    <w:rsid w:val="001759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9E1"/>
    <w:rPr>
      <w:sz w:val="20"/>
      <w:szCs w:val="20"/>
    </w:rPr>
  </w:style>
  <w:style w:type="character" w:styleId="Odwoanieprzypisukocowego">
    <w:name w:val="endnote reference"/>
    <w:basedOn w:val="Domylnaczcionkaakapitu"/>
    <w:uiPriority w:val="99"/>
    <w:semiHidden/>
    <w:unhideWhenUsed/>
    <w:rsid w:val="001759E1"/>
    <w:rPr>
      <w:vertAlign w:val="superscript"/>
    </w:rPr>
  </w:style>
  <w:style w:type="paragraph" w:styleId="Nagwekspisutreci">
    <w:name w:val="TOC Heading"/>
    <w:basedOn w:val="Nagwek1"/>
    <w:next w:val="Normalny"/>
    <w:uiPriority w:val="39"/>
    <w:semiHidden/>
    <w:unhideWhenUsed/>
    <w:qFormat/>
    <w:rsid w:val="001F59FA"/>
    <w:pPr>
      <w:outlineLvl w:val="9"/>
    </w:pPr>
    <w:rPr>
      <w:lang w:eastAsia="pl-PL"/>
    </w:rPr>
  </w:style>
  <w:style w:type="paragraph" w:styleId="Spistreci2">
    <w:name w:val="toc 2"/>
    <w:basedOn w:val="Normalny"/>
    <w:next w:val="Normalny"/>
    <w:autoRedefine/>
    <w:uiPriority w:val="39"/>
    <w:unhideWhenUsed/>
    <w:rsid w:val="00DA7030"/>
    <w:pPr>
      <w:tabs>
        <w:tab w:val="right" w:leader="dot" w:pos="9060"/>
      </w:tabs>
      <w:spacing w:after="100"/>
      <w:ind w:left="220"/>
    </w:pPr>
    <w:rPr>
      <w:rFonts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Spistreci3">
    <w:name w:val="toc 3"/>
    <w:basedOn w:val="Normalny"/>
    <w:next w:val="Normalny"/>
    <w:autoRedefine/>
    <w:uiPriority w:val="39"/>
    <w:unhideWhenUsed/>
    <w:rsid w:val="001F59F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B92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38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100B5"/>
    <w:pPr>
      <w:keepNext/>
      <w:spacing w:after="0" w:line="240" w:lineRule="auto"/>
      <w:jc w:val="center"/>
      <w:outlineLvl w:val="2"/>
    </w:pPr>
    <w:rPr>
      <w:rFonts w:ascii="Cambria" w:eastAsia="Times New Roman" w:hAnsi="Cambria" w:cs="Cambria"/>
      <w:b/>
      <w:bCs/>
      <w:sz w:val="26"/>
      <w:szCs w:val="26"/>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1416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29394F"/>
    <w:pPr>
      <w:ind w:left="720"/>
      <w:contextualSpacing/>
    </w:pPr>
  </w:style>
  <w:style w:type="character" w:styleId="Hipercze">
    <w:name w:val="Hyperlink"/>
    <w:basedOn w:val="Domylnaczcionkaakapitu"/>
    <w:uiPriority w:val="99"/>
    <w:unhideWhenUsed/>
    <w:rsid w:val="002B3633"/>
    <w:rPr>
      <w:color w:val="0000FF" w:themeColor="hyperlink"/>
      <w:u w:val="single"/>
    </w:rPr>
  </w:style>
  <w:style w:type="paragraph" w:styleId="Tekstprzypisudolnego">
    <w:name w:val="footnote text"/>
    <w:basedOn w:val="Normalny"/>
    <w:link w:val="TekstprzypisudolnegoZnak"/>
    <w:uiPriority w:val="99"/>
    <w:unhideWhenUsed/>
    <w:rsid w:val="00644E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44EBC"/>
    <w:rPr>
      <w:sz w:val="20"/>
      <w:szCs w:val="20"/>
    </w:rPr>
  </w:style>
  <w:style w:type="character" w:styleId="Odwoanieprzypisudolnego">
    <w:name w:val="footnote reference"/>
    <w:basedOn w:val="Domylnaczcionkaakapitu"/>
    <w:uiPriority w:val="99"/>
    <w:semiHidden/>
    <w:unhideWhenUsed/>
    <w:rsid w:val="00644EBC"/>
    <w:rPr>
      <w:vertAlign w:val="superscript"/>
    </w:rPr>
  </w:style>
  <w:style w:type="paragraph" w:styleId="Tekstpodstawowy2">
    <w:name w:val="Body Text 2"/>
    <w:basedOn w:val="Normalny"/>
    <w:link w:val="Tekstpodstawowy2Znak"/>
    <w:rsid w:val="00035373"/>
    <w:pPr>
      <w:spacing w:after="0" w:line="240" w:lineRule="auto"/>
      <w:jc w:val="center"/>
    </w:pPr>
    <w:rPr>
      <w:rFonts w:ascii="Arial" w:eastAsia="Times New Roman" w:hAnsi="Arial" w:cs="Arial"/>
      <w:sz w:val="16"/>
      <w:szCs w:val="16"/>
      <w:lang w:eastAsia="pl-PL"/>
    </w:rPr>
  </w:style>
  <w:style w:type="character" w:customStyle="1" w:styleId="Tekstpodstawowy2Znak">
    <w:name w:val="Tekst podstawowy 2 Znak"/>
    <w:basedOn w:val="Domylnaczcionkaakapitu"/>
    <w:link w:val="Tekstpodstawowy2"/>
    <w:rsid w:val="00035373"/>
    <w:rPr>
      <w:rFonts w:ascii="Arial" w:eastAsia="Times New Roman" w:hAnsi="Arial" w:cs="Arial"/>
      <w:sz w:val="16"/>
      <w:szCs w:val="16"/>
      <w:lang w:eastAsia="pl-PL"/>
    </w:rPr>
  </w:style>
  <w:style w:type="paragraph" w:styleId="Tekstpodstawowy">
    <w:name w:val="Body Text"/>
    <w:basedOn w:val="Normalny"/>
    <w:link w:val="TekstpodstawowyZnak"/>
    <w:rsid w:val="00035373"/>
    <w:pPr>
      <w:widowControl w:val="0"/>
      <w:suppressAutoHyphens/>
      <w:spacing w:after="120" w:line="240" w:lineRule="auto"/>
    </w:pPr>
    <w:rPr>
      <w:rFonts w:ascii="Times New Roman" w:eastAsia="Arial Unicode MS" w:hAnsi="Times New Roman" w:cs="Times New Roman"/>
      <w:sz w:val="24"/>
      <w:szCs w:val="24"/>
      <w:lang w:eastAsia="pl-PL"/>
    </w:rPr>
  </w:style>
  <w:style w:type="character" w:customStyle="1" w:styleId="TekstpodstawowyZnak">
    <w:name w:val="Tekst podstawowy Znak"/>
    <w:basedOn w:val="Domylnaczcionkaakapitu"/>
    <w:link w:val="Tekstpodstawowy"/>
    <w:rsid w:val="00035373"/>
    <w:rPr>
      <w:rFonts w:ascii="Times New Roman" w:eastAsia="Arial Unicode MS"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40F13"/>
    <w:pPr>
      <w:spacing w:after="120" w:line="240" w:lineRule="auto"/>
    </w:pPr>
    <w:rPr>
      <w:rFonts w:ascii="Times New Roman" w:eastAsia="Times New Roman" w:hAnsi="Times New Roman" w:cs="Times New Roman"/>
      <w:sz w:val="16"/>
      <w:szCs w:val="16"/>
      <w:lang w:val="de-DE" w:eastAsia="pl-PL"/>
    </w:rPr>
  </w:style>
  <w:style w:type="character" w:customStyle="1" w:styleId="Tekstpodstawowy3Znak">
    <w:name w:val="Tekst podstawowy 3 Znak"/>
    <w:basedOn w:val="Domylnaczcionkaakapitu"/>
    <w:link w:val="Tekstpodstawowy3"/>
    <w:uiPriority w:val="99"/>
    <w:semiHidden/>
    <w:rsid w:val="00340F13"/>
    <w:rPr>
      <w:rFonts w:ascii="Times New Roman" w:eastAsia="Times New Roman" w:hAnsi="Times New Roman" w:cs="Times New Roman"/>
      <w:sz w:val="16"/>
      <w:szCs w:val="16"/>
      <w:lang w:val="de-DE" w:eastAsia="pl-PL"/>
    </w:rPr>
  </w:style>
  <w:style w:type="paragraph" w:styleId="Tekstdymka">
    <w:name w:val="Balloon Text"/>
    <w:basedOn w:val="Normalny"/>
    <w:link w:val="TekstdymkaZnak"/>
    <w:uiPriority w:val="99"/>
    <w:semiHidden/>
    <w:unhideWhenUsed/>
    <w:rsid w:val="009A6A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6A63"/>
    <w:rPr>
      <w:rFonts w:ascii="Tahoma" w:hAnsi="Tahoma" w:cs="Tahoma"/>
      <w:sz w:val="16"/>
      <w:szCs w:val="16"/>
    </w:rPr>
  </w:style>
  <w:style w:type="paragraph" w:styleId="Nagwek">
    <w:name w:val="header"/>
    <w:basedOn w:val="Normalny"/>
    <w:link w:val="NagwekZnak"/>
    <w:uiPriority w:val="99"/>
    <w:unhideWhenUsed/>
    <w:rsid w:val="00BD0B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0BA7"/>
  </w:style>
  <w:style w:type="paragraph" w:styleId="Stopka">
    <w:name w:val="footer"/>
    <w:basedOn w:val="Normalny"/>
    <w:link w:val="StopkaZnak"/>
    <w:uiPriority w:val="99"/>
    <w:unhideWhenUsed/>
    <w:rsid w:val="00BD0B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A7"/>
  </w:style>
  <w:style w:type="table" w:styleId="Tabela-Siatka">
    <w:name w:val="Table Grid"/>
    <w:basedOn w:val="Standardowy"/>
    <w:uiPriority w:val="59"/>
    <w:rsid w:val="003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F624B9"/>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5100B5"/>
    <w:pPr>
      <w:spacing w:after="120"/>
      <w:ind w:left="283"/>
    </w:pPr>
  </w:style>
  <w:style w:type="character" w:customStyle="1" w:styleId="TekstpodstawowywcityZnak">
    <w:name w:val="Tekst podstawowy wcięty Znak"/>
    <w:basedOn w:val="Domylnaczcionkaakapitu"/>
    <w:link w:val="Tekstpodstawowywcity"/>
    <w:uiPriority w:val="99"/>
    <w:rsid w:val="005100B5"/>
  </w:style>
  <w:style w:type="character" w:customStyle="1" w:styleId="Nagwek3Znak">
    <w:name w:val="Nagłówek 3 Znak"/>
    <w:basedOn w:val="Domylnaczcionkaakapitu"/>
    <w:link w:val="Nagwek3"/>
    <w:uiPriority w:val="9"/>
    <w:rsid w:val="005100B5"/>
    <w:rPr>
      <w:rFonts w:ascii="Cambria" w:eastAsia="Times New Roman" w:hAnsi="Cambria" w:cs="Cambria"/>
      <w:b/>
      <w:bCs/>
      <w:sz w:val="26"/>
      <w:szCs w:val="26"/>
      <w:lang w:val="de-DE" w:eastAsia="pl-PL"/>
    </w:rPr>
  </w:style>
  <w:style w:type="paragraph" w:styleId="Legenda">
    <w:name w:val="caption"/>
    <w:basedOn w:val="Normalny"/>
    <w:next w:val="Normalny"/>
    <w:uiPriority w:val="99"/>
    <w:qFormat/>
    <w:rsid w:val="005100B5"/>
    <w:pPr>
      <w:spacing w:after="0" w:line="240" w:lineRule="auto"/>
    </w:pPr>
    <w:rPr>
      <w:rFonts w:ascii="Times New Roman" w:eastAsia="Times New Roman" w:hAnsi="Times New Roman" w:cs="Times New Roman"/>
      <w:i/>
      <w:iCs/>
      <w:sz w:val="18"/>
      <w:szCs w:val="18"/>
      <w:lang w:eastAsia="pl-PL"/>
    </w:rPr>
  </w:style>
  <w:style w:type="character" w:customStyle="1" w:styleId="Nagwek2Znak">
    <w:name w:val="Nagłówek 2 Znak"/>
    <w:basedOn w:val="Domylnaczcionkaakapitu"/>
    <w:link w:val="Nagwek2"/>
    <w:uiPriority w:val="9"/>
    <w:semiHidden/>
    <w:rsid w:val="00382496"/>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A44C67"/>
    <w:pPr>
      <w:spacing w:after="0" w:line="240" w:lineRule="auto"/>
    </w:pPr>
  </w:style>
  <w:style w:type="character" w:styleId="Odwoaniedokomentarza">
    <w:name w:val="annotation reference"/>
    <w:basedOn w:val="Domylnaczcionkaakapitu"/>
    <w:uiPriority w:val="99"/>
    <w:semiHidden/>
    <w:unhideWhenUsed/>
    <w:rsid w:val="00D5590D"/>
    <w:rPr>
      <w:sz w:val="16"/>
      <w:szCs w:val="16"/>
    </w:rPr>
  </w:style>
  <w:style w:type="paragraph" w:styleId="Tekstkomentarza">
    <w:name w:val="annotation text"/>
    <w:basedOn w:val="Normalny"/>
    <w:link w:val="TekstkomentarzaZnak"/>
    <w:uiPriority w:val="99"/>
    <w:semiHidden/>
    <w:unhideWhenUsed/>
    <w:rsid w:val="00D559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590D"/>
    <w:rPr>
      <w:sz w:val="20"/>
      <w:szCs w:val="20"/>
    </w:rPr>
  </w:style>
  <w:style w:type="paragraph" w:styleId="Tematkomentarza">
    <w:name w:val="annotation subject"/>
    <w:basedOn w:val="Tekstkomentarza"/>
    <w:next w:val="Tekstkomentarza"/>
    <w:link w:val="TematkomentarzaZnak"/>
    <w:uiPriority w:val="99"/>
    <w:semiHidden/>
    <w:unhideWhenUsed/>
    <w:rsid w:val="00D5590D"/>
    <w:rPr>
      <w:b/>
      <w:bCs/>
    </w:rPr>
  </w:style>
  <w:style w:type="character" w:customStyle="1" w:styleId="TematkomentarzaZnak">
    <w:name w:val="Temat komentarza Znak"/>
    <w:basedOn w:val="TekstkomentarzaZnak"/>
    <w:link w:val="Tematkomentarza"/>
    <w:uiPriority w:val="99"/>
    <w:semiHidden/>
    <w:rsid w:val="00D5590D"/>
    <w:rPr>
      <w:b/>
      <w:bCs/>
      <w:sz w:val="20"/>
      <w:szCs w:val="20"/>
    </w:rPr>
  </w:style>
  <w:style w:type="character" w:customStyle="1" w:styleId="Nagwek1Znak">
    <w:name w:val="Nagłówek 1 Znak"/>
    <w:basedOn w:val="Domylnaczcionkaakapitu"/>
    <w:link w:val="Nagwek1"/>
    <w:uiPriority w:val="9"/>
    <w:rsid w:val="00B92E45"/>
    <w:rPr>
      <w:rFonts w:asciiTheme="majorHAnsi" w:eastAsiaTheme="majorEastAsia" w:hAnsiTheme="majorHAnsi" w:cstheme="majorBidi"/>
      <w:b/>
      <w:bCs/>
      <w:color w:val="365F91" w:themeColor="accent1" w:themeShade="BF"/>
      <w:sz w:val="28"/>
      <w:szCs w:val="28"/>
    </w:rPr>
  </w:style>
  <w:style w:type="table" w:styleId="Jasnasiatkaakcent3">
    <w:name w:val="Light Grid Accent 3"/>
    <w:basedOn w:val="Standardowy"/>
    <w:uiPriority w:val="62"/>
    <w:rsid w:val="00B92E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Spistreci1">
    <w:name w:val="toc 1"/>
    <w:basedOn w:val="Normalny"/>
    <w:next w:val="Normalny"/>
    <w:autoRedefine/>
    <w:uiPriority w:val="39"/>
    <w:unhideWhenUsed/>
    <w:rsid w:val="004C556B"/>
    <w:pPr>
      <w:tabs>
        <w:tab w:val="right" w:leader="dot" w:pos="9060"/>
      </w:tabs>
      <w:spacing w:after="100"/>
    </w:pPr>
    <w:rPr>
      <w:rFonts w:ascii="Times New Roman" w:hAnsi="Times New Roman" w:cs="Times New Roman"/>
      <w:b/>
      <w:bCs/>
      <w:caps/>
      <w:noProo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Tekstprzypisukocowego">
    <w:name w:val="endnote text"/>
    <w:basedOn w:val="Normalny"/>
    <w:link w:val="TekstprzypisukocowegoZnak"/>
    <w:uiPriority w:val="99"/>
    <w:semiHidden/>
    <w:unhideWhenUsed/>
    <w:rsid w:val="001759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759E1"/>
    <w:rPr>
      <w:sz w:val="20"/>
      <w:szCs w:val="20"/>
    </w:rPr>
  </w:style>
  <w:style w:type="character" w:styleId="Odwoanieprzypisukocowego">
    <w:name w:val="endnote reference"/>
    <w:basedOn w:val="Domylnaczcionkaakapitu"/>
    <w:uiPriority w:val="99"/>
    <w:semiHidden/>
    <w:unhideWhenUsed/>
    <w:rsid w:val="001759E1"/>
    <w:rPr>
      <w:vertAlign w:val="superscript"/>
    </w:rPr>
  </w:style>
  <w:style w:type="paragraph" w:styleId="Nagwekspisutreci">
    <w:name w:val="TOC Heading"/>
    <w:basedOn w:val="Nagwek1"/>
    <w:next w:val="Normalny"/>
    <w:uiPriority w:val="39"/>
    <w:semiHidden/>
    <w:unhideWhenUsed/>
    <w:qFormat/>
    <w:rsid w:val="001F59FA"/>
    <w:pPr>
      <w:outlineLvl w:val="9"/>
    </w:pPr>
    <w:rPr>
      <w:lang w:eastAsia="pl-PL"/>
    </w:rPr>
  </w:style>
  <w:style w:type="paragraph" w:styleId="Spistreci2">
    <w:name w:val="toc 2"/>
    <w:basedOn w:val="Normalny"/>
    <w:next w:val="Normalny"/>
    <w:autoRedefine/>
    <w:uiPriority w:val="39"/>
    <w:unhideWhenUsed/>
    <w:rsid w:val="00DA7030"/>
    <w:pPr>
      <w:tabs>
        <w:tab w:val="right" w:leader="dot" w:pos="9060"/>
      </w:tabs>
      <w:spacing w:after="100"/>
      <w:ind w:left="220"/>
    </w:pPr>
    <w:rPr>
      <w:rFonts w:cs="Times New Roman"/>
      <w:b/>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styleId="Spistreci3">
    <w:name w:val="toc 3"/>
    <w:basedOn w:val="Normalny"/>
    <w:next w:val="Normalny"/>
    <w:autoRedefine/>
    <w:uiPriority w:val="39"/>
    <w:unhideWhenUsed/>
    <w:rsid w:val="001F59F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03">
      <w:bodyDiv w:val="1"/>
      <w:marLeft w:val="0"/>
      <w:marRight w:val="0"/>
      <w:marTop w:val="0"/>
      <w:marBottom w:val="0"/>
      <w:divBdr>
        <w:top w:val="none" w:sz="0" w:space="0" w:color="auto"/>
        <w:left w:val="none" w:sz="0" w:space="0" w:color="auto"/>
        <w:bottom w:val="none" w:sz="0" w:space="0" w:color="auto"/>
        <w:right w:val="none" w:sz="0" w:space="0" w:color="auto"/>
      </w:divBdr>
    </w:div>
    <w:div w:id="15422257">
      <w:bodyDiv w:val="1"/>
      <w:marLeft w:val="0"/>
      <w:marRight w:val="0"/>
      <w:marTop w:val="0"/>
      <w:marBottom w:val="0"/>
      <w:divBdr>
        <w:top w:val="none" w:sz="0" w:space="0" w:color="auto"/>
        <w:left w:val="none" w:sz="0" w:space="0" w:color="auto"/>
        <w:bottom w:val="none" w:sz="0" w:space="0" w:color="auto"/>
        <w:right w:val="none" w:sz="0" w:space="0" w:color="auto"/>
      </w:divBdr>
    </w:div>
    <w:div w:id="42488151">
      <w:bodyDiv w:val="1"/>
      <w:marLeft w:val="0"/>
      <w:marRight w:val="0"/>
      <w:marTop w:val="0"/>
      <w:marBottom w:val="0"/>
      <w:divBdr>
        <w:top w:val="none" w:sz="0" w:space="0" w:color="auto"/>
        <w:left w:val="none" w:sz="0" w:space="0" w:color="auto"/>
        <w:bottom w:val="none" w:sz="0" w:space="0" w:color="auto"/>
        <w:right w:val="none" w:sz="0" w:space="0" w:color="auto"/>
      </w:divBdr>
    </w:div>
    <w:div w:id="60489789">
      <w:bodyDiv w:val="1"/>
      <w:marLeft w:val="0"/>
      <w:marRight w:val="0"/>
      <w:marTop w:val="0"/>
      <w:marBottom w:val="0"/>
      <w:divBdr>
        <w:top w:val="none" w:sz="0" w:space="0" w:color="auto"/>
        <w:left w:val="none" w:sz="0" w:space="0" w:color="auto"/>
        <w:bottom w:val="none" w:sz="0" w:space="0" w:color="auto"/>
        <w:right w:val="none" w:sz="0" w:space="0" w:color="auto"/>
      </w:divBdr>
    </w:div>
    <w:div w:id="64769281">
      <w:bodyDiv w:val="1"/>
      <w:marLeft w:val="0"/>
      <w:marRight w:val="0"/>
      <w:marTop w:val="0"/>
      <w:marBottom w:val="0"/>
      <w:divBdr>
        <w:top w:val="none" w:sz="0" w:space="0" w:color="auto"/>
        <w:left w:val="none" w:sz="0" w:space="0" w:color="auto"/>
        <w:bottom w:val="none" w:sz="0" w:space="0" w:color="auto"/>
        <w:right w:val="none" w:sz="0" w:space="0" w:color="auto"/>
      </w:divBdr>
    </w:div>
    <w:div w:id="65736190">
      <w:bodyDiv w:val="1"/>
      <w:marLeft w:val="0"/>
      <w:marRight w:val="0"/>
      <w:marTop w:val="0"/>
      <w:marBottom w:val="0"/>
      <w:divBdr>
        <w:top w:val="none" w:sz="0" w:space="0" w:color="auto"/>
        <w:left w:val="none" w:sz="0" w:space="0" w:color="auto"/>
        <w:bottom w:val="none" w:sz="0" w:space="0" w:color="auto"/>
        <w:right w:val="none" w:sz="0" w:space="0" w:color="auto"/>
      </w:divBdr>
    </w:div>
    <w:div w:id="67071372">
      <w:bodyDiv w:val="1"/>
      <w:marLeft w:val="0"/>
      <w:marRight w:val="0"/>
      <w:marTop w:val="0"/>
      <w:marBottom w:val="0"/>
      <w:divBdr>
        <w:top w:val="none" w:sz="0" w:space="0" w:color="auto"/>
        <w:left w:val="none" w:sz="0" w:space="0" w:color="auto"/>
        <w:bottom w:val="none" w:sz="0" w:space="0" w:color="auto"/>
        <w:right w:val="none" w:sz="0" w:space="0" w:color="auto"/>
      </w:divBdr>
    </w:div>
    <w:div w:id="119497678">
      <w:bodyDiv w:val="1"/>
      <w:marLeft w:val="0"/>
      <w:marRight w:val="0"/>
      <w:marTop w:val="0"/>
      <w:marBottom w:val="0"/>
      <w:divBdr>
        <w:top w:val="none" w:sz="0" w:space="0" w:color="auto"/>
        <w:left w:val="none" w:sz="0" w:space="0" w:color="auto"/>
        <w:bottom w:val="none" w:sz="0" w:space="0" w:color="auto"/>
        <w:right w:val="none" w:sz="0" w:space="0" w:color="auto"/>
      </w:divBdr>
    </w:div>
    <w:div w:id="121534082">
      <w:bodyDiv w:val="1"/>
      <w:marLeft w:val="0"/>
      <w:marRight w:val="0"/>
      <w:marTop w:val="0"/>
      <w:marBottom w:val="0"/>
      <w:divBdr>
        <w:top w:val="none" w:sz="0" w:space="0" w:color="auto"/>
        <w:left w:val="none" w:sz="0" w:space="0" w:color="auto"/>
        <w:bottom w:val="none" w:sz="0" w:space="0" w:color="auto"/>
        <w:right w:val="none" w:sz="0" w:space="0" w:color="auto"/>
      </w:divBdr>
    </w:div>
    <w:div w:id="128592865">
      <w:bodyDiv w:val="1"/>
      <w:marLeft w:val="0"/>
      <w:marRight w:val="0"/>
      <w:marTop w:val="0"/>
      <w:marBottom w:val="0"/>
      <w:divBdr>
        <w:top w:val="none" w:sz="0" w:space="0" w:color="auto"/>
        <w:left w:val="none" w:sz="0" w:space="0" w:color="auto"/>
        <w:bottom w:val="none" w:sz="0" w:space="0" w:color="auto"/>
        <w:right w:val="none" w:sz="0" w:space="0" w:color="auto"/>
      </w:divBdr>
    </w:div>
    <w:div w:id="129440879">
      <w:bodyDiv w:val="1"/>
      <w:marLeft w:val="0"/>
      <w:marRight w:val="0"/>
      <w:marTop w:val="0"/>
      <w:marBottom w:val="0"/>
      <w:divBdr>
        <w:top w:val="none" w:sz="0" w:space="0" w:color="auto"/>
        <w:left w:val="none" w:sz="0" w:space="0" w:color="auto"/>
        <w:bottom w:val="none" w:sz="0" w:space="0" w:color="auto"/>
        <w:right w:val="none" w:sz="0" w:space="0" w:color="auto"/>
      </w:divBdr>
    </w:div>
    <w:div w:id="140968247">
      <w:bodyDiv w:val="1"/>
      <w:marLeft w:val="0"/>
      <w:marRight w:val="0"/>
      <w:marTop w:val="0"/>
      <w:marBottom w:val="0"/>
      <w:divBdr>
        <w:top w:val="none" w:sz="0" w:space="0" w:color="auto"/>
        <w:left w:val="none" w:sz="0" w:space="0" w:color="auto"/>
        <w:bottom w:val="none" w:sz="0" w:space="0" w:color="auto"/>
        <w:right w:val="none" w:sz="0" w:space="0" w:color="auto"/>
      </w:divBdr>
    </w:div>
    <w:div w:id="154298318">
      <w:bodyDiv w:val="1"/>
      <w:marLeft w:val="0"/>
      <w:marRight w:val="0"/>
      <w:marTop w:val="0"/>
      <w:marBottom w:val="0"/>
      <w:divBdr>
        <w:top w:val="none" w:sz="0" w:space="0" w:color="auto"/>
        <w:left w:val="none" w:sz="0" w:space="0" w:color="auto"/>
        <w:bottom w:val="none" w:sz="0" w:space="0" w:color="auto"/>
        <w:right w:val="none" w:sz="0" w:space="0" w:color="auto"/>
      </w:divBdr>
    </w:div>
    <w:div w:id="179853981">
      <w:bodyDiv w:val="1"/>
      <w:marLeft w:val="0"/>
      <w:marRight w:val="0"/>
      <w:marTop w:val="0"/>
      <w:marBottom w:val="0"/>
      <w:divBdr>
        <w:top w:val="none" w:sz="0" w:space="0" w:color="auto"/>
        <w:left w:val="none" w:sz="0" w:space="0" w:color="auto"/>
        <w:bottom w:val="none" w:sz="0" w:space="0" w:color="auto"/>
        <w:right w:val="none" w:sz="0" w:space="0" w:color="auto"/>
      </w:divBdr>
    </w:div>
    <w:div w:id="180321902">
      <w:bodyDiv w:val="1"/>
      <w:marLeft w:val="0"/>
      <w:marRight w:val="0"/>
      <w:marTop w:val="0"/>
      <w:marBottom w:val="0"/>
      <w:divBdr>
        <w:top w:val="none" w:sz="0" w:space="0" w:color="auto"/>
        <w:left w:val="none" w:sz="0" w:space="0" w:color="auto"/>
        <w:bottom w:val="none" w:sz="0" w:space="0" w:color="auto"/>
        <w:right w:val="none" w:sz="0" w:space="0" w:color="auto"/>
      </w:divBdr>
    </w:div>
    <w:div w:id="199900012">
      <w:bodyDiv w:val="1"/>
      <w:marLeft w:val="0"/>
      <w:marRight w:val="0"/>
      <w:marTop w:val="0"/>
      <w:marBottom w:val="0"/>
      <w:divBdr>
        <w:top w:val="none" w:sz="0" w:space="0" w:color="auto"/>
        <w:left w:val="none" w:sz="0" w:space="0" w:color="auto"/>
        <w:bottom w:val="none" w:sz="0" w:space="0" w:color="auto"/>
        <w:right w:val="none" w:sz="0" w:space="0" w:color="auto"/>
      </w:divBdr>
    </w:div>
    <w:div w:id="200439359">
      <w:bodyDiv w:val="1"/>
      <w:marLeft w:val="0"/>
      <w:marRight w:val="0"/>
      <w:marTop w:val="0"/>
      <w:marBottom w:val="0"/>
      <w:divBdr>
        <w:top w:val="none" w:sz="0" w:space="0" w:color="auto"/>
        <w:left w:val="none" w:sz="0" w:space="0" w:color="auto"/>
        <w:bottom w:val="none" w:sz="0" w:space="0" w:color="auto"/>
        <w:right w:val="none" w:sz="0" w:space="0" w:color="auto"/>
      </w:divBdr>
    </w:div>
    <w:div w:id="213125766">
      <w:bodyDiv w:val="1"/>
      <w:marLeft w:val="0"/>
      <w:marRight w:val="0"/>
      <w:marTop w:val="0"/>
      <w:marBottom w:val="0"/>
      <w:divBdr>
        <w:top w:val="none" w:sz="0" w:space="0" w:color="auto"/>
        <w:left w:val="none" w:sz="0" w:space="0" w:color="auto"/>
        <w:bottom w:val="none" w:sz="0" w:space="0" w:color="auto"/>
        <w:right w:val="none" w:sz="0" w:space="0" w:color="auto"/>
      </w:divBdr>
    </w:div>
    <w:div w:id="240918383">
      <w:bodyDiv w:val="1"/>
      <w:marLeft w:val="0"/>
      <w:marRight w:val="0"/>
      <w:marTop w:val="0"/>
      <w:marBottom w:val="0"/>
      <w:divBdr>
        <w:top w:val="none" w:sz="0" w:space="0" w:color="auto"/>
        <w:left w:val="none" w:sz="0" w:space="0" w:color="auto"/>
        <w:bottom w:val="none" w:sz="0" w:space="0" w:color="auto"/>
        <w:right w:val="none" w:sz="0" w:space="0" w:color="auto"/>
      </w:divBdr>
    </w:div>
    <w:div w:id="248004050">
      <w:bodyDiv w:val="1"/>
      <w:marLeft w:val="0"/>
      <w:marRight w:val="0"/>
      <w:marTop w:val="0"/>
      <w:marBottom w:val="0"/>
      <w:divBdr>
        <w:top w:val="none" w:sz="0" w:space="0" w:color="auto"/>
        <w:left w:val="none" w:sz="0" w:space="0" w:color="auto"/>
        <w:bottom w:val="none" w:sz="0" w:space="0" w:color="auto"/>
        <w:right w:val="none" w:sz="0" w:space="0" w:color="auto"/>
      </w:divBdr>
    </w:div>
    <w:div w:id="299767209">
      <w:bodyDiv w:val="1"/>
      <w:marLeft w:val="0"/>
      <w:marRight w:val="0"/>
      <w:marTop w:val="0"/>
      <w:marBottom w:val="0"/>
      <w:divBdr>
        <w:top w:val="none" w:sz="0" w:space="0" w:color="auto"/>
        <w:left w:val="none" w:sz="0" w:space="0" w:color="auto"/>
        <w:bottom w:val="none" w:sz="0" w:space="0" w:color="auto"/>
        <w:right w:val="none" w:sz="0" w:space="0" w:color="auto"/>
      </w:divBdr>
    </w:div>
    <w:div w:id="348290625">
      <w:bodyDiv w:val="1"/>
      <w:marLeft w:val="0"/>
      <w:marRight w:val="0"/>
      <w:marTop w:val="0"/>
      <w:marBottom w:val="0"/>
      <w:divBdr>
        <w:top w:val="none" w:sz="0" w:space="0" w:color="auto"/>
        <w:left w:val="none" w:sz="0" w:space="0" w:color="auto"/>
        <w:bottom w:val="none" w:sz="0" w:space="0" w:color="auto"/>
        <w:right w:val="none" w:sz="0" w:space="0" w:color="auto"/>
      </w:divBdr>
    </w:div>
    <w:div w:id="356664370">
      <w:bodyDiv w:val="1"/>
      <w:marLeft w:val="0"/>
      <w:marRight w:val="0"/>
      <w:marTop w:val="0"/>
      <w:marBottom w:val="0"/>
      <w:divBdr>
        <w:top w:val="none" w:sz="0" w:space="0" w:color="auto"/>
        <w:left w:val="none" w:sz="0" w:space="0" w:color="auto"/>
        <w:bottom w:val="none" w:sz="0" w:space="0" w:color="auto"/>
        <w:right w:val="none" w:sz="0" w:space="0" w:color="auto"/>
      </w:divBdr>
    </w:div>
    <w:div w:id="366175386">
      <w:bodyDiv w:val="1"/>
      <w:marLeft w:val="0"/>
      <w:marRight w:val="0"/>
      <w:marTop w:val="0"/>
      <w:marBottom w:val="0"/>
      <w:divBdr>
        <w:top w:val="none" w:sz="0" w:space="0" w:color="auto"/>
        <w:left w:val="none" w:sz="0" w:space="0" w:color="auto"/>
        <w:bottom w:val="none" w:sz="0" w:space="0" w:color="auto"/>
        <w:right w:val="none" w:sz="0" w:space="0" w:color="auto"/>
      </w:divBdr>
    </w:div>
    <w:div w:id="395014982">
      <w:bodyDiv w:val="1"/>
      <w:marLeft w:val="0"/>
      <w:marRight w:val="0"/>
      <w:marTop w:val="0"/>
      <w:marBottom w:val="0"/>
      <w:divBdr>
        <w:top w:val="none" w:sz="0" w:space="0" w:color="auto"/>
        <w:left w:val="none" w:sz="0" w:space="0" w:color="auto"/>
        <w:bottom w:val="none" w:sz="0" w:space="0" w:color="auto"/>
        <w:right w:val="none" w:sz="0" w:space="0" w:color="auto"/>
      </w:divBdr>
    </w:div>
    <w:div w:id="402223583">
      <w:bodyDiv w:val="1"/>
      <w:marLeft w:val="0"/>
      <w:marRight w:val="0"/>
      <w:marTop w:val="0"/>
      <w:marBottom w:val="0"/>
      <w:divBdr>
        <w:top w:val="none" w:sz="0" w:space="0" w:color="auto"/>
        <w:left w:val="none" w:sz="0" w:space="0" w:color="auto"/>
        <w:bottom w:val="none" w:sz="0" w:space="0" w:color="auto"/>
        <w:right w:val="none" w:sz="0" w:space="0" w:color="auto"/>
      </w:divBdr>
    </w:div>
    <w:div w:id="435174239">
      <w:bodyDiv w:val="1"/>
      <w:marLeft w:val="0"/>
      <w:marRight w:val="0"/>
      <w:marTop w:val="0"/>
      <w:marBottom w:val="0"/>
      <w:divBdr>
        <w:top w:val="none" w:sz="0" w:space="0" w:color="auto"/>
        <w:left w:val="none" w:sz="0" w:space="0" w:color="auto"/>
        <w:bottom w:val="none" w:sz="0" w:space="0" w:color="auto"/>
        <w:right w:val="none" w:sz="0" w:space="0" w:color="auto"/>
      </w:divBdr>
    </w:div>
    <w:div w:id="435559589">
      <w:bodyDiv w:val="1"/>
      <w:marLeft w:val="0"/>
      <w:marRight w:val="0"/>
      <w:marTop w:val="0"/>
      <w:marBottom w:val="0"/>
      <w:divBdr>
        <w:top w:val="none" w:sz="0" w:space="0" w:color="auto"/>
        <w:left w:val="none" w:sz="0" w:space="0" w:color="auto"/>
        <w:bottom w:val="none" w:sz="0" w:space="0" w:color="auto"/>
        <w:right w:val="none" w:sz="0" w:space="0" w:color="auto"/>
      </w:divBdr>
    </w:div>
    <w:div w:id="446774592">
      <w:bodyDiv w:val="1"/>
      <w:marLeft w:val="0"/>
      <w:marRight w:val="0"/>
      <w:marTop w:val="0"/>
      <w:marBottom w:val="0"/>
      <w:divBdr>
        <w:top w:val="none" w:sz="0" w:space="0" w:color="auto"/>
        <w:left w:val="none" w:sz="0" w:space="0" w:color="auto"/>
        <w:bottom w:val="none" w:sz="0" w:space="0" w:color="auto"/>
        <w:right w:val="none" w:sz="0" w:space="0" w:color="auto"/>
      </w:divBdr>
    </w:div>
    <w:div w:id="468330274">
      <w:bodyDiv w:val="1"/>
      <w:marLeft w:val="0"/>
      <w:marRight w:val="0"/>
      <w:marTop w:val="0"/>
      <w:marBottom w:val="0"/>
      <w:divBdr>
        <w:top w:val="none" w:sz="0" w:space="0" w:color="auto"/>
        <w:left w:val="none" w:sz="0" w:space="0" w:color="auto"/>
        <w:bottom w:val="none" w:sz="0" w:space="0" w:color="auto"/>
        <w:right w:val="none" w:sz="0" w:space="0" w:color="auto"/>
      </w:divBdr>
    </w:div>
    <w:div w:id="500125178">
      <w:bodyDiv w:val="1"/>
      <w:marLeft w:val="0"/>
      <w:marRight w:val="0"/>
      <w:marTop w:val="0"/>
      <w:marBottom w:val="0"/>
      <w:divBdr>
        <w:top w:val="none" w:sz="0" w:space="0" w:color="auto"/>
        <w:left w:val="none" w:sz="0" w:space="0" w:color="auto"/>
        <w:bottom w:val="none" w:sz="0" w:space="0" w:color="auto"/>
        <w:right w:val="none" w:sz="0" w:space="0" w:color="auto"/>
      </w:divBdr>
    </w:div>
    <w:div w:id="507252217">
      <w:bodyDiv w:val="1"/>
      <w:marLeft w:val="0"/>
      <w:marRight w:val="0"/>
      <w:marTop w:val="0"/>
      <w:marBottom w:val="0"/>
      <w:divBdr>
        <w:top w:val="none" w:sz="0" w:space="0" w:color="auto"/>
        <w:left w:val="none" w:sz="0" w:space="0" w:color="auto"/>
        <w:bottom w:val="none" w:sz="0" w:space="0" w:color="auto"/>
        <w:right w:val="none" w:sz="0" w:space="0" w:color="auto"/>
      </w:divBdr>
    </w:div>
    <w:div w:id="527256585">
      <w:bodyDiv w:val="1"/>
      <w:marLeft w:val="0"/>
      <w:marRight w:val="0"/>
      <w:marTop w:val="0"/>
      <w:marBottom w:val="0"/>
      <w:divBdr>
        <w:top w:val="none" w:sz="0" w:space="0" w:color="auto"/>
        <w:left w:val="none" w:sz="0" w:space="0" w:color="auto"/>
        <w:bottom w:val="none" w:sz="0" w:space="0" w:color="auto"/>
        <w:right w:val="none" w:sz="0" w:space="0" w:color="auto"/>
      </w:divBdr>
    </w:div>
    <w:div w:id="562371180">
      <w:bodyDiv w:val="1"/>
      <w:marLeft w:val="0"/>
      <w:marRight w:val="0"/>
      <w:marTop w:val="0"/>
      <w:marBottom w:val="0"/>
      <w:divBdr>
        <w:top w:val="none" w:sz="0" w:space="0" w:color="auto"/>
        <w:left w:val="none" w:sz="0" w:space="0" w:color="auto"/>
        <w:bottom w:val="none" w:sz="0" w:space="0" w:color="auto"/>
        <w:right w:val="none" w:sz="0" w:space="0" w:color="auto"/>
      </w:divBdr>
    </w:div>
    <w:div w:id="583994369">
      <w:bodyDiv w:val="1"/>
      <w:marLeft w:val="0"/>
      <w:marRight w:val="0"/>
      <w:marTop w:val="0"/>
      <w:marBottom w:val="0"/>
      <w:divBdr>
        <w:top w:val="none" w:sz="0" w:space="0" w:color="auto"/>
        <w:left w:val="none" w:sz="0" w:space="0" w:color="auto"/>
        <w:bottom w:val="none" w:sz="0" w:space="0" w:color="auto"/>
        <w:right w:val="none" w:sz="0" w:space="0" w:color="auto"/>
      </w:divBdr>
    </w:div>
    <w:div w:id="607322905">
      <w:bodyDiv w:val="1"/>
      <w:marLeft w:val="0"/>
      <w:marRight w:val="0"/>
      <w:marTop w:val="0"/>
      <w:marBottom w:val="0"/>
      <w:divBdr>
        <w:top w:val="none" w:sz="0" w:space="0" w:color="auto"/>
        <w:left w:val="none" w:sz="0" w:space="0" w:color="auto"/>
        <w:bottom w:val="none" w:sz="0" w:space="0" w:color="auto"/>
        <w:right w:val="none" w:sz="0" w:space="0" w:color="auto"/>
      </w:divBdr>
    </w:div>
    <w:div w:id="614678130">
      <w:bodyDiv w:val="1"/>
      <w:marLeft w:val="0"/>
      <w:marRight w:val="0"/>
      <w:marTop w:val="0"/>
      <w:marBottom w:val="0"/>
      <w:divBdr>
        <w:top w:val="none" w:sz="0" w:space="0" w:color="auto"/>
        <w:left w:val="none" w:sz="0" w:space="0" w:color="auto"/>
        <w:bottom w:val="none" w:sz="0" w:space="0" w:color="auto"/>
        <w:right w:val="none" w:sz="0" w:space="0" w:color="auto"/>
      </w:divBdr>
    </w:div>
    <w:div w:id="637346911">
      <w:bodyDiv w:val="1"/>
      <w:marLeft w:val="0"/>
      <w:marRight w:val="0"/>
      <w:marTop w:val="0"/>
      <w:marBottom w:val="0"/>
      <w:divBdr>
        <w:top w:val="none" w:sz="0" w:space="0" w:color="auto"/>
        <w:left w:val="none" w:sz="0" w:space="0" w:color="auto"/>
        <w:bottom w:val="none" w:sz="0" w:space="0" w:color="auto"/>
        <w:right w:val="none" w:sz="0" w:space="0" w:color="auto"/>
      </w:divBdr>
    </w:div>
    <w:div w:id="675381148">
      <w:bodyDiv w:val="1"/>
      <w:marLeft w:val="0"/>
      <w:marRight w:val="0"/>
      <w:marTop w:val="0"/>
      <w:marBottom w:val="0"/>
      <w:divBdr>
        <w:top w:val="none" w:sz="0" w:space="0" w:color="auto"/>
        <w:left w:val="none" w:sz="0" w:space="0" w:color="auto"/>
        <w:bottom w:val="none" w:sz="0" w:space="0" w:color="auto"/>
        <w:right w:val="none" w:sz="0" w:space="0" w:color="auto"/>
      </w:divBdr>
    </w:div>
    <w:div w:id="698702069">
      <w:bodyDiv w:val="1"/>
      <w:marLeft w:val="0"/>
      <w:marRight w:val="0"/>
      <w:marTop w:val="0"/>
      <w:marBottom w:val="0"/>
      <w:divBdr>
        <w:top w:val="none" w:sz="0" w:space="0" w:color="auto"/>
        <w:left w:val="none" w:sz="0" w:space="0" w:color="auto"/>
        <w:bottom w:val="none" w:sz="0" w:space="0" w:color="auto"/>
        <w:right w:val="none" w:sz="0" w:space="0" w:color="auto"/>
      </w:divBdr>
    </w:div>
    <w:div w:id="737943337">
      <w:bodyDiv w:val="1"/>
      <w:marLeft w:val="0"/>
      <w:marRight w:val="0"/>
      <w:marTop w:val="0"/>
      <w:marBottom w:val="0"/>
      <w:divBdr>
        <w:top w:val="none" w:sz="0" w:space="0" w:color="auto"/>
        <w:left w:val="none" w:sz="0" w:space="0" w:color="auto"/>
        <w:bottom w:val="none" w:sz="0" w:space="0" w:color="auto"/>
        <w:right w:val="none" w:sz="0" w:space="0" w:color="auto"/>
      </w:divBdr>
    </w:div>
    <w:div w:id="742029273">
      <w:bodyDiv w:val="1"/>
      <w:marLeft w:val="0"/>
      <w:marRight w:val="0"/>
      <w:marTop w:val="0"/>
      <w:marBottom w:val="0"/>
      <w:divBdr>
        <w:top w:val="none" w:sz="0" w:space="0" w:color="auto"/>
        <w:left w:val="none" w:sz="0" w:space="0" w:color="auto"/>
        <w:bottom w:val="none" w:sz="0" w:space="0" w:color="auto"/>
        <w:right w:val="none" w:sz="0" w:space="0" w:color="auto"/>
      </w:divBdr>
    </w:div>
    <w:div w:id="747655598">
      <w:bodyDiv w:val="1"/>
      <w:marLeft w:val="0"/>
      <w:marRight w:val="0"/>
      <w:marTop w:val="0"/>
      <w:marBottom w:val="0"/>
      <w:divBdr>
        <w:top w:val="none" w:sz="0" w:space="0" w:color="auto"/>
        <w:left w:val="none" w:sz="0" w:space="0" w:color="auto"/>
        <w:bottom w:val="none" w:sz="0" w:space="0" w:color="auto"/>
        <w:right w:val="none" w:sz="0" w:space="0" w:color="auto"/>
      </w:divBdr>
    </w:div>
    <w:div w:id="766193678">
      <w:bodyDiv w:val="1"/>
      <w:marLeft w:val="0"/>
      <w:marRight w:val="0"/>
      <w:marTop w:val="0"/>
      <w:marBottom w:val="0"/>
      <w:divBdr>
        <w:top w:val="none" w:sz="0" w:space="0" w:color="auto"/>
        <w:left w:val="none" w:sz="0" w:space="0" w:color="auto"/>
        <w:bottom w:val="none" w:sz="0" w:space="0" w:color="auto"/>
        <w:right w:val="none" w:sz="0" w:space="0" w:color="auto"/>
      </w:divBdr>
    </w:div>
    <w:div w:id="770471089">
      <w:bodyDiv w:val="1"/>
      <w:marLeft w:val="0"/>
      <w:marRight w:val="0"/>
      <w:marTop w:val="0"/>
      <w:marBottom w:val="0"/>
      <w:divBdr>
        <w:top w:val="none" w:sz="0" w:space="0" w:color="auto"/>
        <w:left w:val="none" w:sz="0" w:space="0" w:color="auto"/>
        <w:bottom w:val="none" w:sz="0" w:space="0" w:color="auto"/>
        <w:right w:val="none" w:sz="0" w:space="0" w:color="auto"/>
      </w:divBdr>
    </w:div>
    <w:div w:id="774785101">
      <w:bodyDiv w:val="1"/>
      <w:marLeft w:val="0"/>
      <w:marRight w:val="0"/>
      <w:marTop w:val="0"/>
      <w:marBottom w:val="0"/>
      <w:divBdr>
        <w:top w:val="none" w:sz="0" w:space="0" w:color="auto"/>
        <w:left w:val="none" w:sz="0" w:space="0" w:color="auto"/>
        <w:bottom w:val="none" w:sz="0" w:space="0" w:color="auto"/>
        <w:right w:val="none" w:sz="0" w:space="0" w:color="auto"/>
      </w:divBdr>
    </w:div>
    <w:div w:id="779448788">
      <w:bodyDiv w:val="1"/>
      <w:marLeft w:val="0"/>
      <w:marRight w:val="0"/>
      <w:marTop w:val="0"/>
      <w:marBottom w:val="0"/>
      <w:divBdr>
        <w:top w:val="none" w:sz="0" w:space="0" w:color="auto"/>
        <w:left w:val="none" w:sz="0" w:space="0" w:color="auto"/>
        <w:bottom w:val="none" w:sz="0" w:space="0" w:color="auto"/>
        <w:right w:val="none" w:sz="0" w:space="0" w:color="auto"/>
      </w:divBdr>
    </w:div>
    <w:div w:id="785084154">
      <w:bodyDiv w:val="1"/>
      <w:marLeft w:val="0"/>
      <w:marRight w:val="0"/>
      <w:marTop w:val="0"/>
      <w:marBottom w:val="0"/>
      <w:divBdr>
        <w:top w:val="none" w:sz="0" w:space="0" w:color="auto"/>
        <w:left w:val="none" w:sz="0" w:space="0" w:color="auto"/>
        <w:bottom w:val="none" w:sz="0" w:space="0" w:color="auto"/>
        <w:right w:val="none" w:sz="0" w:space="0" w:color="auto"/>
      </w:divBdr>
    </w:div>
    <w:div w:id="813987585">
      <w:bodyDiv w:val="1"/>
      <w:marLeft w:val="0"/>
      <w:marRight w:val="0"/>
      <w:marTop w:val="0"/>
      <w:marBottom w:val="0"/>
      <w:divBdr>
        <w:top w:val="none" w:sz="0" w:space="0" w:color="auto"/>
        <w:left w:val="none" w:sz="0" w:space="0" w:color="auto"/>
        <w:bottom w:val="none" w:sz="0" w:space="0" w:color="auto"/>
        <w:right w:val="none" w:sz="0" w:space="0" w:color="auto"/>
      </w:divBdr>
    </w:div>
    <w:div w:id="818153578">
      <w:bodyDiv w:val="1"/>
      <w:marLeft w:val="0"/>
      <w:marRight w:val="0"/>
      <w:marTop w:val="0"/>
      <w:marBottom w:val="0"/>
      <w:divBdr>
        <w:top w:val="none" w:sz="0" w:space="0" w:color="auto"/>
        <w:left w:val="none" w:sz="0" w:space="0" w:color="auto"/>
        <w:bottom w:val="none" w:sz="0" w:space="0" w:color="auto"/>
        <w:right w:val="none" w:sz="0" w:space="0" w:color="auto"/>
      </w:divBdr>
    </w:div>
    <w:div w:id="823934819">
      <w:bodyDiv w:val="1"/>
      <w:marLeft w:val="0"/>
      <w:marRight w:val="0"/>
      <w:marTop w:val="0"/>
      <w:marBottom w:val="0"/>
      <w:divBdr>
        <w:top w:val="none" w:sz="0" w:space="0" w:color="auto"/>
        <w:left w:val="none" w:sz="0" w:space="0" w:color="auto"/>
        <w:bottom w:val="none" w:sz="0" w:space="0" w:color="auto"/>
        <w:right w:val="none" w:sz="0" w:space="0" w:color="auto"/>
      </w:divBdr>
    </w:div>
    <w:div w:id="884096959">
      <w:bodyDiv w:val="1"/>
      <w:marLeft w:val="0"/>
      <w:marRight w:val="0"/>
      <w:marTop w:val="0"/>
      <w:marBottom w:val="0"/>
      <w:divBdr>
        <w:top w:val="none" w:sz="0" w:space="0" w:color="auto"/>
        <w:left w:val="none" w:sz="0" w:space="0" w:color="auto"/>
        <w:bottom w:val="none" w:sz="0" w:space="0" w:color="auto"/>
        <w:right w:val="none" w:sz="0" w:space="0" w:color="auto"/>
      </w:divBdr>
    </w:div>
    <w:div w:id="890116640">
      <w:bodyDiv w:val="1"/>
      <w:marLeft w:val="0"/>
      <w:marRight w:val="0"/>
      <w:marTop w:val="0"/>
      <w:marBottom w:val="0"/>
      <w:divBdr>
        <w:top w:val="none" w:sz="0" w:space="0" w:color="auto"/>
        <w:left w:val="none" w:sz="0" w:space="0" w:color="auto"/>
        <w:bottom w:val="none" w:sz="0" w:space="0" w:color="auto"/>
        <w:right w:val="none" w:sz="0" w:space="0" w:color="auto"/>
      </w:divBdr>
    </w:div>
    <w:div w:id="942952874">
      <w:bodyDiv w:val="1"/>
      <w:marLeft w:val="0"/>
      <w:marRight w:val="0"/>
      <w:marTop w:val="0"/>
      <w:marBottom w:val="0"/>
      <w:divBdr>
        <w:top w:val="none" w:sz="0" w:space="0" w:color="auto"/>
        <w:left w:val="none" w:sz="0" w:space="0" w:color="auto"/>
        <w:bottom w:val="none" w:sz="0" w:space="0" w:color="auto"/>
        <w:right w:val="none" w:sz="0" w:space="0" w:color="auto"/>
      </w:divBdr>
    </w:div>
    <w:div w:id="951472688">
      <w:bodyDiv w:val="1"/>
      <w:marLeft w:val="0"/>
      <w:marRight w:val="0"/>
      <w:marTop w:val="0"/>
      <w:marBottom w:val="0"/>
      <w:divBdr>
        <w:top w:val="none" w:sz="0" w:space="0" w:color="auto"/>
        <w:left w:val="none" w:sz="0" w:space="0" w:color="auto"/>
        <w:bottom w:val="none" w:sz="0" w:space="0" w:color="auto"/>
        <w:right w:val="none" w:sz="0" w:space="0" w:color="auto"/>
      </w:divBdr>
    </w:div>
    <w:div w:id="956371177">
      <w:bodyDiv w:val="1"/>
      <w:marLeft w:val="0"/>
      <w:marRight w:val="0"/>
      <w:marTop w:val="0"/>
      <w:marBottom w:val="0"/>
      <w:divBdr>
        <w:top w:val="none" w:sz="0" w:space="0" w:color="auto"/>
        <w:left w:val="none" w:sz="0" w:space="0" w:color="auto"/>
        <w:bottom w:val="none" w:sz="0" w:space="0" w:color="auto"/>
        <w:right w:val="none" w:sz="0" w:space="0" w:color="auto"/>
      </w:divBdr>
    </w:div>
    <w:div w:id="960695703">
      <w:bodyDiv w:val="1"/>
      <w:marLeft w:val="0"/>
      <w:marRight w:val="0"/>
      <w:marTop w:val="0"/>
      <w:marBottom w:val="0"/>
      <w:divBdr>
        <w:top w:val="none" w:sz="0" w:space="0" w:color="auto"/>
        <w:left w:val="none" w:sz="0" w:space="0" w:color="auto"/>
        <w:bottom w:val="none" w:sz="0" w:space="0" w:color="auto"/>
        <w:right w:val="none" w:sz="0" w:space="0" w:color="auto"/>
      </w:divBdr>
    </w:div>
    <w:div w:id="966593995">
      <w:bodyDiv w:val="1"/>
      <w:marLeft w:val="0"/>
      <w:marRight w:val="0"/>
      <w:marTop w:val="0"/>
      <w:marBottom w:val="0"/>
      <w:divBdr>
        <w:top w:val="none" w:sz="0" w:space="0" w:color="auto"/>
        <w:left w:val="none" w:sz="0" w:space="0" w:color="auto"/>
        <w:bottom w:val="none" w:sz="0" w:space="0" w:color="auto"/>
        <w:right w:val="none" w:sz="0" w:space="0" w:color="auto"/>
      </w:divBdr>
    </w:div>
    <w:div w:id="968587529">
      <w:bodyDiv w:val="1"/>
      <w:marLeft w:val="0"/>
      <w:marRight w:val="0"/>
      <w:marTop w:val="0"/>
      <w:marBottom w:val="0"/>
      <w:divBdr>
        <w:top w:val="none" w:sz="0" w:space="0" w:color="auto"/>
        <w:left w:val="none" w:sz="0" w:space="0" w:color="auto"/>
        <w:bottom w:val="none" w:sz="0" w:space="0" w:color="auto"/>
        <w:right w:val="none" w:sz="0" w:space="0" w:color="auto"/>
      </w:divBdr>
    </w:div>
    <w:div w:id="981160395">
      <w:bodyDiv w:val="1"/>
      <w:marLeft w:val="0"/>
      <w:marRight w:val="0"/>
      <w:marTop w:val="0"/>
      <w:marBottom w:val="0"/>
      <w:divBdr>
        <w:top w:val="none" w:sz="0" w:space="0" w:color="auto"/>
        <w:left w:val="none" w:sz="0" w:space="0" w:color="auto"/>
        <w:bottom w:val="none" w:sz="0" w:space="0" w:color="auto"/>
        <w:right w:val="none" w:sz="0" w:space="0" w:color="auto"/>
      </w:divBdr>
    </w:div>
    <w:div w:id="1019428894">
      <w:bodyDiv w:val="1"/>
      <w:marLeft w:val="0"/>
      <w:marRight w:val="0"/>
      <w:marTop w:val="0"/>
      <w:marBottom w:val="0"/>
      <w:divBdr>
        <w:top w:val="none" w:sz="0" w:space="0" w:color="auto"/>
        <w:left w:val="none" w:sz="0" w:space="0" w:color="auto"/>
        <w:bottom w:val="none" w:sz="0" w:space="0" w:color="auto"/>
        <w:right w:val="none" w:sz="0" w:space="0" w:color="auto"/>
      </w:divBdr>
    </w:div>
    <w:div w:id="1036811564">
      <w:bodyDiv w:val="1"/>
      <w:marLeft w:val="0"/>
      <w:marRight w:val="0"/>
      <w:marTop w:val="0"/>
      <w:marBottom w:val="0"/>
      <w:divBdr>
        <w:top w:val="none" w:sz="0" w:space="0" w:color="auto"/>
        <w:left w:val="none" w:sz="0" w:space="0" w:color="auto"/>
        <w:bottom w:val="none" w:sz="0" w:space="0" w:color="auto"/>
        <w:right w:val="none" w:sz="0" w:space="0" w:color="auto"/>
      </w:divBdr>
    </w:div>
    <w:div w:id="1046831607">
      <w:bodyDiv w:val="1"/>
      <w:marLeft w:val="0"/>
      <w:marRight w:val="0"/>
      <w:marTop w:val="0"/>
      <w:marBottom w:val="0"/>
      <w:divBdr>
        <w:top w:val="none" w:sz="0" w:space="0" w:color="auto"/>
        <w:left w:val="none" w:sz="0" w:space="0" w:color="auto"/>
        <w:bottom w:val="none" w:sz="0" w:space="0" w:color="auto"/>
        <w:right w:val="none" w:sz="0" w:space="0" w:color="auto"/>
      </w:divBdr>
    </w:div>
    <w:div w:id="1073426043">
      <w:bodyDiv w:val="1"/>
      <w:marLeft w:val="0"/>
      <w:marRight w:val="0"/>
      <w:marTop w:val="0"/>
      <w:marBottom w:val="0"/>
      <w:divBdr>
        <w:top w:val="none" w:sz="0" w:space="0" w:color="auto"/>
        <w:left w:val="none" w:sz="0" w:space="0" w:color="auto"/>
        <w:bottom w:val="none" w:sz="0" w:space="0" w:color="auto"/>
        <w:right w:val="none" w:sz="0" w:space="0" w:color="auto"/>
      </w:divBdr>
    </w:div>
    <w:div w:id="1075740513">
      <w:bodyDiv w:val="1"/>
      <w:marLeft w:val="0"/>
      <w:marRight w:val="0"/>
      <w:marTop w:val="0"/>
      <w:marBottom w:val="0"/>
      <w:divBdr>
        <w:top w:val="none" w:sz="0" w:space="0" w:color="auto"/>
        <w:left w:val="none" w:sz="0" w:space="0" w:color="auto"/>
        <w:bottom w:val="none" w:sz="0" w:space="0" w:color="auto"/>
        <w:right w:val="none" w:sz="0" w:space="0" w:color="auto"/>
      </w:divBdr>
    </w:div>
    <w:div w:id="1091774756">
      <w:bodyDiv w:val="1"/>
      <w:marLeft w:val="0"/>
      <w:marRight w:val="0"/>
      <w:marTop w:val="0"/>
      <w:marBottom w:val="0"/>
      <w:divBdr>
        <w:top w:val="none" w:sz="0" w:space="0" w:color="auto"/>
        <w:left w:val="none" w:sz="0" w:space="0" w:color="auto"/>
        <w:bottom w:val="none" w:sz="0" w:space="0" w:color="auto"/>
        <w:right w:val="none" w:sz="0" w:space="0" w:color="auto"/>
      </w:divBdr>
    </w:div>
    <w:div w:id="1104299779">
      <w:bodyDiv w:val="1"/>
      <w:marLeft w:val="0"/>
      <w:marRight w:val="0"/>
      <w:marTop w:val="0"/>
      <w:marBottom w:val="0"/>
      <w:divBdr>
        <w:top w:val="none" w:sz="0" w:space="0" w:color="auto"/>
        <w:left w:val="none" w:sz="0" w:space="0" w:color="auto"/>
        <w:bottom w:val="none" w:sz="0" w:space="0" w:color="auto"/>
        <w:right w:val="none" w:sz="0" w:space="0" w:color="auto"/>
      </w:divBdr>
    </w:div>
    <w:div w:id="1113289197">
      <w:bodyDiv w:val="1"/>
      <w:marLeft w:val="0"/>
      <w:marRight w:val="0"/>
      <w:marTop w:val="0"/>
      <w:marBottom w:val="0"/>
      <w:divBdr>
        <w:top w:val="none" w:sz="0" w:space="0" w:color="auto"/>
        <w:left w:val="none" w:sz="0" w:space="0" w:color="auto"/>
        <w:bottom w:val="none" w:sz="0" w:space="0" w:color="auto"/>
        <w:right w:val="none" w:sz="0" w:space="0" w:color="auto"/>
      </w:divBdr>
    </w:div>
    <w:div w:id="1134517633">
      <w:bodyDiv w:val="1"/>
      <w:marLeft w:val="0"/>
      <w:marRight w:val="0"/>
      <w:marTop w:val="0"/>
      <w:marBottom w:val="0"/>
      <w:divBdr>
        <w:top w:val="none" w:sz="0" w:space="0" w:color="auto"/>
        <w:left w:val="none" w:sz="0" w:space="0" w:color="auto"/>
        <w:bottom w:val="none" w:sz="0" w:space="0" w:color="auto"/>
        <w:right w:val="none" w:sz="0" w:space="0" w:color="auto"/>
      </w:divBdr>
    </w:div>
    <w:div w:id="1145970065">
      <w:bodyDiv w:val="1"/>
      <w:marLeft w:val="0"/>
      <w:marRight w:val="0"/>
      <w:marTop w:val="0"/>
      <w:marBottom w:val="0"/>
      <w:divBdr>
        <w:top w:val="none" w:sz="0" w:space="0" w:color="auto"/>
        <w:left w:val="none" w:sz="0" w:space="0" w:color="auto"/>
        <w:bottom w:val="none" w:sz="0" w:space="0" w:color="auto"/>
        <w:right w:val="none" w:sz="0" w:space="0" w:color="auto"/>
      </w:divBdr>
    </w:div>
    <w:div w:id="1153765040">
      <w:bodyDiv w:val="1"/>
      <w:marLeft w:val="0"/>
      <w:marRight w:val="0"/>
      <w:marTop w:val="0"/>
      <w:marBottom w:val="0"/>
      <w:divBdr>
        <w:top w:val="none" w:sz="0" w:space="0" w:color="auto"/>
        <w:left w:val="none" w:sz="0" w:space="0" w:color="auto"/>
        <w:bottom w:val="none" w:sz="0" w:space="0" w:color="auto"/>
        <w:right w:val="none" w:sz="0" w:space="0" w:color="auto"/>
      </w:divBdr>
    </w:div>
    <w:div w:id="1157569567">
      <w:bodyDiv w:val="1"/>
      <w:marLeft w:val="0"/>
      <w:marRight w:val="0"/>
      <w:marTop w:val="0"/>
      <w:marBottom w:val="0"/>
      <w:divBdr>
        <w:top w:val="none" w:sz="0" w:space="0" w:color="auto"/>
        <w:left w:val="none" w:sz="0" w:space="0" w:color="auto"/>
        <w:bottom w:val="none" w:sz="0" w:space="0" w:color="auto"/>
        <w:right w:val="none" w:sz="0" w:space="0" w:color="auto"/>
      </w:divBdr>
    </w:div>
    <w:div w:id="1160659471">
      <w:bodyDiv w:val="1"/>
      <w:marLeft w:val="0"/>
      <w:marRight w:val="0"/>
      <w:marTop w:val="0"/>
      <w:marBottom w:val="0"/>
      <w:divBdr>
        <w:top w:val="none" w:sz="0" w:space="0" w:color="auto"/>
        <w:left w:val="none" w:sz="0" w:space="0" w:color="auto"/>
        <w:bottom w:val="none" w:sz="0" w:space="0" w:color="auto"/>
        <w:right w:val="none" w:sz="0" w:space="0" w:color="auto"/>
      </w:divBdr>
    </w:div>
    <w:div w:id="1180437742">
      <w:bodyDiv w:val="1"/>
      <w:marLeft w:val="0"/>
      <w:marRight w:val="0"/>
      <w:marTop w:val="0"/>
      <w:marBottom w:val="0"/>
      <w:divBdr>
        <w:top w:val="none" w:sz="0" w:space="0" w:color="auto"/>
        <w:left w:val="none" w:sz="0" w:space="0" w:color="auto"/>
        <w:bottom w:val="none" w:sz="0" w:space="0" w:color="auto"/>
        <w:right w:val="none" w:sz="0" w:space="0" w:color="auto"/>
      </w:divBdr>
    </w:div>
    <w:div w:id="1185245424">
      <w:bodyDiv w:val="1"/>
      <w:marLeft w:val="0"/>
      <w:marRight w:val="0"/>
      <w:marTop w:val="0"/>
      <w:marBottom w:val="0"/>
      <w:divBdr>
        <w:top w:val="none" w:sz="0" w:space="0" w:color="auto"/>
        <w:left w:val="none" w:sz="0" w:space="0" w:color="auto"/>
        <w:bottom w:val="none" w:sz="0" w:space="0" w:color="auto"/>
        <w:right w:val="none" w:sz="0" w:space="0" w:color="auto"/>
      </w:divBdr>
    </w:div>
    <w:div w:id="1201698498">
      <w:bodyDiv w:val="1"/>
      <w:marLeft w:val="0"/>
      <w:marRight w:val="0"/>
      <w:marTop w:val="0"/>
      <w:marBottom w:val="0"/>
      <w:divBdr>
        <w:top w:val="none" w:sz="0" w:space="0" w:color="auto"/>
        <w:left w:val="none" w:sz="0" w:space="0" w:color="auto"/>
        <w:bottom w:val="none" w:sz="0" w:space="0" w:color="auto"/>
        <w:right w:val="none" w:sz="0" w:space="0" w:color="auto"/>
      </w:divBdr>
    </w:div>
    <w:div w:id="1247954603">
      <w:bodyDiv w:val="1"/>
      <w:marLeft w:val="0"/>
      <w:marRight w:val="0"/>
      <w:marTop w:val="0"/>
      <w:marBottom w:val="0"/>
      <w:divBdr>
        <w:top w:val="none" w:sz="0" w:space="0" w:color="auto"/>
        <w:left w:val="none" w:sz="0" w:space="0" w:color="auto"/>
        <w:bottom w:val="none" w:sz="0" w:space="0" w:color="auto"/>
        <w:right w:val="none" w:sz="0" w:space="0" w:color="auto"/>
      </w:divBdr>
    </w:div>
    <w:div w:id="1248927695">
      <w:bodyDiv w:val="1"/>
      <w:marLeft w:val="0"/>
      <w:marRight w:val="0"/>
      <w:marTop w:val="0"/>
      <w:marBottom w:val="0"/>
      <w:divBdr>
        <w:top w:val="none" w:sz="0" w:space="0" w:color="auto"/>
        <w:left w:val="none" w:sz="0" w:space="0" w:color="auto"/>
        <w:bottom w:val="none" w:sz="0" w:space="0" w:color="auto"/>
        <w:right w:val="none" w:sz="0" w:space="0" w:color="auto"/>
      </w:divBdr>
    </w:div>
    <w:div w:id="1263566551">
      <w:bodyDiv w:val="1"/>
      <w:marLeft w:val="0"/>
      <w:marRight w:val="0"/>
      <w:marTop w:val="0"/>
      <w:marBottom w:val="0"/>
      <w:divBdr>
        <w:top w:val="none" w:sz="0" w:space="0" w:color="auto"/>
        <w:left w:val="none" w:sz="0" w:space="0" w:color="auto"/>
        <w:bottom w:val="none" w:sz="0" w:space="0" w:color="auto"/>
        <w:right w:val="none" w:sz="0" w:space="0" w:color="auto"/>
      </w:divBdr>
    </w:div>
    <w:div w:id="1286765248">
      <w:bodyDiv w:val="1"/>
      <w:marLeft w:val="0"/>
      <w:marRight w:val="0"/>
      <w:marTop w:val="0"/>
      <w:marBottom w:val="0"/>
      <w:divBdr>
        <w:top w:val="none" w:sz="0" w:space="0" w:color="auto"/>
        <w:left w:val="none" w:sz="0" w:space="0" w:color="auto"/>
        <w:bottom w:val="none" w:sz="0" w:space="0" w:color="auto"/>
        <w:right w:val="none" w:sz="0" w:space="0" w:color="auto"/>
      </w:divBdr>
    </w:div>
    <w:div w:id="1287588031">
      <w:bodyDiv w:val="1"/>
      <w:marLeft w:val="0"/>
      <w:marRight w:val="0"/>
      <w:marTop w:val="0"/>
      <w:marBottom w:val="0"/>
      <w:divBdr>
        <w:top w:val="none" w:sz="0" w:space="0" w:color="auto"/>
        <w:left w:val="none" w:sz="0" w:space="0" w:color="auto"/>
        <w:bottom w:val="none" w:sz="0" w:space="0" w:color="auto"/>
        <w:right w:val="none" w:sz="0" w:space="0" w:color="auto"/>
      </w:divBdr>
    </w:div>
    <w:div w:id="1292638434">
      <w:bodyDiv w:val="1"/>
      <w:marLeft w:val="0"/>
      <w:marRight w:val="0"/>
      <w:marTop w:val="0"/>
      <w:marBottom w:val="0"/>
      <w:divBdr>
        <w:top w:val="none" w:sz="0" w:space="0" w:color="auto"/>
        <w:left w:val="none" w:sz="0" w:space="0" w:color="auto"/>
        <w:bottom w:val="none" w:sz="0" w:space="0" w:color="auto"/>
        <w:right w:val="none" w:sz="0" w:space="0" w:color="auto"/>
      </w:divBdr>
    </w:div>
    <w:div w:id="1311599039">
      <w:bodyDiv w:val="1"/>
      <w:marLeft w:val="0"/>
      <w:marRight w:val="0"/>
      <w:marTop w:val="0"/>
      <w:marBottom w:val="0"/>
      <w:divBdr>
        <w:top w:val="none" w:sz="0" w:space="0" w:color="auto"/>
        <w:left w:val="none" w:sz="0" w:space="0" w:color="auto"/>
        <w:bottom w:val="none" w:sz="0" w:space="0" w:color="auto"/>
        <w:right w:val="none" w:sz="0" w:space="0" w:color="auto"/>
      </w:divBdr>
    </w:div>
    <w:div w:id="1315140715">
      <w:bodyDiv w:val="1"/>
      <w:marLeft w:val="0"/>
      <w:marRight w:val="0"/>
      <w:marTop w:val="0"/>
      <w:marBottom w:val="0"/>
      <w:divBdr>
        <w:top w:val="none" w:sz="0" w:space="0" w:color="auto"/>
        <w:left w:val="none" w:sz="0" w:space="0" w:color="auto"/>
        <w:bottom w:val="none" w:sz="0" w:space="0" w:color="auto"/>
        <w:right w:val="none" w:sz="0" w:space="0" w:color="auto"/>
      </w:divBdr>
    </w:div>
    <w:div w:id="1327198728">
      <w:bodyDiv w:val="1"/>
      <w:marLeft w:val="0"/>
      <w:marRight w:val="0"/>
      <w:marTop w:val="0"/>
      <w:marBottom w:val="0"/>
      <w:divBdr>
        <w:top w:val="none" w:sz="0" w:space="0" w:color="auto"/>
        <w:left w:val="none" w:sz="0" w:space="0" w:color="auto"/>
        <w:bottom w:val="none" w:sz="0" w:space="0" w:color="auto"/>
        <w:right w:val="none" w:sz="0" w:space="0" w:color="auto"/>
      </w:divBdr>
    </w:div>
    <w:div w:id="1343311989">
      <w:bodyDiv w:val="1"/>
      <w:marLeft w:val="0"/>
      <w:marRight w:val="0"/>
      <w:marTop w:val="0"/>
      <w:marBottom w:val="0"/>
      <w:divBdr>
        <w:top w:val="none" w:sz="0" w:space="0" w:color="auto"/>
        <w:left w:val="none" w:sz="0" w:space="0" w:color="auto"/>
        <w:bottom w:val="none" w:sz="0" w:space="0" w:color="auto"/>
        <w:right w:val="none" w:sz="0" w:space="0" w:color="auto"/>
      </w:divBdr>
    </w:div>
    <w:div w:id="1383360377">
      <w:bodyDiv w:val="1"/>
      <w:marLeft w:val="0"/>
      <w:marRight w:val="0"/>
      <w:marTop w:val="0"/>
      <w:marBottom w:val="0"/>
      <w:divBdr>
        <w:top w:val="none" w:sz="0" w:space="0" w:color="auto"/>
        <w:left w:val="none" w:sz="0" w:space="0" w:color="auto"/>
        <w:bottom w:val="none" w:sz="0" w:space="0" w:color="auto"/>
        <w:right w:val="none" w:sz="0" w:space="0" w:color="auto"/>
      </w:divBdr>
    </w:div>
    <w:div w:id="1402212789">
      <w:bodyDiv w:val="1"/>
      <w:marLeft w:val="0"/>
      <w:marRight w:val="0"/>
      <w:marTop w:val="0"/>
      <w:marBottom w:val="0"/>
      <w:divBdr>
        <w:top w:val="none" w:sz="0" w:space="0" w:color="auto"/>
        <w:left w:val="none" w:sz="0" w:space="0" w:color="auto"/>
        <w:bottom w:val="none" w:sz="0" w:space="0" w:color="auto"/>
        <w:right w:val="none" w:sz="0" w:space="0" w:color="auto"/>
      </w:divBdr>
    </w:div>
    <w:div w:id="1436899402">
      <w:bodyDiv w:val="1"/>
      <w:marLeft w:val="0"/>
      <w:marRight w:val="0"/>
      <w:marTop w:val="0"/>
      <w:marBottom w:val="0"/>
      <w:divBdr>
        <w:top w:val="none" w:sz="0" w:space="0" w:color="auto"/>
        <w:left w:val="none" w:sz="0" w:space="0" w:color="auto"/>
        <w:bottom w:val="none" w:sz="0" w:space="0" w:color="auto"/>
        <w:right w:val="none" w:sz="0" w:space="0" w:color="auto"/>
      </w:divBdr>
    </w:div>
    <w:div w:id="1493329901">
      <w:bodyDiv w:val="1"/>
      <w:marLeft w:val="0"/>
      <w:marRight w:val="0"/>
      <w:marTop w:val="0"/>
      <w:marBottom w:val="0"/>
      <w:divBdr>
        <w:top w:val="none" w:sz="0" w:space="0" w:color="auto"/>
        <w:left w:val="none" w:sz="0" w:space="0" w:color="auto"/>
        <w:bottom w:val="none" w:sz="0" w:space="0" w:color="auto"/>
        <w:right w:val="none" w:sz="0" w:space="0" w:color="auto"/>
      </w:divBdr>
    </w:div>
    <w:div w:id="1499887006">
      <w:bodyDiv w:val="1"/>
      <w:marLeft w:val="0"/>
      <w:marRight w:val="0"/>
      <w:marTop w:val="0"/>
      <w:marBottom w:val="0"/>
      <w:divBdr>
        <w:top w:val="none" w:sz="0" w:space="0" w:color="auto"/>
        <w:left w:val="none" w:sz="0" w:space="0" w:color="auto"/>
        <w:bottom w:val="none" w:sz="0" w:space="0" w:color="auto"/>
        <w:right w:val="none" w:sz="0" w:space="0" w:color="auto"/>
      </w:divBdr>
    </w:div>
    <w:div w:id="1500466072">
      <w:bodyDiv w:val="1"/>
      <w:marLeft w:val="0"/>
      <w:marRight w:val="0"/>
      <w:marTop w:val="0"/>
      <w:marBottom w:val="0"/>
      <w:divBdr>
        <w:top w:val="none" w:sz="0" w:space="0" w:color="auto"/>
        <w:left w:val="none" w:sz="0" w:space="0" w:color="auto"/>
        <w:bottom w:val="none" w:sz="0" w:space="0" w:color="auto"/>
        <w:right w:val="none" w:sz="0" w:space="0" w:color="auto"/>
      </w:divBdr>
    </w:div>
    <w:div w:id="1501970900">
      <w:bodyDiv w:val="1"/>
      <w:marLeft w:val="0"/>
      <w:marRight w:val="0"/>
      <w:marTop w:val="0"/>
      <w:marBottom w:val="0"/>
      <w:divBdr>
        <w:top w:val="none" w:sz="0" w:space="0" w:color="auto"/>
        <w:left w:val="none" w:sz="0" w:space="0" w:color="auto"/>
        <w:bottom w:val="none" w:sz="0" w:space="0" w:color="auto"/>
        <w:right w:val="none" w:sz="0" w:space="0" w:color="auto"/>
      </w:divBdr>
    </w:div>
    <w:div w:id="1517231485">
      <w:bodyDiv w:val="1"/>
      <w:marLeft w:val="0"/>
      <w:marRight w:val="0"/>
      <w:marTop w:val="0"/>
      <w:marBottom w:val="0"/>
      <w:divBdr>
        <w:top w:val="none" w:sz="0" w:space="0" w:color="auto"/>
        <w:left w:val="none" w:sz="0" w:space="0" w:color="auto"/>
        <w:bottom w:val="none" w:sz="0" w:space="0" w:color="auto"/>
        <w:right w:val="none" w:sz="0" w:space="0" w:color="auto"/>
      </w:divBdr>
    </w:div>
    <w:div w:id="1547595674">
      <w:bodyDiv w:val="1"/>
      <w:marLeft w:val="0"/>
      <w:marRight w:val="0"/>
      <w:marTop w:val="0"/>
      <w:marBottom w:val="0"/>
      <w:divBdr>
        <w:top w:val="none" w:sz="0" w:space="0" w:color="auto"/>
        <w:left w:val="none" w:sz="0" w:space="0" w:color="auto"/>
        <w:bottom w:val="none" w:sz="0" w:space="0" w:color="auto"/>
        <w:right w:val="none" w:sz="0" w:space="0" w:color="auto"/>
      </w:divBdr>
    </w:div>
    <w:div w:id="1572541831">
      <w:bodyDiv w:val="1"/>
      <w:marLeft w:val="0"/>
      <w:marRight w:val="0"/>
      <w:marTop w:val="0"/>
      <w:marBottom w:val="0"/>
      <w:divBdr>
        <w:top w:val="none" w:sz="0" w:space="0" w:color="auto"/>
        <w:left w:val="none" w:sz="0" w:space="0" w:color="auto"/>
        <w:bottom w:val="none" w:sz="0" w:space="0" w:color="auto"/>
        <w:right w:val="none" w:sz="0" w:space="0" w:color="auto"/>
      </w:divBdr>
    </w:div>
    <w:div w:id="1581255895">
      <w:bodyDiv w:val="1"/>
      <w:marLeft w:val="0"/>
      <w:marRight w:val="0"/>
      <w:marTop w:val="0"/>
      <w:marBottom w:val="0"/>
      <w:divBdr>
        <w:top w:val="none" w:sz="0" w:space="0" w:color="auto"/>
        <w:left w:val="none" w:sz="0" w:space="0" w:color="auto"/>
        <w:bottom w:val="none" w:sz="0" w:space="0" w:color="auto"/>
        <w:right w:val="none" w:sz="0" w:space="0" w:color="auto"/>
      </w:divBdr>
    </w:div>
    <w:div w:id="1594360864">
      <w:bodyDiv w:val="1"/>
      <w:marLeft w:val="0"/>
      <w:marRight w:val="0"/>
      <w:marTop w:val="0"/>
      <w:marBottom w:val="0"/>
      <w:divBdr>
        <w:top w:val="none" w:sz="0" w:space="0" w:color="auto"/>
        <w:left w:val="none" w:sz="0" w:space="0" w:color="auto"/>
        <w:bottom w:val="none" w:sz="0" w:space="0" w:color="auto"/>
        <w:right w:val="none" w:sz="0" w:space="0" w:color="auto"/>
      </w:divBdr>
    </w:div>
    <w:div w:id="1624921954">
      <w:bodyDiv w:val="1"/>
      <w:marLeft w:val="0"/>
      <w:marRight w:val="0"/>
      <w:marTop w:val="0"/>
      <w:marBottom w:val="0"/>
      <w:divBdr>
        <w:top w:val="none" w:sz="0" w:space="0" w:color="auto"/>
        <w:left w:val="none" w:sz="0" w:space="0" w:color="auto"/>
        <w:bottom w:val="none" w:sz="0" w:space="0" w:color="auto"/>
        <w:right w:val="none" w:sz="0" w:space="0" w:color="auto"/>
      </w:divBdr>
    </w:div>
    <w:div w:id="1626497212">
      <w:bodyDiv w:val="1"/>
      <w:marLeft w:val="0"/>
      <w:marRight w:val="0"/>
      <w:marTop w:val="0"/>
      <w:marBottom w:val="0"/>
      <w:divBdr>
        <w:top w:val="none" w:sz="0" w:space="0" w:color="auto"/>
        <w:left w:val="none" w:sz="0" w:space="0" w:color="auto"/>
        <w:bottom w:val="none" w:sz="0" w:space="0" w:color="auto"/>
        <w:right w:val="none" w:sz="0" w:space="0" w:color="auto"/>
      </w:divBdr>
    </w:div>
    <w:div w:id="1665862535">
      <w:bodyDiv w:val="1"/>
      <w:marLeft w:val="0"/>
      <w:marRight w:val="0"/>
      <w:marTop w:val="0"/>
      <w:marBottom w:val="0"/>
      <w:divBdr>
        <w:top w:val="none" w:sz="0" w:space="0" w:color="auto"/>
        <w:left w:val="none" w:sz="0" w:space="0" w:color="auto"/>
        <w:bottom w:val="none" w:sz="0" w:space="0" w:color="auto"/>
        <w:right w:val="none" w:sz="0" w:space="0" w:color="auto"/>
      </w:divBdr>
    </w:div>
    <w:div w:id="1689477536">
      <w:bodyDiv w:val="1"/>
      <w:marLeft w:val="0"/>
      <w:marRight w:val="0"/>
      <w:marTop w:val="0"/>
      <w:marBottom w:val="0"/>
      <w:divBdr>
        <w:top w:val="none" w:sz="0" w:space="0" w:color="auto"/>
        <w:left w:val="none" w:sz="0" w:space="0" w:color="auto"/>
        <w:bottom w:val="none" w:sz="0" w:space="0" w:color="auto"/>
        <w:right w:val="none" w:sz="0" w:space="0" w:color="auto"/>
      </w:divBdr>
    </w:div>
    <w:div w:id="1692488376">
      <w:bodyDiv w:val="1"/>
      <w:marLeft w:val="0"/>
      <w:marRight w:val="0"/>
      <w:marTop w:val="0"/>
      <w:marBottom w:val="0"/>
      <w:divBdr>
        <w:top w:val="none" w:sz="0" w:space="0" w:color="auto"/>
        <w:left w:val="none" w:sz="0" w:space="0" w:color="auto"/>
        <w:bottom w:val="none" w:sz="0" w:space="0" w:color="auto"/>
        <w:right w:val="none" w:sz="0" w:space="0" w:color="auto"/>
      </w:divBdr>
    </w:div>
    <w:div w:id="1737124221">
      <w:bodyDiv w:val="1"/>
      <w:marLeft w:val="0"/>
      <w:marRight w:val="0"/>
      <w:marTop w:val="0"/>
      <w:marBottom w:val="0"/>
      <w:divBdr>
        <w:top w:val="none" w:sz="0" w:space="0" w:color="auto"/>
        <w:left w:val="none" w:sz="0" w:space="0" w:color="auto"/>
        <w:bottom w:val="none" w:sz="0" w:space="0" w:color="auto"/>
        <w:right w:val="none" w:sz="0" w:space="0" w:color="auto"/>
      </w:divBdr>
    </w:div>
    <w:div w:id="1750080375">
      <w:bodyDiv w:val="1"/>
      <w:marLeft w:val="0"/>
      <w:marRight w:val="0"/>
      <w:marTop w:val="0"/>
      <w:marBottom w:val="0"/>
      <w:divBdr>
        <w:top w:val="none" w:sz="0" w:space="0" w:color="auto"/>
        <w:left w:val="none" w:sz="0" w:space="0" w:color="auto"/>
        <w:bottom w:val="none" w:sz="0" w:space="0" w:color="auto"/>
        <w:right w:val="none" w:sz="0" w:space="0" w:color="auto"/>
      </w:divBdr>
    </w:div>
    <w:div w:id="1755469466">
      <w:bodyDiv w:val="1"/>
      <w:marLeft w:val="0"/>
      <w:marRight w:val="0"/>
      <w:marTop w:val="0"/>
      <w:marBottom w:val="0"/>
      <w:divBdr>
        <w:top w:val="none" w:sz="0" w:space="0" w:color="auto"/>
        <w:left w:val="none" w:sz="0" w:space="0" w:color="auto"/>
        <w:bottom w:val="none" w:sz="0" w:space="0" w:color="auto"/>
        <w:right w:val="none" w:sz="0" w:space="0" w:color="auto"/>
      </w:divBdr>
    </w:div>
    <w:div w:id="1759786234">
      <w:bodyDiv w:val="1"/>
      <w:marLeft w:val="0"/>
      <w:marRight w:val="0"/>
      <w:marTop w:val="0"/>
      <w:marBottom w:val="0"/>
      <w:divBdr>
        <w:top w:val="none" w:sz="0" w:space="0" w:color="auto"/>
        <w:left w:val="none" w:sz="0" w:space="0" w:color="auto"/>
        <w:bottom w:val="none" w:sz="0" w:space="0" w:color="auto"/>
        <w:right w:val="none" w:sz="0" w:space="0" w:color="auto"/>
      </w:divBdr>
    </w:div>
    <w:div w:id="1777824256">
      <w:bodyDiv w:val="1"/>
      <w:marLeft w:val="0"/>
      <w:marRight w:val="0"/>
      <w:marTop w:val="0"/>
      <w:marBottom w:val="0"/>
      <w:divBdr>
        <w:top w:val="none" w:sz="0" w:space="0" w:color="auto"/>
        <w:left w:val="none" w:sz="0" w:space="0" w:color="auto"/>
        <w:bottom w:val="none" w:sz="0" w:space="0" w:color="auto"/>
        <w:right w:val="none" w:sz="0" w:space="0" w:color="auto"/>
      </w:divBdr>
    </w:div>
    <w:div w:id="1779831416">
      <w:bodyDiv w:val="1"/>
      <w:marLeft w:val="0"/>
      <w:marRight w:val="0"/>
      <w:marTop w:val="0"/>
      <w:marBottom w:val="0"/>
      <w:divBdr>
        <w:top w:val="none" w:sz="0" w:space="0" w:color="auto"/>
        <w:left w:val="none" w:sz="0" w:space="0" w:color="auto"/>
        <w:bottom w:val="none" w:sz="0" w:space="0" w:color="auto"/>
        <w:right w:val="none" w:sz="0" w:space="0" w:color="auto"/>
      </w:divBdr>
    </w:div>
    <w:div w:id="1793595038">
      <w:bodyDiv w:val="1"/>
      <w:marLeft w:val="0"/>
      <w:marRight w:val="0"/>
      <w:marTop w:val="0"/>
      <w:marBottom w:val="0"/>
      <w:divBdr>
        <w:top w:val="none" w:sz="0" w:space="0" w:color="auto"/>
        <w:left w:val="none" w:sz="0" w:space="0" w:color="auto"/>
        <w:bottom w:val="none" w:sz="0" w:space="0" w:color="auto"/>
        <w:right w:val="none" w:sz="0" w:space="0" w:color="auto"/>
      </w:divBdr>
    </w:div>
    <w:div w:id="1816213809">
      <w:bodyDiv w:val="1"/>
      <w:marLeft w:val="0"/>
      <w:marRight w:val="0"/>
      <w:marTop w:val="0"/>
      <w:marBottom w:val="0"/>
      <w:divBdr>
        <w:top w:val="none" w:sz="0" w:space="0" w:color="auto"/>
        <w:left w:val="none" w:sz="0" w:space="0" w:color="auto"/>
        <w:bottom w:val="none" w:sz="0" w:space="0" w:color="auto"/>
        <w:right w:val="none" w:sz="0" w:space="0" w:color="auto"/>
      </w:divBdr>
    </w:div>
    <w:div w:id="1824007900">
      <w:bodyDiv w:val="1"/>
      <w:marLeft w:val="0"/>
      <w:marRight w:val="0"/>
      <w:marTop w:val="0"/>
      <w:marBottom w:val="0"/>
      <w:divBdr>
        <w:top w:val="none" w:sz="0" w:space="0" w:color="auto"/>
        <w:left w:val="none" w:sz="0" w:space="0" w:color="auto"/>
        <w:bottom w:val="none" w:sz="0" w:space="0" w:color="auto"/>
        <w:right w:val="none" w:sz="0" w:space="0" w:color="auto"/>
      </w:divBdr>
    </w:div>
    <w:div w:id="1837837406">
      <w:bodyDiv w:val="1"/>
      <w:marLeft w:val="0"/>
      <w:marRight w:val="0"/>
      <w:marTop w:val="0"/>
      <w:marBottom w:val="0"/>
      <w:divBdr>
        <w:top w:val="none" w:sz="0" w:space="0" w:color="auto"/>
        <w:left w:val="none" w:sz="0" w:space="0" w:color="auto"/>
        <w:bottom w:val="none" w:sz="0" w:space="0" w:color="auto"/>
        <w:right w:val="none" w:sz="0" w:space="0" w:color="auto"/>
      </w:divBdr>
    </w:div>
    <w:div w:id="1851946180">
      <w:bodyDiv w:val="1"/>
      <w:marLeft w:val="0"/>
      <w:marRight w:val="0"/>
      <w:marTop w:val="0"/>
      <w:marBottom w:val="0"/>
      <w:divBdr>
        <w:top w:val="none" w:sz="0" w:space="0" w:color="auto"/>
        <w:left w:val="none" w:sz="0" w:space="0" w:color="auto"/>
        <w:bottom w:val="none" w:sz="0" w:space="0" w:color="auto"/>
        <w:right w:val="none" w:sz="0" w:space="0" w:color="auto"/>
      </w:divBdr>
    </w:div>
    <w:div w:id="1869903447">
      <w:bodyDiv w:val="1"/>
      <w:marLeft w:val="0"/>
      <w:marRight w:val="0"/>
      <w:marTop w:val="0"/>
      <w:marBottom w:val="0"/>
      <w:divBdr>
        <w:top w:val="none" w:sz="0" w:space="0" w:color="auto"/>
        <w:left w:val="none" w:sz="0" w:space="0" w:color="auto"/>
        <w:bottom w:val="none" w:sz="0" w:space="0" w:color="auto"/>
        <w:right w:val="none" w:sz="0" w:space="0" w:color="auto"/>
      </w:divBdr>
    </w:div>
    <w:div w:id="1931499968">
      <w:bodyDiv w:val="1"/>
      <w:marLeft w:val="0"/>
      <w:marRight w:val="0"/>
      <w:marTop w:val="0"/>
      <w:marBottom w:val="0"/>
      <w:divBdr>
        <w:top w:val="none" w:sz="0" w:space="0" w:color="auto"/>
        <w:left w:val="none" w:sz="0" w:space="0" w:color="auto"/>
        <w:bottom w:val="none" w:sz="0" w:space="0" w:color="auto"/>
        <w:right w:val="none" w:sz="0" w:space="0" w:color="auto"/>
      </w:divBdr>
    </w:div>
    <w:div w:id="1947031523">
      <w:bodyDiv w:val="1"/>
      <w:marLeft w:val="0"/>
      <w:marRight w:val="0"/>
      <w:marTop w:val="0"/>
      <w:marBottom w:val="0"/>
      <w:divBdr>
        <w:top w:val="none" w:sz="0" w:space="0" w:color="auto"/>
        <w:left w:val="none" w:sz="0" w:space="0" w:color="auto"/>
        <w:bottom w:val="none" w:sz="0" w:space="0" w:color="auto"/>
        <w:right w:val="none" w:sz="0" w:space="0" w:color="auto"/>
      </w:divBdr>
    </w:div>
    <w:div w:id="2002197159">
      <w:bodyDiv w:val="1"/>
      <w:marLeft w:val="0"/>
      <w:marRight w:val="0"/>
      <w:marTop w:val="0"/>
      <w:marBottom w:val="0"/>
      <w:divBdr>
        <w:top w:val="none" w:sz="0" w:space="0" w:color="auto"/>
        <w:left w:val="none" w:sz="0" w:space="0" w:color="auto"/>
        <w:bottom w:val="none" w:sz="0" w:space="0" w:color="auto"/>
        <w:right w:val="none" w:sz="0" w:space="0" w:color="auto"/>
      </w:divBdr>
    </w:div>
    <w:div w:id="2019230578">
      <w:bodyDiv w:val="1"/>
      <w:marLeft w:val="0"/>
      <w:marRight w:val="0"/>
      <w:marTop w:val="0"/>
      <w:marBottom w:val="0"/>
      <w:divBdr>
        <w:top w:val="none" w:sz="0" w:space="0" w:color="auto"/>
        <w:left w:val="none" w:sz="0" w:space="0" w:color="auto"/>
        <w:bottom w:val="none" w:sz="0" w:space="0" w:color="auto"/>
        <w:right w:val="none" w:sz="0" w:space="0" w:color="auto"/>
      </w:divBdr>
    </w:div>
    <w:div w:id="2036618458">
      <w:bodyDiv w:val="1"/>
      <w:marLeft w:val="0"/>
      <w:marRight w:val="0"/>
      <w:marTop w:val="0"/>
      <w:marBottom w:val="0"/>
      <w:divBdr>
        <w:top w:val="none" w:sz="0" w:space="0" w:color="auto"/>
        <w:left w:val="none" w:sz="0" w:space="0" w:color="auto"/>
        <w:bottom w:val="none" w:sz="0" w:space="0" w:color="auto"/>
        <w:right w:val="none" w:sz="0" w:space="0" w:color="auto"/>
      </w:divBdr>
    </w:div>
    <w:div w:id="2054621699">
      <w:bodyDiv w:val="1"/>
      <w:marLeft w:val="0"/>
      <w:marRight w:val="0"/>
      <w:marTop w:val="0"/>
      <w:marBottom w:val="0"/>
      <w:divBdr>
        <w:top w:val="none" w:sz="0" w:space="0" w:color="auto"/>
        <w:left w:val="none" w:sz="0" w:space="0" w:color="auto"/>
        <w:bottom w:val="none" w:sz="0" w:space="0" w:color="auto"/>
        <w:right w:val="none" w:sz="0" w:space="0" w:color="auto"/>
      </w:divBdr>
    </w:div>
    <w:div w:id="2099447688">
      <w:bodyDiv w:val="1"/>
      <w:marLeft w:val="0"/>
      <w:marRight w:val="0"/>
      <w:marTop w:val="0"/>
      <w:marBottom w:val="0"/>
      <w:divBdr>
        <w:top w:val="none" w:sz="0" w:space="0" w:color="auto"/>
        <w:left w:val="none" w:sz="0" w:space="0" w:color="auto"/>
        <w:bottom w:val="none" w:sz="0" w:space="0" w:color="auto"/>
        <w:right w:val="none" w:sz="0" w:space="0" w:color="auto"/>
      </w:divBdr>
    </w:div>
    <w:div w:id="2120560356">
      <w:bodyDiv w:val="1"/>
      <w:marLeft w:val="0"/>
      <w:marRight w:val="0"/>
      <w:marTop w:val="0"/>
      <w:marBottom w:val="0"/>
      <w:divBdr>
        <w:top w:val="none" w:sz="0" w:space="0" w:color="auto"/>
        <w:left w:val="none" w:sz="0" w:space="0" w:color="auto"/>
        <w:bottom w:val="none" w:sz="0" w:space="0" w:color="auto"/>
        <w:right w:val="none" w:sz="0" w:space="0" w:color="auto"/>
      </w:divBdr>
    </w:div>
    <w:div w:id="214638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stat.gov.pl" TargetMode="External"/><Relationship Id="rId26" Type="http://schemas.openxmlformats.org/officeDocument/2006/relationships/chart" Target="charts/chart15.xml"/><Relationship Id="rId39" Type="http://schemas.openxmlformats.org/officeDocument/2006/relationships/image" Target="media/image11.emf"/><Relationship Id="rId21" Type="http://schemas.openxmlformats.org/officeDocument/2006/relationships/chart" Target="charts/chart10.xml"/><Relationship Id="rId34" Type="http://schemas.openxmlformats.org/officeDocument/2006/relationships/image" Target="media/image6.emf"/><Relationship Id="rId42" Type="http://schemas.openxmlformats.org/officeDocument/2006/relationships/image" Target="media/image14.emf"/><Relationship Id="rId47" Type="http://schemas.openxmlformats.org/officeDocument/2006/relationships/image" Target="media/image19.emf"/><Relationship Id="rId50" Type="http://schemas.openxmlformats.org/officeDocument/2006/relationships/image" Target="media/image21.emf"/><Relationship Id="rId55" Type="http://schemas.openxmlformats.org/officeDocument/2006/relationships/image" Target="media/image26.emf"/><Relationship Id="rId63" Type="http://schemas.openxmlformats.org/officeDocument/2006/relationships/image" Target="media/image33.emf"/><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image" Target="media/image4.emf"/><Relationship Id="rId37" Type="http://schemas.openxmlformats.org/officeDocument/2006/relationships/image" Target="media/image9.emf"/><Relationship Id="rId40" Type="http://schemas.openxmlformats.org/officeDocument/2006/relationships/image" Target="media/image12.emf"/><Relationship Id="rId45" Type="http://schemas.openxmlformats.org/officeDocument/2006/relationships/image" Target="media/image17.emf"/><Relationship Id="rId53" Type="http://schemas.openxmlformats.org/officeDocument/2006/relationships/image" Target="media/image24.emf"/><Relationship Id="rId58" Type="http://schemas.openxmlformats.org/officeDocument/2006/relationships/image" Target="media/image28.emf"/><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image" Target="media/image8.emf"/><Relationship Id="rId49" Type="http://schemas.openxmlformats.org/officeDocument/2006/relationships/chart" Target="charts/chart19.xml"/><Relationship Id="rId57" Type="http://schemas.openxmlformats.org/officeDocument/2006/relationships/chart" Target="charts/chart20.xml"/><Relationship Id="rId61" Type="http://schemas.openxmlformats.org/officeDocument/2006/relationships/image" Target="media/image31.emf"/><Relationship Id="rId10" Type="http://schemas.openxmlformats.org/officeDocument/2006/relationships/footer" Target="footer1.xml"/><Relationship Id="rId19" Type="http://schemas.openxmlformats.org/officeDocument/2006/relationships/chart" Target="charts/chart8.xml"/><Relationship Id="rId31" Type="http://schemas.openxmlformats.org/officeDocument/2006/relationships/image" Target="media/image3.emf"/><Relationship Id="rId44" Type="http://schemas.openxmlformats.org/officeDocument/2006/relationships/image" Target="media/image16.emf"/><Relationship Id="rId52" Type="http://schemas.openxmlformats.org/officeDocument/2006/relationships/image" Target="media/image23.emf"/><Relationship Id="rId60" Type="http://schemas.openxmlformats.org/officeDocument/2006/relationships/image" Target="media/image30.emf"/><Relationship Id="rId65" Type="http://schemas.openxmlformats.org/officeDocument/2006/relationships/image" Target="media/image3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image" Target="media/image2.emf"/><Relationship Id="rId35" Type="http://schemas.openxmlformats.org/officeDocument/2006/relationships/image" Target="media/image7.emf"/><Relationship Id="rId43" Type="http://schemas.openxmlformats.org/officeDocument/2006/relationships/image" Target="media/image15.emf"/><Relationship Id="rId48" Type="http://schemas.openxmlformats.org/officeDocument/2006/relationships/image" Target="media/image20.emf"/><Relationship Id="rId56" Type="http://schemas.openxmlformats.org/officeDocument/2006/relationships/image" Target="media/image27.emf"/><Relationship Id="rId64" Type="http://schemas.openxmlformats.org/officeDocument/2006/relationships/chart" Target="charts/chart21.xml"/><Relationship Id="rId8" Type="http://schemas.openxmlformats.org/officeDocument/2006/relationships/endnotes" Target="endnotes.xml"/><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4.xml"/><Relationship Id="rId33" Type="http://schemas.openxmlformats.org/officeDocument/2006/relationships/image" Target="media/image5.emf"/><Relationship Id="rId38" Type="http://schemas.openxmlformats.org/officeDocument/2006/relationships/image" Target="media/image10.emf"/><Relationship Id="rId46" Type="http://schemas.openxmlformats.org/officeDocument/2006/relationships/image" Target="media/image18.emf"/><Relationship Id="rId59" Type="http://schemas.openxmlformats.org/officeDocument/2006/relationships/image" Target="media/image29.emf"/><Relationship Id="rId67" Type="http://schemas.openxmlformats.org/officeDocument/2006/relationships/fontTable" Target="fontTable.xml"/><Relationship Id="rId20" Type="http://schemas.openxmlformats.org/officeDocument/2006/relationships/chart" Target="charts/chart9.xml"/><Relationship Id="rId41" Type="http://schemas.openxmlformats.org/officeDocument/2006/relationships/image" Target="media/image13.emf"/><Relationship Id="rId54" Type="http://schemas.openxmlformats.org/officeDocument/2006/relationships/image" Target="media/image25.emf"/><Relationship Id="rId62" Type="http://schemas.openxmlformats.org/officeDocument/2006/relationships/image" Target="media/image32.emf"/></Relationships>
</file>

<file path=word/_rels/footnotes.xml.rels><?xml version="1.0" encoding="UTF-8" standalone="yes"?>
<Relationships xmlns="http://schemas.openxmlformats.org/package/2006/relationships"><Relationship Id="rId3" Type="http://schemas.openxmlformats.org/officeDocument/2006/relationships/hyperlink" Target="http://stat.gov.pl" TargetMode="External"/><Relationship Id="rId2" Type="http://schemas.openxmlformats.org/officeDocument/2006/relationships/hyperlink" Target="https://eteryt.stat.gov.pl/eteryt/raporty/WebRaportZestawienie.aspx" TargetMode="External"/><Relationship Id="rId1" Type="http://schemas.openxmlformats.org/officeDocument/2006/relationships/hyperlink" Target="https://bdl.stat.gov.pl/BDL/star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otr.Kocaj\Desktop\11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iotr.Kocaj\Desktop\Kopia%20PODM_2613_XTAB_20200901123336.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Piotr.Kocaj\Desktop\Spr.%20WUP%20Analiza%20KBP%202020\Analiza%202020\cz.%20demograficzna\Podmioty%20gosp\mies.%20inform.%20o%20podmiotach%20gosp.%20narod.%20REGON%20XII%20202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Piotr.Kocaj\Desktop\sektor%20kreatywny%20a%20high-technology%2020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iotr.Kocaj\Desktop\sektor%20kreatywny%20a%20high-technology%2020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Piotr.Kocaj\Desktop\baza%20danych%20demogr\pracuj&#261;cy%202009-201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Piotr.Kocaj\Desktop\Pracuj&#261;cy%20w%20przem.%20B-F%202015-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Piotr.Kocaj\Desktop\Spr.%20WUP%20Analiza%20KBP%202020\Analiza%202020\cz.%20demograficzna\Pracuj&#261;cy\prac.%20w%20sekcjach%20B-F.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Piotr.Kocaj\Desktop\Spr.%20WUP%20Analiza%20KBP%202020\Analiza%202020\cz.%20demograficzna\Pracuj&#261;cy\prac.%20w%20sekcjach%20B-F.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iotr.Kocaj\Desktop\kszta&#322;cenie%20lub%20szkolenie%20zawodowe.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iotr.Kocaj\Desktop\Analiza%20I%20p&#243;&#322;rocze%202021\Aneks%20Ip%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iotr.Kocaj\Desktop\PKB%20unii.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Piotr.Kocaj\Desktop\Analiza%20I%20p&#243;&#322;rocze%202021\Aneks%20Ip%20202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iotr.Kocaj\Desktop\Analiza%20I%20p&#243;&#322;rocze%202021\Aneks%20Ip%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otr.Kocaj\Desktop\Analiza%20I%20p&#243;&#322;rocze%202021\sta&#380;enie%20si&#281;%20spo&#322;ecze&#324;stwa\pl_lud_2002_00_1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iotr.Kocaj\Desktop\Analiza%20I%20p&#243;&#322;rocze%202021\sta&#380;enie%20si&#281;%20spo&#322;ecze&#324;stwa\pl_lud_2020_00_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iotr.Kocaj\Desktop\migracje%20wed&#322;ug%20ekonomicznych%20grup%20wieku.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iotr.Kocaj\Desktop\migracje%20wed&#322;ug%20ekonomicznych%20grup%20wieku.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iotr.Kocaj\Desktop\migracje%20wed&#322;ug%20ekonomicznych%20grup%20wieku.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iotr.Kocaj\Desktop\Analiza%20I%20p&#243;&#322;rocze%202021\dane%20GUS\wiek%20ekonomiczny.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iotr.Kocaj\AppData\Local\Temp\PODM_2419_XTAB_2021081312394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847061664140363"/>
          <c:y val="3.2376025588762396E-2"/>
          <c:w val="0.77339553850487597"/>
          <c:h val="0.90951560272195919"/>
        </c:manualLayout>
      </c:layout>
      <c:barChart>
        <c:barDir val="bar"/>
        <c:grouping val="clustered"/>
        <c:varyColors val="0"/>
        <c:ser>
          <c:idx val="0"/>
          <c:order val="0"/>
          <c:tx>
            <c:strRef>
              <c:f>Arkusz2!$E$1</c:f>
              <c:strCache>
                <c:ptCount val="1"/>
                <c:pt idx="0">
                  <c:v>Na 1 mieszkańca</c:v>
                </c:pt>
              </c:strCache>
            </c:strRef>
          </c:tx>
          <c:spPr>
            <a:gradFill>
              <a:gsLst>
                <a:gs pos="0">
                  <a:srgbClr val="3805C7">
                    <a:alpha val="55000"/>
                  </a:srgbClr>
                </a:gs>
                <a:gs pos="50000">
                  <a:srgbClr val="0635CA">
                    <a:lumMod val="87000"/>
                    <a:lumOff val="13000"/>
                    <a:alpha val="36000"/>
                  </a:srgbClr>
                </a:gs>
                <a:gs pos="100000">
                  <a:srgbClr val="0635CA">
                    <a:alpha val="33000"/>
                  </a:srgbClr>
                </a:gs>
              </a:gsLst>
              <a:lin ang="10800000" scaled="1"/>
            </a:gradFill>
            <a:ln>
              <a:solidFill>
                <a:schemeClr val="accent4">
                  <a:lumMod val="75000"/>
                </a:schemeClr>
              </a:solidFill>
            </a:ln>
          </c:spPr>
          <c:invertIfNegative val="0"/>
          <c:dPt>
            <c:idx val="4"/>
            <c:invertIfNegative val="0"/>
            <c:bubble3D val="0"/>
            <c:spPr>
              <a:solidFill>
                <a:srgbClr val="66FF33"/>
              </a:solidFill>
              <a:ln>
                <a:solidFill>
                  <a:schemeClr val="accent4">
                    <a:lumMod val="75000"/>
                  </a:schemeClr>
                </a:solidFill>
              </a:ln>
            </c:spPr>
          </c:dPt>
          <c:dPt>
            <c:idx val="15"/>
            <c:invertIfNegative val="0"/>
            <c:bubble3D val="0"/>
            <c:spPr>
              <a:solidFill>
                <a:srgbClr val="66FF33"/>
              </a:solidFill>
              <a:ln>
                <a:solidFill>
                  <a:schemeClr val="accent4">
                    <a:lumMod val="75000"/>
                  </a:schemeClr>
                </a:solidFill>
              </a:ln>
            </c:spPr>
          </c:dPt>
          <c:dLbls>
            <c:showLegendKey val="0"/>
            <c:showVal val="1"/>
            <c:showCatName val="0"/>
            <c:showSerName val="0"/>
            <c:showPercent val="0"/>
            <c:showBubbleSize val="0"/>
            <c:showLeaderLines val="0"/>
          </c:dLbls>
          <c:cat>
            <c:strRef>
              <c:f>Arkusz2!$A$5:$A$22</c:f>
              <c:strCache>
                <c:ptCount val="18"/>
                <c:pt idx="0">
                  <c:v>Warszawski stołeczny</c:v>
                </c:pt>
                <c:pt idx="1">
                  <c:v>Dolnośląskie</c:v>
                </c:pt>
                <c:pt idx="2">
                  <c:v>Wielkopolskie</c:v>
                </c:pt>
                <c:pt idx="3">
                  <c:v>Śląskie</c:v>
                </c:pt>
                <c:pt idx="4">
                  <c:v>P O L S K A</c:v>
                </c:pt>
                <c:pt idx="5">
                  <c:v>Pomorskie</c:v>
                </c:pt>
                <c:pt idx="6">
                  <c:v>Łódzkie</c:v>
                </c:pt>
                <c:pt idx="7">
                  <c:v>Małopolskie</c:v>
                </c:pt>
                <c:pt idx="8">
                  <c:v>Mazowiecki regionalny</c:v>
                </c:pt>
                <c:pt idx="9">
                  <c:v>Zachodniopomorskie</c:v>
                </c:pt>
                <c:pt idx="10">
                  <c:v>Lubuskie</c:v>
                </c:pt>
                <c:pt idx="11">
                  <c:v>Kujawsko-pomorskie</c:v>
                </c:pt>
                <c:pt idx="12">
                  <c:v>Opolskie</c:v>
                </c:pt>
                <c:pt idx="13">
                  <c:v>Podlaskie</c:v>
                </c:pt>
                <c:pt idx="14">
                  <c:v>Świętokrzyskie</c:v>
                </c:pt>
                <c:pt idx="15">
                  <c:v>Podkarpackie</c:v>
                </c:pt>
                <c:pt idx="16">
                  <c:v>Warmińsko-mazurskie</c:v>
                </c:pt>
                <c:pt idx="17">
                  <c:v>Lubelskie</c:v>
                </c:pt>
              </c:strCache>
            </c:strRef>
          </c:cat>
          <c:val>
            <c:numRef>
              <c:f>Arkusz2!$E$5:$E$22</c:f>
              <c:numCache>
                <c:formatCode>#,##0</c:formatCode>
                <c:ptCount val="18"/>
                <c:pt idx="0">
                  <c:v>130962</c:v>
                </c:pt>
                <c:pt idx="1">
                  <c:v>65240</c:v>
                </c:pt>
                <c:pt idx="2">
                  <c:v>64641</c:v>
                </c:pt>
                <c:pt idx="3">
                  <c:v>60963</c:v>
                </c:pt>
                <c:pt idx="4">
                  <c:v>59598</c:v>
                </c:pt>
                <c:pt idx="5">
                  <c:v>58031</c:v>
                </c:pt>
                <c:pt idx="6">
                  <c:v>56128</c:v>
                </c:pt>
                <c:pt idx="7">
                  <c:v>54546</c:v>
                </c:pt>
                <c:pt idx="8">
                  <c:v>51491</c:v>
                </c:pt>
                <c:pt idx="9">
                  <c:v>49512</c:v>
                </c:pt>
                <c:pt idx="10">
                  <c:v>48440</c:v>
                </c:pt>
                <c:pt idx="11">
                  <c:v>47457</c:v>
                </c:pt>
                <c:pt idx="12">
                  <c:v>47036</c:v>
                </c:pt>
                <c:pt idx="13">
                  <c:v>42976</c:v>
                </c:pt>
                <c:pt idx="14">
                  <c:v>42666</c:v>
                </c:pt>
                <c:pt idx="15">
                  <c:v>41845</c:v>
                </c:pt>
                <c:pt idx="16">
                  <c:v>40830</c:v>
                </c:pt>
                <c:pt idx="17">
                  <c:v>40741</c:v>
                </c:pt>
              </c:numCache>
            </c:numRef>
          </c:val>
        </c:ser>
        <c:dLbls>
          <c:showLegendKey val="0"/>
          <c:showVal val="0"/>
          <c:showCatName val="0"/>
          <c:showSerName val="0"/>
          <c:showPercent val="0"/>
          <c:showBubbleSize val="0"/>
        </c:dLbls>
        <c:gapWidth val="40"/>
        <c:axId val="205403648"/>
        <c:axId val="205405568"/>
      </c:barChart>
      <c:catAx>
        <c:axId val="205403648"/>
        <c:scaling>
          <c:orientation val="maxMin"/>
        </c:scaling>
        <c:delete val="0"/>
        <c:axPos val="l"/>
        <c:numFmt formatCode="General" sourceLinked="1"/>
        <c:majorTickMark val="none"/>
        <c:minorTickMark val="none"/>
        <c:tickLblPos val="nextTo"/>
        <c:spPr>
          <a:ln w="19050">
            <a:solidFill>
              <a:schemeClr val="accent4">
                <a:lumMod val="20000"/>
                <a:lumOff val="80000"/>
                <a:alpha val="68000"/>
              </a:schemeClr>
            </a:solidFill>
            <a:prstDash val="solid"/>
          </a:ln>
        </c:spPr>
        <c:txPr>
          <a:bodyPr/>
          <a:lstStyle/>
          <a:p>
            <a:pPr>
              <a:defRPr sz="800" b="0">
                <a:solidFill>
                  <a:schemeClr val="tx1"/>
                </a:solidFill>
                <a:latin typeface="Arial" panose="020B0604020202020204" pitchFamily="34" charset="0"/>
                <a:cs typeface="Arial" panose="020B0604020202020204" pitchFamily="34" charset="0"/>
              </a:defRPr>
            </a:pPr>
            <a:endParaRPr lang="pl-PL"/>
          </a:p>
        </c:txPr>
        <c:crossAx val="205405568"/>
        <c:crosses val="autoZero"/>
        <c:auto val="1"/>
        <c:lblAlgn val="ctr"/>
        <c:lblOffset val="100"/>
        <c:noMultiLvlLbl val="0"/>
      </c:catAx>
      <c:valAx>
        <c:axId val="205405568"/>
        <c:scaling>
          <c:orientation val="minMax"/>
        </c:scaling>
        <c:delete val="0"/>
        <c:axPos val="t"/>
        <c:majorGridlines>
          <c:spPr>
            <a:ln>
              <a:solidFill>
                <a:srgbClr val="0000FF">
                  <a:alpha val="28000"/>
                </a:srgbClr>
              </a:solidFill>
            </a:ln>
          </c:spPr>
        </c:majorGridlines>
        <c:minorGridlines>
          <c:spPr>
            <a:ln w="6350">
              <a:solidFill>
                <a:srgbClr val="5353FF">
                  <a:alpha val="38000"/>
                </a:srgbClr>
              </a:solidFill>
              <a:prstDash val="sysDot"/>
            </a:ln>
          </c:spPr>
        </c:minorGridlines>
        <c:numFmt formatCode="#,##0" sourceLinked="1"/>
        <c:majorTickMark val="out"/>
        <c:minorTickMark val="none"/>
        <c:tickLblPos val="nextTo"/>
        <c:spPr>
          <a:noFill/>
          <a:ln>
            <a:solidFill>
              <a:schemeClr val="accent4">
                <a:lumMod val="60000"/>
                <a:lumOff val="40000"/>
              </a:schemeClr>
            </a:solidFill>
          </a:ln>
        </c:spPr>
        <c:txPr>
          <a:bodyPr/>
          <a:lstStyle/>
          <a:p>
            <a:pPr>
              <a:defRPr sz="900">
                <a:latin typeface="Arial" panose="020B0604020202020204" pitchFamily="34" charset="0"/>
                <a:ea typeface="Verdana" panose="020B0604030504040204" pitchFamily="34" charset="0"/>
                <a:cs typeface="Arial" panose="020B0604020202020204" pitchFamily="34" charset="0"/>
              </a:defRPr>
            </a:pPr>
            <a:endParaRPr lang="pl-PL"/>
          </a:p>
        </c:txPr>
        <c:crossAx val="205403648"/>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view3D>
      <c:rotX val="50"/>
      <c:rotY val="170"/>
      <c:depthPercent val="210"/>
      <c:rAngAx val="0"/>
      <c:perspective val="130"/>
    </c:view3D>
    <c:floor>
      <c:thickness val="0"/>
    </c:floor>
    <c:sideWall>
      <c:thickness val="0"/>
    </c:sideWall>
    <c:backWall>
      <c:thickness val="0"/>
    </c:backWall>
    <c:plotArea>
      <c:layout>
        <c:manualLayout>
          <c:layoutTarget val="inner"/>
          <c:xMode val="edge"/>
          <c:yMode val="edge"/>
          <c:x val="1.5519316500021182E-2"/>
          <c:y val="7.1725286307715479E-3"/>
          <c:w val="0.98448062319612184"/>
          <c:h val="0.97724464129483812"/>
        </c:manualLayout>
      </c:layout>
      <c:pie3DChart>
        <c:varyColors val="1"/>
        <c:ser>
          <c:idx val="0"/>
          <c:order val="0"/>
          <c:tx>
            <c:strRef>
              <c:f>'2019'!$K$6</c:f>
              <c:strCache>
                <c:ptCount val="1"/>
                <c:pt idx="0">
                  <c:v>PODKARPACKIE</c:v>
                </c:pt>
              </c:strCache>
            </c:strRef>
          </c:tx>
          <c:dPt>
            <c:idx val="0"/>
            <c:bubble3D val="0"/>
            <c:spPr>
              <a:gradFill>
                <a:gsLst>
                  <a:gs pos="27000">
                    <a:schemeClr val="accent4">
                      <a:lumMod val="89000"/>
                    </a:schemeClr>
                  </a:gs>
                  <a:gs pos="80000">
                    <a:schemeClr val="accent4">
                      <a:lumMod val="95000"/>
                    </a:schemeClr>
                  </a:gs>
                  <a:gs pos="0">
                    <a:schemeClr val="accent4">
                      <a:lumMod val="50000"/>
                    </a:schemeClr>
                  </a:gs>
                  <a:gs pos="100000">
                    <a:schemeClr val="accent4">
                      <a:lumMod val="94000"/>
                    </a:schemeClr>
                  </a:gs>
                </a:gsLst>
                <a:lin ang="5400000" scaled="0"/>
              </a:gradFill>
              <a:scene3d>
                <a:camera prst="orthographicFront"/>
                <a:lightRig rig="threePt" dir="t">
                  <a:rot lat="0" lon="0" rev="1200000"/>
                </a:lightRig>
              </a:scene3d>
              <a:sp3d>
                <a:bevelT w="63500" h="38100"/>
              </a:sp3d>
            </c:spPr>
          </c:dPt>
          <c:dPt>
            <c:idx val="1"/>
            <c:bubble3D val="0"/>
            <c:explosion val="9"/>
            <c:spPr>
              <a:solidFill>
                <a:srgbClr val="FF9900"/>
              </a:solidFill>
            </c:spPr>
          </c:dPt>
          <c:dPt>
            <c:idx val="2"/>
            <c:bubble3D val="0"/>
            <c:explosion val="10"/>
            <c:spPr>
              <a:solidFill>
                <a:schemeClr val="bg1"/>
              </a:solidFill>
              <a:ln w="10160">
                <a:solidFill>
                  <a:schemeClr val="accent1"/>
                </a:solidFill>
              </a:ln>
            </c:spPr>
          </c:dPt>
          <c:dPt>
            <c:idx val="3"/>
            <c:bubble3D val="0"/>
            <c:explosion val="5"/>
            <c:spPr>
              <a:solidFill>
                <a:schemeClr val="tx1"/>
              </a:solidFill>
            </c:spPr>
          </c:dPt>
          <c:dLbls>
            <c:dLbl>
              <c:idx val="0"/>
              <c:layout>
                <c:manualLayout>
                  <c:x val="0.1440642428001937"/>
                  <c:y val="0.11073047945795907"/>
                </c:manualLayout>
              </c:layout>
              <c:tx>
                <c:rich>
                  <a:bodyPr/>
                  <a:lstStyle/>
                  <a:p>
                    <a:r>
                      <a:rPr lang="pl-PL" sz="800" b="1">
                        <a:solidFill>
                          <a:schemeClr val="bg1"/>
                        </a:solidFill>
                        <a:latin typeface="Times New Roman" panose="02020603050405020304" pitchFamily="18" charset="0"/>
                        <a:cs typeface="Times New Roman" panose="02020603050405020304" pitchFamily="18" charset="0"/>
                      </a:rPr>
                      <a:t>0 - 9 prac.</a:t>
                    </a:r>
                  </a:p>
                  <a:p>
                    <a:r>
                      <a:rPr lang="en-US" sz="800" b="1">
                        <a:solidFill>
                          <a:schemeClr val="bg1"/>
                        </a:solidFill>
                        <a:latin typeface="Times New Roman" panose="02020603050405020304" pitchFamily="18" charset="0"/>
                        <a:cs typeface="Times New Roman" panose="02020603050405020304" pitchFamily="18" charset="0"/>
                      </a:rPr>
                      <a:t>9</a:t>
                    </a:r>
                    <a:r>
                      <a:rPr lang="pl-PL" sz="800" b="1">
                        <a:solidFill>
                          <a:schemeClr val="bg1"/>
                        </a:solidFill>
                        <a:latin typeface="Times New Roman" panose="02020603050405020304" pitchFamily="18" charset="0"/>
                        <a:cs typeface="Times New Roman" panose="02020603050405020304" pitchFamily="18" charset="0"/>
                      </a:rPr>
                      <a:t>6</a:t>
                    </a:r>
                    <a:r>
                      <a:rPr lang="en-US" sz="800" b="1">
                        <a:solidFill>
                          <a:schemeClr val="bg1"/>
                        </a:solidFill>
                        <a:latin typeface="Times New Roman" panose="02020603050405020304" pitchFamily="18" charset="0"/>
                        <a:cs typeface="Times New Roman" panose="02020603050405020304" pitchFamily="18" charset="0"/>
                      </a:rPr>
                      <a:t>,</a:t>
                    </a:r>
                    <a:r>
                      <a:rPr lang="pl-PL" sz="800" b="1">
                        <a:solidFill>
                          <a:schemeClr val="bg1"/>
                        </a:solidFill>
                        <a:latin typeface="Times New Roman" panose="02020603050405020304" pitchFamily="18" charset="0"/>
                        <a:cs typeface="Times New Roman" panose="02020603050405020304" pitchFamily="18" charset="0"/>
                      </a:rPr>
                      <a:t>3 %</a:t>
                    </a:r>
                    <a:endParaRPr lang="en-US" b="1">
                      <a:solidFill>
                        <a:schemeClr val="bg1"/>
                      </a:solidFill>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5590919539990403"/>
                  <c:y val="-0.32162190968989579"/>
                </c:manualLayout>
              </c:layout>
              <c:tx>
                <c:rich>
                  <a:bodyPr/>
                  <a:lstStyle/>
                  <a:p>
                    <a:r>
                      <a:rPr lang="pl-PL" sz="800">
                        <a:latin typeface="Times New Roman" panose="02020603050405020304" pitchFamily="18" charset="0"/>
                        <a:cs typeface="Times New Roman" panose="02020603050405020304" pitchFamily="18" charset="0"/>
                      </a:rPr>
                      <a:t>10 - 49</a:t>
                    </a:r>
                  </a:p>
                  <a:p>
                    <a:r>
                      <a:rPr lang="en-US" sz="800">
                        <a:latin typeface="Times New Roman" panose="02020603050405020304" pitchFamily="18" charset="0"/>
                        <a:cs typeface="Times New Roman" panose="02020603050405020304" pitchFamily="18" charset="0"/>
                      </a:rPr>
                      <a:t>3,</a:t>
                    </a:r>
                    <a:r>
                      <a:rPr lang="pl-PL" sz="800">
                        <a:latin typeface="Times New Roman" panose="02020603050405020304" pitchFamily="18" charset="0"/>
                        <a:cs typeface="Times New Roman" panose="02020603050405020304" pitchFamily="18" charset="0"/>
                      </a:rPr>
                      <a:t>0 %</a:t>
                    </a:r>
                    <a:endParaRPr lang="en-US"/>
                  </a:p>
                </c:rich>
              </c:tx>
              <c:showLegendKey val="0"/>
              <c:showVal val="1"/>
              <c:showCatName val="0"/>
              <c:showSerName val="0"/>
              <c:showPercent val="0"/>
              <c:showBubbleSize val="0"/>
            </c:dLbl>
            <c:dLbl>
              <c:idx val="2"/>
              <c:layout>
                <c:manualLayout>
                  <c:x val="0.10017706299747973"/>
                  <c:y val="-3.9624984763018565E-3"/>
                </c:manualLayout>
              </c:layout>
              <c:tx>
                <c:rich>
                  <a:bodyPr/>
                  <a:lstStyle/>
                  <a:p>
                    <a:r>
                      <a:rPr lang="pl-PL" sz="800"/>
                      <a:t>50 - 249</a:t>
                    </a:r>
                  </a:p>
                  <a:p>
                    <a:r>
                      <a:rPr lang="en-US" sz="800"/>
                      <a:t>0,7</a:t>
                    </a:r>
                    <a:r>
                      <a:rPr lang="pl-PL" sz="800"/>
                      <a:t> %</a:t>
                    </a:r>
                    <a:endParaRPr lang="en-US"/>
                  </a:p>
                </c:rich>
              </c:tx>
              <c:showLegendKey val="0"/>
              <c:showVal val="1"/>
              <c:showCatName val="0"/>
              <c:showSerName val="0"/>
              <c:showPercent val="0"/>
              <c:showBubbleSize val="0"/>
            </c:dLbl>
            <c:dLbl>
              <c:idx val="3"/>
              <c:layout>
                <c:manualLayout>
                  <c:x val="-0.10956671479557714"/>
                  <c:y val="0"/>
                </c:manualLayout>
              </c:layout>
              <c:tx>
                <c:rich>
                  <a:bodyPr/>
                  <a:lstStyle/>
                  <a:p>
                    <a:r>
                      <a:rPr lang="pl-PL" sz="800"/>
                      <a:t>250 - 999</a:t>
                    </a:r>
                  </a:p>
                  <a:p>
                    <a:r>
                      <a:rPr lang="en-US" sz="800"/>
                      <a:t>0,</a:t>
                    </a:r>
                    <a:r>
                      <a:rPr lang="pl-PL" sz="800"/>
                      <a:t>08 %</a:t>
                    </a:r>
                    <a:endParaRPr lang="en-US"/>
                  </a:p>
                </c:rich>
              </c:tx>
              <c:showLegendKey val="0"/>
              <c:showVal val="1"/>
              <c:showCatName val="0"/>
              <c:showSerName val="0"/>
              <c:showPercent val="0"/>
              <c:showBubbleSize val="0"/>
            </c:dLbl>
            <c:dLbl>
              <c:idx val="4"/>
              <c:layout>
                <c:manualLayout>
                  <c:x val="-0.21721851706006667"/>
                  <c:y val="-4.671496568955659E-2"/>
                </c:manualLayout>
              </c:layout>
              <c:tx>
                <c:rich>
                  <a:bodyPr/>
                  <a:lstStyle/>
                  <a:p>
                    <a:r>
                      <a:rPr lang="pl-PL" sz="800"/>
                      <a:t>1000 i więcej</a:t>
                    </a:r>
                  </a:p>
                  <a:p>
                    <a:r>
                      <a:rPr lang="en-US" sz="800"/>
                      <a:t>0,0</a:t>
                    </a:r>
                    <a:r>
                      <a:rPr lang="pl-PL" sz="800"/>
                      <a:t>2 %</a:t>
                    </a:r>
                    <a:endParaRPr lang="en-US"/>
                  </a:p>
                </c:rich>
              </c:tx>
              <c:showLegendKey val="0"/>
              <c:showVal val="1"/>
              <c:showCatName val="0"/>
              <c:showSerName val="0"/>
              <c:showPercent val="0"/>
              <c:showBubbleSize val="0"/>
            </c:dLbl>
            <c:numFmt formatCode="#,##0.0" sourceLinked="0"/>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'2019'!$M$2:$Q$2</c:f>
              <c:strCache>
                <c:ptCount val="5"/>
                <c:pt idx="0">
                  <c:v>0 - 9</c:v>
                </c:pt>
                <c:pt idx="1">
                  <c:v>10 - 49</c:v>
                </c:pt>
                <c:pt idx="2">
                  <c:v>50 - 249</c:v>
                </c:pt>
                <c:pt idx="3">
                  <c:v>250 - 999</c:v>
                </c:pt>
                <c:pt idx="4">
                  <c:v>1000 i więcej</c:v>
                </c:pt>
              </c:strCache>
            </c:strRef>
          </c:cat>
          <c:val>
            <c:numRef>
              <c:f>'2019'!$M$7:$Q$7</c:f>
              <c:numCache>
                <c:formatCode>0.0</c:formatCode>
                <c:ptCount val="5"/>
                <c:pt idx="0">
                  <c:v>96.155854611125008</c:v>
                </c:pt>
                <c:pt idx="1">
                  <c:v>3.0673745362765041</c:v>
                </c:pt>
                <c:pt idx="2">
                  <c:v>0.67831460307444591</c:v>
                </c:pt>
                <c:pt idx="3" formatCode="0.00">
                  <c:v>8.2137534133313025E-2</c:v>
                </c:pt>
                <c:pt idx="4" formatCode="0.00">
                  <c:v>1.6318715390724443E-2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8.6603911567814884E-2"/>
          <c:y val="7.695927772807927E-2"/>
          <c:w val="0.21938294498513858"/>
          <c:h val="0.45427251078233677"/>
        </c:manualLayout>
      </c:layout>
      <c:overlay val="0"/>
      <c:txPr>
        <a:bodyPr/>
        <a:lstStyle/>
        <a:p>
          <a:pPr rtl="0">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6.2661735791731565E-2"/>
          <c:y val="2.8982662741249592E-2"/>
          <c:w val="0.92549164320643118"/>
          <c:h val="0.94203467451750078"/>
        </c:manualLayout>
      </c:layout>
      <c:barChart>
        <c:barDir val="col"/>
        <c:grouping val="clustered"/>
        <c:varyColors val="0"/>
        <c:ser>
          <c:idx val="0"/>
          <c:order val="0"/>
          <c:tx>
            <c:strRef>
              <c:f>Arkusz2!$B$2</c:f>
              <c:strCache>
                <c:ptCount val="1"/>
                <c:pt idx="0">
                  <c:v>OKRES</c:v>
                </c:pt>
              </c:strCache>
            </c:strRef>
          </c:tx>
          <c:spPr>
            <a:solidFill>
              <a:srgbClr val="C00000"/>
            </a:solidFill>
            <a:ln w="66675">
              <a:noFill/>
            </a:ln>
            <a:effectLst/>
          </c:spPr>
          <c:invertIfNegative val="0"/>
          <c:dPt>
            <c:idx val="1"/>
            <c:invertIfNegative val="0"/>
            <c:bubble3D val="0"/>
            <c:spPr>
              <a:solidFill>
                <a:schemeClr val="accent4">
                  <a:lumMod val="60000"/>
                  <a:lumOff val="40000"/>
                </a:schemeClr>
              </a:solidFill>
              <a:ln w="66675">
                <a:noFill/>
              </a:ln>
              <a:effectLst/>
            </c:spPr>
          </c:dPt>
          <c:dPt>
            <c:idx val="2"/>
            <c:invertIfNegative val="0"/>
            <c:bubble3D val="0"/>
            <c:spPr>
              <a:solidFill>
                <a:schemeClr val="accent4">
                  <a:lumMod val="60000"/>
                  <a:lumOff val="40000"/>
                </a:schemeClr>
              </a:solidFill>
              <a:ln w="66675">
                <a:noFill/>
              </a:ln>
              <a:effectLst/>
            </c:spPr>
          </c:dPt>
          <c:dPt>
            <c:idx val="8"/>
            <c:invertIfNegative val="0"/>
            <c:bubble3D val="0"/>
            <c:spPr>
              <a:solidFill>
                <a:schemeClr val="accent4">
                  <a:lumMod val="60000"/>
                  <a:lumOff val="40000"/>
                </a:schemeClr>
              </a:solidFill>
              <a:ln w="66675">
                <a:noFill/>
              </a:ln>
              <a:effectLst/>
            </c:spPr>
          </c:dPt>
          <c:dLbls>
            <c:dLbl>
              <c:idx val="0"/>
              <c:layout>
                <c:manualLayout>
                  <c:x val="2.2059863173264417E-3"/>
                  <c:y val="2.3142263404201339E-2"/>
                </c:manualLayout>
              </c:layout>
              <c:tx>
                <c:rich>
                  <a:bodyPr/>
                  <a:lstStyle/>
                  <a:p>
                    <a:r>
                      <a:rPr lang="en-US" b="0">
                        <a:solidFill>
                          <a:schemeClr val="tx1"/>
                        </a:solidFill>
                      </a:rPr>
                      <a:t>3 969</a:t>
                    </a:r>
                  </a:p>
                </c:rich>
              </c:tx>
              <c:showLegendKey val="0"/>
              <c:showVal val="1"/>
              <c:showCatName val="0"/>
              <c:showSerName val="0"/>
              <c:showPercent val="0"/>
              <c:showBubbleSize val="0"/>
            </c:dLbl>
            <c:dLbl>
              <c:idx val="1"/>
              <c:layout>
                <c:manualLayout>
                  <c:x val="-3.9586163914857961E-4"/>
                  <c:y val="2.0400513733551803E-3"/>
                </c:manualLayout>
              </c:layout>
              <c:showLegendKey val="0"/>
              <c:showVal val="1"/>
              <c:showCatName val="0"/>
              <c:showSerName val="0"/>
              <c:showPercent val="0"/>
              <c:showBubbleSize val="0"/>
            </c:dLbl>
            <c:dLbl>
              <c:idx val="2"/>
              <c:layout>
                <c:manualLayout>
                  <c:x val="-2.9980293257168655E-3"/>
                  <c:y val="-7.3636246288886015E-2"/>
                </c:manualLayout>
              </c:layout>
              <c:showLegendKey val="0"/>
              <c:showVal val="1"/>
              <c:showCatName val="0"/>
              <c:showSerName val="0"/>
              <c:showPercent val="0"/>
              <c:showBubbleSize val="0"/>
            </c:dLbl>
            <c:dLbl>
              <c:idx val="3"/>
              <c:layout>
                <c:manualLayout>
                  <c:x val="3.7069255116585508E-3"/>
                  <c:y val="1.7754675691914207E-2"/>
                </c:manualLayout>
              </c:layout>
              <c:showLegendKey val="0"/>
              <c:showVal val="1"/>
              <c:showCatName val="0"/>
              <c:showSerName val="0"/>
              <c:showPercent val="0"/>
              <c:showBubbleSize val="0"/>
            </c:dLbl>
            <c:dLbl>
              <c:idx val="4"/>
              <c:layout>
                <c:manualLayout>
                  <c:x val="0"/>
                  <c:y val="2.7816004812486094E-2"/>
                </c:manualLayout>
              </c:layout>
              <c:showLegendKey val="0"/>
              <c:showVal val="1"/>
              <c:showCatName val="0"/>
              <c:showSerName val="0"/>
              <c:showPercent val="0"/>
              <c:showBubbleSize val="0"/>
            </c:dLbl>
            <c:dLbl>
              <c:idx val="5"/>
              <c:layout>
                <c:manualLayout>
                  <c:x val="5.2109913007711229E-7"/>
                  <c:y val="2.8752542484993138E-2"/>
                </c:manualLayout>
              </c:layout>
              <c:showLegendKey val="0"/>
              <c:showVal val="1"/>
              <c:showCatName val="0"/>
              <c:showSerName val="0"/>
              <c:showPercent val="0"/>
              <c:showBubbleSize val="0"/>
            </c:dLbl>
            <c:dLbl>
              <c:idx val="6"/>
              <c:layout>
                <c:manualLayout>
                  <c:x val="0"/>
                  <c:y val="2.4711889477630946E-2"/>
                </c:manualLayout>
              </c:layout>
              <c:showLegendKey val="0"/>
              <c:showVal val="1"/>
              <c:showCatName val="0"/>
              <c:showSerName val="0"/>
              <c:showPercent val="0"/>
              <c:showBubbleSize val="0"/>
            </c:dLbl>
            <c:dLbl>
              <c:idx val="7"/>
              <c:layout>
                <c:manualLayout>
                  <c:x val="1.3895976802056328E-6"/>
                  <c:y val="3.0460210454367562E-3"/>
                </c:manualLayout>
              </c:layout>
              <c:showLegendKey val="0"/>
              <c:showVal val="1"/>
              <c:showCatName val="0"/>
              <c:showSerName val="0"/>
              <c:showPercent val="0"/>
              <c:showBubbleSize val="0"/>
            </c:dLbl>
            <c:dLbl>
              <c:idx val="8"/>
              <c:layout>
                <c:manualLayout>
                  <c:x val="-2.2059398032798273E-3"/>
                  <c:y val="9.5391764554020916E-4"/>
                </c:manualLayout>
              </c:layout>
              <c:showLegendKey val="0"/>
              <c:showVal val="1"/>
              <c:showCatName val="0"/>
              <c:showSerName val="0"/>
              <c:showPercent val="0"/>
              <c:showBubbleSize val="0"/>
            </c:dLbl>
            <c:dLbl>
              <c:idx val="9"/>
              <c:layout>
                <c:manualLayout>
                  <c:x val="-1.0580049337665636E-3"/>
                  <c:y val="4.1314761020191049E-2"/>
                </c:manualLayout>
              </c:layout>
              <c:showLegendKey val="0"/>
              <c:showVal val="1"/>
              <c:showCatName val="0"/>
              <c:showSerName val="0"/>
              <c:showPercent val="0"/>
              <c:showBubbleSize val="0"/>
            </c:dLbl>
            <c:dLbl>
              <c:idx val="10"/>
              <c:layout>
                <c:manualLayout>
                  <c:x val="-3.4739942005140819E-7"/>
                  <c:y val="3.3987443293627385E-2"/>
                </c:manualLayout>
              </c:layout>
              <c:showLegendKey val="0"/>
              <c:showVal val="1"/>
              <c:showCatName val="0"/>
              <c:showSerName val="0"/>
              <c:showPercent val="0"/>
              <c:showBubbleSize val="0"/>
            </c:dLbl>
            <c:dLbl>
              <c:idx val="11"/>
              <c:layout>
                <c:manualLayout>
                  <c:x val="0"/>
                  <c:y val="3.3294954911794024E-2"/>
                </c:manualLayout>
              </c:layout>
              <c:showLegendKey val="0"/>
              <c:showVal val="1"/>
              <c:showCatName val="0"/>
              <c:showSerName val="0"/>
              <c:showPercent val="0"/>
              <c:showBubbleSize val="0"/>
            </c:dLbl>
            <c:dLbl>
              <c:idx val="12"/>
              <c:layout>
                <c:manualLayout>
                  <c:x val="-3.4739942005140819E-7"/>
                  <c:y val="3.1920382323597014E-2"/>
                </c:manualLayout>
              </c:layout>
              <c:showLegendKey val="0"/>
              <c:showVal val="1"/>
              <c:showCatName val="0"/>
              <c:showSerName val="0"/>
              <c:showPercent val="0"/>
              <c:showBubbleSize val="0"/>
            </c:dLbl>
            <c:dLbl>
              <c:idx val="13"/>
              <c:layout>
                <c:manualLayout>
                  <c:x val="-2.558680839970942E-3"/>
                  <c:y val="1.7787245263739072E-2"/>
                </c:manualLayout>
              </c:layout>
              <c:showLegendKey val="0"/>
              <c:showVal val="1"/>
              <c:showCatName val="0"/>
              <c:showSerName val="0"/>
              <c:showPercent val="0"/>
              <c:showBubbleSize val="0"/>
            </c:dLbl>
            <c:dLbl>
              <c:idx val="14"/>
              <c:layout>
                <c:manualLayout>
                  <c:x val="2.5133827737494389E-3"/>
                  <c:y val="2.7831904702483225E-2"/>
                </c:manualLayout>
              </c:layout>
              <c:showLegendKey val="0"/>
              <c:showVal val="1"/>
              <c:showCatName val="0"/>
              <c:showSerName val="0"/>
              <c:showPercent val="0"/>
              <c:showBubbleSize val="0"/>
            </c:dLbl>
            <c:dLbl>
              <c:idx val="15"/>
              <c:layout>
                <c:manualLayout>
                  <c:x val="0"/>
                  <c:y val="2.9347220278475479E-2"/>
                </c:manualLayout>
              </c:layout>
              <c:showLegendKey val="0"/>
              <c:showVal val="1"/>
              <c:showCatName val="0"/>
              <c:showSerName val="0"/>
              <c:showPercent val="0"/>
              <c:showBubbleSize val="0"/>
            </c:dLbl>
            <c:dLbl>
              <c:idx val="16"/>
              <c:layout>
                <c:manualLayout>
                  <c:x val="0"/>
                  <c:y val="3.5002232425847636E-2"/>
                </c:manualLayout>
              </c:layout>
              <c:showLegendKey val="0"/>
              <c:showVal val="1"/>
              <c:showCatName val="0"/>
              <c:showSerName val="0"/>
              <c:showPercent val="0"/>
              <c:showBubbleSize val="0"/>
            </c:dLbl>
            <c:txPr>
              <a:bodyPr rot="0" vert="horz"/>
              <a:lstStyle/>
              <a:p>
                <a:pPr>
                  <a:defRPr sz="800" b="0">
                    <a:solidFill>
                      <a:schemeClr val="tx1"/>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dLbls>
          <c:cat>
            <c:strRef>
              <c:f>Arkusz2!$B$6:$B$23</c:f>
              <c:strCache>
                <c:ptCount val="18"/>
                <c:pt idx="0">
                  <c:v>31 XII '03</c:v>
                </c:pt>
                <c:pt idx="1">
                  <c:v>31 XII '04</c:v>
                </c:pt>
                <c:pt idx="2">
                  <c:v>31 XII '05</c:v>
                </c:pt>
                <c:pt idx="3">
                  <c:v>31 XII '06</c:v>
                </c:pt>
                <c:pt idx="4">
                  <c:v>31 XII '07</c:v>
                </c:pt>
                <c:pt idx="5">
                  <c:v>31 XII '08</c:v>
                </c:pt>
                <c:pt idx="6">
                  <c:v>31 XII '09</c:v>
                </c:pt>
                <c:pt idx="7">
                  <c:v>31 XII '10</c:v>
                </c:pt>
                <c:pt idx="8">
                  <c:v>31 XII '11</c:v>
                </c:pt>
                <c:pt idx="9">
                  <c:v>31 XII '12</c:v>
                </c:pt>
                <c:pt idx="10">
                  <c:v>31 XII '13</c:v>
                </c:pt>
                <c:pt idx="11">
                  <c:v>31 XII '14</c:v>
                </c:pt>
                <c:pt idx="12">
                  <c:v>31 XII '15</c:v>
                </c:pt>
                <c:pt idx="13">
                  <c:v>31 XII '16</c:v>
                </c:pt>
                <c:pt idx="14">
                  <c:v>31 XII '17</c:v>
                </c:pt>
                <c:pt idx="15">
                  <c:v>31 XII '18</c:v>
                </c:pt>
                <c:pt idx="16">
                  <c:v>31 XII ‘19</c:v>
                </c:pt>
                <c:pt idx="17">
                  <c:v>31 XII ‘20</c:v>
                </c:pt>
              </c:strCache>
            </c:strRef>
          </c:cat>
          <c:val>
            <c:numRef>
              <c:f>Arkusz2!$D$6:$D$23</c:f>
              <c:numCache>
                <c:formatCode>#,##0</c:formatCode>
                <c:ptCount val="18"/>
                <c:pt idx="0">
                  <c:v>3969</c:v>
                </c:pt>
                <c:pt idx="1">
                  <c:v>-3137</c:v>
                </c:pt>
                <c:pt idx="2">
                  <c:v>-486</c:v>
                </c:pt>
                <c:pt idx="3">
                  <c:v>1597</c:v>
                </c:pt>
                <c:pt idx="4">
                  <c:v>1400</c:v>
                </c:pt>
                <c:pt idx="5">
                  <c:v>2207</c:v>
                </c:pt>
                <c:pt idx="6">
                  <c:v>736</c:v>
                </c:pt>
                <c:pt idx="7">
                  <c:v>7619</c:v>
                </c:pt>
                <c:pt idx="8">
                  <c:v>-1527</c:v>
                </c:pt>
                <c:pt idx="9">
                  <c:v>3943</c:v>
                </c:pt>
                <c:pt idx="10">
                  <c:v>4593</c:v>
                </c:pt>
                <c:pt idx="11">
                  <c:v>2929</c:v>
                </c:pt>
                <c:pt idx="12">
                  <c:v>2599</c:v>
                </c:pt>
                <c:pt idx="13">
                  <c:v>2594</c:v>
                </c:pt>
                <c:pt idx="14">
                  <c:v>3321</c:v>
                </c:pt>
                <c:pt idx="15">
                  <c:v>3760</c:v>
                </c:pt>
                <c:pt idx="16">
                  <c:v>6277</c:v>
                </c:pt>
                <c:pt idx="17">
                  <c:v>7253</c:v>
                </c:pt>
              </c:numCache>
            </c:numRef>
          </c:val>
        </c:ser>
        <c:dLbls>
          <c:showLegendKey val="0"/>
          <c:showVal val="0"/>
          <c:showCatName val="0"/>
          <c:showSerName val="0"/>
          <c:showPercent val="0"/>
          <c:showBubbleSize val="0"/>
        </c:dLbls>
        <c:gapWidth val="17"/>
        <c:overlap val="-32"/>
        <c:axId val="170681088"/>
        <c:axId val="170682624"/>
      </c:barChart>
      <c:catAx>
        <c:axId val="170681088"/>
        <c:scaling>
          <c:orientation val="minMax"/>
        </c:scaling>
        <c:delete val="0"/>
        <c:axPos val="b"/>
        <c:numFmt formatCode="General" sourceLinked="1"/>
        <c:majorTickMark val="out"/>
        <c:minorTickMark val="none"/>
        <c:tickLblPos val="nextTo"/>
        <c:spPr>
          <a:effectLst/>
        </c:spPr>
        <c:txPr>
          <a:bodyPr/>
          <a:lstStyle/>
          <a:p>
            <a:pPr>
              <a:defRPr sz="600">
                <a:latin typeface="Times New Roman" panose="02020603050405020304" pitchFamily="18" charset="0"/>
                <a:cs typeface="Times New Roman" panose="02020603050405020304" pitchFamily="18" charset="0"/>
              </a:defRPr>
            </a:pPr>
            <a:endParaRPr lang="pl-PL"/>
          </a:p>
        </c:txPr>
        <c:crossAx val="170682624"/>
        <c:crosses val="autoZero"/>
        <c:auto val="1"/>
        <c:lblAlgn val="ctr"/>
        <c:lblOffset val="100"/>
        <c:noMultiLvlLbl val="0"/>
      </c:catAx>
      <c:valAx>
        <c:axId val="170682624"/>
        <c:scaling>
          <c:orientation val="minMax"/>
        </c:scaling>
        <c:delete val="0"/>
        <c:axPos val="l"/>
        <c:numFmt formatCode="#,##0" sourceLinked="1"/>
        <c:majorTickMark val="out"/>
        <c:minorTickMark val="none"/>
        <c:tickLblPos val="nextTo"/>
        <c:spPr>
          <a:ln>
            <a:solidFill>
              <a:schemeClr val="accent1"/>
            </a:solidFill>
          </a:ln>
        </c:spPr>
        <c:txPr>
          <a:bodyPr/>
          <a:lstStyle/>
          <a:p>
            <a:pPr>
              <a:defRPr sz="700">
                <a:latin typeface="Arial" panose="020B0604020202020204" pitchFamily="34" charset="0"/>
                <a:cs typeface="Arial" panose="020B0604020202020204" pitchFamily="34" charset="0"/>
              </a:defRPr>
            </a:pPr>
            <a:endParaRPr lang="pl-PL"/>
          </a:p>
        </c:txPr>
        <c:crossAx val="170681088"/>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TABLICA!$B$11</c:f>
              <c:strCache>
                <c:ptCount val="1"/>
                <c:pt idx="0">
                  <c:v>POLSKA</c:v>
                </c:pt>
              </c:strCache>
            </c:strRef>
          </c:tx>
          <c:spPr>
            <a:ln w="111125" cmpd="sng">
              <a:solidFill>
                <a:srgbClr val="FFC000">
                  <a:alpha val="59000"/>
                </a:srgbClr>
              </a:solidFill>
            </a:ln>
          </c:spPr>
          <c:marker>
            <c:symbol val="none"/>
          </c:marker>
          <c:dLbls>
            <c:dLbl>
              <c:idx val="0"/>
              <c:layout>
                <c:manualLayout>
                  <c:x val="-1.6036034498937903E-2"/>
                  <c:y val="0"/>
                </c:manualLayout>
              </c:layout>
              <c:showLegendKey val="0"/>
              <c:showVal val="1"/>
              <c:showCatName val="0"/>
              <c:showSerName val="0"/>
              <c:showPercent val="0"/>
              <c:showBubbleSize val="0"/>
            </c:dLbl>
            <c:dLbl>
              <c:idx val="1"/>
              <c:layout>
                <c:manualLayout>
                  <c:x val="-2.5141228960681106E-2"/>
                  <c:y val="0"/>
                </c:manualLayout>
              </c:layout>
              <c:showLegendKey val="0"/>
              <c:showVal val="1"/>
              <c:showCatName val="0"/>
              <c:showSerName val="0"/>
              <c:showPercent val="0"/>
              <c:showBubbleSize val="0"/>
            </c:dLbl>
            <c:dLbl>
              <c:idx val="2"/>
              <c:layout>
                <c:manualLayout>
                  <c:x val="-3.597546514702997E-2"/>
                  <c:y val="-6.7567567567566947E-3"/>
                </c:manualLayout>
              </c:layout>
              <c:showLegendKey val="0"/>
              <c:showVal val="1"/>
              <c:showCatName val="0"/>
              <c:showSerName val="0"/>
              <c:showPercent val="0"/>
              <c:showBubbleSize val="0"/>
            </c:dLbl>
            <c:dLbl>
              <c:idx val="3"/>
              <c:layout>
                <c:manualLayout>
                  <c:x val="-3.5109920577370946E-2"/>
                  <c:y val="-5.3202809108320922E-7"/>
                </c:manualLayout>
              </c:layout>
              <c:showLegendKey val="0"/>
              <c:showVal val="1"/>
              <c:showCatName val="0"/>
              <c:showSerName val="0"/>
              <c:showPercent val="0"/>
              <c:showBubbleSize val="0"/>
            </c:dLbl>
            <c:dLbl>
              <c:idx val="4"/>
              <c:layout>
                <c:manualLayout>
                  <c:x val="-2.9907781028996511E-2"/>
                  <c:y val="-2.3068738029367953E-3"/>
                </c:manualLayout>
              </c:layout>
              <c:showLegendKey val="0"/>
              <c:showVal val="1"/>
              <c:showCatName val="0"/>
              <c:showSerName val="0"/>
              <c:showPercent val="0"/>
              <c:showBubbleSize val="0"/>
            </c:dLbl>
            <c:dLbl>
              <c:idx val="5"/>
              <c:layout>
                <c:manualLayout>
                  <c:x val="-3.4243864154033833E-2"/>
                  <c:y val="0"/>
                </c:manualLayout>
              </c:layout>
              <c:showLegendKey val="0"/>
              <c:showVal val="1"/>
              <c:showCatName val="0"/>
              <c:showSerName val="0"/>
              <c:showPercent val="0"/>
              <c:showBubbleSize val="0"/>
            </c:dLbl>
            <c:dLbl>
              <c:idx val="6"/>
              <c:layout>
                <c:manualLayout>
                  <c:x val="-3.4676721747809613E-2"/>
                  <c:y val="0"/>
                </c:manualLayout>
              </c:layout>
              <c:showLegendKey val="0"/>
              <c:showVal val="1"/>
              <c:showCatName val="0"/>
              <c:showSerName val="0"/>
              <c:showPercent val="0"/>
              <c:showBubbleSize val="0"/>
            </c:dLbl>
            <c:dLbl>
              <c:idx val="7"/>
              <c:layout>
                <c:manualLayout>
                  <c:x val="-3.1208913078714564E-2"/>
                  <c:y val="0"/>
                </c:manualLayout>
              </c:layout>
              <c:showLegendKey val="0"/>
              <c:showVal val="1"/>
              <c:showCatName val="0"/>
              <c:showSerName val="0"/>
              <c:showPercent val="0"/>
              <c:showBubbleSize val="0"/>
            </c:dLbl>
            <c:dLbl>
              <c:idx val="8"/>
              <c:layout>
                <c:manualLayout>
                  <c:x val="-3.4243864154033833E-2"/>
                  <c:y val="4.5318152798467758E-3"/>
                </c:manualLayout>
              </c:layout>
              <c:showLegendKey val="0"/>
              <c:showVal val="1"/>
              <c:showCatName val="0"/>
              <c:showSerName val="0"/>
              <c:showPercent val="0"/>
              <c:showBubbleSize val="0"/>
            </c:dLbl>
            <c:dLbl>
              <c:idx val="9"/>
              <c:layout>
                <c:manualLayout>
                  <c:x val="-2.8524329892251225E-2"/>
                  <c:y val="-4.5322117287981993E-3"/>
                </c:manualLayout>
              </c:layout>
              <c:showLegendKey val="0"/>
              <c:showVal val="1"/>
              <c:showCatName val="0"/>
              <c:showSerName val="0"/>
              <c:showPercent val="0"/>
              <c:showBubbleSize val="0"/>
            </c:dLbl>
            <c:dLbl>
              <c:idx val="10"/>
              <c:layout>
                <c:manualLayout>
                  <c:x val="-1.1030222810500772E-2"/>
                  <c:y val="4.9240227620189055E-18"/>
                </c:manualLayout>
              </c:layout>
              <c:showLegendKey val="0"/>
              <c:showVal val="1"/>
              <c:showCatName val="0"/>
              <c:showSerName val="0"/>
              <c:showPercent val="0"/>
              <c:showBubbleSize val="0"/>
            </c:dLbl>
            <c:txPr>
              <a:bodyPr/>
              <a:lstStyle/>
              <a:p>
                <a:pPr>
                  <a:defRPr sz="800">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dLbls>
          <c:cat>
            <c:strRef>
              <c:f>TABLICA!$D$9:$N$9</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TABLICA!$D$11:$N$11</c:f>
              <c:numCache>
                <c:formatCode>#,##0.0</c:formatCode>
                <c:ptCount val="11"/>
                <c:pt idx="0">
                  <c:v>22</c:v>
                </c:pt>
                <c:pt idx="1">
                  <c:v>22.4</c:v>
                </c:pt>
                <c:pt idx="2">
                  <c:v>23.4</c:v>
                </c:pt>
                <c:pt idx="3">
                  <c:v>24.6</c:v>
                </c:pt>
                <c:pt idx="4">
                  <c:v>25.5</c:v>
                </c:pt>
                <c:pt idx="5">
                  <c:v>26.6</c:v>
                </c:pt>
                <c:pt idx="6">
                  <c:v>27.5</c:v>
                </c:pt>
                <c:pt idx="7">
                  <c:v>28.5</c:v>
                </c:pt>
                <c:pt idx="8">
                  <c:v>29.7</c:v>
                </c:pt>
                <c:pt idx="9">
                  <c:v>31.2</c:v>
                </c:pt>
                <c:pt idx="10">
                  <c:v>32.700000000000003</c:v>
                </c:pt>
              </c:numCache>
            </c:numRef>
          </c:val>
          <c:smooth val="0"/>
        </c:ser>
        <c:ser>
          <c:idx val="1"/>
          <c:order val="1"/>
          <c:tx>
            <c:strRef>
              <c:f>TABLICA!$B$12</c:f>
              <c:strCache>
                <c:ptCount val="1"/>
                <c:pt idx="0">
                  <c:v>PODKARPACKIE</c:v>
                </c:pt>
              </c:strCache>
            </c:strRef>
          </c:tx>
          <c:spPr>
            <a:ln w="25400">
              <a:solidFill>
                <a:schemeClr val="tx1"/>
              </a:solidFill>
              <a:prstDash val="sysDot"/>
            </a:ln>
            <a:effectLst/>
          </c:spPr>
          <c:marker>
            <c:symbol val="none"/>
          </c:marker>
          <c:dLbls>
            <c:dLbl>
              <c:idx val="0"/>
              <c:layout>
                <c:manualLayout>
                  <c:x val="-1.4554218100852237E-2"/>
                  <c:y val="-4.5782613321983398E-2"/>
                </c:manualLayout>
              </c:layout>
              <c:dLblPos val="r"/>
              <c:showLegendKey val="0"/>
              <c:showVal val="1"/>
              <c:showCatName val="0"/>
              <c:showSerName val="0"/>
              <c:showPercent val="0"/>
              <c:showBubbleSize val="0"/>
            </c:dLbl>
            <c:dLbl>
              <c:idx val="1"/>
              <c:layout>
                <c:manualLayout>
                  <c:x val="-2.8425964630910842E-2"/>
                  <c:y val="-4.5863481591828049E-2"/>
                </c:manualLayout>
              </c:layout>
              <c:dLblPos val="r"/>
              <c:showLegendKey val="0"/>
              <c:showVal val="1"/>
              <c:showCatName val="0"/>
              <c:showSerName val="0"/>
              <c:showPercent val="0"/>
              <c:showBubbleSize val="0"/>
            </c:dLbl>
            <c:dLbl>
              <c:idx val="2"/>
              <c:layout>
                <c:manualLayout>
                  <c:x val="-3.181921328089677E-2"/>
                  <c:y val="-5.1972760161736541E-2"/>
                </c:manualLayout>
              </c:layout>
              <c:dLblPos val="r"/>
              <c:showLegendKey val="0"/>
              <c:showVal val="1"/>
              <c:showCatName val="0"/>
              <c:showSerName val="0"/>
              <c:showPercent val="0"/>
              <c:showBubbleSize val="0"/>
            </c:dLbl>
            <c:dLbl>
              <c:idx val="3"/>
              <c:layout>
                <c:manualLayout>
                  <c:x val="-3.39476714923094E-2"/>
                  <c:y val="-4.4153011278995534E-2"/>
                </c:manualLayout>
              </c:layout>
              <c:dLblPos val="r"/>
              <c:showLegendKey val="0"/>
              <c:showVal val="1"/>
              <c:showCatName val="0"/>
              <c:showSerName val="0"/>
              <c:showPercent val="0"/>
              <c:showBubbleSize val="0"/>
            </c:dLbl>
            <c:dLbl>
              <c:idx val="4"/>
              <c:layout>
                <c:manualLayout>
                  <c:x val="-2.516562731933698E-2"/>
                  <c:y val="-4.3090019153011277E-2"/>
                </c:manualLayout>
              </c:layout>
              <c:dLblPos val="r"/>
              <c:showLegendKey val="0"/>
              <c:showVal val="1"/>
              <c:showCatName val="0"/>
              <c:showSerName val="0"/>
              <c:showPercent val="0"/>
              <c:showBubbleSize val="0"/>
            </c:dLbl>
            <c:dLbl>
              <c:idx val="5"/>
              <c:layout>
                <c:manualLayout>
                  <c:x val="-3.1857392541564417E-2"/>
                  <c:y val="-4.5204577854164166E-2"/>
                </c:manualLayout>
              </c:layout>
              <c:dLblPos val="r"/>
              <c:showLegendKey val="0"/>
              <c:showVal val="1"/>
              <c:showCatName val="0"/>
              <c:showSerName val="0"/>
              <c:showPercent val="0"/>
              <c:showBubbleSize val="0"/>
            </c:dLbl>
            <c:dLbl>
              <c:idx val="6"/>
              <c:layout>
                <c:manualLayout>
                  <c:x val="-2.9613977017769855E-2"/>
                  <c:y val="-4.4153011278995534E-2"/>
                </c:manualLayout>
              </c:layout>
              <c:dLblPos val="r"/>
              <c:showLegendKey val="0"/>
              <c:showVal val="1"/>
              <c:showCatName val="0"/>
              <c:showSerName val="0"/>
              <c:showPercent val="0"/>
              <c:showBubbleSize val="0"/>
            </c:dLbl>
            <c:dLbl>
              <c:idx val="7"/>
              <c:layout>
                <c:manualLayout>
                  <c:x val="-3.6152907755436316E-2"/>
                  <c:y val="-4.4153011278995534E-2"/>
                </c:manualLayout>
              </c:layout>
              <c:dLblPos val="r"/>
              <c:showLegendKey val="0"/>
              <c:showVal val="1"/>
              <c:showCatName val="0"/>
              <c:showSerName val="0"/>
              <c:showPercent val="0"/>
              <c:showBubbleSize val="0"/>
            </c:dLbl>
            <c:dLbl>
              <c:idx val="8"/>
              <c:layout>
                <c:manualLayout>
                  <c:x val="-3.6191126163400755E-2"/>
                  <c:y val="-4.3090019153011277E-2"/>
                </c:manualLayout>
              </c:layout>
              <c:dLblPos val="r"/>
              <c:showLegendKey val="0"/>
              <c:showVal val="1"/>
              <c:showCatName val="0"/>
              <c:showSerName val="0"/>
              <c:showPercent val="0"/>
              <c:showBubbleSize val="0"/>
            </c:dLbl>
            <c:dLbl>
              <c:idx val="9"/>
              <c:layout>
                <c:manualLayout>
                  <c:x val="-2.8635613095707498E-2"/>
                  <c:y val="-3.7396035650720388E-2"/>
                </c:manualLayout>
              </c:layout>
              <c:dLblPos val="r"/>
              <c:showLegendKey val="0"/>
              <c:showVal val="1"/>
              <c:showCatName val="0"/>
              <c:showSerName val="0"/>
              <c:showPercent val="0"/>
              <c:showBubbleSize val="0"/>
            </c:dLbl>
            <c:dLbl>
              <c:idx val="10"/>
              <c:layout>
                <c:manualLayout>
                  <c:x val="-1.1278446249811096E-2"/>
                  <c:y val="-4.8108984228282123E-2"/>
                </c:manualLayout>
              </c:layout>
              <c:dLblPos val="r"/>
              <c:showLegendKey val="0"/>
              <c:showVal val="1"/>
              <c:showCatName val="0"/>
              <c:showSerName val="0"/>
              <c:showPercent val="0"/>
              <c:showBubbleSize val="0"/>
            </c:dLbl>
            <c:txPr>
              <a:bodyPr/>
              <a:lstStyle/>
              <a:p>
                <a:pPr>
                  <a:defRPr sz="800">
                    <a:latin typeface="Arial" panose="020B0604020202020204" pitchFamily="34" charset="0"/>
                    <a:cs typeface="Arial" panose="020B0604020202020204" pitchFamily="34" charset="0"/>
                  </a:defRPr>
                </a:pPr>
                <a:endParaRPr lang="pl-PL"/>
              </a:p>
            </c:txPr>
            <c:dLblPos val="t"/>
            <c:showLegendKey val="0"/>
            <c:showVal val="1"/>
            <c:showCatName val="0"/>
            <c:showSerName val="0"/>
            <c:showPercent val="0"/>
            <c:showBubbleSize val="0"/>
            <c:showLeaderLines val="0"/>
          </c:dLbls>
          <c:cat>
            <c:strRef>
              <c:f>TABLICA!$D$9:$N$9</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TABLICA!$D$12:$N$12</c:f>
              <c:numCache>
                <c:formatCode>#,##0.0</c:formatCode>
                <c:ptCount val="11"/>
                <c:pt idx="0">
                  <c:v>11.9</c:v>
                </c:pt>
                <c:pt idx="1">
                  <c:v>11.9</c:v>
                </c:pt>
                <c:pt idx="2">
                  <c:v>12.4</c:v>
                </c:pt>
                <c:pt idx="3">
                  <c:v>13.3</c:v>
                </c:pt>
                <c:pt idx="4">
                  <c:v>13.9</c:v>
                </c:pt>
                <c:pt idx="5">
                  <c:v>14.5</c:v>
                </c:pt>
                <c:pt idx="6">
                  <c:v>15</c:v>
                </c:pt>
                <c:pt idx="7">
                  <c:v>15.6</c:v>
                </c:pt>
                <c:pt idx="8">
                  <c:v>16.3</c:v>
                </c:pt>
                <c:pt idx="9">
                  <c:v>17.100000000000001</c:v>
                </c:pt>
                <c:pt idx="10">
                  <c:v>18</c:v>
                </c:pt>
              </c:numCache>
            </c:numRef>
          </c:val>
          <c:smooth val="0"/>
        </c:ser>
        <c:dLbls>
          <c:showLegendKey val="0"/>
          <c:showVal val="0"/>
          <c:showCatName val="0"/>
          <c:showSerName val="0"/>
          <c:showPercent val="0"/>
          <c:showBubbleSize val="0"/>
        </c:dLbls>
        <c:marker val="1"/>
        <c:smooth val="0"/>
        <c:axId val="197168512"/>
        <c:axId val="197981312"/>
      </c:lineChart>
      <c:catAx>
        <c:axId val="197168512"/>
        <c:scaling>
          <c:orientation val="minMax"/>
        </c:scaling>
        <c:delete val="0"/>
        <c:axPos val="b"/>
        <c:numFmt formatCode="General" sourceLinked="1"/>
        <c:majorTickMark val="out"/>
        <c:minorTickMark val="none"/>
        <c:tickLblPos val="nextTo"/>
        <c:txPr>
          <a:bodyPr/>
          <a:lstStyle/>
          <a:p>
            <a:pPr>
              <a:defRPr sz="800" b="0">
                <a:latin typeface="Arial" panose="020B0604020202020204" pitchFamily="34" charset="0"/>
                <a:cs typeface="Arial" panose="020B0604020202020204" pitchFamily="34" charset="0"/>
              </a:defRPr>
            </a:pPr>
            <a:endParaRPr lang="pl-PL"/>
          </a:p>
        </c:txPr>
        <c:crossAx val="197981312"/>
        <c:crosses val="autoZero"/>
        <c:auto val="1"/>
        <c:lblAlgn val="ctr"/>
        <c:lblOffset val="100"/>
        <c:noMultiLvlLbl val="0"/>
      </c:catAx>
      <c:valAx>
        <c:axId val="197981312"/>
        <c:scaling>
          <c:orientation val="minMax"/>
          <c:max val="35"/>
          <c:min val="0"/>
        </c:scaling>
        <c:delete val="0"/>
        <c:axPos val="l"/>
        <c:minorGridlines>
          <c:spPr>
            <a:ln>
              <a:solidFill>
                <a:schemeClr val="bg1">
                  <a:lumMod val="65000"/>
                  <a:alpha val="57000"/>
                </a:schemeClr>
              </a:solidFill>
            </a:ln>
          </c:spPr>
        </c:minorGridlines>
        <c:numFmt formatCode="#,##0.0" sourceLinked="1"/>
        <c:majorTickMark val="out"/>
        <c:minorTickMark val="none"/>
        <c:tickLblPos val="nextTo"/>
        <c:txPr>
          <a:bodyPr/>
          <a:lstStyle/>
          <a:p>
            <a:pPr>
              <a:defRPr sz="800" b="0">
                <a:latin typeface="Arial" panose="020B0604020202020204" pitchFamily="34" charset="0"/>
                <a:cs typeface="Arial" panose="020B0604020202020204" pitchFamily="34" charset="0"/>
              </a:defRPr>
            </a:pPr>
            <a:endParaRPr lang="pl-PL"/>
          </a:p>
        </c:txPr>
        <c:crossAx val="197168512"/>
        <c:crosses val="autoZero"/>
        <c:crossBetween val="midCat"/>
        <c:majorUnit val="5"/>
        <c:minorUnit val="1"/>
      </c:valAx>
    </c:plotArea>
    <c:legend>
      <c:legendPos val="r"/>
      <c:layout>
        <c:manualLayout>
          <c:xMode val="edge"/>
          <c:yMode val="edge"/>
          <c:x val="0.31031606964622382"/>
          <c:y val="0.68577161357368399"/>
          <c:w val="0.48527394426687886"/>
          <c:h val="0.13811262792450255"/>
        </c:manualLayout>
      </c:layout>
      <c:overlay val="0"/>
      <c:txPr>
        <a:bodyPr/>
        <a:lstStyle/>
        <a:p>
          <a:pPr>
            <a:defRPr sz="8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'high-tech'!$E$27</c:f>
              <c:strCache>
                <c:ptCount val="1"/>
                <c:pt idx="0">
                  <c:v>sektor high-tech podkarpackie (na 1000 mieszkańców)</c:v>
                </c:pt>
              </c:strCache>
            </c:strRef>
          </c:tx>
          <c:spPr>
            <a:ln w="111125" cmpd="sng">
              <a:solidFill>
                <a:srgbClr val="FFC000">
                  <a:alpha val="59000"/>
                </a:srgbClr>
              </a:solidFill>
            </a:ln>
          </c:spPr>
          <c:marker>
            <c:symbol val="none"/>
          </c:marker>
          <c:dLbls>
            <c:dLbl>
              <c:idx val="0"/>
              <c:layout>
                <c:manualLayout>
                  <c:x val="-5.2018828904610518E-3"/>
                  <c:y val="0"/>
                </c:manualLayout>
              </c:layout>
              <c:showLegendKey val="0"/>
              <c:showVal val="1"/>
              <c:showCatName val="0"/>
              <c:showSerName val="0"/>
              <c:showPercent val="0"/>
              <c:showBubbleSize val="0"/>
            </c:dLbl>
            <c:dLbl>
              <c:idx val="1"/>
              <c:layout>
                <c:manualLayout>
                  <c:x val="-2.0807531561844159E-2"/>
                  <c:y val="0"/>
                </c:manualLayout>
              </c:layout>
              <c:showLegendKey val="0"/>
              <c:showVal val="1"/>
              <c:showCatName val="0"/>
              <c:showSerName val="0"/>
              <c:showPercent val="0"/>
              <c:showBubbleSize val="0"/>
            </c:dLbl>
            <c:dLbl>
              <c:idx val="2"/>
              <c:layout>
                <c:manualLayout>
                  <c:x val="-2.0807531561844176E-2"/>
                  <c:y val="0"/>
                </c:manualLayout>
              </c:layout>
              <c:showLegendKey val="0"/>
              <c:showVal val="1"/>
              <c:showCatName val="0"/>
              <c:showSerName val="0"/>
              <c:showPercent val="0"/>
              <c:showBubbleSize val="0"/>
            </c:dLbl>
            <c:dLbl>
              <c:idx val="3"/>
              <c:layout>
                <c:manualLayout>
                  <c:x val="-2.4275453488818204E-2"/>
                  <c:y val="0"/>
                </c:manualLayout>
              </c:layout>
              <c:showLegendKey val="0"/>
              <c:showVal val="1"/>
              <c:showCatName val="0"/>
              <c:showSerName val="0"/>
              <c:showPercent val="0"/>
              <c:showBubbleSize val="0"/>
            </c:dLbl>
            <c:dLbl>
              <c:idx val="4"/>
              <c:layout>
                <c:manualLayout>
                  <c:x val="-1.907357059835716E-2"/>
                  <c:y val="-9.0634462648253363E-3"/>
                </c:manualLayout>
              </c:layout>
              <c:showLegendKey val="0"/>
              <c:showVal val="1"/>
              <c:showCatName val="0"/>
              <c:showSerName val="0"/>
              <c:showPercent val="0"/>
              <c:showBubbleSize val="0"/>
            </c:dLbl>
            <c:dLbl>
              <c:idx val="5"/>
              <c:layout>
                <c:manualLayout>
                  <c:x val="-2.7743375415792235E-2"/>
                  <c:y val="0"/>
                </c:manualLayout>
              </c:layout>
              <c:showLegendKey val="0"/>
              <c:showVal val="1"/>
              <c:showCatName val="0"/>
              <c:showSerName val="0"/>
              <c:showPercent val="0"/>
              <c:showBubbleSize val="0"/>
            </c:dLbl>
            <c:dLbl>
              <c:idx val="6"/>
              <c:layout>
                <c:manualLayout>
                  <c:x val="-2.6009414452305219E-2"/>
                  <c:y val="0"/>
                </c:manualLayout>
              </c:layout>
              <c:showLegendKey val="0"/>
              <c:showVal val="1"/>
              <c:showCatName val="0"/>
              <c:showSerName val="0"/>
              <c:showPercent val="0"/>
              <c:showBubbleSize val="0"/>
            </c:dLbl>
            <c:dLbl>
              <c:idx val="7"/>
              <c:layout>
                <c:manualLayout>
                  <c:x val="-2.2541492525331192E-2"/>
                  <c:y val="0"/>
                </c:manualLayout>
              </c:layout>
              <c:showLegendKey val="0"/>
              <c:showVal val="1"/>
              <c:showCatName val="0"/>
              <c:showSerName val="0"/>
              <c:showPercent val="0"/>
              <c:showBubbleSize val="0"/>
            </c:dLbl>
            <c:dLbl>
              <c:idx val="8"/>
              <c:layout>
                <c:manualLayout>
                  <c:x val="-2.7743375415792235E-2"/>
                  <c:y val="4.5317231324126682E-3"/>
                </c:manualLayout>
              </c:layout>
              <c:showLegendKey val="0"/>
              <c:showVal val="1"/>
              <c:showCatName val="0"/>
              <c:showSerName val="0"/>
              <c:showPercent val="0"/>
              <c:showBubbleSize val="0"/>
            </c:dLbl>
            <c:dLbl>
              <c:idx val="9"/>
              <c:layout>
                <c:manualLayout>
                  <c:x val="-8.6699413497944022E-3"/>
                  <c:y val="-4.5317231324126682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'high-tech'!$F$29:$P$29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'high-tech'!$F$27:$P$27</c:f>
              <c:numCache>
                <c:formatCode>0.0</c:formatCode>
                <c:ptCount val="11"/>
                <c:pt idx="0">
                  <c:v>10.664264352324398</c:v>
                </c:pt>
                <c:pt idx="1">
                  <c:v>10.824982724092363</c:v>
                </c:pt>
                <c:pt idx="2">
                  <c:v>11.320917711252511</c:v>
                </c:pt>
                <c:pt idx="3">
                  <c:v>11.777612673496474</c:v>
                </c:pt>
                <c:pt idx="4">
                  <c:v>12.194795478274102</c:v>
                </c:pt>
                <c:pt idx="5">
                  <c:v>12.627035278712686</c:v>
                </c:pt>
                <c:pt idx="6">
                  <c:v>13.118192038562624</c:v>
                </c:pt>
                <c:pt idx="7">
                  <c:v>13.675957124432518</c:v>
                </c:pt>
                <c:pt idx="8">
                  <c:v>14.25307008170445</c:v>
                </c:pt>
                <c:pt idx="9">
                  <c:v>14.945721157371976</c:v>
                </c:pt>
                <c:pt idx="10">
                  <c:v>15.735217649768131</c:v>
                </c:pt>
              </c:numCache>
            </c:numRef>
          </c:val>
          <c:smooth val="0"/>
        </c:ser>
        <c:ser>
          <c:idx val="1"/>
          <c:order val="1"/>
          <c:tx>
            <c:strRef>
              <c:f>'high-tech'!$E$54</c:f>
              <c:strCache>
                <c:ptCount val="1"/>
                <c:pt idx="0">
                  <c:v>sektor high-tech Polska (na 1000 mieszkańców)</c:v>
                </c:pt>
              </c:strCache>
            </c:strRef>
          </c:tx>
          <c:spPr>
            <a:ln w="50800">
              <a:solidFill>
                <a:schemeClr val="tx1"/>
              </a:solidFill>
              <a:prstDash val="sysDot"/>
            </a:ln>
            <a:effectLst>
              <a:glow rad="419100">
                <a:srgbClr val="CDBAE4">
                  <a:alpha val="15000"/>
                </a:srgbClr>
              </a:glow>
              <a:innerShdw blurRad="63500" dist="50800" dir="16200000">
                <a:prstClr val="black">
                  <a:alpha val="50000"/>
                </a:prstClr>
              </a:innerShdw>
            </a:effectLst>
          </c:spPr>
          <c:marker>
            <c:symbol val="none"/>
          </c:marker>
          <c:dLbls>
            <c:dLbl>
              <c:idx val="0"/>
              <c:layout>
                <c:manualLayout>
                  <c:x val="-5.8868657372180798E-3"/>
                  <c:y val="-4.5781822152347253E-2"/>
                </c:manualLayout>
              </c:layout>
              <c:dLblPos val="r"/>
              <c:showLegendKey val="0"/>
              <c:showVal val="1"/>
              <c:showCatName val="0"/>
              <c:showSerName val="0"/>
              <c:showPercent val="0"/>
              <c:showBubbleSize val="0"/>
            </c:dLbl>
            <c:dLbl>
              <c:idx val="1"/>
              <c:layout>
                <c:manualLayout>
                  <c:x val="-1.9758553445114197E-2"/>
                  <c:y val="-5.937699154958525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'high-tech'!$F$29:$P$29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'high-tech'!$F$54:$P$54</c:f>
              <c:numCache>
                <c:formatCode>0.0</c:formatCode>
                <c:ptCount val="11"/>
                <c:pt idx="0">
                  <c:v>14.536956863540611</c:v>
                </c:pt>
                <c:pt idx="1">
                  <c:v>14.683985579387773</c:v>
                </c:pt>
                <c:pt idx="2">
                  <c:v>15.298222973330159</c:v>
                </c:pt>
                <c:pt idx="3">
                  <c:v>15.907507908878765</c:v>
                </c:pt>
                <c:pt idx="4">
                  <c:v>16.448518581834133</c:v>
                </c:pt>
                <c:pt idx="5">
                  <c:v>17.064206927037606</c:v>
                </c:pt>
                <c:pt idx="6">
                  <c:v>17.648300709973345</c:v>
                </c:pt>
                <c:pt idx="7">
                  <c:v>18.349485103616999</c:v>
                </c:pt>
                <c:pt idx="8">
                  <c:v>19.008726320806659</c:v>
                </c:pt>
                <c:pt idx="9">
                  <c:v>19.969347549784047</c:v>
                </c:pt>
                <c:pt idx="10">
                  <c:v>20.944929510412031</c:v>
                </c:pt>
              </c:numCache>
            </c:numRef>
          </c:val>
          <c:smooth val="0"/>
        </c:ser>
        <c:dLbls>
          <c:showLegendKey val="0"/>
          <c:showVal val="0"/>
          <c:showCatName val="0"/>
          <c:showSerName val="0"/>
          <c:showPercent val="0"/>
          <c:showBubbleSize val="0"/>
        </c:dLbls>
        <c:marker val="1"/>
        <c:smooth val="0"/>
        <c:axId val="200403200"/>
        <c:axId val="200589312"/>
      </c:lineChart>
      <c:catAx>
        <c:axId val="200403200"/>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200589312"/>
        <c:crosses val="autoZero"/>
        <c:auto val="1"/>
        <c:lblAlgn val="ctr"/>
        <c:lblOffset val="100"/>
        <c:noMultiLvlLbl val="0"/>
      </c:catAx>
      <c:valAx>
        <c:axId val="200589312"/>
        <c:scaling>
          <c:orientation val="minMax"/>
        </c:scaling>
        <c:delete val="0"/>
        <c:axPos val="l"/>
        <c:minorGridlines>
          <c:spPr>
            <a:ln>
              <a:solidFill>
                <a:schemeClr val="bg1">
                  <a:lumMod val="65000"/>
                  <a:alpha val="57000"/>
                </a:schemeClr>
              </a:solidFill>
            </a:ln>
          </c:spPr>
        </c:minorGridlines>
        <c:numFmt formatCode="0.0" sourceLinked="1"/>
        <c:majorTickMark val="out"/>
        <c:minorTickMark val="none"/>
        <c:tickLblPos val="nextTo"/>
        <c:crossAx val="200403200"/>
        <c:crosses val="autoZero"/>
        <c:crossBetween val="midCat"/>
      </c:valAx>
    </c:plotArea>
    <c:legend>
      <c:legendPos val="r"/>
      <c:layout>
        <c:manualLayout>
          <c:xMode val="edge"/>
          <c:yMode val="edge"/>
          <c:x val="0.41165515559104449"/>
          <c:y val="0.60525055148690554"/>
          <c:w val="0.47243707891083347"/>
          <c:h val="0.15957173658036303"/>
        </c:manualLayout>
      </c:layout>
      <c:overlay val="0"/>
      <c:txPr>
        <a:bodyPr/>
        <a:lstStyle/>
        <a:p>
          <a:pPr>
            <a:defRPr sz="11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8.9421218354361273E-2"/>
          <c:y val="3.9421959414606245E-2"/>
          <c:w val="0.89434626725692024"/>
          <c:h val="0.88639057496942864"/>
        </c:manualLayout>
      </c:layout>
      <c:lineChart>
        <c:grouping val="standard"/>
        <c:varyColors val="0"/>
        <c:ser>
          <c:idx val="1"/>
          <c:order val="0"/>
          <c:tx>
            <c:strRef>
              <c:f>pracujący!$B$3</c:f>
              <c:strCache>
                <c:ptCount val="1"/>
                <c:pt idx="0">
                  <c:v>PODKARPACIE - liczba osób pracujących</c:v>
                </c:pt>
              </c:strCache>
            </c:strRef>
          </c:tx>
          <c:spPr>
            <a:ln w="15875" cmpd="sng">
              <a:solidFill>
                <a:schemeClr val="tx1"/>
              </a:solidFill>
              <a:prstDash val="dash"/>
            </a:ln>
          </c:spPr>
          <c:marker>
            <c:symbol val="none"/>
          </c:marker>
          <c:dLbls>
            <c:dLbl>
              <c:idx val="0"/>
              <c:layout>
                <c:manualLayout>
                  <c:x val="-4.3776228632942379E-2"/>
                  <c:y val="-3.299250454270139E-2"/>
                </c:manualLayout>
              </c:layout>
              <c:dLblPos val="r"/>
              <c:showLegendKey val="0"/>
              <c:showVal val="1"/>
              <c:showCatName val="0"/>
              <c:showSerName val="0"/>
              <c:showPercent val="0"/>
              <c:showBubbleSize val="0"/>
            </c:dLbl>
            <c:dLbl>
              <c:idx val="1"/>
              <c:layout>
                <c:manualLayout>
                  <c:x val="-4.84289298457318E-2"/>
                  <c:y val="4.1334418534221685E-2"/>
                </c:manualLayout>
              </c:layout>
              <c:dLblPos val="r"/>
              <c:showLegendKey val="0"/>
              <c:showVal val="1"/>
              <c:showCatName val="0"/>
              <c:showSerName val="0"/>
              <c:showPercent val="0"/>
              <c:showBubbleSize val="0"/>
            </c:dLbl>
            <c:dLbl>
              <c:idx val="2"/>
              <c:layout>
                <c:manualLayout>
                  <c:x val="-4.84289298457318E-2"/>
                  <c:y val="3.6526726226529374E-2"/>
                </c:manualLayout>
              </c:layout>
              <c:dLblPos val="r"/>
              <c:showLegendKey val="0"/>
              <c:showVal val="1"/>
              <c:showCatName val="0"/>
              <c:showSerName val="0"/>
              <c:showPercent val="0"/>
              <c:showBubbleSize val="0"/>
            </c:dLbl>
            <c:dLbl>
              <c:idx val="3"/>
              <c:layout>
                <c:manualLayout>
                  <c:x val="-5.0634001510560904E-2"/>
                  <c:y val="2.6911341611144762E-2"/>
                </c:manualLayout>
              </c:layout>
              <c:dLblPos val="r"/>
              <c:showLegendKey val="0"/>
              <c:showVal val="1"/>
              <c:showCatName val="0"/>
              <c:showSerName val="0"/>
              <c:showPercent val="0"/>
              <c:showBubbleSize val="0"/>
            </c:dLbl>
            <c:dLbl>
              <c:idx val="4"/>
              <c:layout>
                <c:manualLayout>
                  <c:x val="-4.84289298457318E-2"/>
                  <c:y val="2.2103649303452454E-2"/>
                </c:manualLayout>
              </c:layout>
              <c:dLblPos val="r"/>
              <c:showLegendKey val="0"/>
              <c:showVal val="1"/>
              <c:showCatName val="0"/>
              <c:showSerName val="0"/>
              <c:showPercent val="0"/>
              <c:showBubbleSize val="0"/>
            </c:dLbl>
            <c:dLbl>
              <c:idx val="5"/>
              <c:layout>
                <c:manualLayout>
                  <c:x val="-5.0634001510560904E-2"/>
                  <c:y val="2.6911341611144762E-2"/>
                </c:manualLayout>
              </c:layout>
              <c:dLblPos val="r"/>
              <c:showLegendKey val="0"/>
              <c:showVal val="1"/>
              <c:showCatName val="0"/>
              <c:showSerName val="0"/>
              <c:showPercent val="0"/>
              <c:showBubbleSize val="0"/>
            </c:dLbl>
            <c:dLbl>
              <c:idx val="6"/>
              <c:layout>
                <c:manualLayout>
                  <c:x val="-5.2839073175390092E-2"/>
                  <c:y val="3.171903391883707E-2"/>
                </c:manualLayout>
              </c:layout>
              <c:dLblPos val="r"/>
              <c:showLegendKey val="0"/>
              <c:showVal val="1"/>
              <c:showCatName val="0"/>
              <c:showSerName val="0"/>
              <c:showPercent val="0"/>
              <c:showBubbleSize val="0"/>
            </c:dLbl>
            <c:dLbl>
              <c:idx val="7"/>
              <c:layout>
                <c:manualLayout>
                  <c:x val="-5.0634001510560987E-2"/>
                  <c:y val="3.171903391883707E-2"/>
                </c:manualLayout>
              </c:layout>
              <c:dLblPos val="r"/>
              <c:showLegendKey val="0"/>
              <c:showVal val="1"/>
              <c:showCatName val="0"/>
              <c:showSerName val="0"/>
              <c:showPercent val="0"/>
              <c:showBubbleSize val="0"/>
            </c:dLbl>
            <c:dLbl>
              <c:idx val="8"/>
              <c:layout>
                <c:manualLayout>
                  <c:x val="-5.0634001510560904E-2"/>
                  <c:y val="3.171903391883707E-2"/>
                </c:manualLayout>
              </c:layout>
              <c:dLblPos val="r"/>
              <c:showLegendKey val="0"/>
              <c:showVal val="1"/>
              <c:showCatName val="0"/>
              <c:showSerName val="0"/>
              <c:showPercent val="0"/>
              <c:showBubbleSize val="0"/>
            </c:dLbl>
            <c:dLbl>
              <c:idx val="9"/>
              <c:layout>
                <c:manualLayout>
                  <c:x val="-5.0634001510560904E-2"/>
                  <c:y val="3.171903391883707E-2"/>
                </c:manualLayout>
              </c:layout>
              <c:dLblPos val="r"/>
              <c:showLegendKey val="0"/>
              <c:showVal val="1"/>
              <c:showCatName val="0"/>
              <c:showSerName val="0"/>
              <c:showPercent val="0"/>
              <c:showBubbleSize val="0"/>
            </c:dLbl>
            <c:dLbl>
              <c:idx val="10"/>
              <c:layout>
                <c:manualLayout>
                  <c:x val="0"/>
                  <c:y val="3.171903391883707E-2"/>
                </c:manualLayout>
              </c:layout>
              <c:dLblPos val="r"/>
              <c:showLegendKey val="0"/>
              <c:showVal val="1"/>
              <c:showCatName val="0"/>
              <c:showSerName val="0"/>
              <c:showPercent val="0"/>
              <c:showBubbleSize val="0"/>
            </c:dLbl>
            <c:txPr>
              <a:bodyPr/>
              <a:lstStyle/>
              <a:p>
                <a:pPr>
                  <a:defRPr sz="800">
                    <a:latin typeface="Arial" panose="020B0604020202020204" pitchFamily="34" charset="0"/>
                    <a:cs typeface="Arial" panose="020B0604020202020204" pitchFamily="34" charset="0"/>
                  </a:defRPr>
                </a:pPr>
                <a:endParaRPr lang="pl-PL"/>
              </a:p>
            </c:txPr>
            <c:dLblPos val="b"/>
            <c:showLegendKey val="0"/>
            <c:showVal val="1"/>
            <c:showCatName val="0"/>
            <c:showSerName val="0"/>
            <c:showPercent val="0"/>
            <c:showBubbleSize val="0"/>
            <c:showLeaderLines val="0"/>
          </c:dLbls>
          <c:cat>
            <c:strRef>
              <c:f>pracujący!$C$2:$M$2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pracujący!$C$3:$M$3</c:f>
              <c:numCache>
                <c:formatCode>#,##0</c:formatCode>
                <c:ptCount val="11"/>
                <c:pt idx="0">
                  <c:v>667253</c:v>
                </c:pt>
                <c:pt idx="1">
                  <c:v>781765</c:v>
                </c:pt>
                <c:pt idx="2">
                  <c:v>794727</c:v>
                </c:pt>
                <c:pt idx="3">
                  <c:v>784946</c:v>
                </c:pt>
                <c:pt idx="4">
                  <c:v>792771</c:v>
                </c:pt>
                <c:pt idx="5">
                  <c:v>804330</c:v>
                </c:pt>
                <c:pt idx="6">
                  <c:v>809734</c:v>
                </c:pt>
                <c:pt idx="7">
                  <c:v>831425</c:v>
                </c:pt>
                <c:pt idx="8">
                  <c:v>852388</c:v>
                </c:pt>
                <c:pt idx="9">
                  <c:v>866809</c:v>
                </c:pt>
                <c:pt idx="10">
                  <c:v>874633</c:v>
                </c:pt>
              </c:numCache>
            </c:numRef>
          </c:val>
          <c:smooth val="0"/>
        </c:ser>
        <c:ser>
          <c:idx val="3"/>
          <c:order val="1"/>
          <c:tx>
            <c:strRef>
              <c:f>pracujący!$B$5</c:f>
              <c:strCache>
                <c:ptCount val="1"/>
                <c:pt idx="0">
                  <c:v>PODKARPACIE - ludność w wieku produkcyjnym 18 - 60/65 (bad. demogr.)</c:v>
                </c:pt>
              </c:strCache>
            </c:strRef>
          </c:tx>
          <c:spPr>
            <a:ln w="53975" cmpd="dbl">
              <a:solidFill>
                <a:schemeClr val="tx1"/>
              </a:solidFill>
              <a:prstDash val="sysDot"/>
            </a:ln>
          </c:spPr>
          <c:marker>
            <c:symbol val="none"/>
          </c:marker>
          <c:cat>
            <c:strRef>
              <c:f>pracujący!$C$2:$M$2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pracujący!$C$5:$M$5</c:f>
              <c:numCache>
                <c:formatCode>#,##0</c:formatCode>
                <c:ptCount val="11"/>
                <c:pt idx="0">
                  <c:v>1361261</c:v>
                </c:pt>
                <c:pt idx="1">
                  <c:v>1367714</c:v>
                </c:pt>
                <c:pt idx="2">
                  <c:v>1382267</c:v>
                </c:pt>
                <c:pt idx="3">
                  <c:v>1383349</c:v>
                </c:pt>
                <c:pt idx="4">
                  <c:v>1380004</c:v>
                </c:pt>
                <c:pt idx="5">
                  <c:v>1376395</c:v>
                </c:pt>
                <c:pt idx="6">
                  <c:v>1371228</c:v>
                </c:pt>
                <c:pt idx="7">
                  <c:v>1364209</c:v>
                </c:pt>
                <c:pt idx="8">
                  <c:v>1355947</c:v>
                </c:pt>
                <c:pt idx="9">
                  <c:v>1346356</c:v>
                </c:pt>
                <c:pt idx="10">
                  <c:v>1334478</c:v>
                </c:pt>
              </c:numCache>
            </c:numRef>
          </c:val>
          <c:smooth val="1"/>
        </c:ser>
        <c:ser>
          <c:idx val="0"/>
          <c:order val="2"/>
          <c:tx>
            <c:strRef>
              <c:f>pracujący!$B$4</c:f>
              <c:strCache>
                <c:ptCount val="1"/>
                <c:pt idx="0">
                  <c:v>PODKARPACIE - ludność w wieku produkc. 15 - 60/65 (BAEL)</c:v>
                </c:pt>
              </c:strCache>
            </c:strRef>
          </c:tx>
          <c:spPr>
            <a:ln w="53975">
              <a:solidFill>
                <a:schemeClr val="bg1">
                  <a:lumMod val="65000"/>
                </a:schemeClr>
              </a:solidFill>
            </a:ln>
          </c:spPr>
          <c:marker>
            <c:symbol val="circle"/>
            <c:size val="4"/>
            <c:spPr>
              <a:solidFill>
                <a:schemeClr val="bg1"/>
              </a:solidFill>
              <a:ln>
                <a:solidFill>
                  <a:schemeClr val="bg1">
                    <a:lumMod val="65000"/>
                  </a:schemeClr>
                </a:solidFill>
              </a:ln>
            </c:spPr>
          </c:marker>
          <c:cat>
            <c:strRef>
              <c:f>pracujący!$C$2:$M$2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pracujący!$C$4:$M$4</c:f>
              <c:numCache>
                <c:formatCode>#,##0</c:formatCode>
                <c:ptCount val="11"/>
                <c:pt idx="0">
                  <c:v>1451855</c:v>
                </c:pt>
                <c:pt idx="1">
                  <c:v>1452738</c:v>
                </c:pt>
                <c:pt idx="2">
                  <c:v>1464538</c:v>
                </c:pt>
                <c:pt idx="3">
                  <c:v>1462319</c:v>
                </c:pt>
                <c:pt idx="4">
                  <c:v>1456630</c:v>
                </c:pt>
                <c:pt idx="5">
                  <c:v>1450241</c:v>
                </c:pt>
                <c:pt idx="6">
                  <c:v>1443038</c:v>
                </c:pt>
                <c:pt idx="7">
                  <c:v>1433764</c:v>
                </c:pt>
                <c:pt idx="8">
                  <c:v>1423304</c:v>
                </c:pt>
                <c:pt idx="9">
                  <c:v>1411021</c:v>
                </c:pt>
                <c:pt idx="10">
                  <c:v>1398122</c:v>
                </c:pt>
              </c:numCache>
            </c:numRef>
          </c:val>
          <c:smooth val="0"/>
        </c:ser>
        <c:ser>
          <c:idx val="2"/>
          <c:order val="3"/>
          <c:tx>
            <c:strRef>
              <c:f>pracujący!$B$6</c:f>
              <c:strCache>
                <c:ptCount val="1"/>
                <c:pt idx="0">
                  <c:v>PODKARPACIE - ludność w wieku produkc. 26 - 60/65 (po studiach)</c:v>
                </c:pt>
              </c:strCache>
            </c:strRef>
          </c:tx>
          <c:spPr>
            <a:ln w="53975">
              <a:solidFill>
                <a:schemeClr val="tx1"/>
              </a:solidFill>
            </a:ln>
          </c:spPr>
          <c:marker>
            <c:symbol val="none"/>
          </c:marker>
          <c:dLbls>
            <c:dLbl>
              <c:idx val="0"/>
              <c:layout>
                <c:manualLayout>
                  <c:x val="-5.182474020956862E-2"/>
                  <c:y val="-3.7896729254996972E-2"/>
                </c:manualLayout>
              </c:layout>
              <c:dLblPos val="r"/>
              <c:showLegendKey val="0"/>
              <c:showVal val="1"/>
              <c:showCatName val="0"/>
              <c:showSerName val="0"/>
              <c:showPercent val="0"/>
              <c:showBubbleSize val="0"/>
            </c:dLbl>
            <c:dLbl>
              <c:idx val="1"/>
              <c:layout>
                <c:manualLayout>
                  <c:x val="-5.182474020956862E-2"/>
                  <c:y val="-3.7896729254996972E-2"/>
                </c:manualLayout>
              </c:layout>
              <c:dLblPos val="r"/>
              <c:showLegendKey val="0"/>
              <c:showVal val="1"/>
              <c:showCatName val="0"/>
              <c:showSerName val="0"/>
              <c:showPercent val="0"/>
              <c:showBubbleSize val="0"/>
            </c:dLbl>
            <c:dLbl>
              <c:idx val="2"/>
              <c:layout>
                <c:manualLayout>
                  <c:x val="-4.9619668544739516E-2"/>
                  <c:y val="-3.7896729254996972E-2"/>
                </c:manualLayout>
              </c:layout>
              <c:dLblPos val="r"/>
              <c:showLegendKey val="0"/>
              <c:showVal val="1"/>
              <c:showCatName val="0"/>
              <c:showSerName val="0"/>
              <c:showPercent val="0"/>
              <c:showBubbleSize val="0"/>
            </c:dLbl>
            <c:dLbl>
              <c:idx val="3"/>
              <c:layout>
                <c:manualLayout>
                  <c:x val="-5.4029811874397732E-2"/>
                  <c:y val="-3.7896729254996972E-2"/>
                </c:manualLayout>
              </c:layout>
              <c:dLblPos val="r"/>
              <c:showLegendKey val="0"/>
              <c:showVal val="1"/>
              <c:showCatName val="0"/>
              <c:showSerName val="0"/>
              <c:showPercent val="0"/>
              <c:showBubbleSize val="0"/>
            </c:dLbl>
            <c:dLbl>
              <c:idx val="4"/>
              <c:layout>
                <c:manualLayout>
                  <c:x val="-4.9619668544739516E-2"/>
                  <c:y val="-3.7896729254996972E-2"/>
                </c:manualLayout>
              </c:layout>
              <c:dLblPos val="r"/>
              <c:showLegendKey val="0"/>
              <c:showVal val="1"/>
              <c:showCatName val="0"/>
              <c:showSerName val="0"/>
              <c:showPercent val="0"/>
              <c:showBubbleSize val="0"/>
            </c:dLbl>
            <c:dLbl>
              <c:idx val="5"/>
              <c:layout>
                <c:manualLayout>
                  <c:x val="-5.4029811874397732E-2"/>
                  <c:y val="-4.7512113870381588E-2"/>
                </c:manualLayout>
              </c:layout>
              <c:dLblPos val="r"/>
              <c:showLegendKey val="0"/>
              <c:showVal val="1"/>
              <c:showCatName val="0"/>
              <c:showSerName val="0"/>
              <c:showPercent val="0"/>
              <c:showBubbleSize val="0"/>
            </c:dLbl>
            <c:dLbl>
              <c:idx val="6"/>
              <c:layout>
                <c:manualLayout>
                  <c:x val="-5.4029811874397732E-2"/>
                  <c:y val="-4.2704421562689276E-2"/>
                </c:manualLayout>
              </c:layout>
              <c:dLblPos val="r"/>
              <c:showLegendKey val="0"/>
              <c:showVal val="1"/>
              <c:showCatName val="0"/>
              <c:showSerName val="0"/>
              <c:showPercent val="0"/>
              <c:showBubbleSize val="0"/>
            </c:dLbl>
            <c:dLbl>
              <c:idx val="7"/>
              <c:layout>
                <c:manualLayout>
                  <c:x val="-5.4029811874397732E-2"/>
                  <c:y val="-4.7512113870381588E-2"/>
                </c:manualLayout>
              </c:layout>
              <c:dLblPos val="r"/>
              <c:showLegendKey val="0"/>
              <c:showVal val="1"/>
              <c:showCatName val="0"/>
              <c:showSerName val="0"/>
              <c:showPercent val="0"/>
              <c:showBubbleSize val="0"/>
            </c:dLbl>
            <c:dLbl>
              <c:idx val="8"/>
              <c:layout>
                <c:manualLayout>
                  <c:x val="-5.182474020956862E-2"/>
                  <c:y val="-4.2704421562689276E-2"/>
                </c:manualLayout>
              </c:layout>
              <c:dLblPos val="r"/>
              <c:showLegendKey val="0"/>
              <c:showVal val="1"/>
              <c:showCatName val="0"/>
              <c:showSerName val="0"/>
              <c:showPercent val="0"/>
              <c:showBubbleSize val="0"/>
            </c:dLbl>
            <c:dLbl>
              <c:idx val="9"/>
              <c:layout>
                <c:manualLayout>
                  <c:x val="-5.4029811874397732E-2"/>
                  <c:y val="-3.3089036947304661E-2"/>
                </c:manualLayout>
              </c:layout>
              <c:dLblPos val="r"/>
              <c:showLegendKey val="0"/>
              <c:showVal val="1"/>
              <c:showCatName val="0"/>
              <c:showSerName val="0"/>
              <c:showPercent val="0"/>
              <c:showBubbleSize val="0"/>
            </c:dLbl>
            <c:dLbl>
              <c:idx val="10"/>
              <c:layout>
                <c:manualLayout>
                  <c:x val="0"/>
                  <c:y val="-4.2704421562689276E-2"/>
                </c:manualLayout>
              </c:layout>
              <c:dLblPos val="r"/>
              <c:showLegendKey val="0"/>
              <c:showVal val="1"/>
              <c:showCatName val="0"/>
              <c:showSerName val="0"/>
              <c:showPercent val="0"/>
              <c:showBubbleSize val="0"/>
            </c:dLbl>
            <c:txPr>
              <a:bodyPr/>
              <a:lstStyle/>
              <a:p>
                <a:pPr>
                  <a:defRPr sz="800"/>
                </a:pPr>
                <a:endParaRPr lang="pl-PL"/>
              </a:p>
            </c:txPr>
            <c:dLblPos val="t"/>
            <c:showLegendKey val="0"/>
            <c:showVal val="1"/>
            <c:showCatName val="0"/>
            <c:showSerName val="0"/>
            <c:showPercent val="0"/>
            <c:showBubbleSize val="0"/>
            <c:showLeaderLines val="0"/>
          </c:dLbls>
          <c:cat>
            <c:strRef>
              <c:f>pracujący!$C$2:$M$2</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pracujący!$C$6:$M$6</c:f>
              <c:numCache>
                <c:formatCode>#,##0</c:formatCode>
                <c:ptCount val="11"/>
                <c:pt idx="0">
                  <c:v>1077763</c:v>
                </c:pt>
                <c:pt idx="1">
                  <c:v>1091629</c:v>
                </c:pt>
                <c:pt idx="2">
                  <c:v>1118103</c:v>
                </c:pt>
                <c:pt idx="3">
                  <c:v>1125669</c:v>
                </c:pt>
                <c:pt idx="4">
                  <c:v>1129340</c:v>
                </c:pt>
                <c:pt idx="5">
                  <c:v>1133243</c:v>
                </c:pt>
                <c:pt idx="6">
                  <c:v>1135985</c:v>
                </c:pt>
                <c:pt idx="7">
                  <c:v>1138336</c:v>
                </c:pt>
                <c:pt idx="8">
                  <c:v>1139446</c:v>
                </c:pt>
                <c:pt idx="9">
                  <c:v>1138597</c:v>
                </c:pt>
                <c:pt idx="10">
                  <c:v>1134464</c:v>
                </c:pt>
              </c:numCache>
            </c:numRef>
          </c:val>
          <c:smooth val="0"/>
        </c:ser>
        <c:dLbls>
          <c:showLegendKey val="0"/>
          <c:showVal val="0"/>
          <c:showCatName val="0"/>
          <c:showSerName val="0"/>
          <c:showPercent val="0"/>
          <c:showBubbleSize val="0"/>
        </c:dLbls>
        <c:marker val="1"/>
        <c:smooth val="0"/>
        <c:axId val="226691712"/>
        <c:axId val="226722176"/>
      </c:lineChart>
      <c:catAx>
        <c:axId val="226691712"/>
        <c:scaling>
          <c:orientation val="minMax"/>
        </c:scaling>
        <c:delete val="0"/>
        <c:axPos val="b"/>
        <c:majorGridlines>
          <c:spPr>
            <a:ln>
              <a:solidFill>
                <a:schemeClr val="accent4">
                  <a:lumMod val="75000"/>
                  <a:alpha val="41000"/>
                </a:schemeClr>
              </a:solidFill>
            </a:ln>
          </c:spPr>
        </c:majorGridlines>
        <c:numFmt formatCode="General" sourceLinked="1"/>
        <c:majorTickMark val="out"/>
        <c:minorTickMark val="none"/>
        <c:tickLblPos val="nextTo"/>
        <c:spPr>
          <a:noFill/>
          <a:ln>
            <a:solidFill>
              <a:schemeClr val="tx2">
                <a:lumMod val="75000"/>
              </a:schemeClr>
            </a:solidFill>
          </a:ln>
        </c:spPr>
        <c:txPr>
          <a:bodyPr/>
          <a:lstStyle/>
          <a:p>
            <a:pPr>
              <a:defRPr sz="800">
                <a:latin typeface="Arial" panose="020B0604020202020204" pitchFamily="34" charset="0"/>
                <a:cs typeface="Arial" panose="020B0604020202020204" pitchFamily="34" charset="0"/>
              </a:defRPr>
            </a:pPr>
            <a:endParaRPr lang="pl-PL"/>
          </a:p>
        </c:txPr>
        <c:crossAx val="226722176"/>
        <c:crosses val="autoZero"/>
        <c:auto val="1"/>
        <c:lblAlgn val="ctr"/>
        <c:lblOffset val="100"/>
        <c:noMultiLvlLbl val="0"/>
      </c:catAx>
      <c:valAx>
        <c:axId val="226722176"/>
        <c:scaling>
          <c:orientation val="minMax"/>
        </c:scaling>
        <c:delete val="0"/>
        <c:axPos val="l"/>
        <c:majorGridlines>
          <c:spPr>
            <a:ln w="3175" cmpd="sng">
              <a:solidFill>
                <a:schemeClr val="tx2">
                  <a:lumMod val="60000"/>
                  <a:lumOff val="40000"/>
                  <a:alpha val="66000"/>
                </a:schemeClr>
              </a:solidFill>
              <a:prstDash val="solid"/>
            </a:ln>
          </c:spPr>
        </c:majorGridlines>
        <c:minorGridlines>
          <c:spPr>
            <a:ln>
              <a:solidFill>
                <a:schemeClr val="bg1">
                  <a:lumMod val="75000"/>
                  <a:alpha val="53000"/>
                </a:schemeClr>
              </a:solidFill>
            </a:ln>
          </c:spPr>
        </c:minorGridlines>
        <c:numFmt formatCode="#,##0" sourceLinked="1"/>
        <c:majorTickMark val="out"/>
        <c:minorTickMark val="none"/>
        <c:tickLblPos val="nextTo"/>
        <c:txPr>
          <a:bodyPr/>
          <a:lstStyle/>
          <a:p>
            <a:pPr>
              <a:defRPr sz="600">
                <a:latin typeface="Arial" panose="020B0604020202020204" pitchFamily="34" charset="0"/>
                <a:cs typeface="Arial" panose="020B0604020202020204" pitchFamily="34" charset="0"/>
              </a:defRPr>
            </a:pPr>
            <a:endParaRPr lang="pl-PL"/>
          </a:p>
        </c:txPr>
        <c:crossAx val="226691712"/>
        <c:crosses val="autoZero"/>
        <c:crossBetween val="midCat"/>
      </c:valAx>
      <c:spPr>
        <a:noFill/>
      </c:spPr>
    </c:plotArea>
    <c:legend>
      <c:legendPos val="r"/>
      <c:layout>
        <c:manualLayout>
          <c:xMode val="edge"/>
          <c:yMode val="edge"/>
          <c:x val="7.9719013628522239E-2"/>
          <c:y val="0.65111069049061165"/>
          <c:w val="0.88599493491631431"/>
          <c:h val="0.2680004542701393"/>
        </c:manualLayout>
      </c:layout>
      <c:overlay val="0"/>
      <c:txPr>
        <a:bodyPr/>
        <a:lstStyle/>
        <a:p>
          <a:pPr>
            <a:defRPr sz="9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8.9421218354361273E-2"/>
          <c:y val="3.9421959414606245E-2"/>
          <c:w val="0.89434626725692024"/>
          <c:h val="0.88639057496942864"/>
        </c:manualLayout>
      </c:layout>
      <c:lineChart>
        <c:grouping val="standard"/>
        <c:varyColors val="0"/>
        <c:ser>
          <c:idx val="1"/>
          <c:order val="0"/>
          <c:tx>
            <c:strRef>
              <c:f>Arkusz1!$J$7</c:f>
              <c:strCache>
                <c:ptCount val="1"/>
                <c:pt idx="0">
                  <c:v>Polska</c:v>
                </c:pt>
              </c:strCache>
            </c:strRef>
          </c:tx>
          <c:spPr>
            <a:ln w="34925" cmpd="sng">
              <a:solidFill>
                <a:schemeClr val="tx1"/>
              </a:solidFill>
              <a:prstDash val="solid"/>
            </a:ln>
          </c:spPr>
          <c:marker>
            <c:symbol val="none"/>
          </c:marker>
          <c:dLbls>
            <c:dLbl>
              <c:idx val="0"/>
              <c:layout>
                <c:manualLayout>
                  <c:x val="-1.3864518313380618E-2"/>
                  <c:y val="-5.0949424591156874E-2"/>
                </c:manualLayout>
              </c:layout>
              <c:dLblPos val="r"/>
              <c:showLegendKey val="0"/>
              <c:showVal val="1"/>
              <c:showCatName val="0"/>
              <c:showSerName val="0"/>
              <c:showPercent val="0"/>
              <c:showBubbleSize val="0"/>
            </c:dLbl>
            <c:txPr>
              <a:bodyPr/>
              <a:lstStyle/>
              <a:p>
                <a:pPr>
                  <a:defRPr sz="900" b="1">
                    <a:latin typeface="Arial" panose="020B0604020202020204" pitchFamily="34" charset="0"/>
                    <a:cs typeface="Arial" panose="020B0604020202020204" pitchFamily="34" charset="0"/>
                  </a:defRPr>
                </a:pPr>
                <a:endParaRPr lang="pl-PL"/>
              </a:p>
            </c:txPr>
            <c:dLblPos val="t"/>
            <c:showLegendKey val="0"/>
            <c:showVal val="1"/>
            <c:showCatName val="0"/>
            <c:showSerName val="0"/>
            <c:showPercent val="0"/>
            <c:showBubbleSize val="0"/>
            <c:showLeaderLines val="0"/>
          </c:dLbls>
          <c:cat>
            <c:numRef>
              <c:f>Arkusz1!$I$9:$I$13</c:f>
              <c:numCache>
                <c:formatCode>General</c:formatCode>
                <c:ptCount val="5"/>
                <c:pt idx="0">
                  <c:v>2015</c:v>
                </c:pt>
                <c:pt idx="1">
                  <c:v>2016</c:v>
                </c:pt>
                <c:pt idx="2">
                  <c:v>2017</c:v>
                </c:pt>
                <c:pt idx="3">
                  <c:v>2018</c:v>
                </c:pt>
                <c:pt idx="4">
                  <c:v>2019</c:v>
                </c:pt>
              </c:numCache>
            </c:numRef>
          </c:cat>
          <c:val>
            <c:numRef>
              <c:f>Arkusz1!$K$9:$K$13</c:f>
              <c:numCache>
                <c:formatCode>#,##0.0</c:formatCode>
                <c:ptCount val="5"/>
                <c:pt idx="0">
                  <c:v>26.40412970829485</c:v>
                </c:pt>
                <c:pt idx="1">
                  <c:v>26.461175117416918</c:v>
                </c:pt>
                <c:pt idx="2">
                  <c:v>26.571959199503013</c:v>
                </c:pt>
                <c:pt idx="3">
                  <c:v>26.790898996262364</c:v>
                </c:pt>
                <c:pt idx="4">
                  <c:v>26.882654878280043</c:v>
                </c:pt>
              </c:numCache>
            </c:numRef>
          </c:val>
          <c:smooth val="0"/>
        </c:ser>
        <c:ser>
          <c:idx val="3"/>
          <c:order val="1"/>
          <c:tx>
            <c:strRef>
              <c:f>Arkusz1!$L$7</c:f>
              <c:strCache>
                <c:ptCount val="1"/>
                <c:pt idx="0">
                  <c:v>województwo podkarpackie</c:v>
                </c:pt>
              </c:strCache>
            </c:strRef>
          </c:tx>
          <c:spPr>
            <a:ln w="47625" cmpd="dbl">
              <a:solidFill>
                <a:schemeClr val="tx1"/>
              </a:solidFill>
              <a:prstDash val="sysDot"/>
            </a:ln>
          </c:spPr>
          <c:marker>
            <c:symbol val="none"/>
          </c:marker>
          <c:dLbls>
            <c:dLbl>
              <c:idx val="0"/>
              <c:layout>
                <c:manualLayout>
                  <c:x val="-1.1802689492920331E-2"/>
                  <c:y val="-6.2992883101150823E-2"/>
                </c:manualLayout>
              </c:layout>
              <c:dLblPos val="r"/>
              <c:showLegendKey val="0"/>
              <c:showVal val="1"/>
              <c:showCatName val="0"/>
              <c:showSerName val="0"/>
              <c:showPercent val="0"/>
              <c:showBubbleSize val="0"/>
            </c:dLbl>
            <c:dLbl>
              <c:idx val="2"/>
              <c:layout>
                <c:manualLayout>
                  <c:x val="-3.8054154476555919E-2"/>
                  <c:y val="-4.8906344639612402E-2"/>
                </c:manualLayout>
              </c:layout>
              <c:dLblPos val="r"/>
              <c:showLegendKey val="0"/>
              <c:showVal val="1"/>
              <c:showCatName val="0"/>
              <c:showSerName val="0"/>
              <c:showPercent val="0"/>
              <c:showBubbleSize val="0"/>
            </c:dLbl>
            <c:dLbl>
              <c:idx val="3"/>
              <c:layout>
                <c:manualLayout>
                  <c:x val="-3.5849082811726815E-2"/>
                  <c:y val="-4.8906344639612354E-2"/>
                </c:manualLayout>
              </c:layout>
              <c:dLblPos val="r"/>
              <c:showLegendKey val="0"/>
              <c:showVal val="1"/>
              <c:showCatName val="0"/>
              <c:showSerName val="0"/>
              <c:showPercent val="0"/>
              <c:showBubbleSize val="0"/>
            </c:dLbl>
            <c:dLbl>
              <c:idx val="4"/>
              <c:layout>
                <c:manualLayout>
                  <c:x val="-9.1345527784771115E-3"/>
                  <c:y val="-4.4098652331920049E-2"/>
                </c:manualLayout>
              </c:layout>
              <c:dLblPos val="r"/>
              <c:showLegendKey val="0"/>
              <c:showVal val="1"/>
              <c:showCatName val="0"/>
              <c:showSerName val="0"/>
              <c:showPercent val="0"/>
              <c:showBubbleSize val="0"/>
            </c:dLbl>
            <c:txPr>
              <a:bodyPr/>
              <a:lstStyle/>
              <a:p>
                <a:pPr>
                  <a:defRPr sz="900" b="1">
                    <a:latin typeface="Arial" panose="020B0604020202020204" pitchFamily="34" charset="0"/>
                    <a:cs typeface="Arial" panose="020B0604020202020204" pitchFamily="34" charset="0"/>
                  </a:defRPr>
                </a:pPr>
                <a:endParaRPr lang="pl-PL"/>
              </a:p>
            </c:txPr>
            <c:dLblPos val="t"/>
            <c:showLegendKey val="0"/>
            <c:showVal val="1"/>
            <c:showCatName val="0"/>
            <c:showSerName val="0"/>
            <c:showPercent val="0"/>
            <c:showBubbleSize val="0"/>
            <c:showLeaderLines val="0"/>
          </c:dLbls>
          <c:cat>
            <c:numRef>
              <c:f>Arkusz1!$I$9:$I$13</c:f>
              <c:numCache>
                <c:formatCode>General</c:formatCode>
                <c:ptCount val="5"/>
                <c:pt idx="0">
                  <c:v>2015</c:v>
                </c:pt>
                <c:pt idx="1">
                  <c:v>2016</c:v>
                </c:pt>
                <c:pt idx="2">
                  <c:v>2017</c:v>
                </c:pt>
                <c:pt idx="3">
                  <c:v>2018</c:v>
                </c:pt>
                <c:pt idx="4">
                  <c:v>2019</c:v>
                </c:pt>
              </c:numCache>
            </c:numRef>
          </c:cat>
          <c:val>
            <c:numRef>
              <c:f>Arkusz1!$M$9:$M$13</c:f>
              <c:numCache>
                <c:formatCode>0.0</c:formatCode>
                <c:ptCount val="5"/>
                <c:pt idx="0">
                  <c:v>24.43222095157175</c:v>
                </c:pt>
                <c:pt idx="1">
                  <c:v>24.811137504886187</c:v>
                </c:pt>
                <c:pt idx="2">
                  <c:v>25.310422014387811</c:v>
                </c:pt>
                <c:pt idx="3">
                  <c:v>25.787803310763962</c:v>
                </c:pt>
                <c:pt idx="4">
                  <c:v>26.04383781540372</c:v>
                </c:pt>
              </c:numCache>
            </c:numRef>
          </c:val>
          <c:smooth val="1"/>
        </c:ser>
        <c:dLbls>
          <c:dLblPos val="t"/>
          <c:showLegendKey val="0"/>
          <c:showVal val="1"/>
          <c:showCatName val="0"/>
          <c:showSerName val="0"/>
          <c:showPercent val="0"/>
          <c:showBubbleSize val="0"/>
        </c:dLbls>
        <c:marker val="1"/>
        <c:smooth val="0"/>
        <c:axId val="226739712"/>
        <c:axId val="226741632"/>
      </c:lineChart>
      <c:catAx>
        <c:axId val="226739712"/>
        <c:scaling>
          <c:orientation val="minMax"/>
        </c:scaling>
        <c:delete val="0"/>
        <c:axPos val="b"/>
        <c:majorGridlines>
          <c:spPr>
            <a:ln>
              <a:solidFill>
                <a:schemeClr val="accent4">
                  <a:lumMod val="75000"/>
                  <a:alpha val="41000"/>
                </a:schemeClr>
              </a:solidFill>
            </a:ln>
          </c:spPr>
        </c:majorGridlines>
        <c:title>
          <c:tx>
            <c:rich>
              <a:bodyPr/>
              <a:lstStyle/>
              <a:p>
                <a:pPr>
                  <a:defRPr/>
                </a:pPr>
                <a:r>
                  <a:rPr lang="pl-PL" b="1"/>
                  <a:t>Poszczególne lata</a:t>
                </a:r>
              </a:p>
            </c:rich>
          </c:tx>
          <c:layout>
            <c:manualLayout>
              <c:xMode val="edge"/>
              <c:yMode val="edge"/>
              <c:x val="0.44805493580116157"/>
              <c:y val="0.75935054629799181"/>
            </c:manualLayout>
          </c:layout>
          <c:overlay val="0"/>
        </c:title>
        <c:numFmt formatCode="General" sourceLinked="1"/>
        <c:majorTickMark val="out"/>
        <c:minorTickMark val="none"/>
        <c:tickLblPos val="nextTo"/>
        <c:spPr>
          <a:noFill/>
          <a:ln>
            <a:solidFill>
              <a:schemeClr val="tx2">
                <a:lumMod val="75000"/>
              </a:schemeClr>
            </a:solidFill>
          </a:ln>
        </c:spPr>
        <c:txPr>
          <a:bodyPr/>
          <a:lstStyle/>
          <a:p>
            <a:pPr>
              <a:defRPr sz="800">
                <a:latin typeface="Arial" panose="020B0604020202020204" pitchFamily="34" charset="0"/>
                <a:cs typeface="Arial" panose="020B0604020202020204" pitchFamily="34" charset="0"/>
              </a:defRPr>
            </a:pPr>
            <a:endParaRPr lang="pl-PL"/>
          </a:p>
        </c:txPr>
        <c:crossAx val="226741632"/>
        <c:crosses val="autoZero"/>
        <c:auto val="1"/>
        <c:lblAlgn val="ctr"/>
        <c:lblOffset val="100"/>
        <c:noMultiLvlLbl val="0"/>
      </c:catAx>
      <c:valAx>
        <c:axId val="226741632"/>
        <c:scaling>
          <c:orientation val="minMax"/>
          <c:max val="27.5"/>
          <c:min val="23"/>
        </c:scaling>
        <c:delete val="0"/>
        <c:axPos val="l"/>
        <c:majorGridlines>
          <c:spPr>
            <a:ln w="3175" cmpd="sng">
              <a:solidFill>
                <a:srgbClr val="0000FF">
                  <a:alpha val="55000"/>
                </a:srgbClr>
              </a:solidFill>
              <a:prstDash val="solid"/>
            </a:ln>
          </c:spPr>
        </c:majorGridlines>
        <c:minorGridlines>
          <c:spPr>
            <a:ln>
              <a:solidFill>
                <a:srgbClr val="0000FF">
                  <a:alpha val="22000"/>
                </a:srgbClr>
              </a:solidFill>
            </a:ln>
          </c:spPr>
        </c:minorGridlines>
        <c:title>
          <c:tx>
            <c:rich>
              <a:bodyPr rot="0" vert="horz"/>
              <a:lstStyle/>
              <a:p>
                <a:pPr algn="l">
                  <a:defRPr b="1"/>
                </a:pPr>
                <a:r>
                  <a:rPr lang="pl-PL" b="1"/>
                  <a:t>udział proc. w ogółem</a:t>
                </a:r>
              </a:p>
            </c:rich>
          </c:tx>
          <c:layout>
            <c:manualLayout>
              <c:xMode val="edge"/>
              <c:yMode val="edge"/>
              <c:x val="0.10804868520431639"/>
              <c:y val="0.65541720075688215"/>
            </c:manualLayout>
          </c:layout>
          <c:overlay val="0"/>
        </c:title>
        <c:numFmt formatCode="#,##0.0" sourceLinked="1"/>
        <c:majorTickMark val="out"/>
        <c:minorTickMark val="none"/>
        <c:tickLblPos val="nextTo"/>
        <c:crossAx val="226739712"/>
        <c:crosses val="autoZero"/>
        <c:crossBetween val="midCat"/>
        <c:majorUnit val="0.30000000000000004"/>
        <c:minorUnit val="0.1"/>
      </c:valAx>
      <c:spPr>
        <a:noFill/>
      </c:spPr>
    </c:plotArea>
    <c:legend>
      <c:legendPos val="r"/>
      <c:layout>
        <c:manualLayout>
          <c:xMode val="edge"/>
          <c:yMode val="edge"/>
          <c:x val="0.5868855533080416"/>
          <c:y val="0.58272233412683871"/>
          <c:w val="0.3810336056394274"/>
          <c:h val="0.13819276196244701"/>
        </c:manualLayout>
      </c:layout>
      <c:overlay val="0"/>
      <c:txPr>
        <a:bodyPr/>
        <a:lstStyle/>
        <a:p>
          <a:pPr>
            <a:defRPr sz="90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100" b="0">
                <a:latin typeface="Arial" panose="020B0604020202020204" pitchFamily="34" charset="0"/>
                <a:cs typeface="Arial" panose="020B0604020202020204" pitchFamily="34" charset="0"/>
              </a:defRPr>
            </a:pPr>
            <a:r>
              <a:rPr lang="pl-PL"/>
              <a:t>2019 rok (w proc.)</a:t>
            </a:r>
          </a:p>
        </c:rich>
      </c:tx>
      <c:layout>
        <c:manualLayout>
          <c:xMode val="edge"/>
          <c:yMode val="edge"/>
          <c:x val="2.8715486549171981E-2"/>
          <c:y val="6.2953796283114127E-3"/>
        </c:manualLayout>
      </c:layout>
      <c:overlay val="1"/>
    </c:title>
    <c:autoTitleDeleted val="0"/>
    <c:view3D>
      <c:rotX val="50"/>
      <c:rotY val="247"/>
      <c:depthPercent val="210"/>
      <c:rAngAx val="0"/>
      <c:perspective val="50"/>
    </c:view3D>
    <c:floor>
      <c:thickness val="0"/>
    </c:floor>
    <c:sideWall>
      <c:thickness val="0"/>
    </c:sideWall>
    <c:backWall>
      <c:thickness val="0"/>
    </c:backWall>
    <c:plotArea>
      <c:layout>
        <c:manualLayout>
          <c:layoutTarget val="inner"/>
          <c:xMode val="edge"/>
          <c:yMode val="edge"/>
          <c:x val="1.5519405252008473E-2"/>
          <c:y val="7.0328204579701206E-3"/>
          <c:w val="0.98448062319612184"/>
          <c:h val="0.97724464129483812"/>
        </c:manualLayout>
      </c:layout>
      <c:pie3DChart>
        <c:varyColors val="1"/>
        <c:ser>
          <c:idx val="0"/>
          <c:order val="0"/>
          <c:tx>
            <c:strRef>
              <c:f>'wg sekcji'!$N$14</c:f>
              <c:strCache>
                <c:ptCount val="1"/>
                <c:pt idx="0">
                  <c:v>2019 rok, w proc.</c:v>
                </c:pt>
              </c:strCache>
            </c:strRef>
          </c:tx>
          <c:spPr>
            <a:ln w="3175">
              <a:noFill/>
            </a:ln>
          </c:spPr>
          <c:explosion val="2"/>
          <c:dPt>
            <c:idx val="0"/>
            <c:bubble3D val="0"/>
            <c:spPr>
              <a:gradFill>
                <a:gsLst>
                  <a:gs pos="0">
                    <a:srgbClr val="00FF00"/>
                  </a:gs>
                  <a:gs pos="96250">
                    <a:srgbClr val="00FF00"/>
                  </a:gs>
                  <a:gs pos="50000">
                    <a:srgbClr val="00FF00"/>
                  </a:gs>
                  <a:gs pos="100000">
                    <a:srgbClr val="92D050">
                      <a:lumMod val="74000"/>
                      <a:lumOff val="26000"/>
                    </a:srgbClr>
                  </a:gs>
                </a:gsLst>
                <a:lin ang="5400000" scaled="0"/>
              </a:gradFill>
              <a:ln w="3175">
                <a:noFill/>
              </a:ln>
              <a:scene3d>
                <a:camera prst="orthographicFront"/>
                <a:lightRig rig="threePt" dir="t">
                  <a:rot lat="0" lon="0" rev="1200000"/>
                </a:lightRig>
              </a:scene3d>
              <a:sp3d>
                <a:bevelT w="63500" h="38100"/>
              </a:sp3d>
            </c:spPr>
          </c:dPt>
          <c:dPt>
            <c:idx val="1"/>
            <c:bubble3D val="0"/>
            <c:spPr>
              <a:gradFill>
                <a:gsLst>
                  <a:gs pos="0">
                    <a:srgbClr val="FFC000">
                      <a:lumMod val="96000"/>
                      <a:lumOff val="4000"/>
                    </a:srgbClr>
                  </a:gs>
                  <a:gs pos="69000">
                    <a:srgbClr val="FFB64E"/>
                  </a:gs>
                  <a:gs pos="19000">
                    <a:srgbClr val="FFCC99">
                      <a:lumMod val="86000"/>
                    </a:srgbClr>
                  </a:gs>
                  <a:gs pos="98000">
                    <a:srgbClr val="FFC000">
                      <a:lumMod val="87000"/>
                      <a:lumOff val="13000"/>
                    </a:srgbClr>
                  </a:gs>
                </a:gsLst>
                <a:lin ang="5400000" scaled="0"/>
              </a:gradFill>
              <a:ln w="3175">
                <a:noFill/>
              </a:ln>
            </c:spPr>
          </c:dPt>
          <c:dPt>
            <c:idx val="2"/>
            <c:bubble3D val="0"/>
            <c:spPr>
              <a:gradFill>
                <a:gsLst>
                  <a:gs pos="0">
                    <a:srgbClr val="934195">
                      <a:lumMod val="67000"/>
                      <a:lumOff val="33000"/>
                    </a:srgbClr>
                  </a:gs>
                  <a:gs pos="50000">
                    <a:srgbClr val="BC96C6">
                      <a:lumMod val="71000"/>
                      <a:lumOff val="29000"/>
                    </a:srgbClr>
                  </a:gs>
                  <a:gs pos="100000">
                    <a:srgbClr val="AF85D1">
                      <a:lumMod val="48000"/>
                      <a:lumOff val="52000"/>
                    </a:srgbClr>
                  </a:gs>
                </a:gsLst>
                <a:lin ang="5400000" scaled="0"/>
              </a:gradFill>
              <a:ln w="3175">
                <a:noFill/>
              </a:ln>
            </c:spPr>
          </c:dPt>
          <c:dPt>
            <c:idx val="3"/>
            <c:bubble3D val="0"/>
            <c:spPr>
              <a:gradFill>
                <a:gsLst>
                  <a:gs pos="0">
                    <a:srgbClr val="FF9999">
                      <a:lumMod val="89000"/>
                    </a:srgbClr>
                  </a:gs>
                  <a:gs pos="50000">
                    <a:srgbClr val="FF9999">
                      <a:lumMod val="96000"/>
                      <a:lumOff val="4000"/>
                    </a:srgbClr>
                  </a:gs>
                  <a:gs pos="100000">
                    <a:srgbClr val="FF99CC">
                      <a:lumMod val="99000"/>
                    </a:srgbClr>
                  </a:gs>
                </a:gsLst>
                <a:lin ang="5400000" scaled="0"/>
              </a:gradFill>
              <a:ln w="3175">
                <a:noFill/>
              </a:ln>
            </c:spPr>
          </c:dPt>
          <c:dLbls>
            <c:dLbl>
              <c:idx val="0"/>
              <c:layout>
                <c:manualLayout>
                  <c:x val="0.20085838701980435"/>
                  <c:y val="0.13711996937882764"/>
                </c:manualLayout>
              </c:layout>
              <c:tx>
                <c:rich>
                  <a:bodyPr/>
                  <a:lstStyle/>
                  <a:p>
                    <a:r>
                      <a:rPr lang="pl-PL" sz="800">
                        <a:latin typeface="Times New Roman" panose="02020603050405020304" pitchFamily="18" charset="0"/>
                        <a:cs typeface="Times New Roman" panose="02020603050405020304" pitchFamily="18" charset="0"/>
                      </a:rPr>
                      <a:t>Rolnictwo</a:t>
                    </a:r>
                  </a:p>
                  <a:p>
                    <a:r>
                      <a:rPr lang="pl-PL" sz="800">
                        <a:latin typeface="Times New Roman" panose="02020603050405020304" pitchFamily="18" charset="0"/>
                        <a:cs typeface="Times New Roman" panose="02020603050405020304" pitchFamily="18" charset="0"/>
                      </a:rPr>
                      <a:t>29</a:t>
                    </a:r>
                    <a:r>
                      <a:rPr lang="en-US" sz="800">
                        <a:latin typeface="Times New Roman" panose="02020603050405020304" pitchFamily="18" charset="0"/>
                        <a:cs typeface="Times New Roman" panose="02020603050405020304" pitchFamily="18" charset="0"/>
                      </a:rPr>
                      <a:t>,</a:t>
                    </a:r>
                    <a:r>
                      <a:rPr lang="pl-PL" sz="800">
                        <a:latin typeface="Times New Roman" panose="02020603050405020304" pitchFamily="18" charset="0"/>
                        <a:cs typeface="Times New Roman" panose="02020603050405020304" pitchFamily="18" charset="0"/>
                      </a:rPr>
                      <a:t>7 %</a:t>
                    </a:r>
                    <a:endParaRPr lang="en-US">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3333273511751201"/>
                  <c:y val="0.13629417534929347"/>
                </c:manualLayout>
              </c:layout>
              <c:tx>
                <c:rich>
                  <a:bodyPr/>
                  <a:lstStyle/>
                  <a:p>
                    <a:r>
                      <a:rPr lang="pl-PL" sz="800">
                        <a:latin typeface="Times New Roman" panose="02020603050405020304" pitchFamily="18" charset="0"/>
                        <a:cs typeface="Times New Roman" panose="02020603050405020304" pitchFamily="18" charset="0"/>
                      </a:rPr>
                      <a:t>Produkcja</a:t>
                    </a:r>
                  </a:p>
                  <a:p>
                    <a:r>
                      <a:rPr lang="pl-PL" sz="800">
                        <a:latin typeface="Times New Roman" panose="02020603050405020304" pitchFamily="18" charset="0"/>
                        <a:cs typeface="Times New Roman" panose="02020603050405020304" pitchFamily="18" charset="0"/>
                      </a:rPr>
                      <a:t>26</a:t>
                    </a:r>
                    <a:r>
                      <a:rPr lang="en-US" sz="800">
                        <a:latin typeface="Times New Roman" panose="02020603050405020304" pitchFamily="18" charset="0"/>
                        <a:cs typeface="Times New Roman" panose="02020603050405020304" pitchFamily="18" charset="0"/>
                      </a:rPr>
                      <a:t>,</a:t>
                    </a:r>
                    <a:r>
                      <a:rPr lang="pl-PL" sz="800">
                        <a:latin typeface="Times New Roman" panose="02020603050405020304" pitchFamily="18" charset="0"/>
                        <a:cs typeface="Times New Roman" panose="02020603050405020304" pitchFamily="18" charset="0"/>
                      </a:rPr>
                      <a:t>0 %</a:t>
                    </a:r>
                    <a:endParaRPr lang="en-US"/>
                  </a:p>
                </c:rich>
              </c:tx>
              <c:showLegendKey val="0"/>
              <c:showVal val="1"/>
              <c:showCatName val="0"/>
              <c:showSerName val="0"/>
              <c:showPercent val="0"/>
              <c:showBubbleSize val="0"/>
            </c:dLbl>
            <c:dLbl>
              <c:idx val="2"/>
              <c:layout>
                <c:manualLayout>
                  <c:x val="-0.13844867682138023"/>
                  <c:y val="-0.14976218881730693"/>
                </c:manualLayout>
              </c:layout>
              <c:tx>
                <c:rich>
                  <a:bodyPr/>
                  <a:lstStyle/>
                  <a:p>
                    <a:r>
                      <a:rPr lang="pl-PL" sz="800"/>
                      <a:t>Handel</a:t>
                    </a:r>
                  </a:p>
                  <a:p>
                    <a:r>
                      <a:rPr lang="pl-PL" sz="800"/>
                      <a:t>12,1 %</a:t>
                    </a:r>
                    <a:endParaRPr lang="en-US"/>
                  </a:p>
                </c:rich>
              </c:tx>
              <c:showLegendKey val="0"/>
              <c:showVal val="1"/>
              <c:showCatName val="0"/>
              <c:showSerName val="0"/>
              <c:showPercent val="0"/>
              <c:showBubbleSize val="0"/>
            </c:dLbl>
            <c:dLbl>
              <c:idx val="3"/>
              <c:layout>
                <c:manualLayout>
                  <c:x val="6.850781730373165E-2"/>
                  <c:y val="-0.30644760329854459"/>
                </c:manualLayout>
              </c:layout>
              <c:tx>
                <c:rich>
                  <a:bodyPr/>
                  <a:lstStyle/>
                  <a:p>
                    <a:r>
                      <a:rPr lang="pl-PL" sz="800"/>
                      <a:t>Usługi</a:t>
                    </a:r>
                  </a:p>
                  <a:p>
                    <a:r>
                      <a:rPr lang="pl-PL" sz="800"/>
                      <a:t>32,2 %</a:t>
                    </a:r>
                    <a:endParaRPr lang="en-US"/>
                  </a:p>
                </c:rich>
              </c:tx>
              <c:showLegendKey val="0"/>
              <c:showVal val="1"/>
              <c:showCatName val="0"/>
              <c:showSerName val="0"/>
              <c:showPercent val="0"/>
              <c:showBubbleSize val="0"/>
            </c:dLbl>
            <c:dLbl>
              <c:idx val="4"/>
              <c:layout>
                <c:manualLayout>
                  <c:x val="-0.31219512845254532"/>
                  <c:y val="-1.0222284161382482E-2"/>
                </c:manualLayout>
              </c:layout>
              <c:tx>
                <c:rich>
                  <a:bodyPr/>
                  <a:lstStyle/>
                  <a:p>
                    <a:r>
                      <a:rPr lang="pl-PL" sz="800"/>
                      <a:t>1000 i więcej</a:t>
                    </a:r>
                  </a:p>
                  <a:p>
                    <a:r>
                      <a:rPr lang="en-US" sz="800"/>
                      <a:t>0,0</a:t>
                    </a:r>
                    <a:r>
                      <a:rPr lang="pl-PL" sz="800"/>
                      <a:t>2 %</a:t>
                    </a:r>
                    <a:endParaRPr lang="en-US"/>
                  </a:p>
                </c:rich>
              </c:tx>
              <c:showLegendKey val="0"/>
              <c:showVal val="1"/>
              <c:showCatName val="0"/>
              <c:showSerName val="0"/>
              <c:showPercent val="0"/>
              <c:showBubbleSize val="0"/>
            </c:dLbl>
            <c:numFmt formatCode="#,##0.0" sourceLinked="0"/>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'wg sekcji'!$J$15:$J$18</c:f>
              <c:strCache>
                <c:ptCount val="4"/>
                <c:pt idx="0">
                  <c:v>A</c:v>
                </c:pt>
                <c:pt idx="1">
                  <c:v>B-F</c:v>
                </c:pt>
                <c:pt idx="2">
                  <c:v>G</c:v>
                </c:pt>
                <c:pt idx="3">
                  <c:v>H-U</c:v>
                </c:pt>
              </c:strCache>
            </c:strRef>
          </c:cat>
          <c:val>
            <c:numRef>
              <c:f>'wg sekcji'!$N$15:$N$18</c:f>
              <c:numCache>
                <c:formatCode>0.0</c:formatCode>
                <c:ptCount val="4"/>
                <c:pt idx="0">
                  <c:v>29.700685887680891</c:v>
                </c:pt>
                <c:pt idx="1">
                  <c:v>26.04383781540372</c:v>
                </c:pt>
                <c:pt idx="2">
                  <c:v>12.092043176966797</c:v>
                </c:pt>
                <c:pt idx="3">
                  <c:v>32.1634331199486</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11221797263819396"/>
          <c:y val="0.68899828063912039"/>
          <c:w val="0.2102143214677627"/>
          <c:h val="0.26232243696810631"/>
        </c:manualLayout>
      </c:layout>
      <c:overlay val="0"/>
      <c:txPr>
        <a:bodyPr/>
        <a:lstStyle/>
        <a:p>
          <a:pPr rtl="0">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100" b="0">
                <a:latin typeface="Arial" panose="020B0604020202020204" pitchFamily="34" charset="0"/>
                <a:cs typeface="Arial" panose="020B0604020202020204" pitchFamily="34" charset="0"/>
              </a:defRPr>
            </a:pPr>
            <a:r>
              <a:rPr lang="pl-PL"/>
              <a:t>2018 rok (w proc.)</a:t>
            </a:r>
          </a:p>
        </c:rich>
      </c:tx>
      <c:layout>
        <c:manualLayout>
          <c:xMode val="edge"/>
          <c:yMode val="edge"/>
          <c:x val="2.3267000715819625E-2"/>
          <c:y val="4.9823135807606804E-3"/>
        </c:manualLayout>
      </c:layout>
      <c:overlay val="1"/>
    </c:title>
    <c:autoTitleDeleted val="0"/>
    <c:view3D>
      <c:rotX val="50"/>
      <c:rotY val="247"/>
      <c:depthPercent val="210"/>
      <c:rAngAx val="0"/>
      <c:perspective val="50"/>
    </c:view3D>
    <c:floor>
      <c:thickness val="0"/>
    </c:floor>
    <c:sideWall>
      <c:thickness val="0"/>
    </c:sideWall>
    <c:backWall>
      <c:thickness val="0"/>
    </c:backWall>
    <c:plotArea>
      <c:layout>
        <c:manualLayout>
          <c:layoutTarget val="inner"/>
          <c:xMode val="edge"/>
          <c:yMode val="edge"/>
          <c:x val="1.5519371737638982E-2"/>
          <c:y val="1.177269392090944E-4"/>
          <c:w val="0.98448062319612184"/>
          <c:h val="0.97724464129483812"/>
        </c:manualLayout>
      </c:layout>
      <c:pie3DChart>
        <c:varyColors val="1"/>
        <c:ser>
          <c:idx val="0"/>
          <c:order val="0"/>
          <c:tx>
            <c:strRef>
              <c:f>'wg sekcji'!$L$14</c:f>
              <c:strCache>
                <c:ptCount val="1"/>
                <c:pt idx="0">
                  <c:v>2018 rok, w proc.</c:v>
                </c:pt>
              </c:strCache>
            </c:strRef>
          </c:tx>
          <c:spPr>
            <a:ln w="3175">
              <a:noFill/>
            </a:ln>
          </c:spPr>
          <c:dPt>
            <c:idx val="0"/>
            <c:bubble3D val="0"/>
            <c:spPr>
              <a:gradFill>
                <a:gsLst>
                  <a:gs pos="0">
                    <a:srgbClr val="00FF00"/>
                  </a:gs>
                  <a:gs pos="96250">
                    <a:srgbClr val="00FF00"/>
                  </a:gs>
                  <a:gs pos="50000">
                    <a:srgbClr val="00FF00"/>
                  </a:gs>
                  <a:gs pos="100000">
                    <a:srgbClr val="92D050">
                      <a:lumMod val="74000"/>
                      <a:lumOff val="26000"/>
                    </a:srgbClr>
                  </a:gs>
                </a:gsLst>
                <a:lin ang="5400000" scaled="0"/>
              </a:gradFill>
              <a:ln w="3175">
                <a:noFill/>
              </a:ln>
              <a:scene3d>
                <a:camera prst="orthographicFront"/>
                <a:lightRig rig="threePt" dir="t">
                  <a:rot lat="0" lon="0" rev="1200000"/>
                </a:lightRig>
              </a:scene3d>
              <a:sp3d>
                <a:bevelT w="63500" h="38100"/>
              </a:sp3d>
            </c:spPr>
          </c:dPt>
          <c:dPt>
            <c:idx val="1"/>
            <c:bubble3D val="0"/>
            <c:explosion val="6"/>
            <c:spPr>
              <a:gradFill>
                <a:gsLst>
                  <a:gs pos="0">
                    <a:srgbClr val="FFC000">
                      <a:lumMod val="96000"/>
                      <a:lumOff val="4000"/>
                    </a:srgbClr>
                  </a:gs>
                  <a:gs pos="69000">
                    <a:srgbClr val="FFB64E"/>
                  </a:gs>
                  <a:gs pos="19000">
                    <a:srgbClr val="FFCC99">
                      <a:lumMod val="86000"/>
                    </a:srgbClr>
                  </a:gs>
                  <a:gs pos="98000">
                    <a:srgbClr val="FFC000">
                      <a:lumMod val="87000"/>
                      <a:lumOff val="13000"/>
                    </a:srgbClr>
                  </a:gs>
                </a:gsLst>
                <a:lin ang="5400000" scaled="0"/>
              </a:gradFill>
              <a:ln w="3175">
                <a:noFill/>
              </a:ln>
            </c:spPr>
          </c:dPt>
          <c:dPt>
            <c:idx val="2"/>
            <c:bubble3D val="0"/>
            <c:explosion val="6"/>
            <c:spPr>
              <a:gradFill>
                <a:gsLst>
                  <a:gs pos="0">
                    <a:srgbClr val="934195">
                      <a:lumMod val="67000"/>
                      <a:lumOff val="33000"/>
                    </a:srgbClr>
                  </a:gs>
                  <a:gs pos="50000">
                    <a:srgbClr val="BC96C6">
                      <a:lumMod val="71000"/>
                      <a:lumOff val="29000"/>
                    </a:srgbClr>
                  </a:gs>
                  <a:gs pos="100000">
                    <a:srgbClr val="AF85D1">
                      <a:lumMod val="48000"/>
                      <a:lumOff val="52000"/>
                    </a:srgbClr>
                  </a:gs>
                </a:gsLst>
                <a:lin ang="5400000" scaled="0"/>
              </a:gradFill>
              <a:ln w="3175">
                <a:noFill/>
              </a:ln>
            </c:spPr>
          </c:dPt>
          <c:dPt>
            <c:idx val="3"/>
            <c:bubble3D val="0"/>
            <c:explosion val="6"/>
            <c:spPr>
              <a:gradFill>
                <a:gsLst>
                  <a:gs pos="0">
                    <a:srgbClr val="FF9999">
                      <a:lumMod val="89000"/>
                    </a:srgbClr>
                  </a:gs>
                  <a:gs pos="50000">
                    <a:srgbClr val="FF9999">
                      <a:lumMod val="96000"/>
                      <a:lumOff val="4000"/>
                    </a:srgbClr>
                  </a:gs>
                  <a:gs pos="100000">
                    <a:srgbClr val="FF99CC">
                      <a:lumMod val="99000"/>
                    </a:srgbClr>
                  </a:gs>
                </a:gsLst>
                <a:lin ang="5400000" scaled="0"/>
              </a:gradFill>
              <a:ln w="3175">
                <a:noFill/>
              </a:ln>
            </c:spPr>
          </c:dPt>
          <c:dLbls>
            <c:dLbl>
              <c:idx val="0"/>
              <c:layout>
                <c:manualLayout>
                  <c:x val="0.20085838701980435"/>
                  <c:y val="0.13711996937882764"/>
                </c:manualLayout>
              </c:layout>
              <c:tx>
                <c:rich>
                  <a:bodyPr/>
                  <a:lstStyle/>
                  <a:p>
                    <a:r>
                      <a:rPr lang="pl-PL" sz="800">
                        <a:latin typeface="Times New Roman" panose="02020603050405020304" pitchFamily="18" charset="0"/>
                        <a:cs typeface="Times New Roman" panose="02020603050405020304" pitchFamily="18" charset="0"/>
                      </a:rPr>
                      <a:t>Rolnictwo</a:t>
                    </a:r>
                  </a:p>
                  <a:p>
                    <a:r>
                      <a:rPr lang="pl-PL" sz="800">
                        <a:latin typeface="Times New Roman" panose="02020603050405020304" pitchFamily="18" charset="0"/>
                        <a:cs typeface="Times New Roman" panose="02020603050405020304" pitchFamily="18" charset="0"/>
                      </a:rPr>
                      <a:t>30</a:t>
                    </a:r>
                    <a:r>
                      <a:rPr lang="en-US" sz="800">
                        <a:latin typeface="Times New Roman" panose="02020603050405020304" pitchFamily="18" charset="0"/>
                        <a:cs typeface="Times New Roman" panose="02020603050405020304" pitchFamily="18" charset="0"/>
                      </a:rPr>
                      <a:t>,</a:t>
                    </a:r>
                    <a:r>
                      <a:rPr lang="pl-PL" sz="800">
                        <a:latin typeface="Times New Roman" panose="02020603050405020304" pitchFamily="18" charset="0"/>
                        <a:cs typeface="Times New Roman" panose="02020603050405020304" pitchFamily="18" charset="0"/>
                      </a:rPr>
                      <a:t>0 %</a:t>
                    </a:r>
                    <a:endParaRPr lang="en-US">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13333273511751201"/>
                  <c:y val="0.13629417534929347"/>
                </c:manualLayout>
              </c:layout>
              <c:tx>
                <c:rich>
                  <a:bodyPr/>
                  <a:lstStyle/>
                  <a:p>
                    <a:r>
                      <a:rPr lang="pl-PL" sz="800">
                        <a:latin typeface="Times New Roman" panose="02020603050405020304" pitchFamily="18" charset="0"/>
                        <a:cs typeface="Times New Roman" panose="02020603050405020304" pitchFamily="18" charset="0"/>
                      </a:rPr>
                      <a:t>Produkcja</a:t>
                    </a:r>
                  </a:p>
                  <a:p>
                    <a:r>
                      <a:rPr lang="pl-PL" sz="800">
                        <a:latin typeface="Times New Roman" panose="02020603050405020304" pitchFamily="18" charset="0"/>
                        <a:cs typeface="Times New Roman" panose="02020603050405020304" pitchFamily="18" charset="0"/>
                      </a:rPr>
                      <a:t>25</a:t>
                    </a:r>
                    <a:r>
                      <a:rPr lang="en-US" sz="800">
                        <a:latin typeface="Times New Roman" panose="02020603050405020304" pitchFamily="18" charset="0"/>
                        <a:cs typeface="Times New Roman" panose="02020603050405020304" pitchFamily="18" charset="0"/>
                      </a:rPr>
                      <a:t>,</a:t>
                    </a:r>
                    <a:r>
                      <a:rPr lang="pl-PL" sz="800">
                        <a:latin typeface="Times New Roman" panose="02020603050405020304" pitchFamily="18" charset="0"/>
                        <a:cs typeface="Times New Roman" panose="02020603050405020304" pitchFamily="18" charset="0"/>
                      </a:rPr>
                      <a:t>8 %</a:t>
                    </a:r>
                    <a:endParaRPr lang="en-US"/>
                  </a:p>
                </c:rich>
              </c:tx>
              <c:showLegendKey val="0"/>
              <c:showVal val="1"/>
              <c:showCatName val="0"/>
              <c:showSerName val="0"/>
              <c:showPercent val="0"/>
              <c:showBubbleSize val="0"/>
            </c:dLbl>
            <c:dLbl>
              <c:idx val="2"/>
              <c:layout>
                <c:manualLayout>
                  <c:x val="-0.13844867682138023"/>
                  <c:y val="-0.14976218881730693"/>
                </c:manualLayout>
              </c:layout>
              <c:tx>
                <c:rich>
                  <a:bodyPr/>
                  <a:lstStyle/>
                  <a:p>
                    <a:r>
                      <a:rPr lang="pl-PL" sz="800"/>
                      <a:t>Handel</a:t>
                    </a:r>
                  </a:p>
                  <a:p>
                    <a:r>
                      <a:rPr lang="pl-PL" sz="800"/>
                      <a:t>12,1 %</a:t>
                    </a:r>
                    <a:endParaRPr lang="en-US"/>
                  </a:p>
                </c:rich>
              </c:tx>
              <c:showLegendKey val="0"/>
              <c:showVal val="1"/>
              <c:showCatName val="0"/>
              <c:showSerName val="0"/>
              <c:showPercent val="0"/>
              <c:showBubbleSize val="0"/>
            </c:dLbl>
            <c:dLbl>
              <c:idx val="3"/>
              <c:layout>
                <c:manualLayout>
                  <c:x val="6.850781730373165E-2"/>
                  <c:y val="-0.30644760329854459"/>
                </c:manualLayout>
              </c:layout>
              <c:tx>
                <c:rich>
                  <a:bodyPr/>
                  <a:lstStyle/>
                  <a:p>
                    <a:r>
                      <a:rPr lang="pl-PL" sz="800"/>
                      <a:t>Usługi</a:t>
                    </a:r>
                  </a:p>
                  <a:p>
                    <a:r>
                      <a:rPr lang="pl-PL" sz="800"/>
                      <a:t>32,2 %</a:t>
                    </a:r>
                    <a:endParaRPr lang="en-US"/>
                  </a:p>
                </c:rich>
              </c:tx>
              <c:showLegendKey val="0"/>
              <c:showVal val="1"/>
              <c:showCatName val="0"/>
              <c:showSerName val="0"/>
              <c:showPercent val="0"/>
              <c:showBubbleSize val="0"/>
            </c:dLbl>
            <c:dLbl>
              <c:idx val="4"/>
              <c:layout>
                <c:manualLayout>
                  <c:x val="-0.31219512845254532"/>
                  <c:y val="-1.0222284161382482E-2"/>
                </c:manualLayout>
              </c:layout>
              <c:tx>
                <c:rich>
                  <a:bodyPr/>
                  <a:lstStyle/>
                  <a:p>
                    <a:r>
                      <a:rPr lang="pl-PL" sz="800"/>
                      <a:t>1000 i więcej</a:t>
                    </a:r>
                  </a:p>
                  <a:p>
                    <a:r>
                      <a:rPr lang="en-US" sz="800"/>
                      <a:t>0,0</a:t>
                    </a:r>
                    <a:r>
                      <a:rPr lang="pl-PL" sz="800"/>
                      <a:t>2 %</a:t>
                    </a:r>
                    <a:endParaRPr lang="en-US"/>
                  </a:p>
                </c:rich>
              </c:tx>
              <c:showLegendKey val="0"/>
              <c:showVal val="1"/>
              <c:showCatName val="0"/>
              <c:showSerName val="0"/>
              <c:showPercent val="0"/>
              <c:showBubbleSize val="0"/>
            </c:dLbl>
            <c:numFmt formatCode="#,##0.0" sourceLinked="0"/>
            <c:txPr>
              <a:bodyPr/>
              <a:lstStyle/>
              <a:p>
                <a:pPr>
                  <a:defRPr sz="8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'wg sekcji'!$J$15:$J$18</c:f>
              <c:strCache>
                <c:ptCount val="4"/>
                <c:pt idx="0">
                  <c:v>A</c:v>
                </c:pt>
                <c:pt idx="1">
                  <c:v>B-F</c:v>
                </c:pt>
                <c:pt idx="2">
                  <c:v>G</c:v>
                </c:pt>
                <c:pt idx="3">
                  <c:v>H-U</c:v>
                </c:pt>
              </c:strCache>
            </c:strRef>
          </c:cat>
          <c:val>
            <c:numRef>
              <c:f>'wg sekcji'!$L$15:$L$18</c:f>
              <c:numCache>
                <c:formatCode>0.0</c:formatCode>
                <c:ptCount val="4"/>
                <c:pt idx="0">
                  <c:v>29.97788440129256</c:v>
                </c:pt>
                <c:pt idx="1">
                  <c:v>25.787803310763962</c:v>
                </c:pt>
                <c:pt idx="2">
                  <c:v>12.06655676163953</c:v>
                </c:pt>
                <c:pt idx="3">
                  <c:v>32.167755526303949</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14976271005977113"/>
          <c:y val="0.67575701159747248"/>
          <c:w val="0.12659316058497597"/>
          <c:h val="0.26232243696810631"/>
        </c:manualLayout>
      </c:layout>
      <c:overlay val="0"/>
      <c:txPr>
        <a:bodyPr/>
        <a:lstStyle/>
        <a:p>
          <a:pPr rtl="0">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800"/>
            </a:pPr>
            <a:r>
              <a:rPr lang="pl-PL" sz="800" b="0">
                <a:latin typeface="Arial" panose="020B0604020202020204" pitchFamily="34" charset="0"/>
                <a:cs typeface="Arial" panose="020B0604020202020204" pitchFamily="34" charset="0"/>
              </a:rPr>
              <a:t>Odsetek osób w wieku 25-64 lat</a:t>
            </a:r>
          </a:p>
          <a:p>
            <a:pPr algn="l">
              <a:defRPr sz="800"/>
            </a:pPr>
            <a:r>
              <a:rPr lang="pl-PL" sz="800" b="0">
                <a:latin typeface="Arial" panose="020B0604020202020204" pitchFamily="34" charset="0"/>
                <a:cs typeface="Arial" panose="020B0604020202020204" pitchFamily="34" charset="0"/>
              </a:rPr>
              <a:t>uczestn. w kształceniu (lub szkoleniu)</a:t>
            </a:r>
          </a:p>
        </c:rich>
      </c:tx>
      <c:layout>
        <c:manualLayout>
          <c:xMode val="edge"/>
          <c:yMode val="edge"/>
          <c:x val="0.64085327074500298"/>
          <c:y val="0.83761482939632548"/>
        </c:manualLayout>
      </c:layout>
      <c:overlay val="0"/>
    </c:title>
    <c:autoTitleDeleted val="0"/>
    <c:plotArea>
      <c:layout>
        <c:manualLayout>
          <c:layoutTarget val="inner"/>
          <c:xMode val="edge"/>
          <c:yMode val="edge"/>
          <c:x val="0.19770915354330709"/>
          <c:y val="0.11518229089288368"/>
          <c:w val="0.92032630118616554"/>
          <c:h val="0.93489653863565825"/>
        </c:manualLayout>
      </c:layout>
      <c:barChart>
        <c:barDir val="bar"/>
        <c:grouping val="clustered"/>
        <c:varyColors val="0"/>
        <c:ser>
          <c:idx val="0"/>
          <c:order val="0"/>
          <c:tx>
            <c:strRef>
              <c:f>Arkusz1!$V$2</c:f>
              <c:strCache>
                <c:ptCount val="1"/>
                <c:pt idx="0">
                  <c:v>2020</c:v>
                </c:pt>
              </c:strCache>
            </c:strRef>
          </c:tx>
          <c:spPr>
            <a:pattFill prst="dkUpDiag">
              <a:fgClr>
                <a:schemeClr val="accent4">
                  <a:lumMod val="75000"/>
                </a:schemeClr>
              </a:fgClr>
              <a:bgClr>
                <a:schemeClr val="bg1"/>
              </a:bgClr>
            </a:pattFill>
            <a:ln w="3175">
              <a:solidFill>
                <a:schemeClr val="tx1"/>
              </a:solidFill>
              <a:prstDash val="sysDot"/>
            </a:ln>
          </c:spPr>
          <c:invertIfNegative val="0"/>
          <c:dPt>
            <c:idx val="4"/>
            <c:invertIfNegative val="0"/>
            <c:bubble3D val="0"/>
          </c:dPt>
          <c:dPt>
            <c:idx val="11"/>
            <c:invertIfNegative val="0"/>
            <c:bubble3D val="0"/>
          </c:dPt>
          <c:dPt>
            <c:idx val="15"/>
            <c:invertIfNegative val="0"/>
            <c:bubble3D val="0"/>
            <c:spPr>
              <a:solidFill>
                <a:srgbClr val="3BFF9D"/>
              </a:solidFill>
              <a:ln w="3175">
                <a:solidFill>
                  <a:schemeClr val="tx1"/>
                </a:solidFill>
                <a:prstDash val="sysDot"/>
              </a:ln>
            </c:spPr>
          </c:dPt>
          <c:dLbls>
            <c:txPr>
              <a:bodyPr/>
              <a:lstStyle/>
              <a:p>
                <a:pPr>
                  <a:defRPr sz="800" b="0">
                    <a:solidFill>
                      <a:schemeClr val="tx1"/>
                    </a:solidFill>
                    <a:latin typeface="Arial" panose="020B0604020202020204" pitchFamily="34" charset="0"/>
                    <a:cs typeface="Arial" panose="020B0604020202020204" pitchFamily="34" charset="0"/>
                  </a:defRPr>
                </a:pPr>
                <a:endParaRPr lang="pl-PL"/>
              </a:p>
            </c:txPr>
            <c:dLblPos val="outEnd"/>
            <c:showLegendKey val="0"/>
            <c:showVal val="1"/>
            <c:showCatName val="0"/>
            <c:showSerName val="0"/>
            <c:showPercent val="0"/>
            <c:showBubbleSize val="0"/>
            <c:showLeaderLines val="0"/>
          </c:dLbls>
          <c:cat>
            <c:strRef>
              <c:f>Arkusz1!$B$4:$B$20</c:f>
              <c:strCache>
                <c:ptCount val="17"/>
                <c:pt idx="0">
                  <c:v>MAZOWIECKIE</c:v>
                </c:pt>
                <c:pt idx="1">
                  <c:v>DOLNOŚLĄSKIE</c:v>
                </c:pt>
                <c:pt idx="2">
                  <c:v>MAŁOPOLSKIE</c:v>
                </c:pt>
                <c:pt idx="3">
                  <c:v>LUBELSKIE</c:v>
                </c:pt>
                <c:pt idx="4">
                  <c:v>POMORSKIE</c:v>
                </c:pt>
                <c:pt idx="5">
                  <c:v>KUJAWSKO-POMORSKIE</c:v>
                </c:pt>
                <c:pt idx="6">
                  <c:v>POLSKA</c:v>
                </c:pt>
                <c:pt idx="7">
                  <c:v>ŚLĄSKIE</c:v>
                </c:pt>
                <c:pt idx="8">
                  <c:v>PODLASKIE</c:v>
                </c:pt>
                <c:pt idx="9">
                  <c:v>ŁÓDZKIE</c:v>
                </c:pt>
                <c:pt idx="10">
                  <c:v>LUBUSKIE</c:v>
                </c:pt>
                <c:pt idx="11">
                  <c:v>OPOLSKIE</c:v>
                </c:pt>
                <c:pt idx="12">
                  <c:v>WIELKOPOLSKIE</c:v>
                </c:pt>
                <c:pt idx="13">
                  <c:v>ZACHODNIOPOMORSKIE</c:v>
                </c:pt>
                <c:pt idx="14">
                  <c:v>WARMIŃSKO-MAZURSKIE</c:v>
                </c:pt>
                <c:pt idx="15">
                  <c:v>PODKARPACKIE</c:v>
                </c:pt>
                <c:pt idx="16">
                  <c:v>ŚWIĘTOKRZYSKIE</c:v>
                </c:pt>
              </c:strCache>
            </c:strRef>
          </c:cat>
          <c:val>
            <c:numRef>
              <c:f>Arkusz1!$V$4:$V$20</c:f>
              <c:numCache>
                <c:formatCode>#,##0.0</c:formatCode>
                <c:ptCount val="17"/>
                <c:pt idx="0">
                  <c:v>5.5</c:v>
                </c:pt>
                <c:pt idx="1">
                  <c:v>4.9000000000000004</c:v>
                </c:pt>
                <c:pt idx="2">
                  <c:v>4.8</c:v>
                </c:pt>
                <c:pt idx="3">
                  <c:v>4.3</c:v>
                </c:pt>
                <c:pt idx="4">
                  <c:v>4.0999999999999996</c:v>
                </c:pt>
                <c:pt idx="5">
                  <c:v>3.8</c:v>
                </c:pt>
                <c:pt idx="6">
                  <c:v>3.7</c:v>
                </c:pt>
                <c:pt idx="7">
                  <c:v>3.4</c:v>
                </c:pt>
                <c:pt idx="8">
                  <c:v>3.1</c:v>
                </c:pt>
                <c:pt idx="9">
                  <c:v>2.8</c:v>
                </c:pt>
                <c:pt idx="10">
                  <c:v>2.7</c:v>
                </c:pt>
                <c:pt idx="11">
                  <c:v>2.7</c:v>
                </c:pt>
                <c:pt idx="12">
                  <c:v>2.6</c:v>
                </c:pt>
                <c:pt idx="13">
                  <c:v>2.5</c:v>
                </c:pt>
                <c:pt idx="14">
                  <c:v>2.2000000000000002</c:v>
                </c:pt>
                <c:pt idx="15">
                  <c:v>2</c:v>
                </c:pt>
                <c:pt idx="16">
                  <c:v>2</c:v>
                </c:pt>
              </c:numCache>
            </c:numRef>
          </c:val>
        </c:ser>
        <c:dLbls>
          <c:showLegendKey val="0"/>
          <c:showVal val="0"/>
          <c:showCatName val="0"/>
          <c:showSerName val="0"/>
          <c:showPercent val="0"/>
          <c:showBubbleSize val="0"/>
        </c:dLbls>
        <c:gapWidth val="42"/>
        <c:overlap val="100"/>
        <c:axId val="227111680"/>
        <c:axId val="227113216"/>
      </c:barChart>
      <c:catAx>
        <c:axId val="227111680"/>
        <c:scaling>
          <c:orientation val="maxMin"/>
        </c:scaling>
        <c:delete val="0"/>
        <c:axPos val="l"/>
        <c:numFmt formatCode="General" sourceLinked="1"/>
        <c:majorTickMark val="none"/>
        <c:minorTickMark val="none"/>
        <c:tickLblPos val="nextTo"/>
        <c:spPr>
          <a:ln w="9525">
            <a:solidFill>
              <a:srgbClr val="0000FF">
                <a:alpha val="67843"/>
              </a:srgbClr>
            </a:solidFill>
            <a:prstDash val="solid"/>
          </a:ln>
        </c:spPr>
        <c:txPr>
          <a:bodyPr/>
          <a:lstStyle/>
          <a:p>
            <a:pPr>
              <a:defRPr sz="600" b="0">
                <a:solidFill>
                  <a:schemeClr val="tx1"/>
                </a:solidFill>
                <a:latin typeface="Arial" panose="020B0604020202020204" pitchFamily="34" charset="0"/>
                <a:cs typeface="Arial" panose="020B0604020202020204" pitchFamily="34" charset="0"/>
              </a:defRPr>
            </a:pPr>
            <a:endParaRPr lang="pl-PL"/>
          </a:p>
        </c:txPr>
        <c:crossAx val="227113216"/>
        <c:crosses val="autoZero"/>
        <c:auto val="1"/>
        <c:lblAlgn val="ctr"/>
        <c:lblOffset val="100"/>
        <c:noMultiLvlLbl val="0"/>
      </c:catAx>
      <c:valAx>
        <c:axId val="227113216"/>
        <c:scaling>
          <c:orientation val="minMax"/>
        </c:scaling>
        <c:delete val="0"/>
        <c:axPos val="t"/>
        <c:majorGridlines>
          <c:spPr>
            <a:ln>
              <a:solidFill>
                <a:schemeClr val="accent4">
                  <a:lumMod val="75000"/>
                  <a:alpha val="33000"/>
                </a:schemeClr>
              </a:solidFill>
            </a:ln>
          </c:spPr>
        </c:majorGridlines>
        <c:minorGridlines>
          <c:spPr>
            <a:ln w="6350">
              <a:solidFill>
                <a:srgbClr val="2EB0AA"/>
              </a:solidFill>
              <a:prstDash val="sysDot"/>
            </a:ln>
          </c:spPr>
        </c:minorGridlines>
        <c:numFmt formatCode="#,##0.0" sourceLinked="1"/>
        <c:majorTickMark val="out"/>
        <c:minorTickMark val="none"/>
        <c:tickLblPos val="nextTo"/>
        <c:spPr>
          <a:noFill/>
          <a:ln>
            <a:solidFill>
              <a:schemeClr val="accent4">
                <a:lumMod val="60000"/>
                <a:lumOff val="40000"/>
              </a:schemeClr>
            </a:solidFill>
          </a:ln>
        </c:spPr>
        <c:txPr>
          <a:bodyPr/>
          <a:lstStyle/>
          <a:p>
            <a:pPr>
              <a:defRPr sz="800">
                <a:latin typeface="Arial" panose="020B0604020202020204" pitchFamily="34" charset="0"/>
                <a:ea typeface="Verdana" panose="020B0604030504040204" pitchFamily="34" charset="0"/>
                <a:cs typeface="Arial" panose="020B0604020202020204" pitchFamily="34" charset="0"/>
              </a:defRPr>
            </a:pPr>
            <a:endParaRPr lang="pl-PL"/>
          </a:p>
        </c:txPr>
        <c:crossAx val="227111680"/>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layout>
        <c:manualLayout>
          <c:xMode val="edge"/>
          <c:yMode val="edge"/>
          <c:x val="0.74786296449785883"/>
          <c:y val="0.88086859929025729"/>
        </c:manualLayout>
      </c:layout>
      <c:overlay val="1"/>
      <c:txPr>
        <a:bodyPr/>
        <a:lstStyle/>
        <a:p>
          <a:pPr>
            <a:defRPr sz="900" b="0">
              <a:latin typeface="Arial" panose="020B0604020202020204" pitchFamily="34" charset="0"/>
              <a:cs typeface="Arial" panose="020B0604020202020204" pitchFamily="34" charset="0"/>
            </a:defRPr>
          </a:pPr>
          <a:endParaRPr lang="pl-PL"/>
        </a:p>
      </c:txPr>
    </c:title>
    <c:autoTitleDeleted val="0"/>
    <c:view3D>
      <c:rotX val="50"/>
      <c:rotY val="70"/>
      <c:depthPercent val="210"/>
      <c:rAngAx val="0"/>
      <c:perspective val="50"/>
    </c:view3D>
    <c:floor>
      <c:thickness val="0"/>
    </c:floor>
    <c:sideWall>
      <c:thickness val="0"/>
    </c:sideWall>
    <c:backWall>
      <c:thickness val="0"/>
    </c:backWall>
    <c:plotArea>
      <c:layout>
        <c:manualLayout>
          <c:layoutTarget val="inner"/>
          <c:xMode val="edge"/>
          <c:yMode val="edge"/>
          <c:x val="1.5519405252008473E-2"/>
          <c:y val="7.0328204579701206E-3"/>
          <c:w val="0.98448062319612184"/>
          <c:h val="0.97724464129483812"/>
        </c:manualLayout>
      </c:layout>
      <c:pie3DChart>
        <c:varyColors val="1"/>
        <c:ser>
          <c:idx val="0"/>
          <c:order val="0"/>
          <c:tx>
            <c:strRef>
              <c:f>T.XIV!$P$10</c:f>
              <c:strCache>
                <c:ptCount val="1"/>
                <c:pt idx="0">
                  <c:v>30 VI 2021 r.</c:v>
                </c:pt>
              </c:strCache>
            </c:strRef>
          </c:tx>
          <c:spPr>
            <a:ln w="3175">
              <a:noFill/>
            </a:ln>
            <a:scene3d>
              <a:camera prst="orthographicFront"/>
              <a:lightRig rig="threePt" dir="t">
                <a:rot lat="0" lon="0" rev="1200000"/>
              </a:lightRig>
            </a:scene3d>
            <a:sp3d>
              <a:bevelT h="25400"/>
            </a:sp3d>
          </c:spPr>
          <c:explosion val="4"/>
          <c:dPt>
            <c:idx val="0"/>
            <c:bubble3D val="0"/>
            <c:spPr>
              <a:gradFill>
                <a:gsLst>
                  <a:gs pos="0">
                    <a:srgbClr val="00FF00"/>
                  </a:gs>
                  <a:gs pos="96250">
                    <a:srgbClr val="00FF00"/>
                  </a:gs>
                  <a:gs pos="50000">
                    <a:srgbClr val="00FF00"/>
                  </a:gs>
                  <a:gs pos="100000">
                    <a:srgbClr val="92D050">
                      <a:lumMod val="74000"/>
                      <a:lumOff val="26000"/>
                    </a:srgbClr>
                  </a:gs>
                </a:gsLst>
                <a:lin ang="5400000" scaled="0"/>
              </a:gradFill>
              <a:ln w="3175">
                <a:noFill/>
              </a:ln>
              <a:scene3d>
                <a:camera prst="orthographicFront"/>
                <a:lightRig rig="threePt" dir="t">
                  <a:rot lat="0" lon="0" rev="1200000"/>
                </a:lightRig>
              </a:scene3d>
              <a:sp3d>
                <a:bevelT h="25400"/>
              </a:sp3d>
            </c:spPr>
          </c:dPt>
          <c:dPt>
            <c:idx val="1"/>
            <c:bubble3D val="0"/>
            <c:spPr>
              <a:gradFill>
                <a:gsLst>
                  <a:gs pos="0">
                    <a:srgbClr val="FFC000">
                      <a:lumMod val="96000"/>
                      <a:lumOff val="4000"/>
                    </a:srgbClr>
                  </a:gs>
                  <a:gs pos="69000">
                    <a:srgbClr val="FFB64E"/>
                  </a:gs>
                  <a:gs pos="19000">
                    <a:srgbClr val="FFCC99">
                      <a:lumMod val="86000"/>
                    </a:srgbClr>
                  </a:gs>
                  <a:gs pos="98000">
                    <a:srgbClr val="FFC000">
                      <a:lumMod val="87000"/>
                      <a:lumOff val="13000"/>
                    </a:srgbClr>
                  </a:gs>
                </a:gsLst>
                <a:lin ang="5400000" scaled="0"/>
              </a:gradFill>
              <a:ln w="3175">
                <a:noFill/>
              </a:ln>
              <a:scene3d>
                <a:camera prst="orthographicFront"/>
                <a:lightRig rig="threePt" dir="t">
                  <a:rot lat="0" lon="0" rev="1200000"/>
                </a:lightRig>
              </a:scene3d>
              <a:sp3d>
                <a:bevelT h="25400"/>
              </a:sp3d>
            </c:spPr>
          </c:dPt>
          <c:dPt>
            <c:idx val="2"/>
            <c:bubble3D val="0"/>
            <c:spPr>
              <a:gradFill>
                <a:gsLst>
                  <a:gs pos="0">
                    <a:srgbClr val="934195">
                      <a:lumMod val="67000"/>
                      <a:lumOff val="33000"/>
                    </a:srgbClr>
                  </a:gs>
                  <a:gs pos="50000">
                    <a:srgbClr val="BC96C6">
                      <a:lumMod val="71000"/>
                      <a:lumOff val="29000"/>
                    </a:srgbClr>
                  </a:gs>
                  <a:gs pos="100000">
                    <a:srgbClr val="AF85D1">
                      <a:lumMod val="48000"/>
                      <a:lumOff val="52000"/>
                    </a:srgbClr>
                  </a:gs>
                </a:gsLst>
                <a:lin ang="5400000" scaled="0"/>
              </a:gradFill>
              <a:ln w="3175">
                <a:noFill/>
              </a:ln>
              <a:scene3d>
                <a:camera prst="orthographicFront"/>
                <a:lightRig rig="threePt" dir="t">
                  <a:rot lat="0" lon="0" rev="1200000"/>
                </a:lightRig>
              </a:scene3d>
              <a:sp3d>
                <a:bevelT h="25400"/>
              </a:sp3d>
            </c:spPr>
          </c:dPt>
          <c:dPt>
            <c:idx val="3"/>
            <c:bubble3D val="0"/>
            <c:spPr>
              <a:gradFill>
                <a:gsLst>
                  <a:gs pos="0">
                    <a:srgbClr val="FF9999">
                      <a:lumMod val="89000"/>
                    </a:srgbClr>
                  </a:gs>
                  <a:gs pos="50000">
                    <a:srgbClr val="FF9999">
                      <a:lumMod val="96000"/>
                      <a:lumOff val="4000"/>
                    </a:srgbClr>
                  </a:gs>
                  <a:gs pos="100000">
                    <a:srgbClr val="FF99CC">
                      <a:lumMod val="99000"/>
                    </a:srgbClr>
                  </a:gs>
                </a:gsLst>
                <a:lin ang="5400000" scaled="0"/>
              </a:gradFill>
              <a:ln w="3175">
                <a:noFill/>
              </a:ln>
              <a:scene3d>
                <a:camera prst="orthographicFront"/>
                <a:lightRig rig="threePt" dir="t">
                  <a:rot lat="0" lon="0" rev="1200000"/>
                </a:lightRig>
              </a:scene3d>
              <a:sp3d>
                <a:bevelT h="25400"/>
              </a:sp3d>
            </c:spPr>
          </c:dPt>
          <c:dLbls>
            <c:dLbl>
              <c:idx val="0"/>
              <c:layout>
                <c:manualLayout>
                  <c:x val="-0.20277681924960517"/>
                  <c:y val="-0.20883366570961151"/>
                </c:manualLayout>
              </c:layout>
              <c:tx>
                <c:rich>
                  <a:bodyPr/>
                  <a:lstStyle/>
                  <a:p>
                    <a:r>
                      <a:rPr lang="pl-PL" sz="1000">
                        <a:latin typeface="Times New Roman" panose="02020603050405020304" pitchFamily="18" charset="0"/>
                        <a:cs typeface="Times New Roman" panose="02020603050405020304" pitchFamily="18" charset="0"/>
                      </a:rPr>
                      <a:t>bezr. w wieku do 30 r.ż. tj. 26</a:t>
                    </a:r>
                    <a:r>
                      <a:rPr lang="en-US" sz="1000">
                        <a:latin typeface="Times New Roman" panose="02020603050405020304" pitchFamily="18" charset="0"/>
                        <a:cs typeface="Times New Roman" panose="02020603050405020304" pitchFamily="18" charset="0"/>
                      </a:rPr>
                      <a:t>,</a:t>
                    </a:r>
                    <a:r>
                      <a:rPr lang="pl-PL" sz="1000">
                        <a:latin typeface="Times New Roman" panose="02020603050405020304" pitchFamily="18" charset="0"/>
                        <a:cs typeface="Times New Roman" panose="02020603050405020304" pitchFamily="18" charset="0"/>
                      </a:rPr>
                      <a:t>3%</a:t>
                    </a:r>
                    <a:endParaRPr lang="en-US">
                      <a:latin typeface="Times New Roman" panose="02020603050405020304" pitchFamily="18" charset="0"/>
                      <a:cs typeface="Times New Roman" panose="02020603050405020304" pitchFamily="18" charset="0"/>
                    </a:endParaRPr>
                  </a:p>
                </c:rich>
              </c:tx>
              <c:showLegendKey val="0"/>
              <c:showVal val="1"/>
              <c:showCatName val="0"/>
              <c:showSerName val="0"/>
              <c:showPercent val="0"/>
              <c:showBubbleSize val="0"/>
            </c:dLbl>
            <c:dLbl>
              <c:idx val="1"/>
              <c:layout>
                <c:manualLayout>
                  <c:x val="0.27144633053295647"/>
                  <c:y val="-0.12448080939516946"/>
                </c:manualLayout>
              </c:layout>
              <c:tx>
                <c:rich>
                  <a:bodyPr/>
                  <a:lstStyle/>
                  <a:p>
                    <a:r>
                      <a:rPr lang="pl-PL" sz="1000">
                        <a:latin typeface="Times New Roman" panose="02020603050405020304" pitchFamily="18" charset="0"/>
                        <a:cs typeface="Times New Roman" panose="02020603050405020304" pitchFamily="18" charset="0"/>
                      </a:rPr>
                      <a:t>bezrobotni w wieku 31-50 lat tj. 50,0%</a:t>
                    </a:r>
                    <a:endParaRPr lang="en-US"/>
                  </a:p>
                </c:rich>
              </c:tx>
              <c:showLegendKey val="0"/>
              <c:showVal val="1"/>
              <c:showCatName val="0"/>
              <c:showSerName val="0"/>
              <c:showPercent val="0"/>
              <c:showBubbleSize val="0"/>
            </c:dLbl>
            <c:dLbl>
              <c:idx val="2"/>
              <c:layout>
                <c:manualLayout>
                  <c:x val="-0.17034492636291645"/>
                  <c:y val="5.5437691627103672E-2"/>
                </c:manualLayout>
              </c:layout>
              <c:tx>
                <c:rich>
                  <a:bodyPr/>
                  <a:lstStyle/>
                  <a:p>
                    <a:r>
                      <a:rPr lang="pl-PL" sz="1000"/>
                      <a:t>bezr. w wieku pow. 50 lat tj. 23,7%</a:t>
                    </a:r>
                    <a:endParaRPr lang="en-US"/>
                  </a:p>
                </c:rich>
              </c:tx>
              <c:showLegendKey val="0"/>
              <c:showVal val="1"/>
              <c:showCatName val="0"/>
              <c:showSerName val="0"/>
              <c:showPercent val="0"/>
              <c:showBubbleSize val="0"/>
            </c:dLbl>
            <c:dLbl>
              <c:idx val="3"/>
              <c:layout>
                <c:manualLayout>
                  <c:x val="6.8508509327532052E-2"/>
                  <c:y val="-0.32730992158199795"/>
                </c:manualLayout>
              </c:layout>
              <c:tx>
                <c:rich>
                  <a:bodyPr/>
                  <a:lstStyle/>
                  <a:p>
                    <a:r>
                      <a:rPr lang="pl-PL" sz="1000"/>
                      <a:t>Usługi</a:t>
                    </a:r>
                  </a:p>
                  <a:p>
                    <a:r>
                      <a:rPr lang="pl-PL" sz="1000"/>
                      <a:t>31,8 %</a:t>
                    </a:r>
                    <a:endParaRPr lang="en-US"/>
                  </a:p>
                </c:rich>
              </c:tx>
              <c:showLegendKey val="0"/>
              <c:showVal val="1"/>
              <c:showCatName val="0"/>
              <c:showSerName val="0"/>
              <c:showPercent val="0"/>
              <c:showBubbleSize val="0"/>
            </c:dLbl>
            <c:dLbl>
              <c:idx val="4"/>
              <c:layout>
                <c:manualLayout>
                  <c:x val="-0.31219512845254532"/>
                  <c:y val="-1.0222284161382482E-2"/>
                </c:manualLayout>
              </c:layout>
              <c:tx>
                <c:rich>
                  <a:bodyPr/>
                  <a:lstStyle/>
                  <a:p>
                    <a:r>
                      <a:rPr lang="pl-PL" sz="1000"/>
                      <a:t>1000 i więcej</a:t>
                    </a:r>
                  </a:p>
                  <a:p>
                    <a:r>
                      <a:rPr lang="en-US" sz="1000"/>
                      <a:t>0,0</a:t>
                    </a:r>
                    <a:r>
                      <a:rPr lang="pl-PL" sz="1000"/>
                      <a:t>2 %</a:t>
                    </a:r>
                    <a:endParaRPr lang="en-US"/>
                  </a:p>
                </c:rich>
              </c:tx>
              <c:showLegendKey val="0"/>
              <c:showVal val="1"/>
              <c:showCatName val="0"/>
              <c:showSerName val="0"/>
              <c:showPercent val="0"/>
              <c:showBubbleSize val="0"/>
            </c:dLbl>
            <c:numFmt formatCode="#,##0.0" sourceLinked="0"/>
            <c:txPr>
              <a:bodyPr/>
              <a:lstStyle/>
              <a:p>
                <a:pPr>
                  <a:defRPr sz="10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T.XIV!$P$11:$P$13</c:f>
              <c:strCache>
                <c:ptCount val="3"/>
                <c:pt idx="0">
                  <c:v>do 30</c:v>
                </c:pt>
                <c:pt idx="1">
                  <c:v>31-50</c:v>
                </c:pt>
                <c:pt idx="2">
                  <c:v>pow.50</c:v>
                </c:pt>
              </c:strCache>
            </c:strRef>
          </c:cat>
          <c:val>
            <c:numRef>
              <c:f>T.XIV!$R$11:$R$13</c:f>
              <c:numCache>
                <c:formatCode>0.0</c:formatCode>
                <c:ptCount val="3"/>
                <c:pt idx="0">
                  <c:v>26.289780589049215</c:v>
                </c:pt>
                <c:pt idx="1">
                  <c:v>50.024708440403245</c:v>
                </c:pt>
                <c:pt idx="2">
                  <c:v>23.685510970547536</c:v>
                </c:pt>
              </c:numCache>
            </c:numRef>
          </c:val>
        </c:ser>
        <c:dLbls>
          <c:showLegendKey val="0"/>
          <c:showVal val="0"/>
          <c:showCatName val="0"/>
          <c:showSerName val="0"/>
          <c:showPercent val="0"/>
          <c:showBubbleSize val="0"/>
          <c:showLeaderLines val="1"/>
        </c:dLbls>
      </c:pie3DChart>
    </c:plotArea>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900" b="0"/>
            </a:pPr>
            <a:r>
              <a:rPr lang="pl-PL" sz="900" b="0">
                <a:latin typeface="Arial" panose="020B0604020202020204" pitchFamily="34" charset="0"/>
                <a:cs typeface="Arial" panose="020B0604020202020204" pitchFamily="34" charset="0"/>
              </a:rPr>
              <a:t>Produkt  Krajowy Brutto</a:t>
            </a:r>
          </a:p>
          <a:p>
            <a:pPr algn="l">
              <a:defRPr sz="900" b="0"/>
            </a:pPr>
            <a:r>
              <a:rPr lang="pl-PL" sz="900" b="0">
                <a:latin typeface="Arial" panose="020B0604020202020204" pitchFamily="34" charset="0"/>
                <a:cs typeface="Arial" panose="020B0604020202020204" pitchFamily="34" charset="0"/>
              </a:rPr>
              <a:t>przypadający</a:t>
            </a:r>
          </a:p>
          <a:p>
            <a:pPr algn="l">
              <a:defRPr sz="900" b="0"/>
            </a:pPr>
            <a:r>
              <a:rPr lang="pl-PL" sz="900" b="0">
                <a:latin typeface="Arial" panose="020B0604020202020204" pitchFamily="34" charset="0"/>
                <a:cs typeface="Arial" panose="020B0604020202020204" pitchFamily="34" charset="0"/>
              </a:rPr>
              <a:t>na 1 MIESZKAŃCA</a:t>
            </a:r>
          </a:p>
        </c:rich>
      </c:tx>
      <c:layout>
        <c:manualLayout>
          <c:xMode val="edge"/>
          <c:yMode val="edge"/>
          <c:x val="0.6597210868872605"/>
          <c:y val="0.89866121790854292"/>
        </c:manualLayout>
      </c:layout>
      <c:overlay val="1"/>
    </c:title>
    <c:autoTitleDeleted val="0"/>
    <c:plotArea>
      <c:layout>
        <c:manualLayout>
          <c:layoutTarget val="inner"/>
          <c:xMode val="edge"/>
          <c:yMode val="edge"/>
          <c:x val="6.4450208429828626E-2"/>
          <c:y val="1.437922192942051E-2"/>
          <c:w val="0.92032630118616554"/>
          <c:h val="0.95567606230900148"/>
        </c:manualLayout>
      </c:layout>
      <c:barChart>
        <c:barDir val="bar"/>
        <c:grouping val="clustered"/>
        <c:varyColors val="0"/>
        <c:ser>
          <c:idx val="1"/>
          <c:order val="1"/>
          <c:tx>
            <c:strRef>
              <c:f>Arkusz3!$C$2</c:f>
              <c:strCache>
                <c:ptCount val="1"/>
                <c:pt idx="0">
                  <c:v>2018</c:v>
                </c:pt>
              </c:strCache>
            </c:strRef>
          </c:tx>
          <c:spPr>
            <a:solidFill>
              <a:srgbClr val="0066FF"/>
            </a:solidFill>
            <a:ln w="3175">
              <a:solidFill>
                <a:schemeClr val="tx1"/>
              </a:solidFill>
              <a:prstDash val="sysDot"/>
            </a:ln>
          </c:spPr>
          <c:invertIfNegative val="0"/>
          <c:dPt>
            <c:idx val="2"/>
            <c:invertIfNegative val="0"/>
            <c:bubble3D val="0"/>
            <c:spPr>
              <a:solidFill>
                <a:srgbClr val="FF0000"/>
              </a:solidFill>
              <a:ln w="3175">
                <a:solidFill>
                  <a:schemeClr val="tx1"/>
                </a:solidFill>
                <a:prstDash val="sysDot"/>
              </a:ln>
            </c:spPr>
          </c:dPt>
          <c:dPt>
            <c:idx val="6"/>
            <c:invertIfNegative val="0"/>
            <c:bubble3D val="0"/>
            <c:spPr>
              <a:solidFill>
                <a:srgbClr val="C00000"/>
              </a:solidFill>
              <a:ln w="3175">
                <a:solidFill>
                  <a:schemeClr val="tx1"/>
                </a:solidFill>
                <a:prstDash val="sysDot"/>
              </a:ln>
            </c:spPr>
          </c:dPt>
          <c:dPt>
            <c:idx val="17"/>
            <c:invertIfNegative val="0"/>
            <c:bubble3D val="0"/>
            <c:spPr>
              <a:solidFill>
                <a:srgbClr val="C00000"/>
              </a:solidFill>
              <a:ln w="3175">
                <a:solidFill>
                  <a:schemeClr val="tx1"/>
                </a:solidFill>
                <a:prstDash val="sysDot"/>
              </a:ln>
            </c:spPr>
          </c:dPt>
          <c:dPt>
            <c:idx val="18"/>
            <c:invertIfNegative val="0"/>
            <c:bubble3D val="0"/>
            <c:spPr>
              <a:solidFill>
                <a:srgbClr val="C00000"/>
              </a:solidFill>
              <a:ln w="3175">
                <a:solidFill>
                  <a:schemeClr val="tx1"/>
                </a:solidFill>
                <a:prstDash val="sysDot"/>
              </a:ln>
            </c:spPr>
          </c:dPt>
          <c:dPt>
            <c:idx val="19"/>
            <c:invertIfNegative val="0"/>
            <c:bubble3D val="0"/>
            <c:spPr>
              <a:solidFill>
                <a:srgbClr val="C00000"/>
              </a:solidFill>
              <a:ln w="3175">
                <a:solidFill>
                  <a:schemeClr val="tx1"/>
                </a:solidFill>
                <a:prstDash val="sysDot"/>
              </a:ln>
            </c:spPr>
          </c:dPt>
          <c:cat>
            <c:strRef>
              <c:f>Arkusz4!$A$3:$A$56</c:f>
              <c:strCache>
                <c:ptCount val="54"/>
                <c:pt idx="0">
                  <c:v>Luxembourg</c:v>
                </c:pt>
                <c:pt idx="1">
                  <c:v>Eastern and Midland (Irlandia)</c:v>
                </c:pt>
                <c:pt idx="2">
                  <c:v>Région de Bruxelles-Capitale/Brussels Hoofdstedelijk Gewest</c:v>
                </c:pt>
                <c:pt idx="3">
                  <c:v>Hovedstaden (Dania)</c:v>
                </c:pt>
                <c:pt idx="4">
                  <c:v>Hamburg</c:v>
                </c:pt>
                <c:pt idx="5">
                  <c:v>Stockholm (Szwecja)</c:v>
                </c:pt>
                <c:pt idx="6">
                  <c:v>Noord-Holland (Holandia)</c:v>
                </c:pt>
                <c:pt idx="7">
                  <c:v>Île de France (region bezp. przyl. do Paryża)</c:v>
                </c:pt>
                <c:pt idx="8">
                  <c:v>Helsinki-Uusimaa (Finlandia, Helskinki region)</c:v>
                </c:pt>
                <c:pt idx="9">
                  <c:v>Salzburg (Austria)</c:v>
                </c:pt>
                <c:pt idx="10">
                  <c:v>Wien (Austria)</c:v>
                </c:pt>
                <c:pt idx="11">
                  <c:v>Prov. Brabant wallon (Belgia, Brabancja Walońska)</c:v>
                </c:pt>
                <c:pt idx="12">
                  <c:v>Provincia Autonoma di Bolzano/Bozen (Włochy)</c:v>
                </c:pt>
                <c:pt idx="13">
                  <c:v>Syddanmark (Dania Płd.)</c:v>
                </c:pt>
                <c:pt idx="14">
                  <c:v>Praha (Czechy)</c:v>
                </c:pt>
                <c:pt idx="15">
                  <c:v>Övre Norrland (Szwecja)</c:v>
                </c:pt>
                <c:pt idx="16">
                  <c:v>Limburg (NL) (Holandia)</c:v>
                </c:pt>
                <c:pt idx="17">
                  <c:v>Bratislavský kraj (Słowacja)</c:v>
                </c:pt>
                <c:pt idx="18">
                  <c:v>Lombardia (Włochy)</c:v>
                </c:pt>
                <c:pt idx="19">
                  <c:v>Etelä-Suomi (Finlandia płd.)</c:v>
                </c:pt>
                <c:pt idx="20">
                  <c:v>Småland med öarna (Szwecja)</c:v>
                </c:pt>
                <c:pt idx="21">
                  <c:v>Prov. Oost-Vlaanderen (Belgia)</c:v>
                </c:pt>
                <c:pt idx="22">
                  <c:v>Comunidad de Madrid (Hiszpania)</c:v>
                </c:pt>
                <c:pt idx="23">
                  <c:v>Budapest (Węgry)</c:v>
                </c:pt>
                <c:pt idx="24">
                  <c:v>Warszawski stoleczny</c:v>
                </c:pt>
                <c:pt idx="25">
                  <c:v>Bourgogne</c:v>
                </c:pt>
                <c:pt idx="26">
                  <c:v>Zahodna Slovenija (Słowenia)</c:v>
                </c:pt>
                <c:pt idx="27">
                  <c:v>Área Metropolitana de Lisboa (Portugalia)</c:v>
                </c:pt>
                <c:pt idx="28">
                  <c:v>Malta</c:v>
                </c:pt>
                <c:pt idx="29">
                  <c:v>Bucuresti - Ilfov (Bługaria)</c:v>
                </c:pt>
                <c:pt idx="30">
                  <c:v>Kypros (Cypr)</c:v>
                </c:pt>
                <c:pt idx="31">
                  <c:v>Galicia (Hiszpania)</c:v>
                </c:pt>
                <c:pt idx="32">
                  <c:v>Attiki</c:v>
                </c:pt>
                <c:pt idx="33">
                  <c:v>Eesti (Estonia)</c:v>
                </c:pt>
                <c:pt idx="34">
                  <c:v>Região Autónoma da Madeira (PT)  Portugalia</c:v>
                </c:pt>
                <c:pt idx="35">
                  <c:v>Sicilia (Włochy)</c:v>
                </c:pt>
                <c:pt idx="36">
                  <c:v>Calabria (Włochy)</c:v>
                </c:pt>
                <c:pt idx="37">
                  <c:v>Latvija (Łotwa)</c:v>
                </c:pt>
                <c:pt idx="38">
                  <c:v>Wielkopolskie</c:v>
                </c:pt>
                <c:pt idx="39">
                  <c:v>Yugozapaden (Bługaria)</c:v>
                </c:pt>
                <c:pt idx="40">
                  <c:v>Slaskie</c:v>
                </c:pt>
                <c:pt idx="41">
                  <c:v>Istanbul</c:v>
                </c:pt>
                <c:pt idx="42">
                  <c:v>Kontinentalna Hrvatska (NUTS 2016) (Chorwacja)</c:v>
                </c:pt>
                <c:pt idx="43">
                  <c:v>Malopolskie</c:v>
                </c:pt>
                <c:pt idx="44">
                  <c:v>Dytiki Ellada (Grecja)</c:v>
                </c:pt>
                <c:pt idx="45">
                  <c:v>Mazowiecki regionalny</c:v>
                </c:pt>
                <c:pt idx="46">
                  <c:v>Lubuskie</c:v>
                </c:pt>
                <c:pt idx="47">
                  <c:v>Beogradski region (Serbia)</c:v>
                </c:pt>
                <c:pt idx="48">
                  <c:v>Dél-Alföld (Węgry)</c:v>
                </c:pt>
                <c:pt idx="49">
                  <c:v>Észak-Magyarország (Węgry)</c:v>
                </c:pt>
                <c:pt idx="50">
                  <c:v>Podkarpackie</c:v>
                </c:pt>
                <c:pt idx="51">
                  <c:v>Izmir (Turcja)</c:v>
                </c:pt>
                <c:pt idx="52">
                  <c:v>Crna Gora (Czarnogóra)</c:v>
                </c:pt>
                <c:pt idx="53">
                  <c:v>Konya, Karaman (Turcja)</c:v>
                </c:pt>
              </c:strCache>
            </c:strRef>
          </c:cat>
          <c:val>
            <c:numRef>
              <c:f>Arkusz3!$N$8:$N$60</c:f>
              <c:numCache>
                <c:formatCode>General</c:formatCode>
                <c:ptCount val="53"/>
              </c:numCache>
            </c:numRef>
          </c:val>
        </c:ser>
        <c:ser>
          <c:idx val="0"/>
          <c:order val="0"/>
          <c:tx>
            <c:strRef>
              <c:f>Arkusz4!$D$2</c:f>
              <c:strCache>
                <c:ptCount val="1"/>
                <c:pt idx="0">
                  <c:v>2019</c:v>
                </c:pt>
              </c:strCache>
            </c:strRef>
          </c:tx>
          <c:spPr>
            <a:solidFill>
              <a:srgbClr val="0000FF"/>
            </a:solidFill>
            <a:ln w="3175">
              <a:solidFill>
                <a:schemeClr val="tx1"/>
              </a:solidFill>
              <a:prstDash val="sysDot"/>
            </a:ln>
          </c:spPr>
          <c:invertIfNegative val="0"/>
          <c:dPt>
            <c:idx val="2"/>
            <c:invertIfNegative val="0"/>
            <c:bubble3D val="0"/>
          </c:dPt>
          <c:dPt>
            <c:idx val="6"/>
            <c:invertIfNegative val="0"/>
            <c:bubble3D val="0"/>
          </c:dPt>
          <c:dPt>
            <c:idx val="11"/>
            <c:invertIfNegative val="0"/>
            <c:bubble3D val="0"/>
          </c:dPt>
          <c:dPt>
            <c:idx val="15"/>
            <c:invertIfNegative val="0"/>
            <c:bubble3D val="0"/>
          </c:dPt>
          <c:dPt>
            <c:idx val="17"/>
            <c:invertIfNegative val="0"/>
            <c:bubble3D val="0"/>
          </c:dPt>
          <c:dPt>
            <c:idx val="18"/>
            <c:invertIfNegative val="0"/>
            <c:bubble3D val="0"/>
          </c:dPt>
          <c:dPt>
            <c:idx val="19"/>
            <c:invertIfNegative val="0"/>
            <c:bubble3D val="0"/>
          </c:dPt>
          <c:dPt>
            <c:idx val="37"/>
            <c:invertIfNegative val="0"/>
            <c:bubble3D val="0"/>
          </c:dPt>
          <c:dPt>
            <c:idx val="49"/>
            <c:invertIfNegative val="0"/>
            <c:bubble3D val="0"/>
          </c:dPt>
          <c:dPt>
            <c:idx val="50"/>
            <c:invertIfNegative val="0"/>
            <c:bubble3D val="0"/>
            <c:spPr>
              <a:solidFill>
                <a:srgbClr val="C00000"/>
              </a:solidFill>
              <a:ln w="3175">
                <a:solidFill>
                  <a:schemeClr val="tx1"/>
                </a:solidFill>
                <a:prstDash val="sysDot"/>
              </a:ln>
            </c:spPr>
          </c:dPt>
          <c:dLbls>
            <c:txPr>
              <a:bodyPr/>
              <a:lstStyle/>
              <a:p>
                <a:pPr>
                  <a:defRPr sz="900" b="0">
                    <a:solidFill>
                      <a:schemeClr val="tx1"/>
                    </a:solidFill>
                    <a:latin typeface="Arial" panose="020B0604020202020204" pitchFamily="34" charset="0"/>
                    <a:cs typeface="Arial" panose="020B0604020202020204" pitchFamily="34" charset="0"/>
                  </a:defRPr>
                </a:pPr>
                <a:endParaRPr lang="pl-PL"/>
              </a:p>
            </c:txPr>
            <c:dLblPos val="outEnd"/>
            <c:showLegendKey val="0"/>
            <c:showVal val="1"/>
            <c:showCatName val="0"/>
            <c:showSerName val="0"/>
            <c:showPercent val="0"/>
            <c:showBubbleSize val="0"/>
            <c:showLeaderLines val="0"/>
          </c:dLbls>
          <c:cat>
            <c:strRef>
              <c:f>Arkusz4!$A$3:$A$56</c:f>
              <c:strCache>
                <c:ptCount val="54"/>
                <c:pt idx="0">
                  <c:v>Luxembourg</c:v>
                </c:pt>
                <c:pt idx="1">
                  <c:v>Eastern and Midland (Irlandia)</c:v>
                </c:pt>
                <c:pt idx="2">
                  <c:v>Région de Bruxelles-Capitale/Brussels Hoofdstedelijk Gewest</c:v>
                </c:pt>
                <c:pt idx="3">
                  <c:v>Hovedstaden (Dania)</c:v>
                </c:pt>
                <c:pt idx="4">
                  <c:v>Hamburg</c:v>
                </c:pt>
                <c:pt idx="5">
                  <c:v>Stockholm (Szwecja)</c:v>
                </c:pt>
                <c:pt idx="6">
                  <c:v>Noord-Holland (Holandia)</c:v>
                </c:pt>
                <c:pt idx="7">
                  <c:v>Île de France (region bezp. przyl. do Paryża)</c:v>
                </c:pt>
                <c:pt idx="8">
                  <c:v>Helsinki-Uusimaa (Finlandia, Helskinki region)</c:v>
                </c:pt>
                <c:pt idx="9">
                  <c:v>Salzburg (Austria)</c:v>
                </c:pt>
                <c:pt idx="10">
                  <c:v>Wien (Austria)</c:v>
                </c:pt>
                <c:pt idx="11">
                  <c:v>Prov. Brabant wallon (Belgia, Brabancja Walońska)</c:v>
                </c:pt>
                <c:pt idx="12">
                  <c:v>Provincia Autonoma di Bolzano/Bozen (Włochy)</c:v>
                </c:pt>
                <c:pt idx="13">
                  <c:v>Syddanmark (Dania Płd.)</c:v>
                </c:pt>
                <c:pt idx="14">
                  <c:v>Praha (Czechy)</c:v>
                </c:pt>
                <c:pt idx="15">
                  <c:v>Övre Norrland (Szwecja)</c:v>
                </c:pt>
                <c:pt idx="16">
                  <c:v>Limburg (NL) (Holandia)</c:v>
                </c:pt>
                <c:pt idx="17">
                  <c:v>Bratislavský kraj (Słowacja)</c:v>
                </c:pt>
                <c:pt idx="18">
                  <c:v>Lombardia (Włochy)</c:v>
                </c:pt>
                <c:pt idx="19">
                  <c:v>Etelä-Suomi (Finlandia płd.)</c:v>
                </c:pt>
                <c:pt idx="20">
                  <c:v>Småland med öarna (Szwecja)</c:v>
                </c:pt>
                <c:pt idx="21">
                  <c:v>Prov. Oost-Vlaanderen (Belgia)</c:v>
                </c:pt>
                <c:pt idx="22">
                  <c:v>Comunidad de Madrid (Hiszpania)</c:v>
                </c:pt>
                <c:pt idx="23">
                  <c:v>Budapest (Węgry)</c:v>
                </c:pt>
                <c:pt idx="24">
                  <c:v>Warszawski stoleczny</c:v>
                </c:pt>
                <c:pt idx="25">
                  <c:v>Bourgogne</c:v>
                </c:pt>
                <c:pt idx="26">
                  <c:v>Zahodna Slovenija (Słowenia)</c:v>
                </c:pt>
                <c:pt idx="27">
                  <c:v>Área Metropolitana de Lisboa (Portugalia)</c:v>
                </c:pt>
                <c:pt idx="28">
                  <c:v>Malta</c:v>
                </c:pt>
                <c:pt idx="29">
                  <c:v>Bucuresti - Ilfov (Bługaria)</c:v>
                </c:pt>
                <c:pt idx="30">
                  <c:v>Kypros (Cypr)</c:v>
                </c:pt>
                <c:pt idx="31">
                  <c:v>Galicia (Hiszpania)</c:v>
                </c:pt>
                <c:pt idx="32">
                  <c:v>Attiki</c:v>
                </c:pt>
                <c:pt idx="33">
                  <c:v>Eesti (Estonia)</c:v>
                </c:pt>
                <c:pt idx="34">
                  <c:v>Região Autónoma da Madeira (PT)  Portugalia</c:v>
                </c:pt>
                <c:pt idx="35">
                  <c:v>Sicilia (Włochy)</c:v>
                </c:pt>
                <c:pt idx="36">
                  <c:v>Calabria (Włochy)</c:v>
                </c:pt>
                <c:pt idx="37">
                  <c:v>Latvija (Łotwa)</c:v>
                </c:pt>
                <c:pt idx="38">
                  <c:v>Wielkopolskie</c:v>
                </c:pt>
                <c:pt idx="39">
                  <c:v>Yugozapaden (Bługaria)</c:v>
                </c:pt>
                <c:pt idx="40">
                  <c:v>Slaskie</c:v>
                </c:pt>
                <c:pt idx="41">
                  <c:v>Istanbul</c:v>
                </c:pt>
                <c:pt idx="42">
                  <c:v>Kontinentalna Hrvatska (NUTS 2016) (Chorwacja)</c:v>
                </c:pt>
                <c:pt idx="43">
                  <c:v>Malopolskie</c:v>
                </c:pt>
                <c:pt idx="44">
                  <c:v>Dytiki Ellada (Grecja)</c:v>
                </c:pt>
                <c:pt idx="45">
                  <c:v>Mazowiecki regionalny</c:v>
                </c:pt>
                <c:pt idx="46">
                  <c:v>Lubuskie</c:v>
                </c:pt>
                <c:pt idx="47">
                  <c:v>Beogradski region (Serbia)</c:v>
                </c:pt>
                <c:pt idx="48">
                  <c:v>Dél-Alföld (Węgry)</c:v>
                </c:pt>
                <c:pt idx="49">
                  <c:v>Észak-Magyarország (Węgry)</c:v>
                </c:pt>
                <c:pt idx="50">
                  <c:v>Podkarpackie</c:v>
                </c:pt>
                <c:pt idx="51">
                  <c:v>Izmir (Turcja)</c:v>
                </c:pt>
                <c:pt idx="52">
                  <c:v>Crna Gora (Czarnogóra)</c:v>
                </c:pt>
                <c:pt idx="53">
                  <c:v>Konya, Karaman (Turcja)</c:v>
                </c:pt>
              </c:strCache>
            </c:strRef>
          </c:cat>
          <c:val>
            <c:numRef>
              <c:f>Arkusz4!$D$3:$D$56</c:f>
              <c:numCache>
                <c:formatCode>#,##0</c:formatCode>
                <c:ptCount val="54"/>
                <c:pt idx="0">
                  <c:v>102200</c:v>
                </c:pt>
                <c:pt idx="1">
                  <c:v>75800</c:v>
                </c:pt>
                <c:pt idx="2">
                  <c:v>71100</c:v>
                </c:pt>
                <c:pt idx="3">
                  <c:v>68900</c:v>
                </c:pt>
                <c:pt idx="4">
                  <c:v>67300</c:v>
                </c:pt>
                <c:pt idx="5">
                  <c:v>64700</c:v>
                </c:pt>
                <c:pt idx="6">
                  <c:v>62000</c:v>
                </c:pt>
                <c:pt idx="7">
                  <c:v>60400</c:v>
                </c:pt>
                <c:pt idx="8">
                  <c:v>56500</c:v>
                </c:pt>
                <c:pt idx="9">
                  <c:v>53600</c:v>
                </c:pt>
                <c:pt idx="10">
                  <c:v>52700</c:v>
                </c:pt>
                <c:pt idx="11">
                  <c:v>51800</c:v>
                </c:pt>
                <c:pt idx="12">
                  <c:v>48000</c:v>
                </c:pt>
                <c:pt idx="13">
                  <c:v>47900</c:v>
                </c:pt>
                <c:pt idx="14">
                  <c:v>46400</c:v>
                </c:pt>
                <c:pt idx="15">
                  <c:v>44700</c:v>
                </c:pt>
                <c:pt idx="16">
                  <c:v>41000</c:v>
                </c:pt>
                <c:pt idx="17">
                  <c:v>39700</c:v>
                </c:pt>
                <c:pt idx="18">
                  <c:v>39500</c:v>
                </c:pt>
                <c:pt idx="19">
                  <c:v>38900</c:v>
                </c:pt>
                <c:pt idx="20">
                  <c:v>38900</c:v>
                </c:pt>
                <c:pt idx="21">
                  <c:v>37800</c:v>
                </c:pt>
                <c:pt idx="22">
                  <c:v>35900</c:v>
                </c:pt>
                <c:pt idx="23">
                  <c:v>30900</c:v>
                </c:pt>
                <c:pt idx="24">
                  <c:v>30500</c:v>
                </c:pt>
                <c:pt idx="25">
                  <c:v>29300</c:v>
                </c:pt>
                <c:pt idx="26">
                  <c:v>27600</c:v>
                </c:pt>
                <c:pt idx="27">
                  <c:v>26900</c:v>
                </c:pt>
                <c:pt idx="28">
                  <c:v>26600</c:v>
                </c:pt>
                <c:pt idx="29">
                  <c:v>26400</c:v>
                </c:pt>
                <c:pt idx="30">
                  <c:v>25300</c:v>
                </c:pt>
                <c:pt idx="31">
                  <c:v>23900</c:v>
                </c:pt>
                <c:pt idx="32">
                  <c:v>23500</c:v>
                </c:pt>
                <c:pt idx="33">
                  <c:v>21200</c:v>
                </c:pt>
                <c:pt idx="34">
                  <c:v>20000</c:v>
                </c:pt>
                <c:pt idx="35">
                  <c:v>17900</c:v>
                </c:pt>
                <c:pt idx="36">
                  <c:v>17400</c:v>
                </c:pt>
                <c:pt idx="37">
                  <c:v>15900</c:v>
                </c:pt>
                <c:pt idx="38">
                  <c:v>15000</c:v>
                </c:pt>
                <c:pt idx="39">
                  <c:v>14800</c:v>
                </c:pt>
                <c:pt idx="40">
                  <c:v>14200</c:v>
                </c:pt>
                <c:pt idx="41">
                  <c:v>13700</c:v>
                </c:pt>
                <c:pt idx="42">
                  <c:v>13500</c:v>
                </c:pt>
                <c:pt idx="43">
                  <c:v>12700</c:v>
                </c:pt>
                <c:pt idx="44">
                  <c:v>12400</c:v>
                </c:pt>
                <c:pt idx="45">
                  <c:v>12000</c:v>
                </c:pt>
                <c:pt idx="46">
                  <c:v>11300</c:v>
                </c:pt>
                <c:pt idx="47">
                  <c:v>11300</c:v>
                </c:pt>
                <c:pt idx="48">
                  <c:v>10900</c:v>
                </c:pt>
                <c:pt idx="49">
                  <c:v>10000</c:v>
                </c:pt>
                <c:pt idx="50">
                  <c:v>9700</c:v>
                </c:pt>
                <c:pt idx="51">
                  <c:v>9500</c:v>
                </c:pt>
                <c:pt idx="52">
                  <c:v>8000</c:v>
                </c:pt>
                <c:pt idx="53">
                  <c:v>6500</c:v>
                </c:pt>
              </c:numCache>
            </c:numRef>
          </c:val>
        </c:ser>
        <c:dLbls>
          <c:showLegendKey val="0"/>
          <c:showVal val="0"/>
          <c:showCatName val="0"/>
          <c:showSerName val="0"/>
          <c:showPercent val="0"/>
          <c:showBubbleSize val="0"/>
        </c:dLbls>
        <c:gapWidth val="42"/>
        <c:overlap val="100"/>
        <c:axId val="163438592"/>
        <c:axId val="163440128"/>
      </c:barChart>
      <c:catAx>
        <c:axId val="163438592"/>
        <c:scaling>
          <c:orientation val="maxMin"/>
        </c:scaling>
        <c:delete val="0"/>
        <c:axPos val="l"/>
        <c:numFmt formatCode="General" sourceLinked="1"/>
        <c:majorTickMark val="none"/>
        <c:minorTickMark val="none"/>
        <c:tickLblPos val="nextTo"/>
        <c:spPr>
          <a:ln w="9525">
            <a:solidFill>
              <a:srgbClr val="0000FF">
                <a:alpha val="67843"/>
              </a:srgbClr>
            </a:solidFill>
            <a:prstDash val="solid"/>
          </a:ln>
        </c:spPr>
        <c:txPr>
          <a:bodyPr/>
          <a:lstStyle/>
          <a:p>
            <a:pPr>
              <a:defRPr sz="600" b="0">
                <a:solidFill>
                  <a:schemeClr val="tx1"/>
                </a:solidFill>
                <a:latin typeface="Arial" panose="020B0604020202020204" pitchFamily="34" charset="0"/>
                <a:cs typeface="Arial" panose="020B0604020202020204" pitchFamily="34" charset="0"/>
              </a:defRPr>
            </a:pPr>
            <a:endParaRPr lang="pl-PL"/>
          </a:p>
        </c:txPr>
        <c:crossAx val="163440128"/>
        <c:crosses val="autoZero"/>
        <c:auto val="1"/>
        <c:lblAlgn val="ctr"/>
        <c:lblOffset val="100"/>
        <c:noMultiLvlLbl val="0"/>
      </c:catAx>
      <c:valAx>
        <c:axId val="163440128"/>
        <c:scaling>
          <c:orientation val="minMax"/>
        </c:scaling>
        <c:delete val="0"/>
        <c:axPos val="t"/>
        <c:majorGridlines>
          <c:spPr>
            <a:ln>
              <a:solidFill>
                <a:schemeClr val="accent4">
                  <a:lumMod val="75000"/>
                  <a:alpha val="33000"/>
                </a:schemeClr>
              </a:solidFill>
            </a:ln>
          </c:spPr>
        </c:majorGridlines>
        <c:minorGridlines>
          <c:spPr>
            <a:ln w="6350">
              <a:solidFill>
                <a:srgbClr val="2EB0AA"/>
              </a:solidFill>
              <a:prstDash val="sysDot"/>
            </a:ln>
          </c:spPr>
        </c:minorGridlines>
        <c:numFmt formatCode="General" sourceLinked="1"/>
        <c:majorTickMark val="out"/>
        <c:minorTickMark val="none"/>
        <c:tickLblPos val="nextTo"/>
        <c:spPr>
          <a:noFill/>
          <a:ln>
            <a:solidFill>
              <a:schemeClr val="accent4">
                <a:lumMod val="60000"/>
                <a:lumOff val="40000"/>
              </a:schemeClr>
            </a:solidFill>
          </a:ln>
        </c:spPr>
        <c:txPr>
          <a:bodyPr/>
          <a:lstStyle/>
          <a:p>
            <a:pPr>
              <a:defRPr sz="900">
                <a:latin typeface="Arial" panose="020B0604020202020204" pitchFamily="34" charset="0"/>
                <a:ea typeface="Verdana" panose="020B0604030504040204" pitchFamily="34" charset="0"/>
                <a:cs typeface="Arial" panose="020B0604020202020204" pitchFamily="34" charset="0"/>
              </a:defRPr>
            </a:pPr>
            <a:endParaRPr lang="pl-PL"/>
          </a:p>
        </c:txPr>
        <c:crossAx val="163438592"/>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b="0"/>
            </a:pPr>
            <a:r>
              <a:rPr lang="pl-PL" b="0"/>
              <a:t>oferty pracy ogółem</a:t>
            </a:r>
          </a:p>
          <a:p>
            <a:pPr algn="l">
              <a:defRPr b="0"/>
            </a:pPr>
            <a:r>
              <a:rPr lang="pl-PL" b="0"/>
              <a:t>w półroczach </a:t>
            </a:r>
          </a:p>
        </c:rich>
      </c:tx>
      <c:layout>
        <c:manualLayout>
          <c:xMode val="edge"/>
          <c:yMode val="edge"/>
          <c:x val="8.4798714392203794E-2"/>
          <c:y val="5.6170098696437798E-2"/>
        </c:manualLayout>
      </c:layout>
      <c:overlay val="0"/>
    </c:title>
    <c:autoTitleDeleted val="0"/>
    <c:plotArea>
      <c:layout>
        <c:manualLayout>
          <c:layoutTarget val="inner"/>
          <c:xMode val="edge"/>
          <c:yMode val="edge"/>
          <c:x val="6.4450208429828626E-2"/>
          <c:y val="3.2376025588762396E-2"/>
          <c:w val="0.88242453865517367"/>
          <c:h val="0.86215856828084902"/>
        </c:manualLayout>
      </c:layout>
      <c:lineChart>
        <c:grouping val="standard"/>
        <c:varyColors val="0"/>
        <c:ser>
          <c:idx val="0"/>
          <c:order val="0"/>
          <c:tx>
            <c:strRef>
              <c:f>T.XX!$L$10</c:f>
              <c:strCache>
                <c:ptCount val="1"/>
                <c:pt idx="0">
                  <c:v>oferty og. w Ip. danego roku</c:v>
                </c:pt>
              </c:strCache>
            </c:strRef>
          </c:tx>
          <c:spPr>
            <a:ln w="57150">
              <a:solidFill>
                <a:schemeClr val="tx1"/>
              </a:solidFill>
              <a:prstDash val="sysDot"/>
            </a:ln>
          </c:spPr>
          <c:marker>
            <c:symbol val="none"/>
          </c:marker>
          <c:cat>
            <c:strRef>
              <c:f>T.XX!$K$12:$K$34</c:f>
              <c:strCache>
                <c:ptCount val="23"/>
                <c:pt idx="0">
                  <c:v>Ip. '99</c:v>
                </c:pt>
                <c:pt idx="1">
                  <c:v>Ip. '00</c:v>
                </c:pt>
                <c:pt idx="2">
                  <c:v>Ip. '01</c:v>
                </c:pt>
                <c:pt idx="3">
                  <c:v>Ip. '02</c:v>
                </c:pt>
                <c:pt idx="4">
                  <c:v>Ip. '03</c:v>
                </c:pt>
                <c:pt idx="5">
                  <c:v>Ip. '04</c:v>
                </c:pt>
                <c:pt idx="6">
                  <c:v>Ip. '05</c:v>
                </c:pt>
                <c:pt idx="7">
                  <c:v>Ip. '06</c:v>
                </c:pt>
                <c:pt idx="8">
                  <c:v>Ip. '07</c:v>
                </c:pt>
                <c:pt idx="9">
                  <c:v>Ip. '08</c:v>
                </c:pt>
                <c:pt idx="10">
                  <c:v>Ip. '09</c:v>
                </c:pt>
                <c:pt idx="11">
                  <c:v>Ip. '10</c:v>
                </c:pt>
                <c:pt idx="12">
                  <c:v>Ip. '11</c:v>
                </c:pt>
                <c:pt idx="13">
                  <c:v>Ip. '12</c:v>
                </c:pt>
                <c:pt idx="14">
                  <c:v>Ip. '13</c:v>
                </c:pt>
                <c:pt idx="15">
                  <c:v>Ip. '14</c:v>
                </c:pt>
                <c:pt idx="16">
                  <c:v>Ip. '15</c:v>
                </c:pt>
                <c:pt idx="17">
                  <c:v>Ip. '16</c:v>
                </c:pt>
                <c:pt idx="18">
                  <c:v>Ip. '17</c:v>
                </c:pt>
                <c:pt idx="19">
                  <c:v>Ip. '18</c:v>
                </c:pt>
                <c:pt idx="20">
                  <c:v>Ip. '19</c:v>
                </c:pt>
                <c:pt idx="21">
                  <c:v>Ip. '20</c:v>
                </c:pt>
                <c:pt idx="22">
                  <c:v>Ip. '21</c:v>
                </c:pt>
              </c:strCache>
            </c:strRef>
          </c:cat>
          <c:val>
            <c:numRef>
              <c:f>T.XX!$L$12:$L$34</c:f>
              <c:numCache>
                <c:formatCode>#,##0</c:formatCode>
                <c:ptCount val="23"/>
                <c:pt idx="0">
                  <c:v>19411</c:v>
                </c:pt>
                <c:pt idx="1">
                  <c:v>16479</c:v>
                </c:pt>
                <c:pt idx="2">
                  <c:v>12461</c:v>
                </c:pt>
                <c:pt idx="3">
                  <c:v>12658</c:v>
                </c:pt>
                <c:pt idx="4">
                  <c:v>19490</c:v>
                </c:pt>
                <c:pt idx="5">
                  <c:v>21329</c:v>
                </c:pt>
                <c:pt idx="6">
                  <c:v>21427</c:v>
                </c:pt>
                <c:pt idx="7">
                  <c:v>25517</c:v>
                </c:pt>
                <c:pt idx="8">
                  <c:v>27392</c:v>
                </c:pt>
                <c:pt idx="9">
                  <c:v>28169</c:v>
                </c:pt>
                <c:pt idx="10">
                  <c:v>25139</c:v>
                </c:pt>
                <c:pt idx="11">
                  <c:v>30966</c:v>
                </c:pt>
                <c:pt idx="12">
                  <c:v>24104</c:v>
                </c:pt>
                <c:pt idx="13">
                  <c:v>24066</c:v>
                </c:pt>
                <c:pt idx="14">
                  <c:v>31113</c:v>
                </c:pt>
                <c:pt idx="15">
                  <c:v>31924</c:v>
                </c:pt>
                <c:pt idx="16">
                  <c:v>33364</c:v>
                </c:pt>
                <c:pt idx="17">
                  <c:v>38617</c:v>
                </c:pt>
                <c:pt idx="18">
                  <c:v>41480</c:v>
                </c:pt>
                <c:pt idx="19">
                  <c:v>34404</c:v>
                </c:pt>
                <c:pt idx="20">
                  <c:v>31188</c:v>
                </c:pt>
                <c:pt idx="21">
                  <c:v>15976</c:v>
                </c:pt>
                <c:pt idx="22">
                  <c:v>24927</c:v>
                </c:pt>
              </c:numCache>
            </c:numRef>
          </c:val>
          <c:smooth val="1"/>
        </c:ser>
        <c:dLbls>
          <c:showLegendKey val="0"/>
          <c:showVal val="0"/>
          <c:showCatName val="0"/>
          <c:showSerName val="0"/>
          <c:showPercent val="0"/>
          <c:showBubbleSize val="0"/>
        </c:dLbls>
        <c:marker val="1"/>
        <c:smooth val="0"/>
        <c:axId val="227211520"/>
        <c:axId val="227213312"/>
      </c:lineChart>
      <c:catAx>
        <c:axId val="227211520"/>
        <c:scaling>
          <c:orientation val="minMax"/>
        </c:scaling>
        <c:delete val="0"/>
        <c:axPos val="b"/>
        <c:majorGridlines>
          <c:spPr>
            <a:ln w="22225">
              <a:solidFill>
                <a:schemeClr val="accent4">
                  <a:lumMod val="60000"/>
                  <a:lumOff val="40000"/>
                  <a:alpha val="76000"/>
                </a:schemeClr>
              </a:solidFill>
              <a:prstDash val="sysDot"/>
            </a:ln>
          </c:spPr>
        </c:majorGridlines>
        <c:numFmt formatCode="General" sourceLinked="1"/>
        <c:majorTickMark val="none"/>
        <c:minorTickMark val="none"/>
        <c:tickLblPos val="nextTo"/>
        <c:spPr>
          <a:ln w="19050">
            <a:solidFill>
              <a:schemeClr val="accent4">
                <a:lumMod val="20000"/>
                <a:lumOff val="80000"/>
                <a:alpha val="68000"/>
              </a:schemeClr>
            </a:solidFill>
            <a:prstDash val="solid"/>
          </a:ln>
        </c:spPr>
        <c:txPr>
          <a:bodyPr/>
          <a:lstStyle/>
          <a:p>
            <a:pPr>
              <a:defRPr sz="600" b="0">
                <a:solidFill>
                  <a:schemeClr val="tx1"/>
                </a:solidFill>
                <a:latin typeface="Times New Roman" panose="02020603050405020304" pitchFamily="18" charset="0"/>
                <a:cs typeface="Times New Roman" panose="02020603050405020304" pitchFamily="18" charset="0"/>
              </a:defRPr>
            </a:pPr>
            <a:endParaRPr lang="pl-PL"/>
          </a:p>
        </c:txPr>
        <c:crossAx val="227213312"/>
        <c:crosses val="autoZero"/>
        <c:auto val="1"/>
        <c:lblAlgn val="ctr"/>
        <c:lblOffset val="100"/>
        <c:noMultiLvlLbl val="0"/>
      </c:catAx>
      <c:valAx>
        <c:axId val="227213312"/>
        <c:scaling>
          <c:orientation val="minMax"/>
          <c:max val="45000"/>
          <c:min val="0"/>
        </c:scaling>
        <c:delete val="0"/>
        <c:axPos val="l"/>
        <c:majorGridlines>
          <c:spPr>
            <a:ln>
              <a:solidFill>
                <a:srgbClr val="D2D9FE">
                  <a:alpha val="32157"/>
                </a:srgbClr>
              </a:solidFill>
            </a:ln>
          </c:spPr>
        </c:majorGridlines>
        <c:minorGridlines>
          <c:spPr>
            <a:ln w="6350">
              <a:solidFill>
                <a:srgbClr val="5353FF">
                  <a:alpha val="81961"/>
                </a:srgbClr>
              </a:solidFill>
              <a:prstDash val="sysDot"/>
            </a:ln>
          </c:spPr>
        </c:minorGridlines>
        <c:numFmt formatCode="#,##0" sourceLinked="1"/>
        <c:majorTickMark val="out"/>
        <c:minorTickMark val="none"/>
        <c:tickLblPos val="nextTo"/>
        <c:spPr>
          <a:noFill/>
          <a:ln>
            <a:solidFill>
              <a:schemeClr val="accent4">
                <a:lumMod val="60000"/>
                <a:lumOff val="40000"/>
              </a:schemeClr>
            </a:solidFill>
          </a:ln>
        </c:spPr>
        <c:txPr>
          <a:bodyPr/>
          <a:lstStyle/>
          <a:p>
            <a:pPr>
              <a:defRPr sz="7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227211520"/>
        <c:crosses val="autoZero"/>
        <c:crossBetween val="midCat"/>
        <c:majorUnit val="2000"/>
        <c:minorUnit val="500"/>
      </c:valAx>
      <c:spPr>
        <a:noFill/>
      </c:spPr>
    </c:plotArea>
    <c:legend>
      <c:legendPos val="t"/>
      <c:layout>
        <c:manualLayout>
          <c:xMode val="edge"/>
          <c:yMode val="edge"/>
          <c:x val="0.22838436021457345"/>
          <c:y val="0.67665068280428942"/>
          <c:w val="0.66345844908285179"/>
          <c:h val="0.12370384709048561"/>
        </c:manualLayout>
      </c:layout>
      <c:overlay val="0"/>
      <c:txPr>
        <a:bodyPr/>
        <a:lstStyle/>
        <a:p>
          <a:pPr>
            <a:defRPr sz="110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Arial" panose="020B0604020202020204" pitchFamily="34" charset="0"/>
                <a:cs typeface="Arial" panose="020B0604020202020204" pitchFamily="34" charset="0"/>
              </a:defRPr>
            </a:pPr>
            <a:r>
              <a:rPr lang="pl-PL" sz="1200" b="0">
                <a:latin typeface="Arial" panose="020B0604020202020204" pitchFamily="34" charset="0"/>
                <a:cs typeface="Arial" panose="020B0604020202020204" pitchFamily="34" charset="0"/>
              </a:rPr>
              <a:t>okres I p. w danym roku</a:t>
            </a:r>
          </a:p>
        </c:rich>
      </c:tx>
      <c:layout>
        <c:manualLayout>
          <c:xMode val="edge"/>
          <c:yMode val="edge"/>
          <c:x val="0.33968594752743753"/>
          <c:y val="9.2177954227943767E-2"/>
        </c:manualLayout>
      </c:layout>
      <c:overlay val="0"/>
    </c:title>
    <c:autoTitleDeleted val="0"/>
    <c:plotArea>
      <c:layout>
        <c:manualLayout>
          <c:layoutTarget val="inner"/>
          <c:xMode val="edge"/>
          <c:yMode val="edge"/>
          <c:x val="6.4450208429828626E-2"/>
          <c:y val="3.2376025588762396E-2"/>
          <c:w val="0.88242453865517367"/>
          <c:h val="0.86215856828084902"/>
        </c:manualLayout>
      </c:layout>
      <c:lineChart>
        <c:grouping val="standard"/>
        <c:varyColors val="0"/>
        <c:ser>
          <c:idx val="0"/>
          <c:order val="0"/>
          <c:tx>
            <c:strRef>
              <c:f>T.XXV!$I$7</c:f>
              <c:strCache>
                <c:ptCount val="1"/>
                <c:pt idx="0">
                  <c:v>zgłoszenia</c:v>
                </c:pt>
              </c:strCache>
            </c:strRef>
          </c:tx>
          <c:spPr>
            <a:ln w="57150">
              <a:solidFill>
                <a:schemeClr val="tx1"/>
              </a:solidFill>
              <a:prstDash val="sysDot"/>
            </a:ln>
          </c:spPr>
          <c:marker>
            <c:symbol val="none"/>
          </c:marker>
          <c:cat>
            <c:strRef>
              <c:f>T.XXV!$H$8:$H$22</c:f>
              <c:strCache>
                <c:ptCount val="15"/>
                <c:pt idx="0">
                  <c:v>Ip '07</c:v>
                </c:pt>
                <c:pt idx="1">
                  <c:v>Ip '08</c:v>
                </c:pt>
                <c:pt idx="2">
                  <c:v>Ip '09</c:v>
                </c:pt>
                <c:pt idx="3">
                  <c:v>Ip '10</c:v>
                </c:pt>
                <c:pt idx="4">
                  <c:v>Ip '11</c:v>
                </c:pt>
                <c:pt idx="5">
                  <c:v>Ip '12</c:v>
                </c:pt>
                <c:pt idx="6">
                  <c:v>Ip '13</c:v>
                </c:pt>
                <c:pt idx="7">
                  <c:v>Ip '14</c:v>
                </c:pt>
                <c:pt idx="8">
                  <c:v>Ip '15</c:v>
                </c:pt>
                <c:pt idx="9">
                  <c:v>Ip '16</c:v>
                </c:pt>
                <c:pt idx="10">
                  <c:v>Ip '17</c:v>
                </c:pt>
                <c:pt idx="11">
                  <c:v>Ip '18</c:v>
                </c:pt>
                <c:pt idx="12">
                  <c:v>Ip '19</c:v>
                </c:pt>
                <c:pt idx="13">
                  <c:v>IP '20</c:v>
                </c:pt>
                <c:pt idx="14">
                  <c:v>IP '21</c:v>
                </c:pt>
              </c:strCache>
            </c:strRef>
          </c:cat>
          <c:val>
            <c:numRef>
              <c:f>T.XXV!$I$8:$I$22</c:f>
              <c:numCache>
                <c:formatCode>#,##0</c:formatCode>
                <c:ptCount val="15"/>
                <c:pt idx="0">
                  <c:v>236</c:v>
                </c:pt>
                <c:pt idx="1">
                  <c:v>1321</c:v>
                </c:pt>
                <c:pt idx="2">
                  <c:v>8218</c:v>
                </c:pt>
                <c:pt idx="3">
                  <c:v>803</c:v>
                </c:pt>
                <c:pt idx="4">
                  <c:v>2044</c:v>
                </c:pt>
                <c:pt idx="5">
                  <c:v>438</c:v>
                </c:pt>
                <c:pt idx="6">
                  <c:v>1134</c:v>
                </c:pt>
                <c:pt idx="7">
                  <c:v>809</c:v>
                </c:pt>
                <c:pt idx="8">
                  <c:v>991</c:v>
                </c:pt>
                <c:pt idx="9">
                  <c:v>264</c:v>
                </c:pt>
                <c:pt idx="10">
                  <c:v>485</c:v>
                </c:pt>
                <c:pt idx="11">
                  <c:v>323</c:v>
                </c:pt>
                <c:pt idx="12">
                  <c:v>835</c:v>
                </c:pt>
                <c:pt idx="13">
                  <c:v>3035</c:v>
                </c:pt>
                <c:pt idx="14">
                  <c:v>88</c:v>
                </c:pt>
              </c:numCache>
            </c:numRef>
          </c:val>
          <c:smooth val="1"/>
        </c:ser>
        <c:ser>
          <c:idx val="1"/>
          <c:order val="1"/>
          <c:tx>
            <c:strRef>
              <c:f>T.XXV!$J$7</c:f>
              <c:strCache>
                <c:ptCount val="1"/>
                <c:pt idx="0">
                  <c:v>zwolnienia</c:v>
                </c:pt>
              </c:strCache>
            </c:strRef>
          </c:tx>
          <c:marker>
            <c:symbol val="none"/>
          </c:marker>
          <c:cat>
            <c:strRef>
              <c:f>T.XXV!$H$8:$H$22</c:f>
              <c:strCache>
                <c:ptCount val="15"/>
                <c:pt idx="0">
                  <c:v>Ip '07</c:v>
                </c:pt>
                <c:pt idx="1">
                  <c:v>Ip '08</c:v>
                </c:pt>
                <c:pt idx="2">
                  <c:v>Ip '09</c:v>
                </c:pt>
                <c:pt idx="3">
                  <c:v>Ip '10</c:v>
                </c:pt>
                <c:pt idx="4">
                  <c:v>Ip '11</c:v>
                </c:pt>
                <c:pt idx="5">
                  <c:v>Ip '12</c:v>
                </c:pt>
                <c:pt idx="6">
                  <c:v>Ip '13</c:v>
                </c:pt>
                <c:pt idx="7">
                  <c:v>Ip '14</c:v>
                </c:pt>
                <c:pt idx="8">
                  <c:v>Ip '15</c:v>
                </c:pt>
                <c:pt idx="9">
                  <c:v>Ip '16</c:v>
                </c:pt>
                <c:pt idx="10">
                  <c:v>Ip '17</c:v>
                </c:pt>
                <c:pt idx="11">
                  <c:v>Ip '18</c:v>
                </c:pt>
                <c:pt idx="12">
                  <c:v>Ip '19</c:v>
                </c:pt>
                <c:pt idx="13">
                  <c:v>IP '20</c:v>
                </c:pt>
                <c:pt idx="14">
                  <c:v>IP '21</c:v>
                </c:pt>
              </c:strCache>
            </c:strRef>
          </c:cat>
          <c:val>
            <c:numRef>
              <c:f>T.XXV!$J$8:$J$22</c:f>
              <c:numCache>
                <c:formatCode>#,##0</c:formatCode>
                <c:ptCount val="15"/>
                <c:pt idx="0">
                  <c:v>199</c:v>
                </c:pt>
                <c:pt idx="1">
                  <c:v>909</c:v>
                </c:pt>
                <c:pt idx="2">
                  <c:v>4590</c:v>
                </c:pt>
                <c:pt idx="3">
                  <c:v>129</c:v>
                </c:pt>
                <c:pt idx="4">
                  <c:v>1509</c:v>
                </c:pt>
                <c:pt idx="5">
                  <c:v>549</c:v>
                </c:pt>
                <c:pt idx="6">
                  <c:v>590</c:v>
                </c:pt>
                <c:pt idx="7">
                  <c:v>378</c:v>
                </c:pt>
                <c:pt idx="8">
                  <c:v>419</c:v>
                </c:pt>
                <c:pt idx="9">
                  <c:v>92</c:v>
                </c:pt>
                <c:pt idx="10">
                  <c:v>348</c:v>
                </c:pt>
                <c:pt idx="11">
                  <c:v>358</c:v>
                </c:pt>
                <c:pt idx="12">
                  <c:v>333</c:v>
                </c:pt>
                <c:pt idx="13">
                  <c:v>1230</c:v>
                </c:pt>
                <c:pt idx="14">
                  <c:v>238</c:v>
                </c:pt>
              </c:numCache>
            </c:numRef>
          </c:val>
          <c:smooth val="1"/>
        </c:ser>
        <c:dLbls>
          <c:showLegendKey val="0"/>
          <c:showVal val="0"/>
          <c:showCatName val="0"/>
          <c:showSerName val="0"/>
          <c:showPercent val="0"/>
          <c:showBubbleSize val="0"/>
        </c:dLbls>
        <c:marker val="1"/>
        <c:smooth val="0"/>
        <c:axId val="227267328"/>
        <c:axId val="227268864"/>
      </c:lineChart>
      <c:catAx>
        <c:axId val="227267328"/>
        <c:scaling>
          <c:orientation val="minMax"/>
        </c:scaling>
        <c:delete val="0"/>
        <c:axPos val="b"/>
        <c:majorGridlines>
          <c:spPr>
            <a:ln w="22225">
              <a:solidFill>
                <a:schemeClr val="accent4">
                  <a:lumMod val="60000"/>
                  <a:lumOff val="40000"/>
                  <a:alpha val="76000"/>
                </a:schemeClr>
              </a:solidFill>
              <a:prstDash val="sysDot"/>
            </a:ln>
          </c:spPr>
        </c:majorGridlines>
        <c:numFmt formatCode="General" sourceLinked="1"/>
        <c:majorTickMark val="none"/>
        <c:minorTickMark val="none"/>
        <c:tickLblPos val="nextTo"/>
        <c:spPr>
          <a:ln w="19050">
            <a:solidFill>
              <a:schemeClr val="accent4">
                <a:lumMod val="20000"/>
                <a:lumOff val="80000"/>
                <a:alpha val="68000"/>
              </a:schemeClr>
            </a:solidFill>
            <a:prstDash val="solid"/>
          </a:ln>
        </c:spPr>
        <c:txPr>
          <a:bodyPr/>
          <a:lstStyle/>
          <a:p>
            <a:pPr>
              <a:defRPr sz="600" b="0">
                <a:solidFill>
                  <a:schemeClr val="tx1"/>
                </a:solidFill>
                <a:latin typeface="Times New Roman" panose="02020603050405020304" pitchFamily="18" charset="0"/>
                <a:cs typeface="Times New Roman" panose="02020603050405020304" pitchFamily="18" charset="0"/>
              </a:defRPr>
            </a:pPr>
            <a:endParaRPr lang="pl-PL"/>
          </a:p>
        </c:txPr>
        <c:crossAx val="227268864"/>
        <c:crosses val="autoZero"/>
        <c:auto val="1"/>
        <c:lblAlgn val="ctr"/>
        <c:lblOffset val="100"/>
        <c:noMultiLvlLbl val="0"/>
      </c:catAx>
      <c:valAx>
        <c:axId val="227268864"/>
        <c:scaling>
          <c:orientation val="minMax"/>
          <c:max val="10000"/>
          <c:min val="0"/>
        </c:scaling>
        <c:delete val="0"/>
        <c:axPos val="l"/>
        <c:majorGridlines>
          <c:spPr>
            <a:ln>
              <a:solidFill>
                <a:srgbClr val="D2D9FE">
                  <a:alpha val="32157"/>
                </a:srgbClr>
              </a:solidFill>
            </a:ln>
          </c:spPr>
        </c:majorGridlines>
        <c:minorGridlines>
          <c:spPr>
            <a:ln w="6350">
              <a:solidFill>
                <a:srgbClr val="5353FF">
                  <a:alpha val="81961"/>
                </a:srgbClr>
              </a:solidFill>
              <a:prstDash val="sysDot"/>
            </a:ln>
          </c:spPr>
        </c:minorGridlines>
        <c:numFmt formatCode="#,##0" sourceLinked="1"/>
        <c:majorTickMark val="out"/>
        <c:minorTickMark val="none"/>
        <c:tickLblPos val="nextTo"/>
        <c:spPr>
          <a:noFill/>
          <a:ln>
            <a:solidFill>
              <a:schemeClr val="accent4">
                <a:lumMod val="60000"/>
                <a:lumOff val="40000"/>
              </a:schemeClr>
            </a:solidFill>
          </a:ln>
        </c:spPr>
        <c:txPr>
          <a:bodyPr/>
          <a:lstStyle/>
          <a:p>
            <a:pPr>
              <a:defRPr sz="800">
                <a:latin typeface="Times New Roman" panose="02020603050405020304" pitchFamily="18" charset="0"/>
                <a:ea typeface="Verdana" panose="020B0604030504040204" pitchFamily="34" charset="0"/>
                <a:cs typeface="Times New Roman" panose="02020603050405020304" pitchFamily="18" charset="0"/>
              </a:defRPr>
            </a:pPr>
            <a:endParaRPr lang="pl-PL"/>
          </a:p>
        </c:txPr>
        <c:crossAx val="227267328"/>
        <c:crosses val="autoZero"/>
        <c:crossBetween val="midCat"/>
        <c:majorUnit val="500"/>
        <c:minorUnit val="100"/>
      </c:valAx>
      <c:spPr>
        <a:noFill/>
      </c:spPr>
    </c:plotArea>
    <c:legend>
      <c:legendPos val="t"/>
      <c:layout>
        <c:manualLayout>
          <c:xMode val="edge"/>
          <c:yMode val="edge"/>
          <c:x val="0.31328380455166227"/>
          <c:y val="0.18278225960696362"/>
          <c:w val="0.54390956982473326"/>
          <c:h val="9.1990504863362674E-2"/>
        </c:manualLayout>
      </c:layout>
      <c:overlay val="0"/>
      <c:txPr>
        <a:bodyPr/>
        <a:lstStyle/>
        <a:p>
          <a:pPr>
            <a:defRPr sz="900">
              <a:latin typeface="+mj-lt"/>
              <a:cs typeface="Times New Roman" panose="02020603050405020304" pitchFamily="18" charset="0"/>
            </a:defRPr>
          </a:pPr>
          <a:endParaRPr lang="pl-PL"/>
        </a:p>
      </c:txPr>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lgn="l">
              <a:defRPr sz="800" b="0">
                <a:latin typeface="Arial" panose="020B0604020202020204" pitchFamily="34" charset="0"/>
                <a:cs typeface="Arial" panose="020B0604020202020204" pitchFamily="34" charset="0"/>
              </a:defRPr>
            </a:pPr>
            <a:r>
              <a:rPr lang="pl-PL" sz="800"/>
              <a:t>stan na 31.12.2002</a:t>
            </a:r>
          </a:p>
          <a:p>
            <a:pPr algn="l">
              <a:defRPr sz="800" b="0">
                <a:latin typeface="Arial" panose="020B0604020202020204" pitchFamily="34" charset="0"/>
                <a:cs typeface="Arial" panose="020B0604020202020204" pitchFamily="34" charset="0"/>
              </a:defRPr>
            </a:pPr>
            <a:r>
              <a:rPr lang="pl-PL" sz="800"/>
              <a:t>w proc.</a:t>
            </a:r>
          </a:p>
        </c:rich>
      </c:tx>
      <c:layout>
        <c:manualLayout>
          <c:xMode val="edge"/>
          <c:yMode val="edge"/>
          <c:x val="0.11591655910584549"/>
          <c:y val="3.6857866850955999E-4"/>
        </c:manualLayout>
      </c:layout>
      <c:overlay val="1"/>
    </c:title>
    <c:autoTitleDeleted val="0"/>
    <c:view3D>
      <c:rotX val="50"/>
      <c:rotY val="181"/>
      <c:depthPercent val="210"/>
      <c:rAngAx val="0"/>
      <c:perspective val="50"/>
    </c:view3D>
    <c:floor>
      <c:thickness val="0"/>
    </c:floor>
    <c:sideWall>
      <c:thickness val="0"/>
    </c:sideWall>
    <c:backWall>
      <c:thickness val="0"/>
    </c:backWall>
    <c:plotArea>
      <c:layout>
        <c:manualLayout>
          <c:layoutTarget val="inner"/>
          <c:xMode val="edge"/>
          <c:yMode val="edge"/>
          <c:x val="1.2908041908439949E-2"/>
          <c:y val="1.1791738069130442E-4"/>
          <c:w val="0.98448062319612184"/>
          <c:h val="0.97724464129483812"/>
        </c:manualLayout>
      </c:layout>
      <c:pie3DChart>
        <c:varyColors val="1"/>
        <c:ser>
          <c:idx val="0"/>
          <c:order val="0"/>
          <c:tx>
            <c:strRef>
              <c:f>'Tab 17'!$L$1396</c:f>
              <c:strCache>
                <c:ptCount val="1"/>
                <c:pt idx="0">
                  <c:v>31.12.2002</c:v>
                </c:pt>
              </c:strCache>
            </c:strRef>
          </c:tx>
          <c:spPr>
            <a:ln w="3175">
              <a:noFill/>
            </a:ln>
          </c:spPr>
          <c:dPt>
            <c:idx val="0"/>
            <c:bubble3D val="0"/>
            <c:explosion val="2"/>
            <c:spPr>
              <a:gradFill>
                <a:gsLst>
                  <a:gs pos="0">
                    <a:srgbClr val="00FF00">
                      <a:lumMod val="74000"/>
                    </a:srgbClr>
                  </a:gs>
                  <a:gs pos="96250">
                    <a:srgbClr val="00FF00"/>
                  </a:gs>
                  <a:gs pos="50000">
                    <a:srgbClr val="00FF00">
                      <a:alpha val="91000"/>
                      <a:lumMod val="99000"/>
                    </a:srgbClr>
                  </a:gs>
                  <a:gs pos="100000">
                    <a:srgbClr val="92D050">
                      <a:lumMod val="74000"/>
                      <a:lumOff val="26000"/>
                    </a:srgbClr>
                  </a:gs>
                </a:gsLst>
                <a:lin ang="5400000" scaled="0"/>
              </a:gradFill>
              <a:ln w="3175">
                <a:noFill/>
              </a:ln>
              <a:scene3d>
                <a:camera prst="orthographicFront"/>
                <a:lightRig rig="threePt" dir="t">
                  <a:rot lat="0" lon="0" rev="1200000"/>
                </a:lightRig>
              </a:scene3d>
              <a:sp3d>
                <a:bevelT w="63500" h="38100"/>
              </a:sp3d>
            </c:spPr>
          </c:dPt>
          <c:dPt>
            <c:idx val="1"/>
            <c:bubble3D val="0"/>
            <c:explosion val="5"/>
            <c:spPr>
              <a:gradFill>
                <a:gsLst>
                  <a:gs pos="0">
                    <a:srgbClr val="FFC000">
                      <a:lumMod val="96000"/>
                      <a:lumOff val="4000"/>
                    </a:srgbClr>
                  </a:gs>
                  <a:gs pos="69000">
                    <a:srgbClr val="FFB64E"/>
                  </a:gs>
                  <a:gs pos="19000">
                    <a:srgbClr val="FFCC99">
                      <a:lumMod val="86000"/>
                    </a:srgbClr>
                  </a:gs>
                  <a:gs pos="98000">
                    <a:srgbClr val="FFC000">
                      <a:lumMod val="87000"/>
                      <a:lumOff val="13000"/>
                    </a:srgbClr>
                  </a:gs>
                </a:gsLst>
                <a:lin ang="5400000" scaled="0"/>
              </a:gradFill>
              <a:ln w="3175">
                <a:noFill/>
              </a:ln>
            </c:spPr>
          </c:dPt>
          <c:dPt>
            <c:idx val="2"/>
            <c:bubble3D val="0"/>
            <c:spPr>
              <a:gradFill>
                <a:gsLst>
                  <a:gs pos="0">
                    <a:srgbClr val="934195">
                      <a:lumMod val="67000"/>
                      <a:lumOff val="33000"/>
                    </a:srgbClr>
                  </a:gs>
                  <a:gs pos="50000">
                    <a:srgbClr val="BC96C6">
                      <a:lumMod val="71000"/>
                      <a:lumOff val="29000"/>
                    </a:srgbClr>
                  </a:gs>
                  <a:gs pos="100000">
                    <a:srgbClr val="AF85D1">
                      <a:lumMod val="48000"/>
                      <a:lumOff val="52000"/>
                    </a:srgbClr>
                  </a:gs>
                </a:gsLst>
                <a:lin ang="5400000" scaled="0"/>
              </a:gradFill>
              <a:ln w="3175">
                <a:noFill/>
              </a:ln>
            </c:spPr>
          </c:dPt>
          <c:dPt>
            <c:idx val="3"/>
            <c:bubble3D val="0"/>
            <c:spPr>
              <a:gradFill>
                <a:gsLst>
                  <a:gs pos="0">
                    <a:srgbClr val="FF9999">
                      <a:lumMod val="89000"/>
                    </a:srgbClr>
                  </a:gs>
                  <a:gs pos="50000">
                    <a:srgbClr val="FF9999">
                      <a:lumMod val="96000"/>
                      <a:lumOff val="4000"/>
                    </a:srgbClr>
                  </a:gs>
                  <a:gs pos="100000">
                    <a:srgbClr val="FF99CC">
                      <a:lumMod val="99000"/>
                    </a:srgbClr>
                  </a:gs>
                </a:gsLst>
                <a:lin ang="5400000" scaled="0"/>
              </a:gradFill>
              <a:ln w="3175">
                <a:noFill/>
              </a:ln>
            </c:spPr>
          </c:dPt>
          <c:dLbls>
            <c:dLbl>
              <c:idx val="0"/>
              <c:layout>
                <c:manualLayout>
                  <c:x val="0.21961301312507159"/>
                  <c:y val="-0.14467327613914505"/>
                </c:manualLayout>
              </c:layout>
              <c:tx>
                <c:rich>
                  <a:bodyPr/>
                  <a:lstStyle/>
                  <a:p>
                    <a:r>
                      <a:rPr lang="pl-PL" sz="900">
                        <a:latin typeface="Times New Roman" panose="02020603050405020304" pitchFamily="18" charset="0"/>
                        <a:cs typeface="Times New Roman" panose="02020603050405020304" pitchFamily="18" charset="0"/>
                      </a:rPr>
                      <a:t>0-30 lat</a:t>
                    </a:r>
                  </a:p>
                  <a:p>
                    <a:r>
                      <a:rPr lang="en-US" sz="900">
                        <a:latin typeface="Times New Roman" panose="02020603050405020304" pitchFamily="18" charset="0"/>
                        <a:cs typeface="Times New Roman" panose="02020603050405020304" pitchFamily="18" charset="0"/>
                      </a:rPr>
                      <a:t>46,6</a:t>
                    </a:r>
                    <a:r>
                      <a:rPr lang="pl-PL" sz="90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dLbl>
            <c:dLbl>
              <c:idx val="1"/>
              <c:layout>
                <c:manualLayout>
                  <c:x val="-0.20079718039443076"/>
                  <c:y val="6.9422160083258216E-2"/>
                </c:manualLayout>
              </c:layout>
              <c:tx>
                <c:rich>
                  <a:bodyPr/>
                  <a:lstStyle/>
                  <a:p>
                    <a:r>
                      <a:rPr lang="pl-PL" sz="900">
                        <a:latin typeface="Times New Roman" panose="02020603050405020304" pitchFamily="18" charset="0"/>
                        <a:cs typeface="Times New Roman" panose="02020603050405020304" pitchFamily="18" charset="0"/>
                      </a:rPr>
                      <a:t>31-60 lat</a:t>
                    </a:r>
                  </a:p>
                  <a:p>
                    <a:r>
                      <a:rPr lang="en-US" sz="900">
                        <a:latin typeface="Times New Roman" panose="02020603050405020304" pitchFamily="18" charset="0"/>
                        <a:cs typeface="Times New Roman" panose="02020603050405020304" pitchFamily="18" charset="0"/>
                      </a:rPr>
                      <a:t>37,7</a:t>
                    </a:r>
                    <a:r>
                      <a:rPr lang="pl-PL" sz="90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dLbl>
            <c:dLbl>
              <c:idx val="2"/>
              <c:layout>
                <c:manualLayout>
                  <c:x val="-8.5928829475290569E-2"/>
                  <c:y val="-0.28168566425628427"/>
                </c:manualLayout>
              </c:layout>
              <c:tx>
                <c:rich>
                  <a:bodyPr/>
                  <a:lstStyle/>
                  <a:p>
                    <a:r>
                      <a:rPr lang="pl-PL" sz="900">
                        <a:latin typeface="Times New Roman" panose="02020603050405020304" pitchFamily="18" charset="0"/>
                        <a:cs typeface="Times New Roman" panose="02020603050405020304" pitchFamily="18" charset="0"/>
                      </a:rPr>
                      <a:t>61-84 lat</a:t>
                    </a:r>
                  </a:p>
                  <a:p>
                    <a:r>
                      <a:rPr lang="en-US" sz="900">
                        <a:latin typeface="Times New Roman" panose="02020603050405020304" pitchFamily="18" charset="0"/>
                        <a:cs typeface="Times New Roman" panose="02020603050405020304" pitchFamily="18" charset="0"/>
                      </a:rPr>
                      <a:t>14,8</a:t>
                    </a:r>
                    <a:r>
                      <a:rPr lang="pl-PL" sz="90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dLbl>
            <c:dLbl>
              <c:idx val="3"/>
              <c:layout>
                <c:manualLayout>
                  <c:x val="0.44307994070533596"/>
                  <c:y val="-2.6461221759044824E-2"/>
                </c:manualLayout>
              </c:layout>
              <c:tx>
                <c:rich>
                  <a:bodyPr/>
                  <a:lstStyle/>
                  <a:p>
                    <a:r>
                      <a:rPr lang="pl-PL" sz="900">
                        <a:latin typeface="Times New Roman" panose="02020603050405020304" pitchFamily="18" charset="0"/>
                        <a:cs typeface="Times New Roman" panose="02020603050405020304" pitchFamily="18" charset="0"/>
                      </a:rPr>
                      <a:t>85 lat</a:t>
                    </a:r>
                  </a:p>
                  <a:p>
                    <a:r>
                      <a:rPr lang="pl-PL" sz="900">
                        <a:latin typeface="Times New Roman" panose="02020603050405020304" pitchFamily="18" charset="0"/>
                        <a:cs typeface="Times New Roman" panose="02020603050405020304" pitchFamily="18" charset="0"/>
                      </a:rPr>
                      <a:t>i więcej</a:t>
                    </a:r>
                  </a:p>
                  <a:p>
                    <a:r>
                      <a:rPr lang="en-US" sz="900">
                        <a:latin typeface="Times New Roman" panose="02020603050405020304" pitchFamily="18" charset="0"/>
                        <a:cs typeface="Times New Roman" panose="02020603050405020304" pitchFamily="18" charset="0"/>
                      </a:rPr>
                      <a:t>0,8</a:t>
                    </a:r>
                    <a:r>
                      <a:rPr lang="pl-PL" sz="90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dLbl>
            <c:txPr>
              <a:bodyPr/>
              <a:lstStyle/>
              <a:p>
                <a:pPr>
                  <a:defRPr sz="9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'Tab 17'!$L$1398:$L$1401</c:f>
              <c:strCache>
                <c:ptCount val="4"/>
                <c:pt idx="0">
                  <c:v>0-30</c:v>
                </c:pt>
                <c:pt idx="1">
                  <c:v>31-60</c:v>
                </c:pt>
                <c:pt idx="2">
                  <c:v>61-84</c:v>
                </c:pt>
                <c:pt idx="3">
                  <c:v>85 i więcej</c:v>
                </c:pt>
              </c:strCache>
            </c:strRef>
          </c:cat>
          <c:val>
            <c:numRef>
              <c:f>'Tab 17'!$N$1398:$N$1401</c:f>
              <c:numCache>
                <c:formatCode>0.0</c:formatCode>
                <c:ptCount val="4"/>
                <c:pt idx="0">
                  <c:v>46.643120115911735</c:v>
                </c:pt>
                <c:pt idx="1">
                  <c:v>37.707227856820502</c:v>
                </c:pt>
                <c:pt idx="2">
                  <c:v>14.846203178071779</c:v>
                </c:pt>
                <c:pt idx="3">
                  <c:v>0.80344884919598103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2.9474408039725172E-2"/>
          <c:y val="0.50885668696231112"/>
          <c:w val="0.17168127427163946"/>
          <c:h val="0.2482226743385938"/>
        </c:manualLayout>
      </c:layout>
      <c:overlay val="0"/>
    </c:legend>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lgn="l">
              <a:defRPr sz="800" b="1">
                <a:latin typeface="Arial" panose="020B0604020202020204" pitchFamily="34" charset="0"/>
                <a:cs typeface="Arial" panose="020B0604020202020204" pitchFamily="34" charset="0"/>
              </a:defRPr>
            </a:pPr>
            <a:r>
              <a:rPr lang="pl-PL" sz="800" b="1"/>
              <a:t>stan na 31.12.2020</a:t>
            </a:r>
          </a:p>
          <a:p>
            <a:pPr algn="l">
              <a:defRPr sz="800" b="1">
                <a:latin typeface="Arial" panose="020B0604020202020204" pitchFamily="34" charset="0"/>
                <a:cs typeface="Arial" panose="020B0604020202020204" pitchFamily="34" charset="0"/>
              </a:defRPr>
            </a:pPr>
            <a:r>
              <a:rPr lang="pl-PL" sz="800" b="1"/>
              <a:t>w proc.</a:t>
            </a:r>
          </a:p>
        </c:rich>
      </c:tx>
      <c:layout>
        <c:manualLayout>
          <c:xMode val="edge"/>
          <c:yMode val="edge"/>
          <c:x val="3.6990523806333289E-2"/>
          <c:y val="5.0179930828148558E-3"/>
        </c:manualLayout>
      </c:layout>
      <c:overlay val="1"/>
    </c:title>
    <c:autoTitleDeleted val="0"/>
    <c:view3D>
      <c:rotX val="50"/>
      <c:rotY val="269"/>
      <c:depthPercent val="210"/>
      <c:rAngAx val="0"/>
      <c:perspective val="50"/>
    </c:view3D>
    <c:floor>
      <c:thickness val="0"/>
    </c:floor>
    <c:sideWall>
      <c:thickness val="0"/>
    </c:sideWall>
    <c:backWall>
      <c:thickness val="0"/>
    </c:backWall>
    <c:plotArea>
      <c:layout>
        <c:manualLayout>
          <c:layoutTarget val="inner"/>
          <c:xMode val="edge"/>
          <c:yMode val="edge"/>
          <c:x val="1.4908564982134146E-3"/>
          <c:y val="1.1733474794383217E-4"/>
          <c:w val="0.98448062319612184"/>
          <c:h val="0.97724464129483812"/>
        </c:manualLayout>
      </c:layout>
      <c:pie3DChart>
        <c:varyColors val="1"/>
        <c:ser>
          <c:idx val="0"/>
          <c:order val="0"/>
          <c:tx>
            <c:strRef>
              <c:f>'Tab 17'!$L$1143</c:f>
              <c:strCache>
                <c:ptCount val="1"/>
                <c:pt idx="0">
                  <c:v>31.12.2020</c:v>
                </c:pt>
              </c:strCache>
            </c:strRef>
          </c:tx>
          <c:spPr>
            <a:ln w="3175">
              <a:noFill/>
            </a:ln>
          </c:spPr>
          <c:dPt>
            <c:idx val="0"/>
            <c:bubble3D val="0"/>
            <c:spPr>
              <a:gradFill>
                <a:gsLst>
                  <a:gs pos="0">
                    <a:srgbClr val="00FF00"/>
                  </a:gs>
                  <a:gs pos="96250">
                    <a:srgbClr val="00FF00"/>
                  </a:gs>
                  <a:gs pos="50000">
                    <a:srgbClr val="00FF00"/>
                  </a:gs>
                  <a:gs pos="100000">
                    <a:srgbClr val="92D050">
                      <a:lumMod val="74000"/>
                      <a:lumOff val="26000"/>
                    </a:srgbClr>
                  </a:gs>
                </a:gsLst>
                <a:lin ang="5400000" scaled="0"/>
              </a:gradFill>
              <a:ln w="3175">
                <a:noFill/>
              </a:ln>
              <a:scene3d>
                <a:camera prst="orthographicFront"/>
                <a:lightRig rig="threePt" dir="t">
                  <a:rot lat="0" lon="0" rev="1200000"/>
                </a:lightRig>
              </a:scene3d>
              <a:sp3d>
                <a:bevelT w="63500" h="38100"/>
              </a:sp3d>
            </c:spPr>
          </c:dPt>
          <c:dPt>
            <c:idx val="1"/>
            <c:bubble3D val="0"/>
            <c:explosion val="6"/>
            <c:spPr>
              <a:gradFill>
                <a:gsLst>
                  <a:gs pos="0">
                    <a:srgbClr val="FFC000">
                      <a:lumMod val="96000"/>
                      <a:lumOff val="4000"/>
                    </a:srgbClr>
                  </a:gs>
                  <a:gs pos="69000">
                    <a:srgbClr val="FFB64E"/>
                  </a:gs>
                  <a:gs pos="19000">
                    <a:srgbClr val="FFCC99">
                      <a:lumMod val="86000"/>
                    </a:srgbClr>
                  </a:gs>
                  <a:gs pos="98000">
                    <a:srgbClr val="FFC000">
                      <a:lumMod val="87000"/>
                      <a:lumOff val="13000"/>
                    </a:srgbClr>
                  </a:gs>
                </a:gsLst>
                <a:lin ang="5400000" scaled="0"/>
              </a:gradFill>
              <a:ln w="3175">
                <a:noFill/>
              </a:ln>
            </c:spPr>
          </c:dPt>
          <c:dPt>
            <c:idx val="2"/>
            <c:bubble3D val="0"/>
            <c:explosion val="6"/>
            <c:spPr>
              <a:gradFill>
                <a:gsLst>
                  <a:gs pos="0">
                    <a:srgbClr val="934195">
                      <a:lumMod val="67000"/>
                      <a:lumOff val="33000"/>
                    </a:srgbClr>
                  </a:gs>
                  <a:gs pos="50000">
                    <a:srgbClr val="BC96C6">
                      <a:lumMod val="71000"/>
                      <a:lumOff val="29000"/>
                    </a:srgbClr>
                  </a:gs>
                  <a:gs pos="100000">
                    <a:srgbClr val="AF85D1">
                      <a:lumMod val="48000"/>
                      <a:lumOff val="52000"/>
                    </a:srgbClr>
                  </a:gs>
                </a:gsLst>
                <a:lin ang="5400000" scaled="0"/>
              </a:gradFill>
              <a:ln w="3175">
                <a:noFill/>
              </a:ln>
            </c:spPr>
          </c:dPt>
          <c:dPt>
            <c:idx val="3"/>
            <c:bubble3D val="0"/>
            <c:explosion val="6"/>
            <c:spPr>
              <a:gradFill>
                <a:gsLst>
                  <a:gs pos="0">
                    <a:srgbClr val="FF9999">
                      <a:lumMod val="89000"/>
                    </a:srgbClr>
                  </a:gs>
                  <a:gs pos="50000">
                    <a:srgbClr val="FF9999">
                      <a:lumMod val="96000"/>
                      <a:lumOff val="4000"/>
                    </a:srgbClr>
                  </a:gs>
                  <a:gs pos="100000">
                    <a:srgbClr val="FF99CC">
                      <a:lumMod val="99000"/>
                    </a:srgbClr>
                  </a:gs>
                </a:gsLst>
                <a:lin ang="5400000" scaled="0"/>
              </a:gradFill>
              <a:ln w="3175">
                <a:noFill/>
              </a:ln>
            </c:spPr>
          </c:dPt>
          <c:dLbls>
            <c:dLbl>
              <c:idx val="0"/>
              <c:layout>
                <c:manualLayout>
                  <c:x val="0.2003935569408308"/>
                  <c:y val="0.11302054091591959"/>
                </c:manualLayout>
              </c:layout>
              <c:tx>
                <c:rich>
                  <a:bodyPr/>
                  <a:lstStyle/>
                  <a:p>
                    <a:r>
                      <a:rPr lang="pl-PL" sz="900">
                        <a:latin typeface="Times New Roman" panose="02020603050405020304" pitchFamily="18" charset="0"/>
                        <a:cs typeface="Times New Roman" panose="02020603050405020304" pitchFamily="18" charset="0"/>
                      </a:rPr>
                      <a:t>0-30 lat</a:t>
                    </a:r>
                  </a:p>
                  <a:p>
                    <a:r>
                      <a:rPr lang="en-US" sz="900">
                        <a:latin typeface="Times New Roman" panose="02020603050405020304" pitchFamily="18" charset="0"/>
                        <a:cs typeface="Times New Roman" panose="02020603050405020304" pitchFamily="18" charset="0"/>
                      </a:rPr>
                      <a:t>21,3</a:t>
                    </a:r>
                    <a:r>
                      <a:rPr lang="pl-PL" sz="90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dLbl>
            <c:dLbl>
              <c:idx val="1"/>
              <c:layout>
                <c:manualLayout>
                  <c:x val="-0.19857271201220411"/>
                  <c:y val="-5.858351108184226E-2"/>
                </c:manualLayout>
              </c:layout>
              <c:tx>
                <c:rich>
                  <a:bodyPr/>
                  <a:lstStyle/>
                  <a:p>
                    <a:r>
                      <a:rPr lang="pl-PL" sz="900">
                        <a:latin typeface="Times New Roman" panose="02020603050405020304" pitchFamily="18" charset="0"/>
                        <a:cs typeface="Times New Roman" panose="02020603050405020304" pitchFamily="18" charset="0"/>
                      </a:rPr>
                      <a:t>31-60 lat</a:t>
                    </a:r>
                  </a:p>
                  <a:p>
                    <a:r>
                      <a:rPr lang="en-US" sz="900">
                        <a:latin typeface="Times New Roman" panose="02020603050405020304" pitchFamily="18" charset="0"/>
                        <a:cs typeface="Times New Roman" panose="02020603050405020304" pitchFamily="18" charset="0"/>
                      </a:rPr>
                      <a:t>56,0</a:t>
                    </a:r>
                    <a:r>
                      <a:rPr lang="pl-PL" sz="90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dLbl>
            <c:dLbl>
              <c:idx val="2"/>
              <c:layout>
                <c:manualLayout>
                  <c:x val="0.22470643296162587"/>
                  <c:y val="-0.26590622520604967"/>
                </c:manualLayout>
              </c:layout>
              <c:tx>
                <c:rich>
                  <a:bodyPr/>
                  <a:lstStyle/>
                  <a:p>
                    <a:r>
                      <a:rPr lang="pl-PL" sz="900">
                        <a:latin typeface="Times New Roman" panose="02020603050405020304" pitchFamily="18" charset="0"/>
                        <a:cs typeface="Times New Roman" panose="02020603050405020304" pitchFamily="18" charset="0"/>
                      </a:rPr>
                      <a:t>61-84 lat</a:t>
                    </a:r>
                  </a:p>
                  <a:p>
                    <a:r>
                      <a:rPr lang="en-US" sz="900">
                        <a:latin typeface="Times New Roman" panose="02020603050405020304" pitchFamily="18" charset="0"/>
                        <a:cs typeface="Times New Roman" panose="02020603050405020304" pitchFamily="18" charset="0"/>
                      </a:rPr>
                      <a:t>20,5</a:t>
                    </a:r>
                    <a:r>
                      <a:rPr lang="pl-PL" sz="90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dLbl>
            <c:dLbl>
              <c:idx val="3"/>
              <c:layout>
                <c:manualLayout>
                  <c:x val="3.0497032315302425E-4"/>
                  <c:y val="0.26402355160477509"/>
                </c:manualLayout>
              </c:layout>
              <c:tx>
                <c:rich>
                  <a:bodyPr/>
                  <a:lstStyle/>
                  <a:p>
                    <a:r>
                      <a:rPr lang="pl-PL" sz="900">
                        <a:latin typeface="Times New Roman" panose="02020603050405020304" pitchFamily="18" charset="0"/>
                        <a:cs typeface="Times New Roman" panose="02020603050405020304" pitchFamily="18" charset="0"/>
                      </a:rPr>
                      <a:t>85 lat i więcej </a:t>
                    </a:r>
                    <a:r>
                      <a:rPr lang="en-US" sz="900">
                        <a:latin typeface="Times New Roman" panose="02020603050405020304" pitchFamily="18" charset="0"/>
                        <a:cs typeface="Times New Roman" panose="02020603050405020304" pitchFamily="18" charset="0"/>
                      </a:rPr>
                      <a:t>2,1</a:t>
                    </a:r>
                    <a:r>
                      <a:rPr lang="pl-PL" sz="900">
                        <a:latin typeface="Times New Roman" panose="02020603050405020304" pitchFamily="18" charset="0"/>
                        <a:cs typeface="Times New Roman" panose="02020603050405020304" pitchFamily="18" charset="0"/>
                      </a:rPr>
                      <a:t>%</a:t>
                    </a:r>
                    <a:endParaRPr lang="en-US"/>
                  </a:p>
                </c:rich>
              </c:tx>
              <c:showLegendKey val="0"/>
              <c:showVal val="1"/>
              <c:showCatName val="0"/>
              <c:showSerName val="0"/>
              <c:showPercent val="0"/>
              <c:showBubbleSize val="0"/>
            </c:dLbl>
            <c:txPr>
              <a:bodyPr/>
              <a:lstStyle/>
              <a:p>
                <a:pPr>
                  <a:defRPr sz="900">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1"/>
          </c:dLbls>
          <c:cat>
            <c:strRef>
              <c:f>'Tab 17'!$L$1144:$L$1147</c:f>
              <c:strCache>
                <c:ptCount val="4"/>
                <c:pt idx="0">
                  <c:v>0-30</c:v>
                </c:pt>
                <c:pt idx="1">
                  <c:v>31-60</c:v>
                </c:pt>
                <c:pt idx="2">
                  <c:v>61-84</c:v>
                </c:pt>
                <c:pt idx="3">
                  <c:v>85 i więcej</c:v>
                </c:pt>
              </c:strCache>
            </c:strRef>
          </c:cat>
          <c:val>
            <c:numRef>
              <c:f>'Tab 17'!$N$1144:$N$1147</c:f>
              <c:numCache>
                <c:formatCode>0.0</c:formatCode>
                <c:ptCount val="4"/>
                <c:pt idx="0">
                  <c:v>21.303546198925247</c:v>
                </c:pt>
                <c:pt idx="1">
                  <c:v>56.034496982645443</c:v>
                </c:pt>
                <c:pt idx="2">
                  <c:v>20.541299407089003</c:v>
                </c:pt>
                <c:pt idx="3">
                  <c:v>2.1206574113403125</c:v>
                </c:pt>
              </c:numCache>
            </c:numRef>
          </c:val>
        </c:ser>
        <c:dLbls>
          <c:showLegendKey val="0"/>
          <c:showVal val="0"/>
          <c:showCatName val="0"/>
          <c:showSerName val="0"/>
          <c:showPercent val="0"/>
          <c:showBubbleSize val="0"/>
          <c:showLeaderLines val="1"/>
        </c:dLbls>
      </c:pie3DChart>
    </c:plotArea>
    <c:plotVisOnly val="1"/>
    <c:dispBlanksAs val="gap"/>
    <c:showDLblsOverMax val="0"/>
  </c:chart>
  <c:spPr>
    <a:noFill/>
    <a:ln w="3175">
      <a:noFill/>
    </a:ln>
    <a:effectLst>
      <a:innerShdw blurRad="63500" dist="50800" dir="11340000">
        <a:schemeClr val="accent4">
          <a:lumMod val="60000"/>
          <a:lumOff val="40000"/>
          <a:alpha val="50000"/>
        </a:schemeClr>
      </a:innerShdw>
    </a:effectLst>
    <a:scene3d>
      <a:camera prst="orthographicFront"/>
      <a:lightRig rig="threePt" dir="t"/>
    </a:scene3d>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7262465040529091E-2"/>
          <c:y val="6.1700700961562292E-2"/>
          <c:w val="0.94469117336749908"/>
          <c:h val="0.89275614741705678"/>
        </c:manualLayout>
      </c:layout>
      <c:lineChart>
        <c:grouping val="standard"/>
        <c:varyColors val="0"/>
        <c:ser>
          <c:idx val="3"/>
          <c:order val="0"/>
          <c:tx>
            <c:strRef>
              <c:f>Arkusz3!$A$3</c:f>
              <c:strCache>
                <c:ptCount val="1"/>
                <c:pt idx="0">
                  <c:v>ogółem</c:v>
                </c:pt>
              </c:strCache>
            </c:strRef>
          </c:tx>
          <c:spPr>
            <a:ln w="53975" cmpd="sng">
              <a:solidFill>
                <a:srgbClr val="FF0000"/>
              </a:solidFill>
              <a:prstDash val="sysDot"/>
            </a:ln>
          </c:spPr>
          <c:marker>
            <c:symbol val="none"/>
          </c:marker>
          <c:dLbls>
            <c:dLbl>
              <c:idx val="0"/>
              <c:layout>
                <c:manualLayout>
                  <c:x val="-3.482143399738339E-2"/>
                  <c:y val="-7.0907516986045846E-2"/>
                </c:manualLayout>
              </c:layout>
              <c:dLblPos val="r"/>
              <c:showLegendKey val="0"/>
              <c:showVal val="1"/>
              <c:showCatName val="0"/>
              <c:showSerName val="0"/>
              <c:showPercent val="0"/>
              <c:showBubbleSize val="0"/>
            </c:dLbl>
            <c:dLbl>
              <c:idx val="1"/>
              <c:layout>
                <c:manualLayout>
                  <c:x val="-2.8343331394490794E-2"/>
                  <c:y val="-0.11251653543307087"/>
                </c:manualLayout>
              </c:layout>
              <c:dLblPos val="r"/>
              <c:showLegendKey val="0"/>
              <c:showVal val="1"/>
              <c:showCatName val="0"/>
              <c:showSerName val="0"/>
              <c:showPercent val="0"/>
              <c:showBubbleSize val="0"/>
            </c:dLbl>
            <c:dLbl>
              <c:idx val="2"/>
              <c:layout>
                <c:manualLayout>
                  <c:x val="-2.6595768693191191E-2"/>
                  <c:y val="7.3644094488188983E-2"/>
                </c:manualLayout>
              </c:layout>
              <c:dLblPos val="r"/>
              <c:showLegendKey val="0"/>
              <c:showVal val="1"/>
              <c:showCatName val="0"/>
              <c:showSerName val="0"/>
              <c:showPercent val="0"/>
              <c:showBubbleSize val="0"/>
            </c:dLbl>
            <c:dLbl>
              <c:idx val="3"/>
              <c:layout>
                <c:manualLayout>
                  <c:x val="-2.2185615294265017E-2"/>
                  <c:y val="7.3643787012109788E-2"/>
                </c:manualLayout>
              </c:layout>
              <c:dLblPos val="r"/>
              <c:showLegendKey val="0"/>
              <c:showVal val="1"/>
              <c:showCatName val="0"/>
              <c:showSerName val="0"/>
              <c:showPercent val="0"/>
              <c:showBubbleSize val="0"/>
            </c:dLbl>
            <c:dLbl>
              <c:idx val="4"/>
              <c:layout>
                <c:manualLayout>
                  <c:x val="-2.3001566597150774E-2"/>
                  <c:y val="6.6869758134172355E-2"/>
                </c:manualLayout>
              </c:layout>
              <c:dLblPos val="r"/>
              <c:showLegendKey val="0"/>
              <c:showVal val="1"/>
              <c:showCatName val="0"/>
              <c:showSerName val="0"/>
              <c:showPercent val="0"/>
              <c:showBubbleSize val="0"/>
            </c:dLbl>
            <c:dLbl>
              <c:idx val="5"/>
              <c:layout>
                <c:manualLayout>
                  <c:x val="-2.3804703574126E-2"/>
                  <c:y val="9.5264041994750651E-2"/>
                </c:manualLayout>
              </c:layout>
              <c:dLblPos val="r"/>
              <c:showLegendKey val="0"/>
              <c:showVal val="1"/>
              <c:showCatName val="0"/>
              <c:showSerName val="0"/>
              <c:showPercent val="0"/>
              <c:showBubbleSize val="0"/>
            </c:dLbl>
            <c:dLbl>
              <c:idx val="6"/>
              <c:layout>
                <c:manualLayout>
                  <c:x val="-2.3529880390386157E-2"/>
                  <c:y val="8.6222324015970409E-2"/>
                </c:manualLayout>
              </c:layout>
              <c:dLblPos val="r"/>
              <c:showLegendKey val="0"/>
              <c:showVal val="1"/>
              <c:showCatName val="0"/>
              <c:showSerName val="0"/>
              <c:showPercent val="0"/>
              <c:showBubbleSize val="0"/>
            </c:dLbl>
            <c:dLbl>
              <c:idx val="7"/>
              <c:layout>
                <c:manualLayout>
                  <c:x val="-3.2624990233442432E-2"/>
                  <c:y val="0.13956115485564305"/>
                </c:manualLayout>
              </c:layout>
              <c:dLblPos val="r"/>
              <c:showLegendKey val="0"/>
              <c:showVal val="1"/>
              <c:showCatName val="0"/>
              <c:showSerName val="0"/>
              <c:showPercent val="0"/>
              <c:showBubbleSize val="0"/>
            </c:dLbl>
            <c:dLbl>
              <c:idx val="8"/>
              <c:layout>
                <c:manualLayout>
                  <c:x val="-3.1006259278229691E-2"/>
                  <c:y val="7.3674540682414705E-2"/>
                </c:manualLayout>
              </c:layout>
              <c:dLblPos val="r"/>
              <c:showLegendKey val="0"/>
              <c:showVal val="1"/>
              <c:showCatName val="0"/>
              <c:showSerName val="0"/>
              <c:showPercent val="0"/>
              <c:showBubbleSize val="0"/>
            </c:dLbl>
            <c:dLbl>
              <c:idx val="9"/>
              <c:layout>
                <c:manualLayout>
                  <c:x val="-2.7411645209177878E-2"/>
                  <c:y val="0.1154236220472441"/>
                </c:manualLayout>
              </c:layout>
              <c:dLblPos val="r"/>
              <c:showLegendKey val="0"/>
              <c:showVal val="1"/>
              <c:showCatName val="0"/>
              <c:showSerName val="0"/>
              <c:showPercent val="0"/>
              <c:showBubbleSize val="0"/>
            </c:dLbl>
            <c:dLbl>
              <c:idx val="10"/>
              <c:layout>
                <c:manualLayout>
                  <c:x val="-3.4725538028804834E-2"/>
                  <c:y val="9.7030971128608923E-2"/>
                </c:manualLayout>
              </c:layout>
              <c:dLblPos val="r"/>
              <c:showLegendKey val="0"/>
              <c:showVal val="1"/>
              <c:showCatName val="0"/>
              <c:showSerName val="0"/>
              <c:showPercent val="0"/>
              <c:showBubbleSize val="0"/>
            </c:dLbl>
            <c:dLbl>
              <c:idx val="11"/>
              <c:layout>
                <c:manualLayout>
                  <c:x val="-3.1979963364557301E-2"/>
                  <c:y val="0.10692808398950131"/>
                </c:manualLayout>
              </c:layout>
              <c:dLblPos val="r"/>
              <c:showLegendKey val="0"/>
              <c:showVal val="1"/>
              <c:showCatName val="0"/>
              <c:showSerName val="0"/>
              <c:showPercent val="0"/>
              <c:showBubbleSize val="0"/>
            </c:dLbl>
            <c:dLbl>
              <c:idx val="12"/>
              <c:layout>
                <c:manualLayout>
                  <c:x val="-3.6747779735912284E-2"/>
                  <c:y val="0.10034120734908136"/>
                </c:manualLayout>
              </c:layout>
              <c:dLblPos val="r"/>
              <c:showLegendKey val="0"/>
              <c:showVal val="1"/>
              <c:showCatName val="0"/>
              <c:showSerName val="0"/>
              <c:showPercent val="0"/>
              <c:showBubbleSize val="0"/>
            </c:dLbl>
            <c:dLbl>
              <c:idx val="13"/>
              <c:layout>
                <c:manualLayout>
                  <c:x val="-3.5568326836763926E-2"/>
                  <c:y val="9.6048293963254594E-2"/>
                </c:manualLayout>
              </c:layout>
              <c:dLblPos val="r"/>
              <c:showLegendKey val="0"/>
              <c:showVal val="1"/>
              <c:showCatName val="0"/>
              <c:showSerName val="0"/>
              <c:showPercent val="0"/>
              <c:showBubbleSize val="0"/>
            </c:dLbl>
            <c:dLbl>
              <c:idx val="14"/>
              <c:layout>
                <c:manualLayout>
                  <c:x val="-3.3572129283178084E-2"/>
                  <c:y val="0.10484934383202099"/>
                </c:manualLayout>
              </c:layout>
              <c:dLblPos val="r"/>
              <c:showLegendKey val="0"/>
              <c:showVal val="1"/>
              <c:showCatName val="0"/>
              <c:showSerName val="0"/>
              <c:showPercent val="0"/>
              <c:showBubbleSize val="0"/>
            </c:dLbl>
            <c:dLbl>
              <c:idx val="15"/>
              <c:layout>
                <c:manualLayout>
                  <c:x val="-9.556468065527091E-3"/>
                  <c:y val="-5.3854068241469814E-2"/>
                </c:manualLayout>
              </c:layout>
              <c:dLblPos val="r"/>
              <c:showLegendKey val="0"/>
              <c:showVal val="1"/>
              <c:showCatName val="0"/>
              <c:showSerName val="0"/>
              <c:showPercent val="0"/>
              <c:showBubbleSize val="0"/>
            </c:dLbl>
            <c:txPr>
              <a:bodyPr/>
              <a:lstStyle/>
              <a:p>
                <a:pPr>
                  <a:defRPr sz="70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Arkusz3!$B$2:$Q$2</c:f>
              <c:strCach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strCache>
            </c:strRef>
          </c:cat>
          <c:val>
            <c:numRef>
              <c:f>Arkusz3!$B$3:$Q$3</c:f>
              <c:numCache>
                <c:formatCode>General</c:formatCode>
                <c:ptCount val="16"/>
                <c:pt idx="0" formatCode="#,##0">
                  <c:v>-2385</c:v>
                </c:pt>
                <c:pt idx="1">
                  <c:v>-3990</c:v>
                </c:pt>
                <c:pt idx="2">
                  <c:v>-3153</c:v>
                </c:pt>
                <c:pt idx="3">
                  <c:v>-2311</c:v>
                </c:pt>
                <c:pt idx="4">
                  <c:v>-1875</c:v>
                </c:pt>
                <c:pt idx="5">
                  <c:v>-1929</c:v>
                </c:pt>
                <c:pt idx="6">
                  <c:v>-2177</c:v>
                </c:pt>
                <c:pt idx="7">
                  <c:v>-1947</c:v>
                </c:pt>
                <c:pt idx="8">
                  <c:v>-3102</c:v>
                </c:pt>
                <c:pt idx="9">
                  <c:v>-2249</c:v>
                </c:pt>
                <c:pt idx="10">
                  <c:v>-2400</c:v>
                </c:pt>
                <c:pt idx="11">
                  <c:v>-1639</c:v>
                </c:pt>
                <c:pt idx="12">
                  <c:v>-1777</c:v>
                </c:pt>
                <c:pt idx="13">
                  <c:v>-2741</c:v>
                </c:pt>
                <c:pt idx="14" formatCode="#,##0">
                  <c:v>-2950</c:v>
                </c:pt>
                <c:pt idx="15" formatCode="#,##0">
                  <c:v>-1956</c:v>
                </c:pt>
              </c:numCache>
            </c:numRef>
          </c:val>
          <c:smooth val="1"/>
        </c:ser>
        <c:dLbls>
          <c:showLegendKey val="0"/>
          <c:showVal val="0"/>
          <c:showCatName val="0"/>
          <c:showSerName val="0"/>
          <c:showPercent val="0"/>
          <c:showBubbleSize val="0"/>
        </c:dLbls>
        <c:marker val="1"/>
        <c:smooth val="0"/>
        <c:axId val="163506432"/>
        <c:axId val="163528704"/>
      </c:lineChart>
      <c:catAx>
        <c:axId val="163506432"/>
        <c:scaling>
          <c:orientation val="minMax"/>
        </c:scaling>
        <c:delete val="0"/>
        <c:axPos val="b"/>
        <c:numFmt formatCode="General" sourceLinked="1"/>
        <c:majorTickMark val="out"/>
        <c:minorTickMark val="none"/>
        <c:tickLblPos val="nextTo"/>
        <c:txPr>
          <a:bodyPr/>
          <a:lstStyle/>
          <a:p>
            <a:pPr>
              <a:defRPr sz="600">
                <a:solidFill>
                  <a:schemeClr val="tx1"/>
                </a:solidFill>
                <a:latin typeface="Arial" panose="020B0604020202020204" pitchFamily="34" charset="0"/>
                <a:cs typeface="Arial" panose="020B0604020202020204" pitchFamily="34" charset="0"/>
              </a:defRPr>
            </a:pPr>
            <a:endParaRPr lang="pl-PL"/>
          </a:p>
        </c:txPr>
        <c:crossAx val="163528704"/>
        <c:crosses val="autoZero"/>
        <c:auto val="1"/>
        <c:lblAlgn val="ctr"/>
        <c:lblOffset val="100"/>
        <c:noMultiLvlLbl val="0"/>
      </c:catAx>
      <c:valAx>
        <c:axId val="163528704"/>
        <c:scaling>
          <c:orientation val="minMax"/>
          <c:max val="1000"/>
          <c:min val="-4500"/>
        </c:scaling>
        <c:delete val="0"/>
        <c:axPos val="l"/>
        <c:majorGridlines>
          <c:spPr>
            <a:ln>
              <a:solidFill>
                <a:schemeClr val="accent4">
                  <a:lumMod val="40000"/>
                  <a:lumOff val="60000"/>
                  <a:alpha val="52000"/>
                </a:schemeClr>
              </a:solidFill>
            </a:ln>
          </c:spPr>
        </c:majorGridlines>
        <c:minorGridlines>
          <c:spPr>
            <a:ln w="3175">
              <a:solidFill>
                <a:schemeClr val="accent4">
                  <a:lumMod val="40000"/>
                  <a:lumOff val="60000"/>
                  <a:alpha val="46000"/>
                </a:schemeClr>
              </a:solidFill>
            </a:ln>
          </c:spPr>
        </c:minorGridlines>
        <c:numFmt formatCode="#,##0" sourceLinked="1"/>
        <c:majorTickMark val="out"/>
        <c:minorTickMark val="none"/>
        <c:tickLblPos val="nextTo"/>
        <c:spPr>
          <a:noFill/>
          <a:ln>
            <a:solidFill>
              <a:schemeClr val="accent1">
                <a:alpha val="62000"/>
              </a:schemeClr>
            </a:solidFill>
          </a:ln>
        </c:spPr>
        <c:txPr>
          <a:bodyPr/>
          <a:lstStyle/>
          <a:p>
            <a:pPr>
              <a:defRPr sz="700">
                <a:latin typeface="Times New Roman" panose="02020603050405020304" pitchFamily="18" charset="0"/>
                <a:cs typeface="Times New Roman" panose="02020603050405020304" pitchFamily="18" charset="0"/>
              </a:defRPr>
            </a:pPr>
            <a:endParaRPr lang="pl-PL"/>
          </a:p>
        </c:txPr>
        <c:crossAx val="163506432"/>
        <c:crosses val="autoZero"/>
        <c:crossBetween val="between"/>
        <c:majorUnit val="500"/>
        <c:minorUnit val="100"/>
      </c:valAx>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1910582133325075E-2"/>
          <c:y val="5.4792963968719674E-2"/>
          <c:w val="0.94695525839288464"/>
          <c:h val="0.88244265542490441"/>
        </c:manualLayout>
      </c:layout>
      <c:lineChart>
        <c:grouping val="standard"/>
        <c:varyColors val="0"/>
        <c:ser>
          <c:idx val="3"/>
          <c:order val="0"/>
          <c:tx>
            <c:strRef>
              <c:f>Arkusz3!$A$12</c:f>
              <c:strCache>
                <c:ptCount val="1"/>
                <c:pt idx="0">
                  <c:v>ogólem przedprodukcyjny</c:v>
                </c:pt>
              </c:strCache>
            </c:strRef>
          </c:tx>
          <c:spPr>
            <a:ln w="47625" cmpd="sng">
              <a:solidFill>
                <a:schemeClr val="tx1"/>
              </a:solidFill>
              <a:prstDash val="solid"/>
            </a:ln>
          </c:spPr>
          <c:marker>
            <c:symbol val="none"/>
          </c:marker>
          <c:dLbls>
            <c:dLbl>
              <c:idx val="0"/>
              <c:layout>
                <c:manualLayout>
                  <c:x val="-2.8206165519277016E-2"/>
                  <c:y val="-5.6381263585196274E-2"/>
                </c:manualLayout>
              </c:layout>
              <c:dLblPos val="r"/>
              <c:showLegendKey val="0"/>
              <c:showVal val="1"/>
              <c:showCatName val="0"/>
              <c:showSerName val="0"/>
              <c:showPercent val="0"/>
              <c:showBubbleSize val="0"/>
            </c:dLbl>
            <c:dLbl>
              <c:idx val="4"/>
              <c:layout>
                <c:manualLayout>
                  <c:x val="-3.0989207674516534E-2"/>
                  <c:y val="-5.6381498004018517E-2"/>
                </c:manualLayout>
              </c:layout>
              <c:dLblPos val="r"/>
              <c:showLegendKey val="0"/>
              <c:showVal val="1"/>
              <c:showCatName val="0"/>
              <c:showSerName val="0"/>
              <c:showPercent val="0"/>
              <c:showBubbleSize val="0"/>
            </c:dLbl>
            <c:dLbl>
              <c:idx val="5"/>
              <c:layout>
                <c:manualLayout>
                  <c:x val="-2.9129673653243468E-2"/>
                  <c:y val="-4.2329965391185817E-2"/>
                </c:manualLayout>
              </c:layout>
              <c:dLblPos val="r"/>
              <c:showLegendKey val="0"/>
              <c:showVal val="1"/>
              <c:showCatName val="0"/>
              <c:showSerName val="0"/>
              <c:showPercent val="0"/>
              <c:showBubbleSize val="0"/>
            </c:dLbl>
            <c:dLbl>
              <c:idx val="6"/>
              <c:layout>
                <c:manualLayout>
                  <c:x val="-3.2848741695789538E-2"/>
                  <c:y val="-4.9355731697602163E-2"/>
                </c:manualLayout>
              </c:layout>
              <c:dLblPos val="r"/>
              <c:showLegendKey val="0"/>
              <c:showVal val="1"/>
              <c:showCatName val="0"/>
              <c:showSerName val="0"/>
              <c:showPercent val="0"/>
              <c:showBubbleSize val="0"/>
            </c:dLbl>
            <c:dLbl>
              <c:idx val="7"/>
              <c:layout>
                <c:manualLayout>
                  <c:x val="-2.9129673653243468E-2"/>
                  <c:y val="-4.9355731697602163E-2"/>
                </c:manualLayout>
              </c:layout>
              <c:dLblPos val="r"/>
              <c:showLegendKey val="0"/>
              <c:showVal val="1"/>
              <c:showCatName val="0"/>
              <c:showSerName val="0"/>
              <c:showPercent val="0"/>
              <c:showBubbleSize val="0"/>
            </c:dLbl>
            <c:dLbl>
              <c:idx val="9"/>
              <c:layout>
                <c:manualLayout>
                  <c:x val="-3.0989207674516534E-2"/>
                  <c:y val="-6.3407264310434863E-2"/>
                </c:manualLayout>
              </c:layout>
              <c:dLblPos val="r"/>
              <c:showLegendKey val="0"/>
              <c:showVal val="1"/>
              <c:showCatName val="0"/>
              <c:showSerName val="0"/>
              <c:showPercent val="0"/>
              <c:showBubbleSize val="0"/>
            </c:dLbl>
            <c:dLbl>
              <c:idx val="10"/>
              <c:layout>
                <c:manualLayout>
                  <c:x val="-3.0989207674516534E-2"/>
                  <c:y val="-5.6381498004018517E-2"/>
                </c:manualLayout>
              </c:layout>
              <c:dLblPos val="r"/>
              <c:showLegendKey val="0"/>
              <c:showVal val="1"/>
              <c:showCatName val="0"/>
              <c:showSerName val="0"/>
              <c:showPercent val="0"/>
              <c:showBubbleSize val="0"/>
            </c:dLbl>
            <c:dLbl>
              <c:idx val="11"/>
              <c:layout>
                <c:manualLayout>
                  <c:x val="-2.6421489302261836E-2"/>
                  <c:y val="-5.6381498004018517E-2"/>
                </c:manualLayout>
              </c:layout>
              <c:dLblPos val="r"/>
              <c:showLegendKey val="0"/>
              <c:showVal val="1"/>
              <c:showCatName val="0"/>
              <c:showSerName val="0"/>
              <c:showPercent val="0"/>
              <c:showBubbleSize val="0"/>
            </c:dLbl>
            <c:txPr>
              <a:bodyPr/>
              <a:lstStyle/>
              <a:p>
                <a:pPr>
                  <a:defRPr sz="700">
                    <a:latin typeface="Times New Roman" panose="02020603050405020304" pitchFamily="18" charset="0"/>
                    <a:cs typeface="Times New Roman" panose="02020603050405020304" pitchFamily="18" charset="0"/>
                  </a:defRPr>
                </a:pPr>
                <a:endParaRPr lang="pl-PL"/>
              </a:p>
            </c:txPr>
            <c:dLblPos val="t"/>
            <c:showLegendKey val="0"/>
            <c:showVal val="1"/>
            <c:showCatName val="0"/>
            <c:showSerName val="0"/>
            <c:showPercent val="0"/>
            <c:showBubbleSize val="0"/>
            <c:showLeaderLines val="0"/>
          </c:dLbls>
          <c:cat>
            <c:strRef>
              <c:f>Arkusz3!$B$2:$Q$2</c:f>
              <c:strCach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strCache>
            </c:strRef>
          </c:cat>
          <c:val>
            <c:numRef>
              <c:f>Arkusz3!$B$13:$Q$13</c:f>
              <c:numCache>
                <c:formatCode>General</c:formatCode>
                <c:ptCount val="16"/>
                <c:pt idx="0" formatCode="#,##0">
                  <c:v>-2366</c:v>
                </c:pt>
                <c:pt idx="1">
                  <c:v>-3852</c:v>
                </c:pt>
                <c:pt idx="2">
                  <c:v>-3010</c:v>
                </c:pt>
                <c:pt idx="3">
                  <c:v>-2215</c:v>
                </c:pt>
                <c:pt idx="4">
                  <c:v>-1871</c:v>
                </c:pt>
                <c:pt idx="5">
                  <c:v>-2006</c:v>
                </c:pt>
                <c:pt idx="6">
                  <c:v>-2383</c:v>
                </c:pt>
                <c:pt idx="7">
                  <c:v>-2167</c:v>
                </c:pt>
                <c:pt idx="8">
                  <c:v>-3003</c:v>
                </c:pt>
                <c:pt idx="9">
                  <c:v>-2389</c:v>
                </c:pt>
                <c:pt idx="10">
                  <c:v>-2152</c:v>
                </c:pt>
                <c:pt idx="11">
                  <c:v>-2056</c:v>
                </c:pt>
                <c:pt idx="12">
                  <c:v>-2233</c:v>
                </c:pt>
                <c:pt idx="13">
                  <c:v>-2964</c:v>
                </c:pt>
                <c:pt idx="14">
                  <c:v>-3407</c:v>
                </c:pt>
                <c:pt idx="15">
                  <c:v>-2349</c:v>
                </c:pt>
              </c:numCache>
            </c:numRef>
          </c:val>
          <c:smooth val="1"/>
        </c:ser>
        <c:dLbls>
          <c:showLegendKey val="0"/>
          <c:showVal val="0"/>
          <c:showCatName val="0"/>
          <c:showSerName val="0"/>
          <c:showPercent val="0"/>
          <c:showBubbleSize val="0"/>
        </c:dLbls>
        <c:marker val="1"/>
        <c:smooth val="0"/>
        <c:axId val="163545088"/>
        <c:axId val="163546624"/>
      </c:lineChart>
      <c:catAx>
        <c:axId val="163545088"/>
        <c:scaling>
          <c:orientation val="minMax"/>
        </c:scaling>
        <c:delete val="0"/>
        <c:axPos val="b"/>
        <c:numFmt formatCode="General" sourceLinked="1"/>
        <c:majorTickMark val="out"/>
        <c:minorTickMark val="none"/>
        <c:tickLblPos val="nextTo"/>
        <c:txPr>
          <a:bodyPr/>
          <a:lstStyle/>
          <a:p>
            <a:pPr>
              <a:defRPr sz="600">
                <a:solidFill>
                  <a:schemeClr val="tx1"/>
                </a:solidFill>
                <a:latin typeface="Arial" panose="020B0604020202020204" pitchFamily="34" charset="0"/>
                <a:cs typeface="Arial" panose="020B0604020202020204" pitchFamily="34" charset="0"/>
              </a:defRPr>
            </a:pPr>
            <a:endParaRPr lang="pl-PL"/>
          </a:p>
        </c:txPr>
        <c:crossAx val="163546624"/>
        <c:crosses val="autoZero"/>
        <c:auto val="1"/>
        <c:lblAlgn val="ctr"/>
        <c:lblOffset val="100"/>
        <c:noMultiLvlLbl val="0"/>
      </c:catAx>
      <c:valAx>
        <c:axId val="163546624"/>
        <c:scaling>
          <c:orientation val="minMax"/>
          <c:max val="1000"/>
          <c:min val="-4500"/>
        </c:scaling>
        <c:delete val="0"/>
        <c:axPos val="l"/>
        <c:majorGridlines>
          <c:spPr>
            <a:ln>
              <a:solidFill>
                <a:schemeClr val="accent4">
                  <a:lumMod val="20000"/>
                  <a:lumOff val="80000"/>
                  <a:alpha val="74000"/>
                </a:schemeClr>
              </a:solidFill>
            </a:ln>
          </c:spPr>
        </c:majorGridlines>
        <c:minorGridlines>
          <c:spPr>
            <a:ln>
              <a:solidFill>
                <a:schemeClr val="accent4">
                  <a:lumMod val="40000"/>
                  <a:lumOff val="60000"/>
                  <a:alpha val="60000"/>
                </a:schemeClr>
              </a:solidFill>
            </a:ln>
          </c:spPr>
        </c:minorGridlines>
        <c:numFmt formatCode="#,##0" sourceLinked="1"/>
        <c:majorTickMark val="out"/>
        <c:minorTickMark val="none"/>
        <c:tickLblPos val="nextTo"/>
        <c:spPr>
          <a:noFill/>
          <a:ln>
            <a:solidFill>
              <a:schemeClr val="accent1">
                <a:alpha val="62000"/>
              </a:schemeClr>
            </a:solidFill>
          </a:ln>
        </c:spPr>
        <c:txPr>
          <a:bodyPr/>
          <a:lstStyle/>
          <a:p>
            <a:pPr>
              <a:defRPr sz="700">
                <a:latin typeface="Times New Roman" panose="02020603050405020304" pitchFamily="18" charset="0"/>
                <a:cs typeface="Times New Roman" panose="02020603050405020304" pitchFamily="18" charset="0"/>
              </a:defRPr>
            </a:pPr>
            <a:endParaRPr lang="pl-PL"/>
          </a:p>
        </c:txPr>
        <c:crossAx val="163545088"/>
        <c:crosses val="autoZero"/>
        <c:crossBetween val="between"/>
        <c:majorUnit val="500"/>
        <c:minorUnit val="100"/>
      </c:valAx>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60775915845063E-2"/>
          <c:y val="7.2877391982240705E-2"/>
          <c:w val="0.95016908321956883"/>
          <c:h val="0.87884390785343958"/>
        </c:manualLayout>
      </c:layout>
      <c:lineChart>
        <c:grouping val="standard"/>
        <c:varyColors val="0"/>
        <c:ser>
          <c:idx val="3"/>
          <c:order val="0"/>
          <c:tx>
            <c:strRef>
              <c:f>Arkusz3!$A$12</c:f>
              <c:strCache>
                <c:ptCount val="1"/>
                <c:pt idx="0">
                  <c:v>ogólem przedprodukcyjny</c:v>
                </c:pt>
              </c:strCache>
            </c:strRef>
          </c:tx>
          <c:spPr>
            <a:ln w="47625" cmpd="sng">
              <a:solidFill>
                <a:schemeClr val="tx1"/>
              </a:solidFill>
              <a:prstDash val="sysDot"/>
            </a:ln>
          </c:spPr>
          <c:marker>
            <c:symbol val="none"/>
          </c:marker>
          <c:cat>
            <c:strRef>
              <c:f>Arkusz3!$B$2:$Q$2</c:f>
              <c:strCach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strCache>
            </c:strRef>
          </c:cat>
          <c:val>
            <c:numRef>
              <c:f>Arkusz3!$B$12:$Q$12</c:f>
              <c:numCache>
                <c:formatCode>General</c:formatCode>
                <c:ptCount val="16"/>
                <c:pt idx="0" formatCode="#,##0">
                  <c:v>-65</c:v>
                </c:pt>
                <c:pt idx="1">
                  <c:v>-172</c:v>
                </c:pt>
                <c:pt idx="2">
                  <c:v>-249</c:v>
                </c:pt>
                <c:pt idx="3">
                  <c:v>-138</c:v>
                </c:pt>
                <c:pt idx="4">
                  <c:v>-48</c:v>
                </c:pt>
                <c:pt idx="5">
                  <c:v>53</c:v>
                </c:pt>
                <c:pt idx="6">
                  <c:v>184</c:v>
                </c:pt>
                <c:pt idx="7">
                  <c:v>202</c:v>
                </c:pt>
                <c:pt idx="8">
                  <c:v>-122</c:v>
                </c:pt>
                <c:pt idx="9">
                  <c:v>131</c:v>
                </c:pt>
                <c:pt idx="10">
                  <c:v>-249</c:v>
                </c:pt>
                <c:pt idx="11">
                  <c:v>420</c:v>
                </c:pt>
                <c:pt idx="12">
                  <c:v>417</c:v>
                </c:pt>
                <c:pt idx="13">
                  <c:v>262</c:v>
                </c:pt>
                <c:pt idx="14">
                  <c:v>470</c:v>
                </c:pt>
                <c:pt idx="15">
                  <c:v>374</c:v>
                </c:pt>
              </c:numCache>
            </c:numRef>
          </c:val>
          <c:smooth val="1"/>
        </c:ser>
        <c:ser>
          <c:idx val="0"/>
          <c:order val="1"/>
          <c:tx>
            <c:strRef>
              <c:f>Arkusz3!$A$14</c:f>
              <c:strCache>
                <c:ptCount val="1"/>
                <c:pt idx="0">
                  <c:v>ogólem poprodukcyjny</c:v>
                </c:pt>
              </c:strCache>
            </c:strRef>
          </c:tx>
          <c:marker>
            <c:symbol val="none"/>
          </c:marker>
          <c:cat>
            <c:strRef>
              <c:f>Arkusz3!$B$2:$Q$2</c:f>
              <c:strCache>
                <c:ptCount val="16"/>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strCache>
            </c:strRef>
          </c:cat>
          <c:val>
            <c:numRef>
              <c:f>Arkusz3!$B$14:$Q$14</c:f>
              <c:numCache>
                <c:formatCode>General</c:formatCode>
                <c:ptCount val="16"/>
                <c:pt idx="0" formatCode="#,##0">
                  <c:v>46</c:v>
                </c:pt>
                <c:pt idx="1">
                  <c:v>34</c:v>
                </c:pt>
                <c:pt idx="2">
                  <c:v>106</c:v>
                </c:pt>
                <c:pt idx="3">
                  <c:v>42</c:v>
                </c:pt>
                <c:pt idx="4">
                  <c:v>44</c:v>
                </c:pt>
                <c:pt idx="5">
                  <c:v>24</c:v>
                </c:pt>
                <c:pt idx="6">
                  <c:v>22</c:v>
                </c:pt>
                <c:pt idx="7">
                  <c:v>18</c:v>
                </c:pt>
                <c:pt idx="8">
                  <c:v>23</c:v>
                </c:pt>
                <c:pt idx="9">
                  <c:v>9</c:v>
                </c:pt>
                <c:pt idx="10">
                  <c:v>1</c:v>
                </c:pt>
                <c:pt idx="11">
                  <c:v>-3</c:v>
                </c:pt>
                <c:pt idx="12">
                  <c:v>39</c:v>
                </c:pt>
                <c:pt idx="13">
                  <c:v>-39</c:v>
                </c:pt>
                <c:pt idx="14">
                  <c:v>-13</c:v>
                </c:pt>
                <c:pt idx="15">
                  <c:v>19</c:v>
                </c:pt>
              </c:numCache>
            </c:numRef>
          </c:val>
          <c:smooth val="0"/>
        </c:ser>
        <c:dLbls>
          <c:showLegendKey val="0"/>
          <c:showVal val="0"/>
          <c:showCatName val="0"/>
          <c:showSerName val="0"/>
          <c:showPercent val="0"/>
          <c:showBubbleSize val="0"/>
        </c:dLbls>
        <c:marker val="1"/>
        <c:smooth val="0"/>
        <c:axId val="163571584"/>
        <c:axId val="163573120"/>
      </c:lineChart>
      <c:catAx>
        <c:axId val="163571584"/>
        <c:scaling>
          <c:orientation val="minMax"/>
        </c:scaling>
        <c:delete val="0"/>
        <c:axPos val="b"/>
        <c:numFmt formatCode="General" sourceLinked="1"/>
        <c:majorTickMark val="out"/>
        <c:minorTickMark val="none"/>
        <c:tickLblPos val="nextTo"/>
        <c:txPr>
          <a:bodyPr/>
          <a:lstStyle/>
          <a:p>
            <a:pPr>
              <a:defRPr sz="600">
                <a:solidFill>
                  <a:schemeClr val="tx1"/>
                </a:solidFill>
                <a:latin typeface="Arial" panose="020B0604020202020204" pitchFamily="34" charset="0"/>
                <a:cs typeface="Arial" panose="020B0604020202020204" pitchFamily="34" charset="0"/>
              </a:defRPr>
            </a:pPr>
            <a:endParaRPr lang="pl-PL"/>
          </a:p>
        </c:txPr>
        <c:crossAx val="163573120"/>
        <c:crosses val="autoZero"/>
        <c:auto val="1"/>
        <c:lblAlgn val="ctr"/>
        <c:lblOffset val="100"/>
        <c:noMultiLvlLbl val="0"/>
      </c:catAx>
      <c:valAx>
        <c:axId val="163573120"/>
        <c:scaling>
          <c:orientation val="minMax"/>
        </c:scaling>
        <c:delete val="0"/>
        <c:axPos val="l"/>
        <c:majorGridlines>
          <c:spPr>
            <a:ln>
              <a:solidFill>
                <a:schemeClr val="accent4">
                  <a:lumMod val="60000"/>
                  <a:lumOff val="40000"/>
                  <a:alpha val="43000"/>
                </a:schemeClr>
              </a:solidFill>
            </a:ln>
          </c:spPr>
        </c:majorGridlines>
        <c:minorGridlines>
          <c:spPr>
            <a:ln>
              <a:solidFill>
                <a:schemeClr val="accent4">
                  <a:lumMod val="60000"/>
                  <a:lumOff val="40000"/>
                  <a:alpha val="37000"/>
                </a:schemeClr>
              </a:solidFill>
            </a:ln>
          </c:spPr>
        </c:minorGridlines>
        <c:numFmt formatCode="#,##0" sourceLinked="1"/>
        <c:majorTickMark val="out"/>
        <c:minorTickMark val="none"/>
        <c:tickLblPos val="nextTo"/>
        <c:spPr>
          <a:noFill/>
          <a:ln>
            <a:solidFill>
              <a:schemeClr val="accent1">
                <a:alpha val="62000"/>
              </a:schemeClr>
            </a:solidFill>
          </a:ln>
        </c:spPr>
        <c:txPr>
          <a:bodyPr/>
          <a:lstStyle/>
          <a:p>
            <a:pPr>
              <a:defRPr sz="700">
                <a:latin typeface="Times New Roman" panose="02020603050405020304" pitchFamily="18" charset="0"/>
                <a:cs typeface="Times New Roman" panose="02020603050405020304" pitchFamily="18" charset="0"/>
              </a:defRPr>
            </a:pPr>
            <a:endParaRPr lang="pl-PL"/>
          </a:p>
        </c:txPr>
        <c:crossAx val="163571584"/>
        <c:crosses val="autoZero"/>
        <c:crossBetween val="between"/>
      </c:valAx>
    </c:plotArea>
    <c:legend>
      <c:legendPos val="l"/>
      <c:layout>
        <c:manualLayout>
          <c:xMode val="edge"/>
          <c:yMode val="edge"/>
          <c:x val="3.4109854239554122E-2"/>
          <c:y val="2.7519287361807056E-2"/>
          <c:w val="0.48793796540904699"/>
          <c:h val="0.30909090909090908"/>
        </c:manualLayout>
      </c:layout>
      <c:overlay val="1"/>
      <c:txPr>
        <a:bodyPr/>
        <a:lstStyle/>
        <a:p>
          <a:pPr>
            <a:defRPr sz="800">
              <a:latin typeface="Arial" panose="020B0604020202020204" pitchFamily="34" charset="0"/>
              <a:cs typeface="Arial" panose="020B0604020202020204" pitchFamily="34" charset="0"/>
            </a:defRPr>
          </a:pPr>
          <a:endParaRPr lang="pl-PL"/>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'wsk obc inny'!$A$22</c:f>
              <c:strCache>
                <c:ptCount val="1"/>
                <c:pt idx="0">
                  <c:v>PODKARPACKIE</c:v>
                </c:pt>
              </c:strCache>
            </c:strRef>
          </c:tx>
          <c:spPr>
            <a:ln w="19050" cmpd="sng">
              <a:solidFill>
                <a:schemeClr val="tx1"/>
              </a:solidFill>
            </a:ln>
          </c:spPr>
          <c:marker>
            <c:symbol val="none"/>
          </c:marker>
          <c:dLbls>
            <c:dLbl>
              <c:idx val="0"/>
              <c:layout>
                <c:manualLayout>
                  <c:x val="-3.5556867409214418E-2"/>
                  <c:y val="7.1562192247191514E-2"/>
                </c:manualLayout>
              </c:layout>
              <c:dLblPos val="r"/>
              <c:showLegendKey val="0"/>
              <c:showVal val="1"/>
              <c:showCatName val="0"/>
              <c:showSerName val="0"/>
              <c:showPercent val="0"/>
              <c:showBubbleSize val="0"/>
            </c:dLbl>
            <c:dLbl>
              <c:idx val="1"/>
              <c:layout>
                <c:manualLayout>
                  <c:x val="-3.9967010738872634E-2"/>
                  <c:y val="8.2740335424173667E-2"/>
                </c:manualLayout>
              </c:layout>
              <c:dLblPos val="r"/>
              <c:showLegendKey val="0"/>
              <c:showVal val="1"/>
              <c:showCatName val="0"/>
              <c:showSerName val="0"/>
              <c:showPercent val="0"/>
              <c:showBubbleSize val="0"/>
            </c:dLbl>
            <c:dLbl>
              <c:idx val="2"/>
              <c:layout>
                <c:manualLayout>
                  <c:x val="-3.9967010738872634E-2"/>
                  <c:y val="7.1440900395925086E-2"/>
                </c:manualLayout>
              </c:layout>
              <c:dLblPos val="r"/>
              <c:showLegendKey val="0"/>
              <c:showVal val="1"/>
              <c:showCatName val="0"/>
              <c:showSerName val="0"/>
              <c:showPercent val="0"/>
              <c:showBubbleSize val="0"/>
            </c:dLbl>
            <c:dLbl>
              <c:idx val="3"/>
              <c:layout>
                <c:manualLayout>
                  <c:x val="-3.776193907404353E-2"/>
                  <c:y val="7.1440900395925086E-2"/>
                </c:manualLayout>
              </c:layout>
              <c:dLblPos val="r"/>
              <c:showLegendKey val="0"/>
              <c:showVal val="1"/>
              <c:showCatName val="0"/>
              <c:showSerName val="0"/>
              <c:showPercent val="0"/>
              <c:showBubbleSize val="0"/>
            </c:dLbl>
            <c:dLbl>
              <c:idx val="4"/>
              <c:layout>
                <c:manualLayout>
                  <c:x val="-3.9967010738872634E-2"/>
                  <c:y val="6.0141465367676498E-2"/>
                </c:manualLayout>
              </c:layout>
              <c:dLblPos val="r"/>
              <c:showLegendKey val="0"/>
              <c:showVal val="1"/>
              <c:showCatName val="0"/>
              <c:showSerName val="0"/>
              <c:showPercent val="0"/>
              <c:showBubbleSize val="0"/>
            </c:dLbl>
            <c:dLbl>
              <c:idx val="5"/>
              <c:layout>
                <c:manualLayout>
                  <c:x val="-3.9967010738872717E-2"/>
                  <c:y val="7.1440900395925142E-2"/>
                </c:manualLayout>
              </c:layout>
              <c:dLblPos val="r"/>
              <c:showLegendKey val="0"/>
              <c:showVal val="1"/>
              <c:showCatName val="0"/>
              <c:showSerName val="0"/>
              <c:showPercent val="0"/>
              <c:showBubbleSize val="0"/>
            </c:dLbl>
            <c:dLbl>
              <c:idx val="6"/>
              <c:layout>
                <c:manualLayout>
                  <c:x val="-4.2172082403701745E-2"/>
                  <c:y val="8.2740335424173667E-2"/>
                </c:manualLayout>
              </c:layout>
              <c:dLblPos val="r"/>
              <c:showLegendKey val="0"/>
              <c:showVal val="1"/>
              <c:showCatName val="0"/>
              <c:showSerName val="0"/>
              <c:showPercent val="0"/>
              <c:showBubbleSize val="0"/>
            </c:dLbl>
            <c:dLbl>
              <c:idx val="7"/>
              <c:layout>
                <c:manualLayout>
                  <c:x val="-3.9967010738872634E-2"/>
                  <c:y val="8.2740335424173667E-2"/>
                </c:manualLayout>
              </c:layout>
              <c:dLblPos val="r"/>
              <c:showLegendKey val="0"/>
              <c:showVal val="1"/>
              <c:showCatName val="0"/>
              <c:showSerName val="0"/>
              <c:showPercent val="0"/>
              <c:showBubbleSize val="0"/>
            </c:dLbl>
            <c:dLbl>
              <c:idx val="8"/>
              <c:layout>
                <c:manualLayout>
                  <c:x val="-3.0320603529850939E-3"/>
                  <c:y val="7.1440900395925086E-2"/>
                </c:manualLayout>
              </c:layout>
              <c:dLblPos val="r"/>
              <c:showLegendKey val="0"/>
              <c:showVal val="1"/>
              <c:showCatName val="0"/>
              <c:showSerName val="0"/>
              <c:showPercent val="0"/>
              <c:showBubbleSize val="0"/>
            </c:dLbl>
            <c:txPr>
              <a:bodyPr/>
              <a:lstStyle/>
              <a:p>
                <a:pPr>
                  <a:defRPr sz="1100" b="0">
                    <a:solidFill>
                      <a:schemeClr val="tx1"/>
                    </a:solidFill>
                    <a:latin typeface="Times New Roman" panose="02020603050405020304" pitchFamily="18" charset="0"/>
                    <a:cs typeface="Times New Roman" panose="02020603050405020304" pitchFamily="18" charset="0"/>
                  </a:defRPr>
                </a:pPr>
                <a:endParaRPr lang="pl-PL"/>
              </a:p>
            </c:txPr>
            <c:dLblPos val="b"/>
            <c:showLegendKey val="0"/>
            <c:showVal val="1"/>
            <c:showCatName val="0"/>
            <c:showSerName val="0"/>
            <c:showPercent val="0"/>
            <c:showBubbleSize val="0"/>
            <c:showLeaderLines val="0"/>
          </c:dLbls>
          <c:cat>
            <c:strRef>
              <c:f>'wsk obc inny'!$B$20:$J$20</c:f>
              <c:strCache>
                <c:ptCount val="9"/>
                <c:pt idx="0">
                  <c:v>2012</c:v>
                </c:pt>
                <c:pt idx="1">
                  <c:v>2013</c:v>
                </c:pt>
                <c:pt idx="2">
                  <c:v>2014</c:v>
                </c:pt>
                <c:pt idx="3">
                  <c:v>2015</c:v>
                </c:pt>
                <c:pt idx="4">
                  <c:v>2016</c:v>
                </c:pt>
                <c:pt idx="5">
                  <c:v>2017</c:v>
                </c:pt>
                <c:pt idx="6">
                  <c:v>2018</c:v>
                </c:pt>
                <c:pt idx="7">
                  <c:v>2019</c:v>
                </c:pt>
                <c:pt idx="8">
                  <c:v>2020</c:v>
                </c:pt>
              </c:strCache>
            </c:strRef>
          </c:cat>
          <c:val>
            <c:numRef>
              <c:f>'wsk obc inny'!$B$22:$J$22</c:f>
              <c:numCache>
                <c:formatCode>0.0</c:formatCode>
                <c:ptCount val="9"/>
                <c:pt idx="0">
                  <c:v>20.069687118255576</c:v>
                </c:pt>
                <c:pt idx="1">
                  <c:v>20.766058136659492</c:v>
                </c:pt>
                <c:pt idx="2">
                  <c:v>21.515829627968216</c:v>
                </c:pt>
                <c:pt idx="3">
                  <c:v>22.275905349628687</c:v>
                </c:pt>
                <c:pt idx="4">
                  <c:v>23.089561555599136</c:v>
                </c:pt>
                <c:pt idx="5">
                  <c:v>23.911653051235806</c:v>
                </c:pt>
                <c:pt idx="6">
                  <c:v>24.740589446399422</c:v>
                </c:pt>
                <c:pt idx="7">
                  <c:v>25.608967564442707</c:v>
                </c:pt>
                <c:pt idx="8">
                  <c:v>26.247849971134563</c:v>
                </c:pt>
              </c:numCache>
            </c:numRef>
          </c:val>
          <c:smooth val="0"/>
        </c:ser>
        <c:ser>
          <c:idx val="1"/>
          <c:order val="1"/>
          <c:tx>
            <c:strRef>
              <c:f>'wsk obc inny'!$A$21</c:f>
              <c:strCache>
                <c:ptCount val="1"/>
                <c:pt idx="0">
                  <c:v>POLSKA</c:v>
                </c:pt>
              </c:strCache>
            </c:strRef>
          </c:tx>
          <c:spPr>
            <a:ln w="34925">
              <a:solidFill>
                <a:srgbClr val="FF0000"/>
              </a:solidFill>
              <a:prstDash val="sysDot"/>
            </a:ln>
            <a:effectLst>
              <a:glow rad="419100">
                <a:srgbClr val="CDBAE4">
                  <a:alpha val="15000"/>
                </a:srgbClr>
              </a:glow>
              <a:innerShdw blurRad="63500" dist="50800" dir="16200000">
                <a:prstClr val="black">
                  <a:alpha val="50000"/>
                </a:prstClr>
              </a:innerShdw>
            </a:effectLst>
          </c:spPr>
          <c:marker>
            <c:symbol val="none"/>
          </c:marker>
          <c:dLbls>
            <c:txPr>
              <a:bodyPr/>
              <a:lstStyle/>
              <a:p>
                <a:pPr>
                  <a:defRPr sz="700" b="0" i="1">
                    <a:solidFill>
                      <a:srgbClr val="FF0000"/>
                    </a:solidFill>
                    <a:latin typeface="Arial" panose="020B0604020202020204" pitchFamily="34" charset="0"/>
                    <a:cs typeface="Arial" panose="020B0604020202020204" pitchFamily="34" charset="0"/>
                  </a:defRPr>
                </a:pPr>
                <a:endParaRPr lang="pl-PL"/>
              </a:p>
            </c:txPr>
            <c:dLblPos val="t"/>
            <c:showLegendKey val="0"/>
            <c:showVal val="1"/>
            <c:showCatName val="0"/>
            <c:showSerName val="0"/>
            <c:showPercent val="0"/>
            <c:showBubbleSize val="0"/>
            <c:showLeaderLines val="0"/>
          </c:dLbls>
          <c:cat>
            <c:strRef>
              <c:f>'wsk obc inny'!$B$20:$J$20</c:f>
              <c:strCache>
                <c:ptCount val="9"/>
                <c:pt idx="0">
                  <c:v>2012</c:v>
                </c:pt>
                <c:pt idx="1">
                  <c:v>2013</c:v>
                </c:pt>
                <c:pt idx="2">
                  <c:v>2014</c:v>
                </c:pt>
                <c:pt idx="3">
                  <c:v>2015</c:v>
                </c:pt>
                <c:pt idx="4">
                  <c:v>2016</c:v>
                </c:pt>
                <c:pt idx="5">
                  <c:v>2017</c:v>
                </c:pt>
                <c:pt idx="6">
                  <c:v>2018</c:v>
                </c:pt>
                <c:pt idx="7">
                  <c:v>2019</c:v>
                </c:pt>
                <c:pt idx="8">
                  <c:v>2020</c:v>
                </c:pt>
              </c:strCache>
            </c:strRef>
          </c:cat>
          <c:val>
            <c:numRef>
              <c:f>'wsk obc inny'!$B$21:$J$21</c:f>
              <c:numCache>
                <c:formatCode>0.0</c:formatCode>
                <c:ptCount val="9"/>
                <c:pt idx="0">
                  <c:v>21.66235912070367</c:v>
                </c:pt>
                <c:pt idx="1">
                  <c:v>22.529320275815635</c:v>
                </c:pt>
                <c:pt idx="2">
                  <c:v>23.435046266406502</c:v>
                </c:pt>
                <c:pt idx="3">
                  <c:v>24.376407647135743</c:v>
                </c:pt>
                <c:pt idx="4">
                  <c:v>25.337949115514956</c:v>
                </c:pt>
                <c:pt idx="5">
                  <c:v>26.267118444052141</c:v>
                </c:pt>
                <c:pt idx="6">
                  <c:v>27.167133340537379</c:v>
                </c:pt>
                <c:pt idx="7">
                  <c:v>28.050194976532321</c:v>
                </c:pt>
                <c:pt idx="8">
                  <c:v>28.729726841096031</c:v>
                </c:pt>
              </c:numCache>
            </c:numRef>
          </c:val>
          <c:smooth val="0"/>
        </c:ser>
        <c:dLbls>
          <c:showLegendKey val="0"/>
          <c:showVal val="0"/>
          <c:showCatName val="0"/>
          <c:showSerName val="0"/>
          <c:showPercent val="0"/>
          <c:showBubbleSize val="0"/>
        </c:dLbls>
        <c:marker val="1"/>
        <c:smooth val="0"/>
        <c:axId val="163599104"/>
        <c:axId val="163600640"/>
      </c:lineChart>
      <c:catAx>
        <c:axId val="163599104"/>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163600640"/>
        <c:crosses val="autoZero"/>
        <c:auto val="1"/>
        <c:lblAlgn val="ctr"/>
        <c:lblOffset val="100"/>
        <c:noMultiLvlLbl val="0"/>
      </c:catAx>
      <c:valAx>
        <c:axId val="163600640"/>
        <c:scaling>
          <c:orientation val="minMax"/>
        </c:scaling>
        <c:delete val="1"/>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0" sourceLinked="1"/>
        <c:majorTickMark val="out"/>
        <c:minorTickMark val="none"/>
        <c:tickLblPos val="nextTo"/>
        <c:crossAx val="163599104"/>
        <c:crosses val="autoZero"/>
        <c:crossBetween val="midCat"/>
      </c:valAx>
    </c:plotArea>
    <c:legend>
      <c:legendPos val="r"/>
      <c:legendEntry>
        <c:idx val="0"/>
        <c:txPr>
          <a:bodyPr/>
          <a:lstStyle/>
          <a:p>
            <a:pPr>
              <a:defRPr sz="1100" b="0">
                <a:latin typeface="Times New Roman" panose="02020603050405020304" pitchFamily="18" charset="0"/>
                <a:cs typeface="Times New Roman" panose="02020603050405020304" pitchFamily="18" charset="0"/>
              </a:defRPr>
            </a:pPr>
            <a:endParaRPr lang="pl-PL"/>
          </a:p>
        </c:txPr>
      </c:legendEntry>
      <c:legendEntry>
        <c:idx val="1"/>
        <c:txPr>
          <a:bodyPr/>
          <a:lstStyle/>
          <a:p>
            <a:pPr>
              <a:defRPr sz="700" b="0" i="1">
                <a:solidFill>
                  <a:srgbClr val="FF0000"/>
                </a:solidFill>
                <a:latin typeface="Arial" panose="020B0604020202020204" pitchFamily="34" charset="0"/>
                <a:cs typeface="Arial" panose="020B0604020202020204" pitchFamily="34" charset="0"/>
              </a:defRPr>
            </a:pPr>
            <a:endParaRPr lang="pl-PL"/>
          </a:p>
        </c:txPr>
      </c:legendEntry>
      <c:layout>
        <c:manualLayout>
          <c:xMode val="edge"/>
          <c:yMode val="edge"/>
          <c:x val="0.25081364829396324"/>
          <c:y val="0.61577704102776631"/>
          <c:w val="0.41921186911644165"/>
          <c:h val="0.13516784086199751"/>
        </c:manualLayout>
      </c:layout>
      <c:overlay val="0"/>
      <c:txPr>
        <a:bodyPr/>
        <a:lstStyle/>
        <a:p>
          <a:pPr>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1595293767712406E-2"/>
          <c:y val="2.0915029809406988E-2"/>
          <c:w val="0.93959927621848949"/>
          <c:h val="0.88235295732208574"/>
        </c:manualLayout>
      </c:layout>
      <c:lineChart>
        <c:grouping val="standard"/>
        <c:varyColors val="0"/>
        <c:ser>
          <c:idx val="0"/>
          <c:order val="0"/>
          <c:tx>
            <c:strRef>
              <c:f>[PODM_2419_XTAB_20210813123946.xlsx]Arkusz1!$B$11</c:f>
              <c:strCache>
                <c:ptCount val="1"/>
                <c:pt idx="0">
                  <c:v>POLSKA</c:v>
                </c:pt>
              </c:strCache>
            </c:strRef>
          </c:tx>
          <c:spPr>
            <a:ln w="111125" cmpd="sng">
              <a:solidFill>
                <a:srgbClr val="FFC000">
                  <a:alpha val="59000"/>
                </a:srgbClr>
              </a:solidFill>
            </a:ln>
          </c:spPr>
          <c:marker>
            <c:symbol val="none"/>
          </c:marker>
          <c:dLbls>
            <c:dLbl>
              <c:idx val="0"/>
              <c:layout>
                <c:manualLayout>
                  <c:x val="-6.4847079183730158E-3"/>
                  <c:y val="-6.0496422048841216E-17"/>
                </c:manualLayout>
              </c:layout>
              <c:showLegendKey val="0"/>
              <c:showVal val="1"/>
              <c:showCatName val="0"/>
              <c:showSerName val="0"/>
              <c:showPercent val="0"/>
              <c:showBubbleSize val="0"/>
            </c:dLbl>
            <c:dLbl>
              <c:idx val="1"/>
              <c:layout>
                <c:manualLayout>
                  <c:x val="-1.0813391849393122E-2"/>
                  <c:y val="-6.0513120016412709E-17"/>
                </c:manualLayout>
              </c:layout>
              <c:showLegendKey val="0"/>
              <c:showVal val="1"/>
              <c:showCatName val="0"/>
              <c:showSerName val="0"/>
              <c:showPercent val="0"/>
              <c:showBubbleSize val="0"/>
            </c:dLbl>
            <c:dLbl>
              <c:idx val="2"/>
              <c:layout>
                <c:manualLayout>
                  <c:x val="-1.7301426959028993E-2"/>
                  <c:y val="0"/>
                </c:manualLayout>
              </c:layout>
              <c:showLegendKey val="0"/>
              <c:showVal val="1"/>
              <c:showCatName val="0"/>
              <c:showSerName val="0"/>
              <c:showPercent val="0"/>
              <c:showBubbleSize val="0"/>
            </c:dLbl>
            <c:dLbl>
              <c:idx val="3"/>
              <c:layout>
                <c:manualLayout>
                  <c:x val="-1.7301426959028993E-2"/>
                  <c:y val="6.0513120016412709E-17"/>
                </c:manualLayout>
              </c:layout>
              <c:showLegendKey val="0"/>
              <c:showVal val="1"/>
              <c:showCatName val="0"/>
              <c:showSerName val="0"/>
              <c:showPercent val="0"/>
              <c:showBubbleSize val="0"/>
            </c:dLbl>
            <c:dLbl>
              <c:idx val="4"/>
              <c:layout>
                <c:manualLayout>
                  <c:x val="-1.9464105328907619E-2"/>
                  <c:y val="0"/>
                </c:manualLayout>
              </c:layout>
              <c:showLegendKey val="0"/>
              <c:showVal val="1"/>
              <c:showCatName val="0"/>
              <c:showSerName val="0"/>
              <c:showPercent val="0"/>
              <c:showBubbleSize val="0"/>
            </c:dLbl>
            <c:dLbl>
              <c:idx val="5"/>
              <c:layout>
                <c:manualLayout>
                  <c:x val="-2.3789462068664828E-2"/>
                  <c:y val="-5.1980374289883113E-7"/>
                </c:manualLayout>
              </c:layout>
              <c:showLegendKey val="0"/>
              <c:showVal val="1"/>
              <c:showCatName val="0"/>
              <c:showSerName val="0"/>
              <c:showPercent val="0"/>
              <c:showBubbleSize val="0"/>
            </c:dLbl>
            <c:dLbl>
              <c:idx val="6"/>
              <c:layout>
                <c:manualLayout>
                  <c:x val="-2.3789462068664866E-2"/>
                  <c:y val="0"/>
                </c:manualLayout>
              </c:layout>
              <c:showLegendKey val="0"/>
              <c:showVal val="1"/>
              <c:showCatName val="0"/>
              <c:showSerName val="0"/>
              <c:showPercent val="0"/>
              <c:showBubbleSize val="0"/>
            </c:dLbl>
            <c:dLbl>
              <c:idx val="7"/>
              <c:layout>
                <c:manualLayout>
                  <c:x val="-2.1626783698786244E-2"/>
                  <c:y val="-6.6015075348151552E-3"/>
                </c:manualLayout>
              </c:layout>
              <c:showLegendKey val="0"/>
              <c:showVal val="1"/>
              <c:showCatName val="0"/>
              <c:showSerName val="0"/>
              <c:showPercent val="0"/>
              <c:showBubbleSize val="0"/>
            </c:dLbl>
            <c:dLbl>
              <c:idx val="8"/>
              <c:layout>
                <c:manualLayout>
                  <c:x val="-2.1626783698786244E-2"/>
                  <c:y val="0"/>
                </c:manualLayout>
              </c:layout>
              <c:showLegendKey val="0"/>
              <c:showVal val="1"/>
              <c:showCatName val="0"/>
              <c:showSerName val="0"/>
              <c:showPercent val="0"/>
              <c:showBubbleSize val="0"/>
            </c:dLbl>
            <c:dLbl>
              <c:idx val="9"/>
              <c:layout>
                <c:manualLayout>
                  <c:x val="-2.1626783698786244E-2"/>
                  <c:y val="0"/>
                </c:manualLayout>
              </c:layout>
              <c:showLegendKey val="0"/>
              <c:showVal val="1"/>
              <c:showCatName val="0"/>
              <c:showSerName val="0"/>
              <c:showPercent val="0"/>
              <c:showBubbleSize val="0"/>
            </c:dLbl>
            <c:dLbl>
              <c:idx val="10"/>
              <c:layout>
                <c:manualLayout>
                  <c:x val="-2.1626783698786164E-2"/>
                  <c:y val="0"/>
                </c:manualLayout>
              </c:layout>
              <c:showLegendKey val="0"/>
              <c:showVal val="1"/>
              <c:showCatName val="0"/>
              <c:showSerName val="0"/>
              <c:showPercent val="0"/>
              <c:showBubbleSize val="0"/>
            </c:dLbl>
            <c:dLbl>
              <c:idx val="11"/>
              <c:layout>
                <c:manualLayout>
                  <c:x val="-1.9464105328907699E-2"/>
                  <c:y val="0"/>
                </c:manualLayout>
              </c:layout>
              <c:showLegendKey val="0"/>
              <c:showVal val="1"/>
              <c:showCatName val="0"/>
              <c:showSerName val="0"/>
              <c:showPercent val="0"/>
              <c:showBubbleSize val="0"/>
            </c:dLbl>
            <c:dLbl>
              <c:idx val="12"/>
              <c:layout>
                <c:manualLayout>
                  <c:x val="-2.1626783698786244E-2"/>
                  <c:y val="0"/>
                </c:manualLayout>
              </c:layout>
              <c:showLegendKey val="0"/>
              <c:showVal val="1"/>
              <c:showCatName val="0"/>
              <c:showSerName val="0"/>
              <c:showPercent val="0"/>
              <c:showBubbleSize val="0"/>
            </c:dLbl>
            <c:dLbl>
              <c:idx val="13"/>
              <c:layout>
                <c:manualLayout>
                  <c:x val="-1.7301426959028993E-2"/>
                  <c:y val="0"/>
                </c:manualLayout>
              </c:layout>
              <c:showLegendKey val="0"/>
              <c:showVal val="1"/>
              <c:showCatName val="0"/>
              <c:showSerName val="0"/>
              <c:showPercent val="0"/>
              <c:showBubbleSize val="0"/>
            </c:dLbl>
            <c:dLbl>
              <c:idx val="14"/>
              <c:layout>
                <c:manualLayout>
                  <c:x val="-1.5138748589150371E-2"/>
                  <c:y val="0"/>
                </c:manualLayout>
              </c:layout>
              <c:showLegendKey val="0"/>
              <c:showVal val="1"/>
              <c:showCatName val="0"/>
              <c:showSerName val="0"/>
              <c:showPercent val="0"/>
              <c:showBubbleSize val="0"/>
            </c:dLbl>
            <c:dLbl>
              <c:idx val="15"/>
              <c:layout>
                <c:manualLayout>
                  <c:x val="-1.9464105328907619E-2"/>
                  <c:y val="0"/>
                </c:manualLayout>
              </c:layout>
              <c:showLegendKey val="0"/>
              <c:showVal val="1"/>
              <c:showCatName val="0"/>
              <c:showSerName val="0"/>
              <c:showPercent val="0"/>
              <c:showBubbleSize val="0"/>
            </c:dLbl>
            <c:dLbl>
              <c:idx val="16"/>
              <c:layout>
                <c:manualLayout>
                  <c:x val="-2.1626783698786244E-2"/>
                  <c:y val="0"/>
                </c:manualLayout>
              </c:layout>
              <c:showLegendKey val="0"/>
              <c:showVal val="1"/>
              <c:showCatName val="0"/>
              <c:showSerName val="0"/>
              <c:showPercent val="0"/>
              <c:showBubbleSize val="0"/>
            </c:dLbl>
            <c:dLbl>
              <c:idx val="17"/>
              <c:layout>
                <c:manualLayout>
                  <c:x val="-1.7301426959028993E-2"/>
                  <c:y val="0"/>
                </c:manualLayout>
              </c:layout>
              <c:showLegendKey val="0"/>
              <c:showVal val="1"/>
              <c:showCatName val="0"/>
              <c:showSerName val="0"/>
              <c:showPercent val="0"/>
              <c:showBubbleSize val="0"/>
            </c:dLbl>
            <c:dLbl>
              <c:idx val="18"/>
              <c:layout>
                <c:manualLayout>
                  <c:x val="-6.4585575888051671E-3"/>
                  <c:y val="0"/>
                </c:manualLayout>
              </c:layout>
              <c:showLegendKey val="0"/>
              <c:showVal val="1"/>
              <c:showCatName val="0"/>
              <c:showSerName val="0"/>
              <c:showPercent val="0"/>
              <c:showBubbleSize val="0"/>
            </c:dLbl>
            <c:txPr>
              <a:bodyPr/>
              <a:lstStyle/>
              <a:p>
                <a:pPr>
                  <a:defRPr sz="800">
                    <a:latin typeface="Arial" panose="020B0604020202020204" pitchFamily="34" charset="0"/>
                    <a:cs typeface="Arial" panose="020B0604020202020204" pitchFamily="34" charset="0"/>
                  </a:defRPr>
                </a:pPr>
                <a:endParaRPr lang="pl-PL"/>
              </a:p>
            </c:txPr>
            <c:showLegendKey val="0"/>
            <c:showVal val="1"/>
            <c:showCatName val="0"/>
            <c:showSerName val="0"/>
            <c:showPercent val="0"/>
            <c:showBubbleSize val="0"/>
            <c:showLeaderLines val="0"/>
          </c:dLbls>
          <c:cat>
            <c:strRef>
              <c:f>[PODM_2419_XTAB_20210813123946.xlsx]Arkusz1!$C$3:$U$3</c:f>
              <c:strCach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strCache>
            </c:strRef>
          </c:cat>
          <c:val>
            <c:numRef>
              <c:f>[PODM_2419_XTAB_20210813123946.xlsx]Arkusz1!$C$11:$U$11</c:f>
              <c:numCache>
                <c:formatCode>#,##0</c:formatCode>
                <c:ptCount val="19"/>
                <c:pt idx="0">
                  <c:v>91</c:v>
                </c:pt>
                <c:pt idx="1">
                  <c:v>94</c:v>
                </c:pt>
                <c:pt idx="2">
                  <c:v>94</c:v>
                </c:pt>
                <c:pt idx="3">
                  <c:v>95</c:v>
                </c:pt>
                <c:pt idx="4">
                  <c:v>95</c:v>
                </c:pt>
                <c:pt idx="5">
                  <c:v>97</c:v>
                </c:pt>
                <c:pt idx="6">
                  <c:v>99</c:v>
                </c:pt>
                <c:pt idx="7">
                  <c:v>98</c:v>
                </c:pt>
                <c:pt idx="8">
                  <c:v>101</c:v>
                </c:pt>
                <c:pt idx="9">
                  <c:v>100</c:v>
                </c:pt>
                <c:pt idx="10">
                  <c:v>103</c:v>
                </c:pt>
                <c:pt idx="11">
                  <c:v>106</c:v>
                </c:pt>
                <c:pt idx="12">
                  <c:v>107</c:v>
                </c:pt>
                <c:pt idx="13">
                  <c:v>109</c:v>
                </c:pt>
                <c:pt idx="14">
                  <c:v>110</c:v>
                </c:pt>
                <c:pt idx="15">
                  <c:v>112</c:v>
                </c:pt>
                <c:pt idx="16">
                  <c:v>114</c:v>
                </c:pt>
                <c:pt idx="17">
                  <c:v>117</c:v>
                </c:pt>
                <c:pt idx="18">
                  <c:v>122</c:v>
                </c:pt>
              </c:numCache>
            </c:numRef>
          </c:val>
          <c:smooth val="0"/>
        </c:ser>
        <c:ser>
          <c:idx val="1"/>
          <c:order val="1"/>
          <c:tx>
            <c:strRef>
              <c:f>[PODM_2419_XTAB_20210813123946.xlsx]Arkusz1!$B$21</c:f>
              <c:strCache>
                <c:ptCount val="1"/>
                <c:pt idx="0">
                  <c:v>PODKARPACKIE</c:v>
                </c:pt>
              </c:strCache>
            </c:strRef>
          </c:tx>
          <c:spPr>
            <a:ln w="50800">
              <a:solidFill>
                <a:schemeClr val="tx1"/>
              </a:solidFill>
              <a:prstDash val="sysDot"/>
            </a:ln>
            <a:effectLst>
              <a:glow rad="419100">
                <a:srgbClr val="CDBAE4">
                  <a:alpha val="15000"/>
                </a:srgbClr>
              </a:glow>
              <a:innerShdw blurRad="63500" dist="50800" dir="16200000">
                <a:prstClr val="black">
                  <a:alpha val="50000"/>
                </a:prstClr>
              </a:innerShdw>
            </a:effectLst>
          </c:spPr>
          <c:marker>
            <c:symbol val="none"/>
          </c:marker>
          <c:dLbls>
            <c:dLbl>
              <c:idx val="0"/>
              <c:layout>
                <c:manualLayout>
                  <c:x val="-1.0702702702702703E-2"/>
                  <c:y val="-5.0148384917231878E-2"/>
                </c:manualLayout>
              </c:layout>
              <c:dLblPos val="r"/>
              <c:showLegendKey val="0"/>
              <c:showVal val="1"/>
              <c:showCatName val="0"/>
              <c:showSerName val="0"/>
              <c:showPercent val="0"/>
              <c:showBubbleSize val="0"/>
            </c:dLbl>
            <c:dLbl>
              <c:idx val="1"/>
              <c:layout>
                <c:manualLayout>
                  <c:x val="-1.2864864864864866E-2"/>
                  <c:y val="-4.3548244588238354E-2"/>
                </c:manualLayout>
              </c:layout>
              <c:dLblPos val="r"/>
              <c:showLegendKey val="0"/>
              <c:showVal val="1"/>
              <c:showCatName val="0"/>
              <c:showSerName val="0"/>
              <c:showPercent val="0"/>
              <c:showBubbleSize val="0"/>
            </c:dLbl>
            <c:dLbl>
              <c:idx val="2"/>
              <c:layout>
                <c:manualLayout>
                  <c:x val="-1.935135135135135E-2"/>
                  <c:y val="-3.6947584522231749E-2"/>
                </c:manualLayout>
              </c:layout>
              <c:dLblPos val="r"/>
              <c:showLegendKey val="0"/>
              <c:showVal val="1"/>
              <c:showCatName val="0"/>
              <c:showSerName val="0"/>
              <c:showPercent val="0"/>
              <c:showBubbleSize val="0"/>
            </c:dLbl>
            <c:dLbl>
              <c:idx val="3"/>
              <c:layout>
                <c:manualLayout>
                  <c:x val="-1.935135135135135E-2"/>
                  <c:y val="-3.6947064785218649E-2"/>
                </c:manualLayout>
              </c:layout>
              <c:dLblPos val="r"/>
              <c:showLegendKey val="0"/>
              <c:showVal val="1"/>
              <c:showCatName val="0"/>
              <c:showSerName val="0"/>
              <c:showPercent val="0"/>
              <c:showBubbleSize val="0"/>
            </c:dLbl>
            <c:dLbl>
              <c:idx val="4"/>
              <c:layout>
                <c:manualLayout>
                  <c:x val="-2.1513513513513514E-2"/>
                  <c:y val="-3.6947064785218649E-2"/>
                </c:manualLayout>
              </c:layout>
              <c:dLblPos val="r"/>
              <c:showLegendKey val="0"/>
              <c:showVal val="1"/>
              <c:showCatName val="0"/>
              <c:showSerName val="0"/>
              <c:showPercent val="0"/>
              <c:showBubbleSize val="0"/>
            </c:dLbl>
            <c:dLbl>
              <c:idx val="5"/>
              <c:layout>
                <c:manualLayout>
                  <c:x val="-2.3675675675675675E-2"/>
                  <c:y val="-3.6947064785218649E-2"/>
                </c:manualLayout>
              </c:layout>
              <c:dLblPos val="r"/>
              <c:showLegendKey val="0"/>
              <c:showVal val="1"/>
              <c:showCatName val="0"/>
              <c:showSerName val="0"/>
              <c:showPercent val="0"/>
              <c:showBubbleSize val="0"/>
            </c:dLbl>
            <c:dLbl>
              <c:idx val="6"/>
              <c:layout>
                <c:manualLayout>
                  <c:x val="-2.3675845924664821E-2"/>
                  <c:y val="-3.6947064785218676E-2"/>
                </c:manualLayout>
              </c:layout>
              <c:dLblPos val="r"/>
              <c:showLegendKey val="0"/>
              <c:showVal val="1"/>
              <c:showCatName val="0"/>
              <c:showSerName val="0"/>
              <c:showPercent val="0"/>
              <c:showBubbleSize val="0"/>
            </c:dLbl>
            <c:dLbl>
              <c:idx val="7"/>
              <c:layout>
                <c:manualLayout>
                  <c:x val="-2.3675675675675675E-2"/>
                  <c:y val="-5.0148384917231878E-2"/>
                </c:manualLayout>
              </c:layout>
              <c:dLblPos val="r"/>
              <c:showLegendKey val="0"/>
              <c:showVal val="1"/>
              <c:showCatName val="0"/>
              <c:showSerName val="0"/>
              <c:showPercent val="0"/>
              <c:showBubbleSize val="0"/>
            </c:dLbl>
            <c:dLbl>
              <c:idx val="8"/>
              <c:layout>
                <c:manualLayout>
                  <c:x val="-2.848657161098106E-2"/>
                  <c:y val="-3.6947064785218676E-2"/>
                </c:manualLayout>
              </c:layout>
              <c:dLblPos val="r"/>
              <c:showLegendKey val="0"/>
              <c:showVal val="1"/>
              <c:showCatName val="0"/>
              <c:showSerName val="0"/>
              <c:showPercent val="0"/>
              <c:showBubbleSize val="0"/>
            </c:dLbl>
            <c:dLbl>
              <c:idx val="9"/>
              <c:layout>
                <c:manualLayout>
                  <c:x val="-3.0648733773143221E-2"/>
                  <c:y val="-4.3547724851225281E-2"/>
                </c:manualLayout>
              </c:layout>
              <c:dLblPos val="r"/>
              <c:showLegendKey val="0"/>
              <c:showVal val="1"/>
              <c:showCatName val="0"/>
              <c:showSerName val="0"/>
              <c:showPercent val="0"/>
              <c:showBubbleSize val="0"/>
            </c:dLbl>
            <c:dLbl>
              <c:idx val="10"/>
              <c:layout>
                <c:manualLayout>
                  <c:x val="-3.0648733773143221E-2"/>
                  <c:y val="-3.6947064785218676E-2"/>
                </c:manualLayout>
              </c:layout>
              <c:dLblPos val="r"/>
              <c:showLegendKey val="0"/>
              <c:showVal val="1"/>
              <c:showCatName val="0"/>
              <c:showSerName val="0"/>
              <c:showPercent val="0"/>
              <c:showBubbleSize val="0"/>
            </c:dLbl>
            <c:dLbl>
              <c:idx val="11"/>
              <c:layout>
                <c:manualLayout>
                  <c:x val="-3.0648733773143221E-2"/>
                  <c:y val="-4.3547724851225281E-2"/>
                </c:manualLayout>
              </c:layout>
              <c:dLblPos val="r"/>
              <c:showLegendKey val="0"/>
              <c:showVal val="1"/>
              <c:showCatName val="0"/>
              <c:showSerName val="0"/>
              <c:showPercent val="0"/>
              <c:showBubbleSize val="0"/>
            </c:dLbl>
            <c:dLbl>
              <c:idx val="12"/>
              <c:layout>
                <c:manualLayout>
                  <c:x val="-3.2810895935305381E-2"/>
                  <c:y val="-5.0148384917231878E-2"/>
                </c:manualLayout>
              </c:layout>
              <c:dLblPos val="r"/>
              <c:showLegendKey val="0"/>
              <c:showVal val="1"/>
              <c:showCatName val="0"/>
              <c:showSerName val="0"/>
              <c:showPercent val="0"/>
              <c:showBubbleSize val="0"/>
            </c:dLbl>
            <c:dLbl>
              <c:idx val="13"/>
              <c:layout>
                <c:manualLayout>
                  <c:x val="-3.0648733773143221E-2"/>
                  <c:y val="-5.0148384917231864E-2"/>
                </c:manualLayout>
              </c:layout>
              <c:dLblPos val="r"/>
              <c:showLegendKey val="0"/>
              <c:showVal val="1"/>
              <c:showCatName val="0"/>
              <c:showSerName val="0"/>
              <c:showPercent val="0"/>
              <c:showBubbleSize val="0"/>
            </c:dLbl>
            <c:dLbl>
              <c:idx val="14"/>
              <c:layout>
                <c:manualLayout>
                  <c:x val="-2.4162247286656734E-2"/>
                  <c:y val="-5.0148384917231864E-2"/>
                </c:manualLayout>
              </c:layout>
              <c:dLblPos val="r"/>
              <c:showLegendKey val="0"/>
              <c:showVal val="1"/>
              <c:showCatName val="0"/>
              <c:showSerName val="0"/>
              <c:showPercent val="0"/>
              <c:showBubbleSize val="0"/>
            </c:dLbl>
            <c:dLbl>
              <c:idx val="15"/>
              <c:layout>
                <c:manualLayout>
                  <c:x val="-2.848657161098106E-2"/>
                  <c:y val="-4.3547724851225281E-2"/>
                </c:manualLayout>
              </c:layout>
              <c:dLblPos val="r"/>
              <c:showLegendKey val="0"/>
              <c:showVal val="1"/>
              <c:showCatName val="0"/>
              <c:showSerName val="0"/>
              <c:showPercent val="0"/>
              <c:showBubbleSize val="0"/>
            </c:dLbl>
            <c:dLbl>
              <c:idx val="16"/>
              <c:layout>
                <c:manualLayout>
                  <c:x val="-3.0648733773143221E-2"/>
                  <c:y val="-5.0148384917231878E-2"/>
                </c:manualLayout>
              </c:layout>
              <c:dLblPos val="r"/>
              <c:showLegendKey val="0"/>
              <c:showVal val="1"/>
              <c:showCatName val="0"/>
              <c:showSerName val="0"/>
              <c:showPercent val="0"/>
              <c:showBubbleSize val="0"/>
            </c:dLbl>
            <c:dLbl>
              <c:idx val="17"/>
              <c:layout>
                <c:manualLayout>
                  <c:x val="-9.3514364758459246E-3"/>
                  <c:y val="-4.3547724851225281E-2"/>
                </c:manualLayout>
              </c:layout>
              <c:dLblPos val="r"/>
              <c:showLegendKey val="0"/>
              <c:showVal val="1"/>
              <c:showCatName val="0"/>
              <c:showSerName val="0"/>
              <c:showPercent val="0"/>
              <c:showBubbleSize val="0"/>
            </c:dLbl>
            <c:dLbl>
              <c:idx val="18"/>
              <c:layout>
                <c:manualLayout>
                  <c:x val="-1.1948331539289559E-2"/>
                  <c:y val="-4.9317007180269865E-2"/>
                </c:manualLayout>
              </c:layout>
              <c:dLblPos val="r"/>
              <c:showLegendKey val="0"/>
              <c:showVal val="1"/>
              <c:showCatName val="0"/>
              <c:showSerName val="0"/>
              <c:showPercent val="0"/>
              <c:showBubbleSize val="0"/>
            </c:dLbl>
            <c:txPr>
              <a:bodyPr/>
              <a:lstStyle/>
              <a:p>
                <a:pPr>
                  <a:defRPr sz="800" b="0">
                    <a:latin typeface="Arial" panose="020B0604020202020204" pitchFamily="34" charset="0"/>
                    <a:cs typeface="Arial" panose="020B0604020202020204" pitchFamily="34" charset="0"/>
                  </a:defRPr>
                </a:pPr>
                <a:endParaRPr lang="pl-PL"/>
              </a:p>
            </c:txPr>
            <c:dLblPos val="t"/>
            <c:showLegendKey val="0"/>
            <c:showVal val="1"/>
            <c:showCatName val="0"/>
            <c:showSerName val="0"/>
            <c:showPercent val="0"/>
            <c:showBubbleSize val="0"/>
            <c:showLeaderLines val="0"/>
          </c:dLbls>
          <c:cat>
            <c:strRef>
              <c:f>[PODM_2419_XTAB_20210813123946.xlsx]Arkusz1!$C$3:$U$3</c:f>
              <c:strCache>
                <c:ptCount val="19"/>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strCache>
            </c:strRef>
          </c:cat>
          <c:val>
            <c:numRef>
              <c:f>[PODM_2419_XTAB_20210813123946.xlsx]Arkusz1!$C$21:$U$21</c:f>
              <c:numCache>
                <c:formatCode>#,##0</c:formatCode>
                <c:ptCount val="19"/>
                <c:pt idx="0">
                  <c:v>66</c:v>
                </c:pt>
                <c:pt idx="1">
                  <c:v>68</c:v>
                </c:pt>
                <c:pt idx="2">
                  <c:v>67</c:v>
                </c:pt>
                <c:pt idx="3">
                  <c:v>66</c:v>
                </c:pt>
                <c:pt idx="4">
                  <c:v>67</c:v>
                </c:pt>
                <c:pt idx="5">
                  <c:v>68</c:v>
                </c:pt>
                <c:pt idx="6">
                  <c:v>69</c:v>
                </c:pt>
                <c:pt idx="7">
                  <c:v>69</c:v>
                </c:pt>
                <c:pt idx="8">
                  <c:v>72</c:v>
                </c:pt>
                <c:pt idx="9">
                  <c:v>71</c:v>
                </c:pt>
                <c:pt idx="10">
                  <c:v>73</c:v>
                </c:pt>
                <c:pt idx="11">
                  <c:v>75</c:v>
                </c:pt>
                <c:pt idx="12">
                  <c:v>76</c:v>
                </c:pt>
                <c:pt idx="13">
                  <c:v>78</c:v>
                </c:pt>
                <c:pt idx="14">
                  <c:v>79</c:v>
                </c:pt>
                <c:pt idx="15">
                  <c:v>80</c:v>
                </c:pt>
                <c:pt idx="16">
                  <c:v>82</c:v>
                </c:pt>
                <c:pt idx="17">
                  <c:v>85</c:v>
                </c:pt>
                <c:pt idx="18">
                  <c:v>89</c:v>
                </c:pt>
              </c:numCache>
            </c:numRef>
          </c:val>
          <c:smooth val="0"/>
        </c:ser>
        <c:dLbls>
          <c:showLegendKey val="0"/>
          <c:showVal val="0"/>
          <c:showCatName val="0"/>
          <c:showSerName val="0"/>
          <c:showPercent val="0"/>
          <c:showBubbleSize val="0"/>
        </c:dLbls>
        <c:marker val="1"/>
        <c:smooth val="0"/>
        <c:axId val="163640832"/>
        <c:axId val="163642368"/>
      </c:lineChart>
      <c:catAx>
        <c:axId val="163640832"/>
        <c:scaling>
          <c:orientation val="minMax"/>
        </c:scaling>
        <c:delete val="0"/>
        <c:axPos val="b"/>
        <c:numFmt formatCode="General" sourceLinked="1"/>
        <c:majorTickMark val="out"/>
        <c:minorTickMark val="none"/>
        <c:tickLblPos val="nextTo"/>
        <c:txPr>
          <a:bodyPr/>
          <a:lstStyle/>
          <a:p>
            <a:pPr>
              <a:defRPr sz="800" b="0">
                <a:latin typeface="Times New Roman" panose="02020603050405020304" pitchFamily="18" charset="0"/>
                <a:cs typeface="Times New Roman" panose="02020603050405020304" pitchFamily="18" charset="0"/>
              </a:defRPr>
            </a:pPr>
            <a:endParaRPr lang="pl-PL"/>
          </a:p>
        </c:txPr>
        <c:crossAx val="163642368"/>
        <c:crosses val="autoZero"/>
        <c:auto val="1"/>
        <c:lblAlgn val="ctr"/>
        <c:lblOffset val="100"/>
        <c:noMultiLvlLbl val="0"/>
      </c:catAx>
      <c:valAx>
        <c:axId val="163642368"/>
        <c:scaling>
          <c:orientation val="minMax"/>
        </c:scaling>
        <c:delete val="0"/>
        <c:axPos val="l"/>
        <c:majorGridlines>
          <c:spPr>
            <a:ln>
              <a:solidFill>
                <a:srgbClr val="794D73">
                  <a:alpha val="28000"/>
                </a:srgbClr>
              </a:solidFill>
            </a:ln>
          </c:spPr>
        </c:majorGridlines>
        <c:minorGridlines>
          <c:spPr>
            <a:ln>
              <a:solidFill>
                <a:schemeClr val="bg1">
                  <a:lumMod val="65000"/>
                  <a:alpha val="57000"/>
                </a:schemeClr>
              </a:solidFill>
            </a:ln>
          </c:spPr>
        </c:minorGridlines>
        <c:numFmt formatCode="#,##0" sourceLinked="1"/>
        <c:majorTickMark val="out"/>
        <c:minorTickMark val="none"/>
        <c:tickLblPos val="nextTo"/>
        <c:spPr>
          <a:noFill/>
          <a:ln>
            <a:solidFill>
              <a:schemeClr val="bg1">
                <a:lumMod val="85000"/>
                <a:alpha val="72000"/>
              </a:schemeClr>
            </a:solidFill>
          </a:ln>
        </c:spPr>
        <c:txPr>
          <a:bodyPr/>
          <a:lstStyle/>
          <a:p>
            <a:pPr>
              <a:defRPr sz="700" b="0">
                <a:latin typeface="Times New Roman" panose="02020603050405020304" pitchFamily="18" charset="0"/>
                <a:cs typeface="Times New Roman" panose="02020603050405020304" pitchFamily="18" charset="0"/>
              </a:defRPr>
            </a:pPr>
            <a:endParaRPr lang="pl-PL"/>
          </a:p>
        </c:txPr>
        <c:crossAx val="163640832"/>
        <c:crosses val="autoZero"/>
        <c:crossBetween val="midCat"/>
      </c:valAx>
    </c:plotArea>
    <c:legend>
      <c:legendPos val="r"/>
      <c:layout>
        <c:manualLayout>
          <c:xMode val="edge"/>
          <c:yMode val="edge"/>
          <c:x val="7.7641185594534812E-2"/>
          <c:y val="0.58522945645010238"/>
          <c:w val="0.48659549631767729"/>
          <c:h val="8.5037425528204078E-2"/>
        </c:manualLayout>
      </c:layout>
      <c:overlay val="0"/>
      <c:txPr>
        <a:bodyPr/>
        <a:lstStyle/>
        <a:p>
          <a:pPr>
            <a:defRPr sz="900" b="0">
              <a:latin typeface="Times New Roman" panose="02020603050405020304" pitchFamily="18" charset="0"/>
              <a:cs typeface="Times New Roman" panose="02020603050405020304" pitchFamily="18" charset="0"/>
            </a:defRPr>
          </a:pPr>
          <a:endParaRPr lang="pl-PL"/>
        </a:p>
      </c:txPr>
    </c:legend>
    <c:plotVisOnly val="1"/>
    <c:dispBlanksAs val="gap"/>
    <c:showDLblsOverMax val="0"/>
  </c:chart>
  <c:spPr>
    <a:noFill/>
    <a:ln>
      <a:noFill/>
    </a:ln>
  </c:spPr>
  <c:txPr>
    <a:bodyPr/>
    <a:lstStyle/>
    <a:p>
      <a:pPr>
        <a:defRPr b="1"/>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5754-74AF-4370-AC36-B7ACBFB3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17939</TotalTime>
  <Pages>52</Pages>
  <Words>9007</Words>
  <Characters>54044</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Piotr.Kocaj</dc:creator>
  <cp:lastModifiedBy>WUP</cp:lastModifiedBy>
  <cp:revision>1827</cp:revision>
  <cp:lastPrinted>2021-08-13T12:41:00Z</cp:lastPrinted>
  <dcterms:created xsi:type="dcterms:W3CDTF">2017-02-21T12:02:00Z</dcterms:created>
  <dcterms:modified xsi:type="dcterms:W3CDTF">2021-09-06T13:27:00Z</dcterms:modified>
</cp:coreProperties>
</file>