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.xml" ContentType="application/vnd.openxmlformats-officedocument.themeOverride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footer1.xml" ContentType="application/vnd.openxmlformats-officedocument.wordprocessingml.footer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16E" w:rsidRPr="004E3B3E" w:rsidRDefault="0051416E" w:rsidP="009A1F42">
      <w:pPr>
        <w:pStyle w:val="Default"/>
        <w:jc w:val="both"/>
      </w:pPr>
      <w:r w:rsidRPr="004E3B3E">
        <w:rPr>
          <w:noProof/>
          <w:lang w:eastAsia="pl-PL"/>
        </w:rPr>
        <w:drawing>
          <wp:anchor distT="0" distB="0" distL="0" distR="0" simplePos="0" relativeHeight="251632640" behindDoc="0" locked="0" layoutInCell="1" allowOverlap="1">
            <wp:simplePos x="0" y="0"/>
            <wp:positionH relativeFrom="column">
              <wp:posOffset>-899795</wp:posOffset>
            </wp:positionH>
            <wp:positionV relativeFrom="paragraph">
              <wp:posOffset>-819785</wp:posOffset>
            </wp:positionV>
            <wp:extent cx="7559040" cy="1092835"/>
            <wp:effectExtent l="0" t="0" r="3810" b="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040" cy="1092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51416E" w:rsidRPr="004E3B3E" w:rsidRDefault="0051416E" w:rsidP="009A1F42">
      <w:pPr>
        <w:pStyle w:val="Default"/>
        <w:jc w:val="both"/>
      </w:pPr>
    </w:p>
    <w:p w:rsidR="0009289E" w:rsidRDefault="0009289E" w:rsidP="00516004">
      <w:pPr>
        <w:pStyle w:val="Default"/>
        <w:jc w:val="center"/>
        <w:rPr>
          <w:sz w:val="40"/>
        </w:rPr>
      </w:pPr>
    </w:p>
    <w:p w:rsidR="0009289E" w:rsidRDefault="0009289E" w:rsidP="00516004">
      <w:pPr>
        <w:pStyle w:val="Default"/>
        <w:jc w:val="center"/>
        <w:rPr>
          <w:sz w:val="40"/>
        </w:rPr>
      </w:pPr>
    </w:p>
    <w:p w:rsidR="0051416E" w:rsidRPr="004E3B3E" w:rsidRDefault="0051416E" w:rsidP="00516004">
      <w:pPr>
        <w:pStyle w:val="Default"/>
        <w:jc w:val="center"/>
        <w:rPr>
          <w:sz w:val="40"/>
        </w:rPr>
      </w:pPr>
      <w:r w:rsidRPr="004E3B3E">
        <w:rPr>
          <w:sz w:val="40"/>
        </w:rPr>
        <w:t>ANALIZA SYTUACJI NA RYNKU PRACY</w:t>
      </w:r>
    </w:p>
    <w:p w:rsidR="0051416E" w:rsidRPr="004E3B3E" w:rsidRDefault="0051416E" w:rsidP="00516004">
      <w:pPr>
        <w:pStyle w:val="Default"/>
        <w:jc w:val="center"/>
        <w:rPr>
          <w:sz w:val="40"/>
        </w:rPr>
      </w:pPr>
      <w:r w:rsidRPr="004E3B3E">
        <w:rPr>
          <w:sz w:val="40"/>
        </w:rPr>
        <w:t>W WOJEWÓDZTWIE PODKARPACKIM</w:t>
      </w:r>
    </w:p>
    <w:p w:rsidR="0051416E" w:rsidRPr="004E3B3E" w:rsidRDefault="00235A6B" w:rsidP="00516004">
      <w:pPr>
        <w:pStyle w:val="Default"/>
        <w:jc w:val="center"/>
        <w:rPr>
          <w:sz w:val="40"/>
        </w:rPr>
      </w:pPr>
      <w:r>
        <w:rPr>
          <w:sz w:val="40"/>
        </w:rPr>
        <w:t>W</w:t>
      </w:r>
      <w:r w:rsidR="0051416E" w:rsidRPr="004E3B3E">
        <w:rPr>
          <w:sz w:val="40"/>
        </w:rPr>
        <w:t xml:space="preserve"> 201</w:t>
      </w:r>
      <w:r w:rsidR="00507831">
        <w:rPr>
          <w:sz w:val="40"/>
        </w:rPr>
        <w:t>6</w:t>
      </w:r>
      <w:r w:rsidR="0051416E" w:rsidRPr="004E3B3E">
        <w:rPr>
          <w:sz w:val="40"/>
        </w:rPr>
        <w:t xml:space="preserve"> </w:t>
      </w:r>
      <w:r>
        <w:rPr>
          <w:sz w:val="40"/>
        </w:rPr>
        <w:t>ROKU</w:t>
      </w: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40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Pr="004E3B3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416E" w:rsidRDefault="0051416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3B3E" w:rsidRPr="004E3B3E" w:rsidRDefault="004E3B3E" w:rsidP="009A1F4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1207" w:rsidRPr="004E3B3E" w:rsidRDefault="0051416E" w:rsidP="00507831">
      <w:pPr>
        <w:pBdr>
          <w:top w:val="double" w:sz="6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3B3E">
        <w:rPr>
          <w:rFonts w:ascii="Times New Roman" w:hAnsi="Times New Roman" w:cs="Times New Roman"/>
          <w:sz w:val="24"/>
          <w:szCs w:val="24"/>
        </w:rPr>
        <w:t>RZESZÓW</w:t>
      </w:r>
      <w:r w:rsidR="00EC30A5" w:rsidRPr="004E3B3E">
        <w:rPr>
          <w:rFonts w:ascii="Times New Roman" w:hAnsi="Times New Roman" w:cs="Times New Roman"/>
          <w:sz w:val="24"/>
          <w:szCs w:val="24"/>
        </w:rPr>
        <w:t xml:space="preserve"> </w:t>
      </w:r>
      <w:r w:rsidRPr="004E3B3E">
        <w:rPr>
          <w:rFonts w:ascii="Times New Roman" w:hAnsi="Times New Roman" w:cs="Times New Roman"/>
          <w:sz w:val="24"/>
          <w:szCs w:val="24"/>
        </w:rPr>
        <w:t>201</w:t>
      </w:r>
      <w:r w:rsidR="00E613EA">
        <w:rPr>
          <w:rFonts w:ascii="Times New Roman" w:hAnsi="Times New Roman" w:cs="Times New Roman"/>
          <w:sz w:val="24"/>
          <w:szCs w:val="24"/>
        </w:rPr>
        <w:t>7</w:t>
      </w:r>
    </w:p>
    <w:bookmarkStart w:id="0" w:name="_Toc446334626" w:displacedByCustomXml="next"/>
    <w:sdt>
      <w:sdtPr>
        <w:rPr>
          <w:rFonts w:ascii="Times New Roman" w:eastAsiaTheme="minorHAnsi" w:hAnsi="Times New Roman" w:cs="Times New Roman"/>
          <w:bCs w:val="0"/>
          <w:caps/>
          <w:color w:val="auto"/>
          <w:sz w:val="22"/>
          <w:szCs w:val="22"/>
          <w:lang w:eastAsia="en-US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id w:val="-1691137078"/>
        <w:docPartObj>
          <w:docPartGallery w:val="Table of Contents"/>
          <w:docPartUnique/>
        </w:docPartObj>
      </w:sdtPr>
      <w:sdtEndPr>
        <w:rPr>
          <w:b w:val="0"/>
          <w:caps w:val="0"/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rgbClr w14:val="000000"/>
            </w14:solidFill>
          </w14:textFill>
        </w:rPr>
      </w:sdtEndPr>
      <w:sdtContent>
        <w:p w:rsidR="001F59FA" w:rsidRPr="000C27C0" w:rsidRDefault="001F59FA" w:rsidP="000C27C0">
          <w:pPr>
            <w:pStyle w:val="Nagwekspisutreci"/>
            <w:spacing w:line="360" w:lineRule="auto"/>
            <w:jc w:val="center"/>
            <w:rPr>
              <w:rFonts w:ascii="Times New Roman" w:hAnsi="Times New Roman" w:cs="Times New Roman"/>
              <w:caps/>
              <w:color w:val="auto"/>
              <w:sz w:val="24"/>
              <w:szCs w:val="24"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</w:pPr>
          <w:r w:rsidRPr="000C27C0">
            <w:rPr>
              <w:rFonts w:ascii="Times New Roman" w:hAnsi="Times New Roman" w:cs="Times New Roman"/>
              <w:caps/>
              <w:color w:val="auto"/>
              <w:sz w:val="24"/>
              <w:szCs w:val="24"/>
              <w14:reflection w14:blurRad="12700" w14:stA="28000" w14:stPos="0" w14:endA="0" w14:endPos="45000" w14:dist="1003" w14:dir="5400000" w14:fadeDir="5400000" w14:sx="100000" w14:sy="-100000" w14:kx="0" w14:ky="0" w14:algn="bl"/>
              <w14:textOutline w14:w="4495" w14:cap="flat" w14:cmpd="sng" w14:algn="ctr">
                <w14:solidFill>
                  <w14:schemeClr w14:val="accent4">
                    <w14:shade w14:val="50000"/>
                    <w14:satMod w14:val="120000"/>
                  </w14:schemeClr>
                </w14:solidFill>
                <w14:prstDash w14:val="solid"/>
                <w14:round/>
              </w14:textOutline>
              <w14:textFill>
                <w14:gradFill>
                  <w14:gsLst>
                    <w14:gs w14:pos="0">
                      <w14:schemeClr w14:val="accent4">
                        <w14:shade w14:val="20000"/>
                        <w14:satMod w14:val="245000"/>
                      </w14:schemeClr>
                    </w14:gs>
                    <w14:gs w14:pos="43000">
                      <w14:schemeClr w14:val="accent4">
                        <w14:satMod w14:val="255000"/>
                      </w14:schemeClr>
                    </w14:gs>
                    <w14:gs w14:pos="48000">
                      <w14:schemeClr w14:val="accent4">
                        <w14:shade w14:val="85000"/>
                        <w14:satMod w14:val="255000"/>
                      </w14:schemeClr>
                    </w14:gs>
                    <w14:gs w14:pos="100000">
                      <w14:schemeClr w14:val="accent4">
                        <w14:shade w14:val="20000"/>
                        <w14:satMod w14:val="245000"/>
                      </w14:schemeClr>
                    </w14:gs>
                  </w14:gsLst>
                  <w14:lin w14:ang="5400000" w14:scaled="0"/>
                </w14:gradFill>
              </w14:textFill>
            </w:rPr>
            <w:t>Spis treści</w:t>
          </w:r>
        </w:p>
        <w:p w:rsidR="00C741CE" w:rsidRPr="00C741CE" w:rsidRDefault="00C741CE" w:rsidP="00C741CE">
          <w:pPr>
            <w:rPr>
              <w:lang w:eastAsia="pl-PL"/>
            </w:rPr>
          </w:pPr>
        </w:p>
        <w:p w:rsidR="002D12F9" w:rsidRPr="000C27C0" w:rsidRDefault="00015579">
          <w:pPr>
            <w:pStyle w:val="Spistreci1"/>
            <w:tabs>
              <w:tab w:val="right" w:leader="dot" w:pos="9060"/>
            </w:tabs>
            <w:rPr>
              <w:rFonts w:asciiTheme="majorHAnsi" w:eastAsiaTheme="minorEastAsia" w:hAnsiTheme="majorHAnsi"/>
              <w:noProof/>
              <w:lang w:eastAsia="pl-PL"/>
            </w:rPr>
          </w:pPr>
          <w:r w:rsidRPr="00C741CE">
            <w:rPr>
              <w:rFonts w:asciiTheme="majorHAnsi" w:hAnsiTheme="majorHAnsi" w:cs="Times New Roman"/>
              <w:b/>
              <w:sz w:val="24"/>
              <w:szCs w:val="24"/>
            </w:rPr>
            <w:fldChar w:fldCharType="begin"/>
          </w:r>
          <w:r w:rsidR="001F59FA" w:rsidRPr="00C741CE">
            <w:rPr>
              <w:rFonts w:asciiTheme="majorHAnsi" w:hAnsiTheme="majorHAnsi" w:cs="Times New Roman"/>
              <w:b/>
              <w:sz w:val="24"/>
              <w:szCs w:val="24"/>
            </w:rPr>
            <w:instrText xml:space="preserve"> TOC \o "1-3" \h \z \u </w:instrText>
          </w:r>
          <w:r w:rsidRPr="00C741CE">
            <w:rPr>
              <w:rFonts w:asciiTheme="majorHAnsi" w:hAnsiTheme="majorHAnsi" w:cs="Times New Roman"/>
              <w:b/>
              <w:sz w:val="24"/>
              <w:szCs w:val="24"/>
            </w:rPr>
            <w:fldChar w:fldCharType="separate"/>
          </w:r>
          <w:hyperlink w:anchor="_Toc477160349" w:history="1">
            <w:r w:rsidR="002D12F9" w:rsidRPr="000C27C0">
              <w:rPr>
                <w:rStyle w:val="Hipercze"/>
                <w:rFonts w:asciiTheme="majorHAnsi" w:hAnsiTheme="majorHAnsi"/>
                <w:b/>
                <w:bCs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Wstęp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_Toc477160349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3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1"/>
            <w:tabs>
              <w:tab w:val="right" w:leader="dot" w:pos="9060"/>
            </w:tabs>
            <w:rPr>
              <w:rFonts w:asciiTheme="majorHAnsi" w:eastAsiaTheme="minorEastAsia" w:hAnsiTheme="majorHAnsi"/>
              <w:noProof/>
              <w:lang w:eastAsia="pl-PL"/>
            </w:rPr>
          </w:pPr>
          <w:hyperlink w:anchor="_Toc477160350" w:history="1">
            <w:r w:rsidR="002D12F9" w:rsidRPr="000C27C0">
              <w:rPr>
                <w:rStyle w:val="Hipercze"/>
                <w:rFonts w:asciiTheme="majorHAnsi" w:hAnsiTheme="majorHAnsi"/>
                <w:b/>
                <w:bCs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Ogólna charakterystyka regionu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_Toc477160350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5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1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Wiek produkcyjny ludności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_Toc477160351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7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2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Stan rozwoju przedsiębiorczości 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_Toc477160352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9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1"/>
            <w:tabs>
              <w:tab w:val="right" w:leader="dot" w:pos="9060"/>
            </w:tabs>
            <w:rPr>
              <w:rFonts w:asciiTheme="majorHAnsi" w:eastAsiaTheme="minorEastAsia" w:hAnsiTheme="majorHAnsi"/>
              <w:noProof/>
              <w:lang w:eastAsia="pl-PL"/>
            </w:rPr>
          </w:pPr>
          <w:hyperlink w:anchor="_Toc477160353" w:history="1">
            <w:r w:rsidR="002D12F9" w:rsidRPr="000C27C0">
              <w:rPr>
                <w:rStyle w:val="Hipercze"/>
                <w:rFonts w:asciiTheme="majorHAnsi" w:hAnsiTheme="majorHAnsi"/>
                <w:b/>
                <w:bCs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Podkarpacki rynek pracy w 2016 r.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_Toc477160353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17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4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na rynku pracy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_Toc477160354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17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5" w:history="1">
            <w:r w:rsidR="002D12F9" w:rsidRPr="000C27C0">
              <w:rPr>
                <w:rStyle w:val="Hipercze"/>
                <w:rFonts w:asciiTheme="majorHAnsi" w:hAnsiTheme="majorHAnsi"/>
              </w:rPr>
              <w:t>Płynność bezrobocia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_Toc477160355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19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3"/>
            <w:tabs>
              <w:tab w:val="right" w:leader="dot" w:pos="9060"/>
            </w:tabs>
            <w:rPr>
              <w:rFonts w:asciiTheme="majorHAnsi" w:eastAsiaTheme="minorEastAsia" w:hAnsiTheme="majorHAnsi"/>
              <w:noProof/>
              <w:lang w:eastAsia="pl-PL"/>
            </w:rPr>
          </w:pPr>
          <w:hyperlink w:anchor="_Toc477160356" w:history="1">
            <w:r w:rsidR="002D12F9" w:rsidRPr="000C27C0">
              <w:rPr>
                <w:rStyle w:val="Hipercze"/>
                <w:rFonts w:asciiTheme="majorHAnsi" w:hAnsiTheme="majorHAnsi"/>
                <w:b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„Napływ bezrobotnych”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_Toc477160356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19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3"/>
            <w:tabs>
              <w:tab w:val="right" w:leader="dot" w:pos="9060"/>
            </w:tabs>
            <w:rPr>
              <w:rFonts w:asciiTheme="majorHAnsi" w:eastAsiaTheme="minorEastAsia" w:hAnsiTheme="majorHAnsi"/>
              <w:noProof/>
              <w:lang w:eastAsia="pl-PL"/>
            </w:rPr>
          </w:pPr>
          <w:hyperlink w:anchor="_Toc477160357" w:history="1">
            <w:r w:rsidR="002D12F9" w:rsidRPr="000C27C0">
              <w:rPr>
                <w:rStyle w:val="Hipercze"/>
                <w:rFonts w:asciiTheme="majorHAnsi" w:hAnsiTheme="majorHAnsi"/>
                <w:b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„Odpływ bezrobotnych”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_Toc477160357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21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8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z prawem do zasiłku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_Toc477160358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25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59" w:history="1">
            <w:r w:rsidR="002D12F9" w:rsidRPr="000C27C0">
              <w:rPr>
                <w:rStyle w:val="Hipercze"/>
                <w:rFonts w:asciiTheme="majorHAnsi" w:hAnsiTheme="majorHAnsi"/>
              </w:rPr>
              <w:t>Bezrobotni wG wieku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_Toc477160359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27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0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wg poziomu wykształcenia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_Toc477160360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27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1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wg stażu pracy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_Toc477160361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28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2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zamieszkali na wsi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_Toc477160362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32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3" w:history="1">
            <w:r w:rsidR="002D12F9" w:rsidRPr="000C27C0">
              <w:rPr>
                <w:rStyle w:val="Hipercze"/>
                <w:rFonts w:asciiTheme="majorHAnsi" w:hAnsiTheme="majorHAnsi"/>
              </w:rPr>
              <w:t>Bezrobotni w szczególnej sytuacji na rynku pracy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_Toc477160363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36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4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według Polskiej Klasyfikacji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_Toc477160364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39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5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Działalności</w:t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6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Bezrobotni według zawodów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_Toc477160366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40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7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Wolne miejsca pracy i miejsca aktywizacji zawodowej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_Toc477160367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44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8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Wydatki z Funduszu Pracy na aktywne formy promocji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_Toc477160368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49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69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zatrudnienia</w:t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70" w:history="1">
            <w:r w:rsidR="002D12F9" w:rsidRPr="000C27C0">
              <w:rPr>
                <w:rStyle w:val="Hipercze"/>
                <w:rFonts w:asciiTheme="majorHAnsi" w:hAnsiTheme="majorHAnsi"/>
                <w:bCs/>
              </w:rPr>
              <w:t>Zwolnienia z przyczyn niedotyczących pracowników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_Toc477160370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51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Pr="000C27C0" w:rsidRDefault="00071ACF">
          <w:pPr>
            <w:pStyle w:val="Spistreci2"/>
            <w:rPr>
              <w:rFonts w:asciiTheme="majorHAnsi" w:eastAsiaTheme="minorEastAsia" w:hAnsiTheme="majorHAnsi" w:cstheme="minorBidi"/>
              <w:b w:val="0"/>
              <w:caps w:val="0"/>
              <w:color w:val="000000"/>
              <w:lang w:eastAsia="pl-PL"/>
              <w14:reflection w14:blurRad="0" w14:stA="0" w14:stPos="0" w14:endA="0" w14:endPos="0" w14:dist="0" w14:dir="0" w14:fadeDir="0" w14:sx="0" w14:sy="0" w14:kx="0" w14:ky="0" w14:algn="none"/>
              <w14:textOutline w14:w="0" w14:cap="rnd" w14:cmpd="sng" w14:algn="ctr">
                <w14:noFill/>
                <w14:prstDash w14:val="solid"/>
                <w14:bevel/>
              </w14:textOutline>
              <w14:textFill>
                <w14:solidFill>
                  <w14:srgbClr w14:val="000000"/>
                </w14:solidFill>
              </w14:textFill>
            </w:rPr>
          </w:pPr>
          <w:hyperlink w:anchor="_Toc477160371" w:history="1">
            <w:r w:rsidR="002D12F9" w:rsidRPr="000C27C0">
              <w:rPr>
                <w:rStyle w:val="Hipercze"/>
                <w:rFonts w:asciiTheme="majorHAnsi" w:hAnsiTheme="majorHAnsi"/>
              </w:rPr>
              <w:t>Fundusz Gwarantowanych Świadczeń Pracowniczych</w:t>
            </w:r>
            <w:r w:rsidR="002D12F9" w:rsidRPr="000C27C0">
              <w:rPr>
                <w:rFonts w:asciiTheme="majorHAnsi" w:hAnsiTheme="majorHAnsi"/>
                <w:webHidden/>
              </w:rPr>
              <w:tab/>
            </w:r>
            <w:r w:rsidR="002D12F9" w:rsidRPr="000C27C0">
              <w:rPr>
                <w:rFonts w:asciiTheme="majorHAnsi" w:hAnsiTheme="majorHAnsi"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webHidden/>
              </w:rPr>
              <w:instrText xml:space="preserve"> PAGEREF _Toc477160371 \h </w:instrText>
            </w:r>
            <w:r w:rsidR="002D12F9" w:rsidRPr="000C27C0">
              <w:rPr>
                <w:rFonts w:asciiTheme="majorHAnsi" w:hAnsiTheme="majorHAnsi"/>
                <w:webHidden/>
              </w:rPr>
            </w:r>
            <w:r w:rsidR="002D12F9" w:rsidRPr="000C27C0">
              <w:rPr>
                <w:rFonts w:asciiTheme="majorHAnsi" w:hAnsiTheme="majorHAnsi"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webHidden/>
              </w:rPr>
              <w:t>52</w:t>
            </w:r>
            <w:r w:rsidR="002D12F9" w:rsidRPr="000C27C0">
              <w:rPr>
                <w:rFonts w:asciiTheme="majorHAnsi" w:hAnsiTheme="majorHAnsi"/>
                <w:webHidden/>
              </w:rPr>
              <w:fldChar w:fldCharType="end"/>
            </w:r>
          </w:hyperlink>
        </w:p>
        <w:p w:rsidR="002D12F9" w:rsidRDefault="00071ACF">
          <w:pPr>
            <w:pStyle w:val="Spistreci1"/>
            <w:tabs>
              <w:tab w:val="right" w:leader="dot" w:pos="9060"/>
            </w:tabs>
            <w:rPr>
              <w:rFonts w:eastAsiaTheme="minorEastAsia"/>
              <w:noProof/>
              <w:lang w:eastAsia="pl-PL"/>
            </w:rPr>
          </w:pPr>
          <w:hyperlink w:anchor="_Toc477160372" w:history="1">
            <w:r w:rsidR="002D12F9" w:rsidRPr="000C27C0">
              <w:rPr>
                <w:rStyle w:val="Hipercze"/>
                <w:rFonts w:asciiTheme="majorHAnsi" w:hAnsiTheme="majorHAnsi"/>
                <w:b/>
                <w:bCs/>
                <w:caps/>
                <w:noProof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Podsumowanie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ab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instrText xml:space="preserve"> PAGEREF _Toc477160372 \h </w:instrText>
            </w:r>
            <w:r w:rsidR="002D12F9" w:rsidRPr="000C27C0">
              <w:rPr>
                <w:rFonts w:asciiTheme="majorHAnsi" w:hAnsiTheme="majorHAnsi"/>
                <w:noProof/>
                <w:webHidden/>
              </w:rPr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t>54</w:t>
            </w:r>
            <w:r w:rsidR="002D12F9" w:rsidRPr="000C27C0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1F59FA" w:rsidRPr="002D4EF1" w:rsidRDefault="00015579" w:rsidP="002D4EF1">
          <w:pPr>
            <w:pStyle w:val="Spistreci1"/>
            <w:tabs>
              <w:tab w:val="right" w:leader="dot" w:pos="9060"/>
            </w:tabs>
            <w:rPr>
              <w:rFonts w:ascii="Times New Roman" w:hAnsi="Times New Roman" w:cs="Times New Roman"/>
            </w:rPr>
          </w:pPr>
          <w:r w:rsidRPr="00C741CE">
            <w:rPr>
              <w:rFonts w:asciiTheme="majorHAnsi" w:hAnsiTheme="majorHAnsi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1F59FA" w:rsidRDefault="001F59FA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b/>
          <w:bCs/>
        </w:rPr>
        <w:br w:type="page"/>
      </w:r>
    </w:p>
    <w:p w:rsidR="003A2CF6" w:rsidRPr="002767B7" w:rsidRDefault="003A2CF6" w:rsidP="002767B7">
      <w:pPr>
        <w:pStyle w:val="Default"/>
        <w:pBdr>
          <w:bottom w:val="single" w:sz="4" w:space="1" w:color="auto"/>
        </w:pBdr>
        <w:jc w:val="both"/>
        <w:outlineLvl w:val="0"/>
        <w:rPr>
          <w:b/>
          <w:bCs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" w:name="_Toc477160349"/>
      <w:r w:rsidRPr="002767B7">
        <w:rPr>
          <w:b/>
          <w:bCs/>
          <w:caps/>
          <w:sz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Wstęp</w:t>
      </w:r>
      <w:bookmarkEnd w:id="0"/>
      <w:bookmarkEnd w:id="1"/>
    </w:p>
    <w:p w:rsidR="002767B7" w:rsidRDefault="002767B7" w:rsidP="002767B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CF6" w:rsidRDefault="00507831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Oddajemy do rąk czytelnika </w:t>
      </w:r>
      <w:r w:rsidR="003A2CF6">
        <w:rPr>
          <w:rFonts w:ascii="Times New Roman" w:hAnsi="Times New Roman" w:cs="Times New Roman"/>
          <w:sz w:val="24"/>
          <w:szCs w:val="24"/>
        </w:rPr>
        <w:t>„Analiz</w:t>
      </w:r>
      <w:r>
        <w:rPr>
          <w:rFonts w:ascii="Times New Roman" w:hAnsi="Times New Roman" w:cs="Times New Roman"/>
          <w:sz w:val="24"/>
          <w:szCs w:val="24"/>
        </w:rPr>
        <w:t>ę</w:t>
      </w:r>
      <w:r w:rsidR="003A2CF6">
        <w:rPr>
          <w:rFonts w:ascii="Times New Roman" w:hAnsi="Times New Roman" w:cs="Times New Roman"/>
          <w:sz w:val="24"/>
          <w:szCs w:val="24"/>
        </w:rPr>
        <w:t xml:space="preserve"> sytuacji na rynku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województwie podkarpackim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3A2CF6">
        <w:rPr>
          <w:rFonts w:ascii="Times New Roman" w:hAnsi="Times New Roman" w:cs="Times New Roman"/>
          <w:sz w:val="24"/>
          <w:szCs w:val="24"/>
        </w:rPr>
        <w:t xml:space="preserve"> roku”</w:t>
      </w:r>
      <w:r>
        <w:rPr>
          <w:rFonts w:ascii="Times New Roman" w:hAnsi="Times New Roman" w:cs="Times New Roman"/>
          <w:sz w:val="24"/>
          <w:szCs w:val="24"/>
        </w:rPr>
        <w:t xml:space="preserve"> – jako kolejną publikację tematyczną z zakresu analiz i informacji o regionalnym rynku pracy</w:t>
      </w:r>
      <w:r w:rsidR="003A2CF6">
        <w:rPr>
          <w:rFonts w:ascii="Times New Roman" w:hAnsi="Times New Roman" w:cs="Times New Roman"/>
          <w:sz w:val="24"/>
          <w:szCs w:val="24"/>
        </w:rPr>
        <w:t>. Wojewódzki Urząd Pracy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 xml:space="preserve">Rzeszowie, jako instytucja odpowiedzialna za politykę prozatrudnieniową, dokłada </w:t>
      </w:r>
      <w:r>
        <w:rPr>
          <w:rFonts w:ascii="Times New Roman" w:hAnsi="Times New Roman" w:cs="Times New Roman"/>
          <w:sz w:val="24"/>
          <w:szCs w:val="24"/>
        </w:rPr>
        <w:t xml:space="preserve">wszelkich </w:t>
      </w:r>
      <w:r w:rsidR="003A2CF6">
        <w:rPr>
          <w:rFonts w:ascii="Times New Roman" w:hAnsi="Times New Roman" w:cs="Times New Roman"/>
          <w:sz w:val="24"/>
          <w:szCs w:val="24"/>
        </w:rPr>
        <w:t xml:space="preserve">starań, </w:t>
      </w:r>
      <w:r>
        <w:rPr>
          <w:rFonts w:ascii="Times New Roman" w:hAnsi="Times New Roman" w:cs="Times New Roman"/>
          <w:sz w:val="24"/>
          <w:szCs w:val="24"/>
        </w:rPr>
        <w:t>a</w:t>
      </w:r>
      <w:r w:rsidR="003A2CF6">
        <w:rPr>
          <w:rFonts w:ascii="Times New Roman" w:hAnsi="Times New Roman" w:cs="Times New Roman"/>
          <w:sz w:val="24"/>
          <w:szCs w:val="24"/>
        </w:rPr>
        <w:t>by dostarczać rzetelnej wiedzy na temat zjawisk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procesów</w:t>
      </w:r>
      <w:r>
        <w:rPr>
          <w:rFonts w:ascii="Times New Roman" w:hAnsi="Times New Roman" w:cs="Times New Roman"/>
          <w:sz w:val="24"/>
          <w:szCs w:val="24"/>
        </w:rPr>
        <w:t xml:space="preserve"> dotyczących tej problematyki</w:t>
      </w:r>
      <w:r w:rsidR="003A2CF6">
        <w:rPr>
          <w:rFonts w:ascii="Times New Roman" w:hAnsi="Times New Roman" w:cs="Times New Roman"/>
          <w:sz w:val="24"/>
          <w:szCs w:val="24"/>
        </w:rPr>
        <w:t>. Naszą analizą chcemy zainteresować władze samorządowe, środowiska zaangażowane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5712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2CF6">
        <w:rPr>
          <w:rFonts w:ascii="Times New Roman" w:hAnsi="Times New Roman" w:cs="Times New Roman"/>
          <w:sz w:val="24"/>
          <w:szCs w:val="24"/>
        </w:rPr>
        <w:t>bieżące problemy regionu: sektor oświaty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>szkoleniowy</w:t>
      </w:r>
      <w:r w:rsidR="00044661">
        <w:rPr>
          <w:rFonts w:ascii="Times New Roman" w:hAnsi="Times New Roman" w:cs="Times New Roman"/>
          <w:sz w:val="24"/>
          <w:szCs w:val="24"/>
        </w:rPr>
        <w:t> </w:t>
      </w:r>
      <w:r w:rsidR="003A2CF6">
        <w:rPr>
          <w:rFonts w:ascii="Times New Roman" w:hAnsi="Times New Roman" w:cs="Times New Roman"/>
          <w:sz w:val="24"/>
          <w:szCs w:val="24"/>
        </w:rPr>
        <w:t>–</w:t>
      </w:r>
      <w:r w:rsidR="00044661">
        <w:rPr>
          <w:rFonts w:ascii="Times New Roman" w:hAnsi="Times New Roman" w:cs="Times New Roman"/>
          <w:sz w:val="24"/>
          <w:szCs w:val="24"/>
        </w:rPr>
        <w:t> </w:t>
      </w:r>
      <w:r w:rsidR="003A2CF6">
        <w:rPr>
          <w:rFonts w:ascii="Times New Roman" w:hAnsi="Times New Roman" w:cs="Times New Roman"/>
          <w:sz w:val="24"/>
          <w:szCs w:val="24"/>
        </w:rPr>
        <w:t>zwłaszcza</w:t>
      </w:r>
      <w:r w:rsidR="00AE5712">
        <w:rPr>
          <w:rFonts w:ascii="Times New Roman" w:hAnsi="Times New Roman" w:cs="Times New Roman"/>
          <w:sz w:val="24"/>
          <w:szCs w:val="24"/>
        </w:rPr>
        <w:t xml:space="preserve"> w </w:t>
      </w:r>
      <w:r w:rsidR="003A2CF6">
        <w:rPr>
          <w:rFonts w:ascii="Times New Roman" w:hAnsi="Times New Roman" w:cs="Times New Roman"/>
          <w:sz w:val="24"/>
          <w:szCs w:val="24"/>
        </w:rPr>
        <w:t>kwestii kształcenia zawodowego</w:t>
      </w:r>
      <w:r w:rsidR="00AE5712">
        <w:rPr>
          <w:rFonts w:ascii="Times New Roman" w:hAnsi="Times New Roman" w:cs="Times New Roman"/>
          <w:sz w:val="24"/>
          <w:szCs w:val="24"/>
        </w:rPr>
        <w:t xml:space="preserve"> i </w:t>
      </w:r>
      <w:r w:rsidR="003A2CF6">
        <w:rPr>
          <w:rFonts w:ascii="Times New Roman" w:hAnsi="Times New Roman" w:cs="Times New Roman"/>
          <w:sz w:val="24"/>
          <w:szCs w:val="24"/>
        </w:rPr>
        <w:t xml:space="preserve">ustawicznego, organizacje pozarządowe działające na rzecz poszczególnych </w:t>
      </w:r>
      <w:r>
        <w:rPr>
          <w:rFonts w:ascii="Times New Roman" w:hAnsi="Times New Roman" w:cs="Times New Roman"/>
          <w:sz w:val="24"/>
          <w:szCs w:val="24"/>
        </w:rPr>
        <w:t xml:space="preserve">programów </w:t>
      </w:r>
      <w:r w:rsidR="003A2CF6">
        <w:rPr>
          <w:rFonts w:ascii="Times New Roman" w:hAnsi="Times New Roman" w:cs="Times New Roman"/>
          <w:sz w:val="24"/>
          <w:szCs w:val="24"/>
        </w:rPr>
        <w:t>rynku pracy, czy też –</w:t>
      </w:r>
      <w:r w:rsidR="00AE5712">
        <w:rPr>
          <w:rFonts w:ascii="Times New Roman" w:hAnsi="Times New Roman" w:cs="Times New Roman"/>
          <w:sz w:val="24"/>
          <w:szCs w:val="24"/>
        </w:rPr>
        <w:t xml:space="preserve"> a </w:t>
      </w:r>
      <w:r w:rsidR="003A2CF6">
        <w:rPr>
          <w:rFonts w:ascii="Times New Roman" w:hAnsi="Times New Roman" w:cs="Times New Roman"/>
          <w:sz w:val="24"/>
          <w:szCs w:val="24"/>
        </w:rPr>
        <w:t xml:space="preserve">może przede wszystkim – </w:t>
      </w:r>
      <w:r>
        <w:rPr>
          <w:rFonts w:ascii="Times New Roman" w:hAnsi="Times New Roman" w:cs="Times New Roman"/>
          <w:sz w:val="24"/>
          <w:szCs w:val="24"/>
        </w:rPr>
        <w:t>pracodawców</w:t>
      </w:r>
      <w:r w:rsidR="003A2CF6">
        <w:rPr>
          <w:rFonts w:ascii="Times New Roman" w:hAnsi="Times New Roman" w:cs="Times New Roman"/>
          <w:sz w:val="24"/>
          <w:szCs w:val="24"/>
        </w:rPr>
        <w:t>.</w:t>
      </w:r>
    </w:p>
    <w:p w:rsidR="003A2CF6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Prezentowane informacje pochodzą</w:t>
      </w:r>
      <w:r w:rsidR="00AE5712">
        <w:rPr>
          <w:rFonts w:ascii="Times New Roman" w:hAnsi="Times New Roman" w:cs="Times New Roman"/>
          <w:sz w:val="24"/>
          <w:szCs w:val="24"/>
        </w:rPr>
        <w:t xml:space="preserve"> z </w:t>
      </w:r>
      <w:r w:rsidRPr="003B4CA3">
        <w:rPr>
          <w:rFonts w:ascii="Times New Roman" w:hAnsi="Times New Roman" w:cs="Times New Roman"/>
          <w:sz w:val="24"/>
          <w:szCs w:val="24"/>
        </w:rPr>
        <w:t>obowiązującej sprawozdawczości rynku pracy</w:t>
      </w:r>
      <w:r>
        <w:rPr>
          <w:rFonts w:ascii="Times New Roman" w:hAnsi="Times New Roman" w:cs="Times New Roman"/>
          <w:sz w:val="24"/>
          <w:szCs w:val="24"/>
        </w:rPr>
        <w:t>.</w:t>
      </w:r>
      <w:r w:rsidR="00AE5712">
        <w:rPr>
          <w:rFonts w:ascii="Times New Roman" w:hAnsi="Times New Roman" w:cs="Times New Roman"/>
          <w:sz w:val="24"/>
          <w:szCs w:val="24"/>
        </w:rPr>
        <w:t xml:space="preserve"> </w:t>
      </w:r>
      <w:r w:rsidR="00235A6B">
        <w:rPr>
          <w:rFonts w:ascii="Times New Roman" w:hAnsi="Times New Roman" w:cs="Times New Roman"/>
          <w:sz w:val="24"/>
          <w:szCs w:val="24"/>
        </w:rPr>
        <w:t>W</w:t>
      </w:r>
      <w:r w:rsidR="00AE571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ramach opracowania wykorzystano:</w:t>
      </w:r>
    </w:p>
    <w:p w:rsidR="003A2CF6" w:rsidRPr="003B4CA3" w:rsidRDefault="003A2CF6" w:rsidP="003A2CF6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3B4CA3">
        <w:t>sprawozdanie MPiPS-01,</w:t>
      </w:r>
      <w:r w:rsidR="00AE5712">
        <w:t xml:space="preserve"> o </w:t>
      </w:r>
      <w:r w:rsidRPr="003B4CA3">
        <w:t>rynku pracy</w:t>
      </w:r>
      <w:r w:rsidR="00AE5712">
        <w:t xml:space="preserve"> w </w:t>
      </w:r>
      <w:r w:rsidRPr="003B4CA3">
        <w:t>województwie podkarpackim za 201</w:t>
      </w:r>
      <w:r w:rsidR="00507831">
        <w:t>6</w:t>
      </w:r>
      <w:r w:rsidR="00AE5712">
        <w:t> r</w:t>
      </w:r>
      <w:r w:rsidR="00507831">
        <w:t>ok</w:t>
      </w:r>
      <w:r>
        <w:t>,</w:t>
      </w:r>
      <w:r w:rsidR="00AE5712">
        <w:t xml:space="preserve"> w </w:t>
      </w:r>
      <w:r w:rsidRPr="003B4CA3">
        <w:t>tym również: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>załącznik nr</w:t>
      </w:r>
      <w:r>
        <w:t xml:space="preserve"> </w:t>
      </w:r>
      <w:r w:rsidRPr="003B4CA3">
        <w:t>1 do sprawozdania</w:t>
      </w:r>
      <w:r w:rsidR="00AE5712">
        <w:t xml:space="preserve"> o </w:t>
      </w:r>
      <w:r w:rsidRPr="003B4CA3">
        <w:t>rynku pracy MPiPS-01 – bezrobotni oraz poszukujący pracy według czasu pozostawania bez pracy, wieku, pozio</w:t>
      </w:r>
      <w:r>
        <w:t>mu wykształcenia</w:t>
      </w:r>
      <w:r w:rsidR="00AE5712">
        <w:t xml:space="preserve"> i </w:t>
      </w:r>
      <w:r>
        <w:t>stażu pracy;</w:t>
      </w:r>
    </w:p>
    <w:p w:rsidR="003A2CF6" w:rsidRPr="003B4CA3" w:rsidRDefault="003A2CF6" w:rsidP="003A2CF6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>załącznik nr 2 do sprawozdania MPiPS-01 – bezrobotni według rodzaju działalności ostatniego miejsca pracy, poszukujący pracy oraz wolne miejsca pracy</w:t>
      </w:r>
      <w:r w:rsidR="00AE5712">
        <w:t xml:space="preserve"> i </w:t>
      </w:r>
      <w:r>
        <w:t>miejsca aktywizacji zawodowej;</w:t>
      </w:r>
    </w:p>
    <w:p w:rsidR="003A2CF6" w:rsidRPr="003B4CA3" w:rsidRDefault="00235A6B" w:rsidP="00235A6B">
      <w:pPr>
        <w:pStyle w:val="Default"/>
        <w:numPr>
          <w:ilvl w:val="1"/>
          <w:numId w:val="25"/>
        </w:numPr>
        <w:spacing w:line="360" w:lineRule="auto"/>
        <w:jc w:val="both"/>
      </w:pPr>
      <w:r w:rsidRPr="003B4CA3">
        <w:t xml:space="preserve">załącznik nr 3 do sprawozdania MPiPS-01 – bezrobotni oraz </w:t>
      </w:r>
      <w:r>
        <w:t xml:space="preserve"> wolne miejsca pracy i miejsca aktywizacji zawodowej według zawodów i specjalności</w:t>
      </w:r>
      <w:r w:rsidR="002B03E5">
        <w:t>.</w:t>
      </w:r>
    </w:p>
    <w:p w:rsidR="00235A6B" w:rsidRDefault="00235A6B" w:rsidP="00235A6B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 w:rsidRPr="003B4CA3">
        <w:t>MPiPS-02 – sprawozdanie</w:t>
      </w:r>
      <w:r>
        <w:t xml:space="preserve"> o przychodach i </w:t>
      </w:r>
      <w:r w:rsidRPr="003B4CA3">
        <w:t>wydatkach Funduszu Pracy.</w:t>
      </w:r>
    </w:p>
    <w:p w:rsidR="003A2CF6" w:rsidRPr="003B4CA3" w:rsidRDefault="003A2CF6" w:rsidP="003A2CF6">
      <w:pPr>
        <w:pStyle w:val="Default"/>
        <w:numPr>
          <w:ilvl w:val="0"/>
          <w:numId w:val="25"/>
        </w:numPr>
        <w:spacing w:line="360" w:lineRule="auto"/>
        <w:ind w:left="426" w:hanging="426"/>
        <w:jc w:val="both"/>
      </w:pPr>
      <w:r>
        <w:t>Sprawozdanie</w:t>
      </w:r>
      <w:r w:rsidR="00AE5712">
        <w:t xml:space="preserve"> z </w:t>
      </w:r>
      <w:r>
        <w:t>realizacji</w:t>
      </w:r>
      <w:r w:rsidRPr="00B821B7">
        <w:t xml:space="preserve"> wsparcia</w:t>
      </w:r>
      <w:r w:rsidR="00AE5712">
        <w:t xml:space="preserve"> w </w:t>
      </w:r>
      <w:r w:rsidRPr="00B821B7">
        <w:t>ramach Funduszu Gwarantowanych Świadczeń Pracowniczych</w:t>
      </w:r>
      <w:r w:rsidR="00AE5712">
        <w:t xml:space="preserve"> w </w:t>
      </w:r>
      <w:r w:rsidRPr="00B821B7">
        <w:t>województwie podkarpackim</w:t>
      </w:r>
      <w:r>
        <w:t>.</w:t>
      </w:r>
    </w:p>
    <w:p w:rsidR="001477F2" w:rsidRPr="001477F2" w:rsidRDefault="001477F2" w:rsidP="001477F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477F2" w:rsidRPr="009E3D27" w:rsidRDefault="001477F2" w:rsidP="001477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Informacja w głównym zakresie obejmuje 2016 r. natomiast pogłębiona analiza opisywanych zjawisk jest porównywalna z analogicznym okresem roku ubiegłego. Jednocześnie w uzasadnionych przypadkach dla dokładniejszego odzwierciedlenia zachowanych zmian odwoływano się do szerszej perspektywy lat wcześniejszych.</w:t>
      </w:r>
    </w:p>
    <w:p w:rsidR="003A2CF6" w:rsidRPr="00FE4D21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D21">
        <w:rPr>
          <w:rFonts w:ascii="Times New Roman" w:hAnsi="Times New Roman" w:cs="Times New Roman"/>
          <w:sz w:val="24"/>
          <w:szCs w:val="24"/>
        </w:rPr>
        <w:t>Pomimo</w:t>
      </w:r>
      <w:r w:rsidR="00507831" w:rsidRPr="00FE4D21">
        <w:rPr>
          <w:rFonts w:ascii="Times New Roman" w:hAnsi="Times New Roman" w:cs="Times New Roman"/>
          <w:sz w:val="24"/>
          <w:szCs w:val="24"/>
        </w:rPr>
        <w:t xml:space="preserve"> </w:t>
      </w:r>
      <w:r w:rsidR="00FE4D21" w:rsidRPr="00FE4D21">
        <w:rPr>
          <w:rFonts w:ascii="Times New Roman" w:hAnsi="Times New Roman" w:cs="Times New Roman"/>
          <w:sz w:val="24"/>
          <w:szCs w:val="24"/>
        </w:rPr>
        <w:t xml:space="preserve">oczywistych </w:t>
      </w:r>
      <w:r w:rsidRPr="00FE4D21">
        <w:rPr>
          <w:rFonts w:ascii="Times New Roman" w:hAnsi="Times New Roman" w:cs="Times New Roman"/>
          <w:sz w:val="24"/>
          <w:szCs w:val="24"/>
        </w:rPr>
        <w:t xml:space="preserve">niedoskonałości danych </w:t>
      </w:r>
      <w:r w:rsidR="00927E06">
        <w:rPr>
          <w:rFonts w:ascii="Times New Roman" w:hAnsi="Times New Roman" w:cs="Times New Roman"/>
          <w:sz w:val="24"/>
          <w:szCs w:val="24"/>
        </w:rPr>
        <w:t>sprawozdawczych</w:t>
      </w:r>
      <w:r w:rsidRPr="00FE4D21">
        <w:rPr>
          <w:rFonts w:ascii="Times New Roman" w:hAnsi="Times New Roman" w:cs="Times New Roman"/>
          <w:sz w:val="24"/>
          <w:szCs w:val="24"/>
        </w:rPr>
        <w:t>, takich jak ograniczenie opisu do zjawisk rejestrowanych</w:t>
      </w:r>
      <w:r w:rsidR="001477F2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FE4D21">
        <w:rPr>
          <w:rFonts w:ascii="Times New Roman" w:hAnsi="Times New Roman" w:cs="Times New Roman"/>
          <w:sz w:val="24"/>
          <w:szCs w:val="24"/>
        </w:rPr>
        <w:t>w</w:t>
      </w:r>
      <w:r w:rsidR="001477F2">
        <w:rPr>
          <w:rFonts w:ascii="Times New Roman" w:hAnsi="Times New Roman" w:cs="Times New Roman"/>
          <w:sz w:val="24"/>
          <w:szCs w:val="24"/>
        </w:rPr>
        <w:t xml:space="preserve"> </w:t>
      </w:r>
      <w:r w:rsidRPr="00FE4D21">
        <w:rPr>
          <w:rFonts w:ascii="Times New Roman" w:hAnsi="Times New Roman" w:cs="Times New Roman"/>
          <w:sz w:val="24"/>
          <w:szCs w:val="24"/>
        </w:rPr>
        <w:t>statystykach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i </w:t>
      </w:r>
      <w:r w:rsidRPr="00FE4D21">
        <w:rPr>
          <w:rFonts w:ascii="Times New Roman" w:hAnsi="Times New Roman" w:cs="Times New Roman"/>
          <w:sz w:val="24"/>
          <w:szCs w:val="24"/>
        </w:rPr>
        <w:t xml:space="preserve">pomijanie obszaru tzw. „szarej strefy” – jest to potężny zasób informacji, który ukazuje aktualny stan zatrudnienia, </w:t>
      </w:r>
      <w:r w:rsidRPr="00FE4D21">
        <w:rPr>
          <w:rFonts w:ascii="Times New Roman" w:hAnsi="Times New Roman" w:cs="Times New Roman"/>
          <w:sz w:val="24"/>
          <w:szCs w:val="24"/>
        </w:rPr>
        <w:lastRenderedPageBreak/>
        <w:t>przedsiębiorczości, źródeł utrzymania ludności regionu. Analiza jest istotna zwłaszcza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porównaniu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z </w:t>
      </w:r>
      <w:r w:rsidRPr="00FE4D21">
        <w:rPr>
          <w:rFonts w:ascii="Times New Roman" w:hAnsi="Times New Roman" w:cs="Times New Roman"/>
          <w:sz w:val="24"/>
          <w:szCs w:val="24"/>
        </w:rPr>
        <w:t>analogicznymi danymi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z </w:t>
      </w:r>
      <w:r w:rsidRPr="00FE4D21">
        <w:rPr>
          <w:rFonts w:ascii="Times New Roman" w:hAnsi="Times New Roman" w:cs="Times New Roman"/>
          <w:sz w:val="24"/>
          <w:szCs w:val="24"/>
        </w:rPr>
        <w:t>ubiegłych lat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i </w:t>
      </w:r>
      <w:r w:rsidRPr="00FE4D21">
        <w:rPr>
          <w:rFonts w:ascii="Times New Roman" w:hAnsi="Times New Roman" w:cs="Times New Roman"/>
          <w:sz w:val="24"/>
          <w:szCs w:val="24"/>
        </w:rPr>
        <w:t xml:space="preserve">pokazuje </w:t>
      </w:r>
      <w:r w:rsidR="00FE4D21">
        <w:rPr>
          <w:rFonts w:ascii="Times New Roman" w:hAnsi="Times New Roman" w:cs="Times New Roman"/>
          <w:sz w:val="24"/>
          <w:szCs w:val="24"/>
        </w:rPr>
        <w:t xml:space="preserve">znaczące </w:t>
      </w:r>
      <w:r w:rsidRPr="00FE4D21">
        <w:rPr>
          <w:rFonts w:ascii="Times New Roman" w:hAnsi="Times New Roman" w:cs="Times New Roman"/>
          <w:sz w:val="24"/>
          <w:szCs w:val="24"/>
        </w:rPr>
        <w:t>polepszenie sytuacji – od najbardziej czytelnego spadku stopy bezrobocia we wszystkich powiatach naszego województwa, przez rosnące tendencje zatrudnieniowe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poszczególnych branżach, po podwyższenie aktywności zawodowej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grupach osób pozostających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 xml:space="preserve">szczególnie trudnej sytuacji na rynku pracy. </w:t>
      </w:r>
    </w:p>
    <w:p w:rsidR="003A2CF6" w:rsidRPr="00FE4D21" w:rsidRDefault="003A2CF6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4D21">
        <w:rPr>
          <w:rFonts w:ascii="Times New Roman" w:hAnsi="Times New Roman" w:cs="Times New Roman"/>
          <w:sz w:val="24"/>
          <w:szCs w:val="24"/>
        </w:rPr>
        <w:t>Biorąc pod uwagę formalnie ustalony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ramach sprawozdawczości publicznej zasób informacji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poszczególnych dokumentach – ich każdorazowe przywoływanie jest niepotrzebne. Dlatego zrezygnowaliśmy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z </w:t>
      </w:r>
      <w:r w:rsidRPr="00FE4D21">
        <w:rPr>
          <w:rFonts w:ascii="Times New Roman" w:hAnsi="Times New Roman" w:cs="Times New Roman"/>
          <w:sz w:val="24"/>
          <w:szCs w:val="24"/>
        </w:rPr>
        <w:t>ciągłego podawania źródeł informacji. Jedynie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pierwszej części opracowania,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której część danych pochodzi ze sprawozdawczości publicznej prowadzonej przez Główny Urząd Statystyczny, wskazaliśmy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="00A07AEE" w:rsidRPr="00FE4D21">
        <w:rPr>
          <w:rFonts w:ascii="Times New Roman" w:hAnsi="Times New Roman" w:cs="Times New Roman"/>
          <w:sz w:val="24"/>
          <w:szCs w:val="24"/>
        </w:rPr>
        <w:t xml:space="preserve">tekście </w:t>
      </w:r>
      <w:r w:rsidRPr="00FE4D21">
        <w:rPr>
          <w:rFonts w:ascii="Times New Roman" w:hAnsi="Times New Roman" w:cs="Times New Roman"/>
          <w:sz w:val="24"/>
          <w:szCs w:val="24"/>
        </w:rPr>
        <w:t>pochodzenie danych.</w:t>
      </w:r>
      <w:r w:rsidR="001477F2">
        <w:rPr>
          <w:rFonts w:ascii="Times New Roman" w:hAnsi="Times New Roman" w:cs="Times New Roman"/>
          <w:sz w:val="24"/>
          <w:szCs w:val="24"/>
        </w:rPr>
        <w:t xml:space="preserve"> </w:t>
      </w:r>
      <w:r w:rsidRPr="00FE4D21">
        <w:rPr>
          <w:rFonts w:ascii="Times New Roman" w:hAnsi="Times New Roman" w:cs="Times New Roman"/>
          <w:sz w:val="24"/>
          <w:szCs w:val="24"/>
        </w:rPr>
        <w:t>Wszystkie dane liczbowe pochodzące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z </w:t>
      </w:r>
      <w:r w:rsidRPr="00FE4D21">
        <w:rPr>
          <w:rFonts w:ascii="Times New Roman" w:hAnsi="Times New Roman" w:cs="Times New Roman"/>
          <w:sz w:val="24"/>
          <w:szCs w:val="24"/>
        </w:rPr>
        <w:t>ww. dokumentów, użyte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opracowaniu zostały również przygotowane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formacie MS Excel</w:t>
      </w:r>
      <w:r w:rsidR="00AE5712" w:rsidRPr="00FE4D21">
        <w:rPr>
          <w:rFonts w:ascii="Times New Roman" w:hAnsi="Times New Roman" w:cs="Times New Roman"/>
          <w:sz w:val="24"/>
          <w:szCs w:val="24"/>
        </w:rPr>
        <w:t xml:space="preserve"> w </w:t>
      </w:r>
      <w:r w:rsidRPr="00FE4D21">
        <w:rPr>
          <w:rFonts w:ascii="Times New Roman" w:hAnsi="Times New Roman" w:cs="Times New Roman"/>
          <w:sz w:val="24"/>
          <w:szCs w:val="24"/>
        </w:rPr>
        <w:t>ramach aneksu statystycznego. Będą one przydatne do samodzielnych analiz osób zajmujących się problematyką rynku pracy.</w:t>
      </w:r>
    </w:p>
    <w:p w:rsidR="001477F2" w:rsidRDefault="00FE4D21" w:rsidP="003A2C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D27">
        <w:rPr>
          <w:rFonts w:ascii="Times New Roman" w:hAnsi="Times New Roman" w:cs="Times New Roman"/>
          <w:sz w:val="24"/>
          <w:szCs w:val="24"/>
        </w:rPr>
        <w:t xml:space="preserve">Ten rok jest drugim z cyklu publikacji w zmienionym sposobie </w:t>
      </w:r>
      <w:r w:rsidR="003A2CF6" w:rsidRPr="009E3D27">
        <w:rPr>
          <w:rFonts w:ascii="Times New Roman" w:hAnsi="Times New Roman" w:cs="Times New Roman"/>
          <w:sz w:val="24"/>
          <w:szCs w:val="24"/>
        </w:rPr>
        <w:t>prezentowania informacji</w:t>
      </w:r>
      <w:r w:rsidRPr="009E3D27">
        <w:rPr>
          <w:rFonts w:ascii="Times New Roman" w:hAnsi="Times New Roman" w:cs="Times New Roman"/>
          <w:sz w:val="24"/>
          <w:szCs w:val="24"/>
        </w:rPr>
        <w:t xml:space="preserve">, powstałym w odpowiedzi na </w:t>
      </w:r>
      <w:r w:rsidR="003A2CF6" w:rsidRPr="009E3D27">
        <w:rPr>
          <w:rFonts w:ascii="Times New Roman" w:hAnsi="Times New Roman" w:cs="Times New Roman"/>
          <w:sz w:val="24"/>
          <w:szCs w:val="24"/>
        </w:rPr>
        <w:t>uwagi</w:t>
      </w:r>
      <w:r w:rsidR="00203EC2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9E3D27">
        <w:rPr>
          <w:rFonts w:ascii="Times New Roman" w:hAnsi="Times New Roman" w:cs="Times New Roman"/>
          <w:sz w:val="24"/>
          <w:szCs w:val="24"/>
        </w:rPr>
        <w:t>i</w:t>
      </w:r>
      <w:r w:rsidR="00203EC2">
        <w:rPr>
          <w:rFonts w:ascii="Times New Roman" w:hAnsi="Times New Roman" w:cs="Times New Roman"/>
          <w:sz w:val="24"/>
          <w:szCs w:val="24"/>
        </w:rPr>
        <w:t xml:space="preserve"> </w:t>
      </w:r>
      <w:r w:rsidR="003A2CF6" w:rsidRPr="009E3D27">
        <w:rPr>
          <w:rFonts w:ascii="Times New Roman" w:hAnsi="Times New Roman" w:cs="Times New Roman"/>
          <w:sz w:val="24"/>
          <w:szCs w:val="24"/>
        </w:rPr>
        <w:t xml:space="preserve">sugestie dotyczące </w:t>
      </w:r>
      <w:r w:rsidR="009E3D27" w:rsidRPr="009E3D27">
        <w:rPr>
          <w:rFonts w:ascii="Times New Roman" w:hAnsi="Times New Roman" w:cs="Times New Roman"/>
          <w:sz w:val="24"/>
          <w:szCs w:val="24"/>
        </w:rPr>
        <w:t xml:space="preserve">ostatecznego </w:t>
      </w:r>
      <w:r w:rsidR="003A2CF6" w:rsidRPr="009E3D27">
        <w:rPr>
          <w:rFonts w:ascii="Times New Roman" w:hAnsi="Times New Roman" w:cs="Times New Roman"/>
          <w:sz w:val="24"/>
          <w:szCs w:val="24"/>
        </w:rPr>
        <w:t xml:space="preserve">kształtu </w:t>
      </w:r>
      <w:r w:rsidR="009E3D27" w:rsidRPr="009E3D27">
        <w:rPr>
          <w:rFonts w:ascii="Times New Roman" w:hAnsi="Times New Roman" w:cs="Times New Roman"/>
          <w:sz w:val="24"/>
          <w:szCs w:val="24"/>
        </w:rPr>
        <w:t>publikacji</w:t>
      </w:r>
      <w:r w:rsidR="009E3D27">
        <w:rPr>
          <w:rFonts w:ascii="Times New Roman" w:hAnsi="Times New Roman" w:cs="Times New Roman"/>
          <w:sz w:val="24"/>
          <w:szCs w:val="24"/>
        </w:rPr>
        <w:t xml:space="preserve"> z zakresu analiz rynku pracy i promocji zatrudnienia</w:t>
      </w:r>
      <w:r w:rsidR="003A2CF6" w:rsidRPr="009E3D27">
        <w:rPr>
          <w:rFonts w:ascii="Times New Roman" w:hAnsi="Times New Roman" w:cs="Times New Roman"/>
          <w:sz w:val="24"/>
          <w:szCs w:val="24"/>
        </w:rPr>
        <w:t>.</w:t>
      </w:r>
    </w:p>
    <w:p w:rsidR="0051416E" w:rsidRPr="00E613EA" w:rsidRDefault="0051416E" w:rsidP="009A1F4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1416E" w:rsidRPr="00E613EA" w:rsidRDefault="0051416E" w:rsidP="009A1F42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57517" w:rsidRPr="00E613EA" w:rsidRDefault="00357517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57517" w:rsidRPr="00E613EA" w:rsidRDefault="00357517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57517" w:rsidRPr="00E613EA" w:rsidRDefault="00357517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57517" w:rsidRPr="00E613EA" w:rsidRDefault="00357517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E75828" w:rsidRPr="00E613EA" w:rsidRDefault="00E75828" w:rsidP="009A1F42">
      <w:pPr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E613EA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br w:type="page"/>
      </w:r>
    </w:p>
    <w:p w:rsidR="00B92E45" w:rsidRPr="00E613EA" w:rsidRDefault="00B92E45" w:rsidP="00B92E45">
      <w:pPr>
        <w:pStyle w:val="Nagwek1"/>
        <w:spacing w:line="360" w:lineRule="auto"/>
        <w:rPr>
          <w:rFonts w:ascii="Times New Roman" w:hAnsi="Times New Roman" w:cs="Times New Roman"/>
          <w:bCs w:val="0"/>
          <w:sz w:val="24"/>
          <w:szCs w:val="24"/>
          <w:highlight w:val="yellow"/>
        </w:rPr>
        <w:sectPr w:rsidR="00B92E45" w:rsidRPr="00E613EA" w:rsidSect="00063539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B92E45" w:rsidRPr="00486D94" w:rsidRDefault="00AE5712" w:rsidP="002767B7">
      <w:pPr>
        <w:pStyle w:val="Default"/>
        <w:pBdr>
          <w:bottom w:val="single" w:sz="4" w:space="1" w:color="auto"/>
        </w:pBdr>
        <w:jc w:val="both"/>
        <w:outlineLvl w:val="0"/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" w:name="_Toc446334627"/>
      <w:bookmarkStart w:id="3" w:name="_Toc477160350"/>
      <w:r w:rsidRPr="00486D94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Ogólna c</w:t>
      </w:r>
      <w:r w:rsidR="00B92E45" w:rsidRPr="00486D94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harakterystyka regionu</w:t>
      </w:r>
      <w:bookmarkEnd w:id="2"/>
      <w:bookmarkEnd w:id="3"/>
    </w:p>
    <w:p w:rsidR="002767B7" w:rsidRDefault="002767B7" w:rsidP="00B92E45">
      <w:pPr>
        <w:spacing w:after="0" w:line="360" w:lineRule="auto"/>
        <w:rPr>
          <w:rFonts w:ascii="Times New Roman" w:hAnsi="Times New Roman" w:cs="Times New Roman"/>
          <w:szCs w:val="24"/>
        </w:rPr>
      </w:pPr>
    </w:p>
    <w:p w:rsidR="00B92E45" w:rsidRPr="00F77417" w:rsidRDefault="00B92E45" w:rsidP="00B92E45">
      <w:pPr>
        <w:spacing w:after="0" w:line="360" w:lineRule="auto"/>
        <w:rPr>
          <w:rFonts w:ascii="Times New Roman" w:hAnsi="Times New Roman" w:cs="Times New Roman"/>
          <w:szCs w:val="24"/>
        </w:rPr>
      </w:pPr>
      <w:r w:rsidRPr="00F77417">
        <w:rPr>
          <w:rFonts w:ascii="Times New Roman" w:hAnsi="Times New Roman" w:cs="Times New Roman"/>
          <w:szCs w:val="24"/>
        </w:rPr>
        <w:t xml:space="preserve">Tabela 1. </w:t>
      </w:r>
      <w:r w:rsidR="00203EC2">
        <w:rPr>
          <w:rFonts w:ascii="Times New Roman" w:hAnsi="Times New Roman" w:cs="Times New Roman"/>
          <w:szCs w:val="24"/>
        </w:rPr>
        <w:t xml:space="preserve"> </w:t>
      </w:r>
      <w:r w:rsidRPr="00F77417">
        <w:rPr>
          <w:rFonts w:ascii="Times New Roman" w:hAnsi="Times New Roman" w:cs="Times New Roman"/>
          <w:szCs w:val="24"/>
        </w:rPr>
        <w:t>Podstawowe dane charakteryzujące województwo</w:t>
      </w:r>
      <w:r w:rsidRPr="00F77417">
        <w:rPr>
          <w:rStyle w:val="Odwoanieprzypisudolnego"/>
          <w:rFonts w:ascii="Times New Roman" w:hAnsi="Times New Roman" w:cs="Times New Roman"/>
          <w:szCs w:val="24"/>
        </w:rPr>
        <w:footnoteReference w:id="1"/>
      </w:r>
    </w:p>
    <w:tbl>
      <w:tblPr>
        <w:tblStyle w:val="Tabela-Siatka"/>
        <w:tblW w:w="15072" w:type="dxa"/>
        <w:tblLook w:val="04A0" w:firstRow="1" w:lastRow="0" w:firstColumn="1" w:lastColumn="0" w:noHBand="0" w:noVBand="1"/>
      </w:tblPr>
      <w:tblGrid>
        <w:gridCol w:w="675"/>
        <w:gridCol w:w="3262"/>
        <w:gridCol w:w="2552"/>
        <w:gridCol w:w="2551"/>
        <w:gridCol w:w="6032"/>
      </w:tblGrid>
      <w:tr w:rsidR="00B92E45" w:rsidRPr="00F77417" w:rsidTr="00F77417">
        <w:tc>
          <w:tcPr>
            <w:tcW w:w="675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Lp.</w:t>
            </w:r>
          </w:p>
        </w:tc>
        <w:tc>
          <w:tcPr>
            <w:tcW w:w="3262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Wskaźnik</w:t>
            </w:r>
          </w:p>
        </w:tc>
        <w:tc>
          <w:tcPr>
            <w:tcW w:w="2552" w:type="dxa"/>
            <w:shd w:val="clear" w:color="auto" w:fill="E5DFEC" w:themeFill="accent4" w:themeFillTint="33"/>
          </w:tcPr>
          <w:p w:rsidR="00B92E45" w:rsidRPr="002767B7" w:rsidRDefault="00B92E45" w:rsidP="009E3D2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201</w:t>
            </w:r>
            <w:r w:rsidR="009E3D27"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4</w:t>
            </w:r>
          </w:p>
        </w:tc>
        <w:tc>
          <w:tcPr>
            <w:tcW w:w="2551" w:type="dxa"/>
            <w:shd w:val="clear" w:color="auto" w:fill="E5DFEC" w:themeFill="accent4" w:themeFillTint="33"/>
          </w:tcPr>
          <w:p w:rsidR="00B92E45" w:rsidRPr="002767B7" w:rsidRDefault="00B92E45" w:rsidP="009E3D27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201</w:t>
            </w:r>
            <w:r w:rsidR="009E3D27"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5</w:t>
            </w:r>
          </w:p>
        </w:tc>
        <w:tc>
          <w:tcPr>
            <w:tcW w:w="6032" w:type="dxa"/>
            <w:shd w:val="clear" w:color="auto" w:fill="E5DFEC" w:themeFill="accent4" w:themeFillTint="33"/>
          </w:tcPr>
          <w:p w:rsidR="00B92E45" w:rsidRPr="002767B7" w:rsidRDefault="00B92E45" w:rsidP="00656CE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2767B7">
              <w:rPr>
                <w:rFonts w:ascii="Verdana" w:hAnsi="Verdana" w:cs="Times New Roman"/>
                <w:caps/>
                <w:color w:val="000000" w:themeColor="text1"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Uwagi</w:t>
            </w:r>
          </w:p>
        </w:tc>
      </w:tr>
      <w:tr w:rsidR="009E3D27" w:rsidRPr="00E613EA" w:rsidTr="00F77417">
        <w:tc>
          <w:tcPr>
            <w:tcW w:w="675" w:type="dxa"/>
            <w:tcBorders>
              <w:bottom w:val="single" w:sz="4" w:space="0" w:color="auto"/>
            </w:tcBorders>
          </w:tcPr>
          <w:p w:rsidR="009E3D27" w:rsidRPr="009E3D27" w:rsidRDefault="009E3D27" w:rsidP="00894482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9E3D27" w:rsidRPr="009E3D27" w:rsidRDefault="009E3D27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Liczba ludności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9E3D27" w:rsidRPr="009E3D27" w:rsidRDefault="009E3D27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2 129 187 osób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9E3D27" w:rsidRPr="007D35D3" w:rsidRDefault="007D35D3" w:rsidP="007D35D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D35D3">
              <w:rPr>
                <w:rFonts w:ascii="Times New Roman" w:hAnsi="Times New Roman" w:cs="Times New Roman"/>
                <w:sz w:val="24"/>
                <w:szCs w:val="24"/>
              </w:rPr>
              <w:t>2 127 657 osób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9E3D27" w:rsidRPr="00E613EA" w:rsidRDefault="009E3D27" w:rsidP="00FD6E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35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,5 % populacji całego kraju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13D56" w:rsidRPr="00FD6E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 xml:space="preserve"> lokata wśród województw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br/>
              <w:t>Najbardziej zaludnione: miasto Rzeszów (185 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896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mieszkańców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), powiat rzeszowski (16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7 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42)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, powiat mielecki (136 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), powiat dębicki (135 </w:t>
            </w:r>
            <w:r w:rsidR="008D389C" w:rsidRPr="00FD6EF8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br/>
              <w:t>Łącznie ww. powiaty i miasto na prawach powiatu skupiają 29,</w:t>
            </w:r>
            <w:r w:rsidR="00FD6EF8" w:rsidRPr="00FD6E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D6EF8">
              <w:rPr>
                <w:rFonts w:ascii="Times New Roman" w:hAnsi="Times New Roman" w:cs="Times New Roman"/>
                <w:sz w:val="24"/>
                <w:szCs w:val="24"/>
              </w:rPr>
              <w:t>% ogółu populacji w województwie.</w:t>
            </w:r>
          </w:p>
        </w:tc>
      </w:tr>
      <w:tr w:rsidR="00747A95" w:rsidRPr="00E613EA" w:rsidTr="00F77417">
        <w:tc>
          <w:tcPr>
            <w:tcW w:w="675" w:type="dxa"/>
            <w:shd w:val="clear" w:color="auto" w:fill="FFFFFF" w:themeFill="background1"/>
          </w:tcPr>
          <w:p w:rsidR="00747A95" w:rsidRPr="009E3D27" w:rsidRDefault="00747A95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747A95" w:rsidRPr="009E3D27" w:rsidRDefault="00747A95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Ludność zamieszkała w miastach</w:t>
            </w:r>
          </w:p>
        </w:tc>
        <w:tc>
          <w:tcPr>
            <w:tcW w:w="2552" w:type="dxa"/>
            <w:shd w:val="clear" w:color="auto" w:fill="FFFFFF" w:themeFill="background1"/>
          </w:tcPr>
          <w:p w:rsidR="00747A95" w:rsidRPr="009E3D27" w:rsidRDefault="00747A95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51 miast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  <w:t>880 328 osób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  <w:t>41,3% ludności</w:t>
            </w:r>
          </w:p>
        </w:tc>
        <w:tc>
          <w:tcPr>
            <w:tcW w:w="2551" w:type="dxa"/>
            <w:shd w:val="clear" w:color="auto" w:fill="FFFFFF" w:themeFill="background1"/>
          </w:tcPr>
          <w:p w:rsidR="00747A95" w:rsidRPr="009E3D27" w:rsidRDefault="00747A95" w:rsidP="00EB64E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51 miast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64E0" w:rsidRPr="00EB64E0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B64E0" w:rsidRPr="00EB64E0">
              <w:rPr>
                <w:rFonts w:ascii="Times New Roman" w:hAnsi="Times New Roman" w:cs="Times New Roman"/>
                <w:sz w:val="24"/>
                <w:szCs w:val="24"/>
              </w:rPr>
              <w:t>671</w:t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  <w:r w:rsidRPr="00747A9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EB64E0">
              <w:rPr>
                <w:rFonts w:ascii="Times New Roman" w:hAnsi="Times New Roman" w:cs="Times New Roman"/>
                <w:sz w:val="24"/>
                <w:szCs w:val="24"/>
              </w:rPr>
              <w:t>41,3% ludności</w:t>
            </w:r>
          </w:p>
        </w:tc>
        <w:tc>
          <w:tcPr>
            <w:tcW w:w="6032" w:type="dxa"/>
            <w:shd w:val="clear" w:color="auto" w:fill="FFFFFF" w:themeFill="background1"/>
          </w:tcPr>
          <w:p w:rsidR="00747A95" w:rsidRPr="00E613EA" w:rsidRDefault="00747A95" w:rsidP="002139C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3658">
              <w:rPr>
                <w:rFonts w:ascii="Times New Roman" w:hAnsi="Times New Roman" w:cs="Times New Roman"/>
                <w:sz w:val="24"/>
                <w:szCs w:val="24"/>
              </w:rPr>
              <w:t>najniższ</w:t>
            </w:r>
            <w:r w:rsidR="00C63658" w:rsidRPr="00C63658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C636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3658" w:rsidRPr="00C63658">
              <w:rPr>
                <w:rFonts w:ascii="Times New Roman" w:hAnsi="Times New Roman" w:cs="Times New Roman"/>
                <w:sz w:val="24"/>
                <w:szCs w:val="24"/>
              </w:rPr>
              <w:t xml:space="preserve">odsetek ludności </w:t>
            </w:r>
            <w:r w:rsidR="00061DF6">
              <w:rPr>
                <w:rFonts w:ascii="Times New Roman" w:hAnsi="Times New Roman" w:cs="Times New Roman"/>
                <w:sz w:val="24"/>
                <w:szCs w:val="24"/>
              </w:rPr>
              <w:t>w miastach</w:t>
            </w:r>
            <w:r w:rsidR="00C63658" w:rsidRPr="00C63658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C63658">
              <w:rPr>
                <w:rFonts w:ascii="Times New Roman" w:hAnsi="Times New Roman" w:cs="Times New Roman"/>
                <w:sz w:val="24"/>
                <w:szCs w:val="24"/>
              </w:rPr>
              <w:t>w porównaniu międzywojewódzkim</w:t>
            </w:r>
          </w:p>
        </w:tc>
      </w:tr>
      <w:tr w:rsidR="00747A95" w:rsidRPr="00E613EA" w:rsidTr="00F77417">
        <w:tc>
          <w:tcPr>
            <w:tcW w:w="675" w:type="dxa"/>
            <w:shd w:val="clear" w:color="auto" w:fill="FFFFFF" w:themeFill="background1"/>
          </w:tcPr>
          <w:p w:rsidR="00747A95" w:rsidRPr="009E3D27" w:rsidRDefault="00747A95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061DF6" w:rsidRDefault="00747A95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Ludność zamieszkała</w:t>
            </w:r>
          </w:p>
          <w:p w:rsidR="00747A95" w:rsidRPr="009E3D27" w:rsidRDefault="00747A95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na wsi</w:t>
            </w:r>
          </w:p>
        </w:tc>
        <w:tc>
          <w:tcPr>
            <w:tcW w:w="2552" w:type="dxa"/>
            <w:shd w:val="clear" w:color="auto" w:fill="FFFFFF" w:themeFill="background1"/>
          </w:tcPr>
          <w:p w:rsidR="00747A95" w:rsidRPr="002139C1" w:rsidRDefault="00747A95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1 248 859 osób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br/>
              <w:t>58,7% ludności</w:t>
            </w:r>
          </w:p>
        </w:tc>
        <w:tc>
          <w:tcPr>
            <w:tcW w:w="2551" w:type="dxa"/>
            <w:shd w:val="clear" w:color="auto" w:fill="FFFFFF" w:themeFill="background1"/>
          </w:tcPr>
          <w:p w:rsidR="00747A95" w:rsidRPr="002139C1" w:rsidRDefault="00747A95" w:rsidP="002139C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1 24</w:t>
            </w:r>
            <w:r w:rsidR="002139C1" w:rsidRPr="002139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139C1" w:rsidRPr="002139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39C1" w:rsidRPr="002139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 xml:space="preserve"> osób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br/>
              <w:t>58,7% ludności</w:t>
            </w:r>
          </w:p>
        </w:tc>
        <w:tc>
          <w:tcPr>
            <w:tcW w:w="6032" w:type="dxa"/>
            <w:shd w:val="clear" w:color="auto" w:fill="FFFFFF" w:themeFill="background1"/>
          </w:tcPr>
          <w:p w:rsidR="00747A95" w:rsidRPr="00E613EA" w:rsidRDefault="00747A95" w:rsidP="002139C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najwyższ</w:t>
            </w:r>
            <w:r w:rsidR="002139C1" w:rsidRPr="002139C1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9C1" w:rsidRPr="002139C1">
              <w:rPr>
                <w:rFonts w:ascii="Times New Roman" w:hAnsi="Times New Roman" w:cs="Times New Roman"/>
                <w:sz w:val="24"/>
                <w:szCs w:val="24"/>
              </w:rPr>
              <w:t xml:space="preserve">odsetek ludności na wsi – </w:t>
            </w:r>
            <w:r w:rsidRPr="002139C1">
              <w:rPr>
                <w:rFonts w:ascii="Times New Roman" w:hAnsi="Times New Roman" w:cs="Times New Roman"/>
                <w:sz w:val="24"/>
                <w:szCs w:val="24"/>
              </w:rPr>
              <w:t>w porównaniu międzywojewódzkim</w:t>
            </w:r>
          </w:p>
        </w:tc>
      </w:tr>
      <w:tr w:rsidR="00747A95" w:rsidRPr="00E613EA" w:rsidTr="00F77417">
        <w:tc>
          <w:tcPr>
            <w:tcW w:w="675" w:type="dxa"/>
            <w:shd w:val="clear" w:color="auto" w:fill="FFFFFF" w:themeFill="background1"/>
          </w:tcPr>
          <w:p w:rsidR="00747A95" w:rsidRPr="009E3D27" w:rsidRDefault="00747A95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2767B7" w:rsidRPr="009E3D27" w:rsidRDefault="00747A95" w:rsidP="002767B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ęstość zaludnienia</w:t>
            </w:r>
          </w:p>
        </w:tc>
        <w:tc>
          <w:tcPr>
            <w:tcW w:w="2552" w:type="dxa"/>
            <w:shd w:val="clear" w:color="auto" w:fill="FFFFFF" w:themeFill="background1"/>
          </w:tcPr>
          <w:p w:rsidR="00747A95" w:rsidRPr="009E3D27" w:rsidRDefault="00747A95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119 os./km</w:t>
            </w:r>
            <w:r w:rsidRPr="009E3D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shd w:val="clear" w:color="auto" w:fill="FFFFFF" w:themeFill="background1"/>
          </w:tcPr>
          <w:p w:rsidR="00747A95" w:rsidRPr="009E3D27" w:rsidRDefault="00747A95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119 os./km</w:t>
            </w:r>
            <w:r w:rsidRPr="009E3D2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032" w:type="dxa"/>
            <w:shd w:val="clear" w:color="auto" w:fill="FFFFFF" w:themeFill="background1"/>
          </w:tcPr>
          <w:p w:rsidR="00747A95" w:rsidRPr="00E613EA" w:rsidRDefault="00747A95" w:rsidP="002139C1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6F87">
              <w:rPr>
                <w:rFonts w:ascii="Times New Roman" w:hAnsi="Times New Roman" w:cs="Times New Roman"/>
                <w:sz w:val="24"/>
                <w:szCs w:val="24"/>
              </w:rPr>
              <w:t>dla kraju: 123 os./km</w:t>
            </w:r>
            <w:r w:rsidRPr="00BD6F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E613EA"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  <w:br/>
            </w:r>
            <w:r w:rsidRPr="00F77417">
              <w:rPr>
                <w:rFonts w:ascii="Times New Roman" w:hAnsi="Times New Roman" w:cs="Times New Roman"/>
                <w:sz w:val="24"/>
                <w:szCs w:val="24"/>
              </w:rPr>
              <w:t>znaczne zróżnicowanie przestrzenne w poszczególnych powiatach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stała wartość </w:t>
            </w:r>
            <w:r w:rsidR="002139C1">
              <w:rPr>
                <w:rFonts w:ascii="Times New Roman" w:hAnsi="Times New Roman" w:cs="Times New Roman"/>
                <w:sz w:val="24"/>
                <w:szCs w:val="24"/>
              </w:rPr>
              <w:t xml:space="preserve">wskaźnika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w porównaniu rdr.</w:t>
            </w:r>
            <w:r w:rsidRPr="00F774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7A95" w:rsidRPr="00E613EA" w:rsidTr="00F77417">
        <w:tc>
          <w:tcPr>
            <w:tcW w:w="675" w:type="dxa"/>
            <w:tcBorders>
              <w:bottom w:val="single" w:sz="4" w:space="0" w:color="auto"/>
            </w:tcBorders>
          </w:tcPr>
          <w:p w:rsidR="00747A95" w:rsidRPr="009E3D27" w:rsidRDefault="00747A95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tcBorders>
              <w:bottom w:val="single" w:sz="4" w:space="0" w:color="auto"/>
            </w:tcBorders>
          </w:tcPr>
          <w:p w:rsidR="00747A95" w:rsidRPr="009E3D27" w:rsidRDefault="00747A95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Przyrost naturalny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747A95" w:rsidRPr="009C19F8" w:rsidRDefault="00747A95" w:rsidP="009C19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+0,7</w:t>
            </w:r>
            <w:r w:rsidR="009C19F8" w:rsidRPr="009C19F8">
              <w:rPr>
                <w:rFonts w:ascii="Times New Roman" w:hAnsi="Times New Roman" w:cs="Times New Roman"/>
                <w:sz w:val="24"/>
                <w:szCs w:val="24"/>
              </w:rPr>
              <w:t>4795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47A95" w:rsidRPr="009C19F8" w:rsidRDefault="00747A95" w:rsidP="009C19F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+0,</w:t>
            </w:r>
            <w:r w:rsidR="009C19F8" w:rsidRPr="009C19F8">
              <w:rPr>
                <w:rFonts w:ascii="Times New Roman" w:hAnsi="Times New Roman" w:cs="Times New Roman"/>
                <w:sz w:val="24"/>
                <w:szCs w:val="24"/>
              </w:rPr>
              <w:t>691</w:t>
            </w:r>
            <w:r w:rsidR="00330F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</w:p>
        </w:tc>
        <w:tc>
          <w:tcPr>
            <w:tcW w:w="6032" w:type="dxa"/>
            <w:tcBorders>
              <w:bottom w:val="single" w:sz="4" w:space="0" w:color="auto"/>
            </w:tcBorders>
          </w:tcPr>
          <w:p w:rsidR="00747A95" w:rsidRPr="00E613EA" w:rsidRDefault="00747A95" w:rsidP="009C170A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wartość dla kraju</w:t>
            </w:r>
            <w:r w:rsidR="009C19F8" w:rsidRPr="009C19F8">
              <w:rPr>
                <w:rFonts w:ascii="Times New Roman" w:hAnsi="Times New Roman" w:cs="Times New Roman"/>
                <w:sz w:val="24"/>
                <w:szCs w:val="24"/>
              </w:rPr>
              <w:t xml:space="preserve"> [2015]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C170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C19F8" w:rsidRPr="009C19F8">
              <w:rPr>
                <w:rFonts w:ascii="Times New Roman" w:hAnsi="Times New Roman" w:cs="Times New Roman"/>
                <w:sz w:val="24"/>
                <w:szCs w:val="24"/>
              </w:rPr>
              <w:t>66606</w:t>
            </w:r>
            <w:r w:rsidRPr="009C19F8">
              <w:rPr>
                <w:rFonts w:ascii="Times New Roman" w:hAnsi="Times New Roman" w:cs="Times New Roman"/>
                <w:sz w:val="24"/>
                <w:szCs w:val="24"/>
              </w:rPr>
              <w:t>‰</w:t>
            </w:r>
            <w:r w:rsidRPr="00E613E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5D7076">
              <w:rPr>
                <w:rFonts w:ascii="Times New Roman" w:hAnsi="Times New Roman" w:cs="Times New Roman"/>
                <w:sz w:val="24"/>
                <w:szCs w:val="24"/>
              </w:rPr>
              <w:t>5 lokata wśród województw</w:t>
            </w:r>
          </w:p>
        </w:tc>
      </w:tr>
      <w:tr w:rsidR="00B65E28" w:rsidRPr="00E613EA" w:rsidTr="00E84E16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B65E28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 xml:space="preserve">Wskaźnik urbanizacji 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  <w:t>(udział gruntów zabudowanych i zurbanizowanych w powierzchni ogółem)</w:t>
            </w: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:rsidR="00B65E28" w:rsidRPr="00853754" w:rsidRDefault="00B65E28" w:rsidP="00E84E16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754">
              <w:rPr>
                <w:rFonts w:ascii="Times New Roman" w:hAnsi="Times New Roman" w:cs="Times New Roman"/>
                <w:sz w:val="24"/>
                <w:szCs w:val="24"/>
              </w:rPr>
              <w:t>4,60%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C63A15" w:rsidRPr="00853754" w:rsidRDefault="00E84E16" w:rsidP="00E84E16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16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853754" w:rsidRPr="00E84E16">
              <w:rPr>
                <w:rFonts w:ascii="Times New Roman" w:hAnsi="Times New Roman" w:cs="Times New Roman"/>
                <w:sz w:val="24"/>
                <w:szCs w:val="24"/>
              </w:rPr>
              <w:t>rak danych</w:t>
            </w:r>
            <w:r>
              <w:rPr>
                <w:rStyle w:val="Odwoanieprzypisudolnego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</w:tc>
        <w:tc>
          <w:tcPr>
            <w:tcW w:w="6032" w:type="dxa"/>
            <w:shd w:val="clear" w:color="auto" w:fill="FFFFFF" w:themeFill="background1"/>
          </w:tcPr>
          <w:p w:rsidR="007734EB" w:rsidRPr="00BD01C4" w:rsidRDefault="00651529" w:rsidP="007734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D31667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zrost wskaźnika urbanizacji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zarówno w</w:t>
            </w:r>
            <w:r w:rsidR="00D31667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kraju</w:t>
            </w:r>
            <w:r w:rsidR="00D31667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jak</w:t>
            </w:r>
          </w:p>
          <w:p w:rsidR="00B65E28" w:rsidRPr="00BD01C4" w:rsidRDefault="00D31667" w:rsidP="007734E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województw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. Polska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2–5,08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5E28" w:rsidRPr="00BD01C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14–5,22%. Podkarpackie : (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12–4,40%,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13–4,47%,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14– 4,60%. </w:t>
            </w:r>
          </w:p>
        </w:tc>
      </w:tr>
      <w:tr w:rsidR="00B65E28" w:rsidRPr="00E613EA" w:rsidTr="00F77417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B65E28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Odsetek kobiet wśród mieszkańców</w:t>
            </w:r>
          </w:p>
        </w:tc>
        <w:tc>
          <w:tcPr>
            <w:tcW w:w="2552" w:type="dxa"/>
            <w:shd w:val="clear" w:color="auto" w:fill="FFFFFF" w:themeFill="background1"/>
          </w:tcPr>
          <w:p w:rsidR="00B65E28" w:rsidRPr="00804CED" w:rsidRDefault="00B65E28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CED">
              <w:rPr>
                <w:rFonts w:ascii="Times New Roman" w:hAnsi="Times New Roman" w:cs="Times New Roman"/>
                <w:sz w:val="24"/>
                <w:szCs w:val="24"/>
              </w:rPr>
              <w:t xml:space="preserve">51,03% </w:t>
            </w:r>
          </w:p>
        </w:tc>
        <w:tc>
          <w:tcPr>
            <w:tcW w:w="2551" w:type="dxa"/>
            <w:shd w:val="clear" w:color="auto" w:fill="FFFFFF" w:themeFill="background1"/>
          </w:tcPr>
          <w:p w:rsidR="00B65E28" w:rsidRPr="00804CED" w:rsidRDefault="00B65E28" w:rsidP="00804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CED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  <w:r w:rsidR="00804CED" w:rsidRPr="00804C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4CE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  <w:tc>
          <w:tcPr>
            <w:tcW w:w="6032" w:type="dxa"/>
            <w:shd w:val="clear" w:color="auto" w:fill="FFFFFF" w:themeFill="background1"/>
          </w:tcPr>
          <w:p w:rsidR="00B65E28" w:rsidRPr="00804CED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04CED">
              <w:rPr>
                <w:rFonts w:ascii="Times New Roman" w:hAnsi="Times New Roman" w:cs="Times New Roman"/>
                <w:sz w:val="24"/>
                <w:szCs w:val="24"/>
              </w:rPr>
              <w:t>brak uwag</w:t>
            </w:r>
          </w:p>
        </w:tc>
      </w:tr>
      <w:tr w:rsidR="00B65E28" w:rsidRPr="00E613EA" w:rsidTr="00F77417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B65E28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Współczynnik feminizacji</w:t>
            </w:r>
          </w:p>
        </w:tc>
        <w:tc>
          <w:tcPr>
            <w:tcW w:w="2552" w:type="dxa"/>
            <w:shd w:val="clear" w:color="auto" w:fill="FFFFFF" w:themeFill="background1"/>
          </w:tcPr>
          <w:p w:rsidR="00B65E28" w:rsidRPr="009E3D27" w:rsidRDefault="00B65E28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551" w:type="dxa"/>
            <w:shd w:val="clear" w:color="auto" w:fill="FFFFFF" w:themeFill="background1"/>
          </w:tcPr>
          <w:p w:rsidR="00B65E28" w:rsidRPr="0028191A" w:rsidRDefault="00B65E28" w:rsidP="0007428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6032" w:type="dxa"/>
            <w:shd w:val="clear" w:color="auto" w:fill="FFFFFF" w:themeFill="background1"/>
          </w:tcPr>
          <w:p w:rsidR="00B65E28" w:rsidRPr="0028191A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28191A">
              <w:rPr>
                <w:rFonts w:ascii="Times New Roman" w:hAnsi="Times New Roman" w:cs="Times New Roman"/>
                <w:sz w:val="24"/>
                <w:szCs w:val="24"/>
              </w:rPr>
              <w:t>dla Polski: 107</w:t>
            </w:r>
          </w:p>
        </w:tc>
      </w:tr>
      <w:tr w:rsidR="00B65E28" w:rsidRPr="00E613EA" w:rsidTr="00F77417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D75843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Mediana wieku mieszkańców</w:t>
            </w:r>
          </w:p>
        </w:tc>
        <w:tc>
          <w:tcPr>
            <w:tcW w:w="2552" w:type="dxa"/>
            <w:shd w:val="clear" w:color="auto" w:fill="FFFFFF" w:themeFill="background1"/>
          </w:tcPr>
          <w:p w:rsidR="00B65E28" w:rsidRPr="00D75843" w:rsidRDefault="00B65E28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43">
              <w:rPr>
                <w:rFonts w:ascii="Times New Roman" w:hAnsi="Times New Roman" w:cs="Times New Roman"/>
                <w:sz w:val="24"/>
                <w:szCs w:val="24"/>
              </w:rPr>
              <w:t>38,2 lata</w:t>
            </w:r>
          </w:p>
        </w:tc>
        <w:tc>
          <w:tcPr>
            <w:tcW w:w="2551" w:type="dxa"/>
            <w:shd w:val="clear" w:color="auto" w:fill="FFFFFF" w:themeFill="background1"/>
          </w:tcPr>
          <w:p w:rsidR="00B65E28" w:rsidRPr="00D75843" w:rsidRDefault="00B65E28" w:rsidP="00D7584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D75843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5843">
              <w:rPr>
                <w:rFonts w:ascii="Times New Roman" w:hAnsi="Times New Roman" w:cs="Times New Roman"/>
                <w:sz w:val="24"/>
                <w:szCs w:val="24"/>
              </w:rPr>
              <w:t xml:space="preserve"> lata</w:t>
            </w:r>
          </w:p>
        </w:tc>
        <w:tc>
          <w:tcPr>
            <w:tcW w:w="6032" w:type="dxa"/>
            <w:shd w:val="clear" w:color="auto" w:fill="FFFFFF" w:themeFill="background1"/>
          </w:tcPr>
          <w:p w:rsidR="00B65E28" w:rsidRDefault="00754BD7" w:rsidP="0075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Województwo:</w:t>
            </w:r>
            <w:r w:rsidR="00627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D7584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r. 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  <w:r w:rsidR="00D758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B65E28" w:rsidRPr="00D758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E28" w:rsidRPr="00D7584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730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5E28" w:rsidRPr="00D75843">
              <w:rPr>
                <w:rFonts w:ascii="Times New Roman" w:hAnsi="Times New Roman" w:cs="Times New Roman"/>
                <w:sz w:val="24"/>
                <w:szCs w:val="24"/>
              </w:rPr>
              <w:t>dla Polski: 39,</w:t>
            </w:r>
            <w:r w:rsidR="00D75843" w:rsidRPr="00D758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73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34E2A" w:rsidRPr="00BD01C4" w:rsidRDefault="00651529" w:rsidP="00D75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Wzrost mediany wieku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zarówno</w:t>
            </w:r>
            <w:r w:rsidR="00E06C87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06C87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kraju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jak</w:t>
            </w:r>
          </w:p>
          <w:p w:rsidR="00651529" w:rsidRPr="00B424B5" w:rsidRDefault="00651529" w:rsidP="00D75F9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województw</w:t>
            </w:r>
            <w:r w:rsidR="0062730B" w:rsidRPr="00BD01C4">
              <w:rPr>
                <w:rFonts w:ascii="Times New Roman" w:hAnsi="Times New Roman" w:cs="Times New Roman"/>
                <w:sz w:val="24"/>
                <w:szCs w:val="24"/>
              </w:rPr>
              <w:t>ie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. Polska: 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’90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’00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’10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325E6" w:rsidRPr="00BD01C4">
              <w:rPr>
                <w:rFonts w:ascii="Times New Roman" w:hAnsi="Times New Roman" w:cs="Times New Roman"/>
                <w:sz w:val="24"/>
                <w:szCs w:val="24"/>
              </w:rPr>
              <w:t>38,0 ’15–39,8.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Podkarpackie: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’0</w:t>
            </w:r>
            <w:r w:rsidR="00D75F9E" w:rsidRPr="00BD0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75F9E" w:rsidRPr="00BD01C4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>’10</w:t>
            </w:r>
            <w:r w:rsidRPr="00BD01C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D75F9E" w:rsidRPr="00BD01C4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  <w:r w:rsidR="00B424B5" w:rsidRPr="00BD01C4">
              <w:rPr>
                <w:rFonts w:ascii="Times New Roman" w:hAnsi="Times New Roman" w:cs="Times New Roman"/>
                <w:sz w:val="24"/>
                <w:szCs w:val="24"/>
              </w:rPr>
              <w:t xml:space="preserve"> ’15–</w:t>
            </w:r>
            <w:r w:rsidR="00D75F9E" w:rsidRPr="00BD01C4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  <w:r w:rsidRPr="00B42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65E28" w:rsidRPr="00E613EA" w:rsidTr="00853754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B65E28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Wskaźnik migracji ludności</w:t>
            </w:r>
          </w:p>
        </w:tc>
        <w:tc>
          <w:tcPr>
            <w:tcW w:w="2552" w:type="dxa"/>
            <w:shd w:val="clear" w:color="auto" w:fill="FFFFFF" w:themeFill="background1"/>
          </w:tcPr>
          <w:p w:rsidR="00754BD7" w:rsidRDefault="00B65E28" w:rsidP="0075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zmniejszenie liczby ludności o 2 249 osób</w:t>
            </w:r>
          </w:p>
          <w:p w:rsidR="00B65E28" w:rsidRPr="009E3D27" w:rsidRDefault="00B65E28" w:rsidP="0075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(- 1,06 ‰)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  <w:t>dla miast: - 2,9 ‰</w:t>
            </w:r>
            <w:r w:rsidRPr="009E3D27">
              <w:rPr>
                <w:rFonts w:ascii="Times New Roman" w:hAnsi="Times New Roman" w:cs="Times New Roman"/>
                <w:sz w:val="24"/>
                <w:szCs w:val="24"/>
              </w:rPr>
              <w:br/>
              <w:t>dla wsi: + 0,3‰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B65E28" w:rsidRPr="00E84E16" w:rsidRDefault="004E7DD4" w:rsidP="00853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E16">
              <w:rPr>
                <w:rFonts w:ascii="Times New Roman" w:hAnsi="Times New Roman" w:cs="Times New Roman"/>
                <w:sz w:val="24"/>
                <w:szCs w:val="24"/>
              </w:rPr>
              <w:t>brak danych</w:t>
            </w:r>
          </w:p>
        </w:tc>
        <w:tc>
          <w:tcPr>
            <w:tcW w:w="6032" w:type="dxa"/>
            <w:shd w:val="clear" w:color="auto" w:fill="FFFFFF" w:themeFill="background1"/>
          </w:tcPr>
          <w:p w:rsidR="00B65E28" w:rsidRPr="004E7DD4" w:rsidRDefault="00B65E28" w:rsidP="00754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DD4">
              <w:rPr>
                <w:rFonts w:ascii="Times New Roman" w:hAnsi="Times New Roman" w:cs="Times New Roman"/>
                <w:sz w:val="24"/>
                <w:szCs w:val="24"/>
              </w:rPr>
              <w:t>dla Polski:</w:t>
            </w:r>
            <w:r w:rsidRPr="004E7D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54BD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E7DD4">
              <w:rPr>
                <w:rFonts w:ascii="Times New Roman" w:hAnsi="Times New Roman" w:cs="Times New Roman"/>
                <w:sz w:val="24"/>
                <w:szCs w:val="24"/>
              </w:rPr>
              <w:t>13: - 0,5 ‰</w:t>
            </w:r>
            <w:r w:rsidRPr="004E7DD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54BD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4E7DD4">
              <w:rPr>
                <w:rFonts w:ascii="Times New Roman" w:hAnsi="Times New Roman" w:cs="Times New Roman"/>
                <w:sz w:val="24"/>
                <w:szCs w:val="24"/>
              </w:rPr>
              <w:t>14: - 0,41 ‰</w:t>
            </w:r>
          </w:p>
          <w:p w:rsidR="004E7DD4" w:rsidRPr="00E613EA" w:rsidRDefault="00754BD7" w:rsidP="00754BD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="004E7DD4" w:rsidRPr="004E7DD4">
              <w:rPr>
                <w:rFonts w:ascii="Times New Roman" w:hAnsi="Times New Roman" w:cs="Times New Roman"/>
                <w:sz w:val="24"/>
                <w:szCs w:val="24"/>
              </w:rPr>
              <w:t>15:</w:t>
            </w:r>
            <w:r w:rsidR="00853754">
              <w:rPr>
                <w:rFonts w:ascii="Times New Roman" w:hAnsi="Times New Roman" w:cs="Times New Roman"/>
                <w:sz w:val="24"/>
                <w:szCs w:val="24"/>
              </w:rPr>
              <w:t xml:space="preserve"> brak danych</w:t>
            </w:r>
          </w:p>
        </w:tc>
      </w:tr>
      <w:tr w:rsidR="0038171F" w:rsidRPr="00E613EA" w:rsidTr="00F77417">
        <w:tc>
          <w:tcPr>
            <w:tcW w:w="675" w:type="dxa"/>
            <w:shd w:val="clear" w:color="auto" w:fill="FFFFFF" w:themeFill="background1"/>
          </w:tcPr>
          <w:p w:rsidR="0038171F" w:rsidRPr="009E3D27" w:rsidRDefault="0038171F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38171F" w:rsidRPr="009E3D27" w:rsidRDefault="0038171F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Produkt krajowy brutto</w:t>
            </w:r>
          </w:p>
        </w:tc>
        <w:tc>
          <w:tcPr>
            <w:tcW w:w="2552" w:type="dxa"/>
            <w:shd w:val="clear" w:color="auto" w:fill="FFFFFF" w:themeFill="background1"/>
          </w:tcPr>
          <w:p w:rsidR="0038171F" w:rsidRPr="0038171F" w:rsidRDefault="0038171F" w:rsidP="007B221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 xml:space="preserve"> mln zł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br/>
              <w:t>3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631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 xml:space="preserve"> zł na 1 mieszkańca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br/>
              <w:t>3,9% PKB dla Polski</w:t>
            </w:r>
          </w:p>
        </w:tc>
        <w:tc>
          <w:tcPr>
            <w:tcW w:w="2551" w:type="dxa"/>
            <w:shd w:val="clear" w:color="auto" w:fill="FFFFFF" w:themeFill="background1"/>
          </w:tcPr>
          <w:p w:rsidR="0038171F" w:rsidRPr="00E84E16" w:rsidRDefault="0038171F" w:rsidP="0007428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16">
              <w:rPr>
                <w:rFonts w:ascii="Times New Roman" w:hAnsi="Times New Roman" w:cs="Times New Roman"/>
                <w:sz w:val="24"/>
                <w:szCs w:val="24"/>
              </w:rPr>
              <w:t>brak danych</w:t>
            </w:r>
          </w:p>
        </w:tc>
        <w:tc>
          <w:tcPr>
            <w:tcW w:w="6032" w:type="dxa"/>
            <w:shd w:val="clear" w:color="auto" w:fill="FFFFFF" w:themeFill="background1"/>
          </w:tcPr>
          <w:p w:rsidR="0038171F" w:rsidRPr="00E613EA" w:rsidRDefault="0038171F" w:rsidP="00D75F9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5F9E">
              <w:rPr>
                <w:rFonts w:ascii="Times New Roman" w:hAnsi="Times New Roman" w:cs="Times New Roman"/>
                <w:sz w:val="24"/>
                <w:szCs w:val="24"/>
              </w:rPr>
              <w:t xml:space="preserve">15 lokata wśród województw </w:t>
            </w:r>
            <w:r w:rsidRPr="00D75F9E">
              <w:rPr>
                <w:rFonts w:ascii="Times New Roman" w:hAnsi="Times New Roman" w:cs="Times New Roman"/>
                <w:sz w:val="24"/>
                <w:szCs w:val="24"/>
              </w:rPr>
              <w:br/>
              <w:t>(70,8% PKB przypadającego na 1 mieszkańca Polski)</w:t>
            </w:r>
          </w:p>
        </w:tc>
      </w:tr>
      <w:tr w:rsidR="0038171F" w:rsidRPr="00E613EA" w:rsidTr="00F77417">
        <w:tc>
          <w:tcPr>
            <w:tcW w:w="675" w:type="dxa"/>
            <w:shd w:val="clear" w:color="auto" w:fill="FFFFFF" w:themeFill="background1"/>
          </w:tcPr>
          <w:p w:rsidR="0038171F" w:rsidRPr="009E3D27" w:rsidRDefault="0038171F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38171F" w:rsidRPr="009E3D27" w:rsidRDefault="0038171F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Wartość dodana brutto</w:t>
            </w:r>
          </w:p>
        </w:tc>
        <w:tc>
          <w:tcPr>
            <w:tcW w:w="2552" w:type="dxa"/>
            <w:shd w:val="clear" w:color="auto" w:fill="FFFFFF" w:themeFill="background1"/>
          </w:tcPr>
          <w:p w:rsidR="0038171F" w:rsidRPr="0038171F" w:rsidRDefault="0038171F" w:rsidP="007B221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 xml:space="preserve">WDB na 1 osobę pracującą: 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B221E" w:rsidRPr="007B221E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  <w:r w:rsidRPr="007B221E">
              <w:rPr>
                <w:rFonts w:ascii="Times New Roman" w:hAnsi="Times New Roman" w:cs="Times New Roman"/>
                <w:sz w:val="24"/>
                <w:szCs w:val="24"/>
              </w:rPr>
              <w:t xml:space="preserve"> zł </w:t>
            </w:r>
          </w:p>
        </w:tc>
        <w:tc>
          <w:tcPr>
            <w:tcW w:w="2551" w:type="dxa"/>
            <w:shd w:val="clear" w:color="auto" w:fill="FFFFFF" w:themeFill="background1"/>
          </w:tcPr>
          <w:p w:rsidR="0038171F" w:rsidRPr="00E84E16" w:rsidRDefault="0038171F" w:rsidP="0007428E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84E16">
              <w:rPr>
                <w:rFonts w:ascii="Times New Roman" w:hAnsi="Times New Roman" w:cs="Times New Roman"/>
                <w:sz w:val="24"/>
                <w:szCs w:val="24"/>
              </w:rPr>
              <w:t>brak danych</w:t>
            </w:r>
          </w:p>
        </w:tc>
        <w:tc>
          <w:tcPr>
            <w:tcW w:w="6032" w:type="dxa"/>
            <w:shd w:val="clear" w:color="auto" w:fill="FFFFFF" w:themeFill="background1"/>
          </w:tcPr>
          <w:p w:rsidR="0038171F" w:rsidRPr="00E37D60" w:rsidRDefault="0038171F" w:rsidP="0038171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37D60">
              <w:rPr>
                <w:rFonts w:ascii="Times New Roman" w:hAnsi="Times New Roman" w:cs="Times New Roman"/>
                <w:sz w:val="24"/>
                <w:szCs w:val="24"/>
              </w:rPr>
              <w:t>15 lokata wśród województw (73,8% WDB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D60">
              <w:rPr>
                <w:rFonts w:ascii="Times New Roman" w:hAnsi="Times New Roman" w:cs="Times New Roman"/>
                <w:sz w:val="24"/>
                <w:szCs w:val="24"/>
              </w:rPr>
              <w:t>dla kraju)</w:t>
            </w:r>
          </w:p>
        </w:tc>
      </w:tr>
      <w:tr w:rsidR="00B65E28" w:rsidRPr="00E613EA" w:rsidTr="00F77417">
        <w:tc>
          <w:tcPr>
            <w:tcW w:w="675" w:type="dxa"/>
            <w:shd w:val="clear" w:color="auto" w:fill="FFFFFF" w:themeFill="background1"/>
          </w:tcPr>
          <w:p w:rsidR="00B65E28" w:rsidRPr="009E3D27" w:rsidRDefault="00B65E28" w:rsidP="00656CED">
            <w:pPr>
              <w:pStyle w:val="Akapitzlist"/>
              <w:numPr>
                <w:ilvl w:val="0"/>
                <w:numId w:val="13"/>
              </w:numPr>
              <w:spacing w:before="120" w:after="12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 w:themeFill="background1"/>
          </w:tcPr>
          <w:p w:rsidR="00B65E28" w:rsidRPr="009E3D27" w:rsidRDefault="00B65E28" w:rsidP="00656CED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Przeciętne miesięczne wynagrodzenie brutto ogółem (zł) w gospodarce narodowej</w:t>
            </w:r>
          </w:p>
        </w:tc>
        <w:tc>
          <w:tcPr>
            <w:tcW w:w="2552" w:type="dxa"/>
            <w:shd w:val="clear" w:color="auto" w:fill="FFFFFF" w:themeFill="background1"/>
          </w:tcPr>
          <w:p w:rsidR="00B65E28" w:rsidRPr="009E3D27" w:rsidRDefault="00B65E28" w:rsidP="00BD6F87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E3D27">
              <w:rPr>
                <w:rFonts w:ascii="Times New Roman" w:hAnsi="Times New Roman" w:cs="Times New Roman"/>
                <w:sz w:val="24"/>
                <w:szCs w:val="24"/>
              </w:rPr>
              <w:t>3 412,30 zł</w:t>
            </w:r>
          </w:p>
        </w:tc>
        <w:tc>
          <w:tcPr>
            <w:tcW w:w="2551" w:type="dxa"/>
            <w:shd w:val="clear" w:color="auto" w:fill="FFFFFF" w:themeFill="background1"/>
          </w:tcPr>
          <w:p w:rsidR="00B65E28" w:rsidRPr="00B65E28" w:rsidRDefault="00B65E28" w:rsidP="00053DD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053DD5" w:rsidRPr="00053DD5">
              <w:rPr>
                <w:rFonts w:ascii="Times New Roman" w:hAnsi="Times New Roman" w:cs="Times New Roman"/>
                <w:sz w:val="24"/>
                <w:szCs w:val="24"/>
              </w:rPr>
              <w:t>527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3DD5" w:rsidRPr="00053DD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</w:p>
        </w:tc>
        <w:tc>
          <w:tcPr>
            <w:tcW w:w="6032" w:type="dxa"/>
            <w:shd w:val="clear" w:color="auto" w:fill="FFFFFF" w:themeFill="background1"/>
          </w:tcPr>
          <w:p w:rsidR="00B65E28" w:rsidRPr="00E613EA" w:rsidRDefault="00B65E28" w:rsidP="00053DD5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dla Polski: 4 </w:t>
            </w:r>
            <w:r w:rsidR="00053DD5" w:rsidRPr="00053DD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3DD5" w:rsidRPr="00053DD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 xml:space="preserve"> zł</w:t>
            </w:r>
            <w:r w:rsidRPr="00E613EA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/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 xml:space="preserve">15 lokata wśród województw 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br/>
              <w:t>(85,</w:t>
            </w:r>
            <w:r w:rsidR="00053DD5" w:rsidRPr="00053D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DD5">
              <w:rPr>
                <w:rFonts w:ascii="Times New Roman" w:hAnsi="Times New Roman" w:cs="Times New Roman"/>
                <w:sz w:val="24"/>
                <w:szCs w:val="24"/>
              </w:rPr>
              <w:t>% wartości dla kraju)</w:t>
            </w:r>
          </w:p>
        </w:tc>
      </w:tr>
    </w:tbl>
    <w:p w:rsidR="00B92E45" w:rsidRPr="00E613EA" w:rsidRDefault="00B92E45" w:rsidP="00B92E45">
      <w:pPr>
        <w:spacing w:after="0" w:line="360" w:lineRule="auto"/>
        <w:ind w:firstLine="709"/>
        <w:rPr>
          <w:rFonts w:ascii="Times New Roman" w:hAnsi="Times New Roman" w:cs="Times New Roman"/>
          <w:bCs/>
          <w:sz w:val="24"/>
          <w:szCs w:val="24"/>
          <w:highlight w:val="yellow"/>
        </w:rPr>
        <w:sectPr w:rsidR="00B92E45" w:rsidRPr="00E613EA" w:rsidSect="00063539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:rsidR="00B92E45" w:rsidRPr="009E3D27" w:rsidRDefault="00B92E45" w:rsidP="00B92E4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D27">
        <w:rPr>
          <w:rFonts w:ascii="Times New Roman" w:hAnsi="Times New Roman" w:cs="Times New Roman"/>
          <w:bCs/>
          <w:sz w:val="24"/>
          <w:szCs w:val="24"/>
        </w:rPr>
        <w:lastRenderedPageBreak/>
        <w:t>Analiza sytuacji na rynku pracy</w:t>
      </w:r>
      <w:r w:rsidR="00AE5712" w:rsidRPr="009E3D27">
        <w:rPr>
          <w:rFonts w:ascii="Times New Roman" w:hAnsi="Times New Roman" w:cs="Times New Roman"/>
          <w:bCs/>
          <w:sz w:val="24"/>
          <w:szCs w:val="24"/>
        </w:rPr>
        <w:t xml:space="preserve"> w </w:t>
      </w:r>
      <w:r w:rsidRPr="009E3D27">
        <w:rPr>
          <w:rFonts w:ascii="Times New Roman" w:hAnsi="Times New Roman" w:cs="Times New Roman"/>
          <w:bCs/>
          <w:sz w:val="24"/>
          <w:szCs w:val="24"/>
        </w:rPr>
        <w:t>województwie podkarpackim</w:t>
      </w:r>
      <w:r w:rsidR="009E3D27">
        <w:rPr>
          <w:rFonts w:ascii="Times New Roman" w:hAnsi="Times New Roman" w:cs="Times New Roman"/>
          <w:bCs/>
          <w:sz w:val="24"/>
          <w:szCs w:val="24"/>
        </w:rPr>
        <w:t xml:space="preserve"> jest realizowana w odniesieniu do specyfiki i </w:t>
      </w:r>
      <w:r w:rsidRPr="009E3D27">
        <w:rPr>
          <w:rFonts w:ascii="Times New Roman" w:hAnsi="Times New Roman" w:cs="Times New Roman"/>
          <w:bCs/>
          <w:sz w:val="24"/>
          <w:szCs w:val="24"/>
        </w:rPr>
        <w:t>charakteru regionu. Powyższe dane zwracają uwagę przede wszystkim na</w:t>
      </w:r>
      <w:r w:rsidR="008C1EA0" w:rsidRPr="009E3D2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1EA0" w:rsidRPr="009E3D27">
        <w:rPr>
          <w:rFonts w:ascii="Times New Roman" w:hAnsi="Times New Roman" w:cs="Times New Roman"/>
          <w:bCs/>
          <w:szCs w:val="24"/>
        </w:rPr>
        <w:t>(na podstawie danych</w:t>
      </w:r>
      <w:r w:rsidR="00AE5712" w:rsidRPr="009E3D27">
        <w:rPr>
          <w:rFonts w:ascii="Times New Roman" w:hAnsi="Times New Roman" w:cs="Times New Roman"/>
          <w:bCs/>
          <w:szCs w:val="24"/>
        </w:rPr>
        <w:t xml:space="preserve"> z </w:t>
      </w:r>
      <w:r w:rsidR="008C1EA0" w:rsidRPr="009E3D27">
        <w:rPr>
          <w:rFonts w:ascii="Times New Roman" w:hAnsi="Times New Roman" w:cs="Times New Roman"/>
          <w:bCs/>
          <w:szCs w:val="24"/>
        </w:rPr>
        <w:t>Tabeli 1)</w:t>
      </w:r>
      <w:r w:rsidRPr="009E3D27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B92E45" w:rsidRPr="00894482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482">
        <w:rPr>
          <w:rFonts w:ascii="Times New Roman" w:hAnsi="Times New Roman" w:cs="Times New Roman"/>
          <w:bCs/>
          <w:sz w:val="24"/>
          <w:szCs w:val="24"/>
        </w:rPr>
        <w:t>wiejski charakter województwa (najniższy</w:t>
      </w:r>
      <w:r w:rsidR="00AE5712" w:rsidRPr="00894482">
        <w:rPr>
          <w:rFonts w:ascii="Times New Roman" w:hAnsi="Times New Roman" w:cs="Times New Roman"/>
          <w:bCs/>
          <w:sz w:val="24"/>
          <w:szCs w:val="24"/>
        </w:rPr>
        <w:t xml:space="preserve"> w </w:t>
      </w:r>
      <w:r w:rsidRPr="00894482">
        <w:rPr>
          <w:rFonts w:ascii="Times New Roman" w:hAnsi="Times New Roman" w:cs="Times New Roman"/>
          <w:bCs/>
          <w:sz w:val="24"/>
          <w:szCs w:val="24"/>
        </w:rPr>
        <w:t>Polsce wskaźnik urbanizacji gruntów oraz udział ludności zamieszkałej</w:t>
      </w:r>
      <w:r w:rsidR="00AE5712" w:rsidRPr="00894482">
        <w:rPr>
          <w:rFonts w:ascii="Times New Roman" w:hAnsi="Times New Roman" w:cs="Times New Roman"/>
          <w:bCs/>
          <w:sz w:val="24"/>
          <w:szCs w:val="24"/>
        </w:rPr>
        <w:t xml:space="preserve"> w </w:t>
      </w:r>
      <w:r w:rsidRPr="00894482">
        <w:rPr>
          <w:rFonts w:ascii="Times New Roman" w:hAnsi="Times New Roman" w:cs="Times New Roman"/>
          <w:bCs/>
          <w:sz w:val="24"/>
          <w:szCs w:val="24"/>
        </w:rPr>
        <w:t>miastach);</w:t>
      </w:r>
    </w:p>
    <w:p w:rsidR="00B92E45" w:rsidRPr="00894482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482">
        <w:rPr>
          <w:rFonts w:ascii="Times New Roman" w:hAnsi="Times New Roman" w:cs="Times New Roman"/>
          <w:bCs/>
          <w:sz w:val="24"/>
          <w:szCs w:val="24"/>
        </w:rPr>
        <w:t>skupienie ludności na części obszarów województwa oraz występowanie obszarów</w:t>
      </w:r>
      <w:r w:rsidR="00AE5712" w:rsidRPr="00894482">
        <w:rPr>
          <w:rFonts w:ascii="Times New Roman" w:hAnsi="Times New Roman" w:cs="Times New Roman"/>
          <w:bCs/>
          <w:sz w:val="24"/>
          <w:szCs w:val="24"/>
        </w:rPr>
        <w:t xml:space="preserve"> o </w:t>
      </w:r>
      <w:r w:rsidRPr="00894482">
        <w:rPr>
          <w:rFonts w:ascii="Times New Roman" w:hAnsi="Times New Roman" w:cs="Times New Roman"/>
          <w:bCs/>
          <w:sz w:val="24"/>
          <w:szCs w:val="24"/>
        </w:rPr>
        <w:t>znacznie zmniejszonej koncentracji ludności;</w:t>
      </w:r>
    </w:p>
    <w:p w:rsidR="00B92E45" w:rsidRPr="00620CF7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CF7">
        <w:rPr>
          <w:rFonts w:ascii="Times New Roman" w:hAnsi="Times New Roman" w:cs="Times New Roman"/>
          <w:bCs/>
          <w:sz w:val="24"/>
          <w:szCs w:val="24"/>
        </w:rPr>
        <w:t>młodość demograficzną regionu – wyrażającą się tak</w:t>
      </w:r>
      <w:r w:rsidR="00AE5712" w:rsidRPr="00620CF7">
        <w:rPr>
          <w:rFonts w:ascii="Times New Roman" w:hAnsi="Times New Roman" w:cs="Times New Roman"/>
          <w:bCs/>
          <w:sz w:val="24"/>
          <w:szCs w:val="24"/>
        </w:rPr>
        <w:t xml:space="preserve"> w </w:t>
      </w:r>
      <w:r w:rsidRPr="00620CF7">
        <w:rPr>
          <w:rFonts w:ascii="Times New Roman" w:hAnsi="Times New Roman" w:cs="Times New Roman"/>
          <w:bCs/>
          <w:sz w:val="24"/>
          <w:szCs w:val="24"/>
        </w:rPr>
        <w:t>medianie wieku, jak</w:t>
      </w:r>
      <w:r w:rsidR="00AE5712" w:rsidRPr="00620CF7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620CF7">
        <w:rPr>
          <w:rFonts w:ascii="Times New Roman" w:hAnsi="Times New Roman" w:cs="Times New Roman"/>
          <w:bCs/>
          <w:sz w:val="24"/>
          <w:szCs w:val="24"/>
        </w:rPr>
        <w:t> </w:t>
      </w:r>
      <w:r w:rsidR="00AE5712" w:rsidRPr="00620CF7">
        <w:rPr>
          <w:rFonts w:ascii="Times New Roman" w:hAnsi="Times New Roman" w:cs="Times New Roman"/>
          <w:bCs/>
          <w:sz w:val="24"/>
          <w:szCs w:val="24"/>
        </w:rPr>
        <w:t>w</w:t>
      </w:r>
      <w:r w:rsidR="00620CF7">
        <w:rPr>
          <w:rFonts w:ascii="Times New Roman" w:hAnsi="Times New Roman" w:cs="Times New Roman"/>
          <w:bCs/>
          <w:sz w:val="24"/>
          <w:szCs w:val="24"/>
        </w:rPr>
        <w:t> </w:t>
      </w:r>
      <w:r w:rsidR="00620CF7" w:rsidRPr="00620CF7">
        <w:rPr>
          <w:rFonts w:ascii="Times New Roman" w:hAnsi="Times New Roman" w:cs="Times New Roman"/>
          <w:bCs/>
          <w:sz w:val="24"/>
          <w:szCs w:val="24"/>
        </w:rPr>
        <w:t xml:space="preserve">relatywnie </w:t>
      </w:r>
      <w:r w:rsidRPr="00620CF7">
        <w:rPr>
          <w:rFonts w:ascii="Times New Roman" w:hAnsi="Times New Roman" w:cs="Times New Roman"/>
          <w:bCs/>
          <w:sz w:val="24"/>
          <w:szCs w:val="24"/>
        </w:rPr>
        <w:t xml:space="preserve">wysokim </w:t>
      </w:r>
      <w:r w:rsidR="002B03E5" w:rsidRPr="00620CF7">
        <w:rPr>
          <w:rFonts w:ascii="Times New Roman" w:hAnsi="Times New Roman" w:cs="Times New Roman"/>
          <w:bCs/>
          <w:sz w:val="24"/>
          <w:szCs w:val="24"/>
        </w:rPr>
        <w:t xml:space="preserve">w porównaniu do średniej krajowej </w:t>
      </w:r>
      <w:r w:rsidRPr="00620CF7">
        <w:rPr>
          <w:rFonts w:ascii="Times New Roman" w:hAnsi="Times New Roman" w:cs="Times New Roman"/>
          <w:bCs/>
          <w:sz w:val="24"/>
          <w:szCs w:val="24"/>
        </w:rPr>
        <w:t>wskaźniku przyrostu naturalnego – choć należy podkreślić, że maleje on sukcesywnie;</w:t>
      </w:r>
    </w:p>
    <w:p w:rsidR="00B92E45" w:rsidRPr="00620CF7" w:rsidRDefault="00B92E45" w:rsidP="00160DBC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0CF7">
        <w:rPr>
          <w:rFonts w:ascii="Times New Roman" w:hAnsi="Times New Roman" w:cs="Times New Roman"/>
          <w:bCs/>
          <w:sz w:val="24"/>
          <w:szCs w:val="24"/>
        </w:rPr>
        <w:t xml:space="preserve">niski </w:t>
      </w:r>
      <w:r w:rsidR="002B03E5" w:rsidRPr="00620CF7">
        <w:rPr>
          <w:rFonts w:ascii="Times New Roman" w:hAnsi="Times New Roman" w:cs="Times New Roman"/>
          <w:bCs/>
          <w:sz w:val="24"/>
          <w:szCs w:val="24"/>
        </w:rPr>
        <w:t xml:space="preserve">w stosunku do pozostałych województw </w:t>
      </w:r>
      <w:r w:rsidRPr="00620CF7">
        <w:rPr>
          <w:rFonts w:ascii="Times New Roman" w:hAnsi="Times New Roman" w:cs="Times New Roman"/>
          <w:bCs/>
          <w:sz w:val="24"/>
          <w:szCs w:val="24"/>
        </w:rPr>
        <w:t>poziom rozwoju gospodarczego oraz zamożności mieszkańców regionu.</w:t>
      </w:r>
    </w:p>
    <w:p w:rsidR="00B92E45" w:rsidRPr="00486D94" w:rsidRDefault="00B92E45" w:rsidP="00AE4725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4" w:name="_Toc446334628"/>
      <w:bookmarkStart w:id="5" w:name="_Toc477160351"/>
      <w:r w:rsidRPr="00486D94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Wiek produkcyjny ludności</w:t>
      </w:r>
      <w:bookmarkEnd w:id="4"/>
      <w:bookmarkEnd w:id="5"/>
    </w:p>
    <w:p w:rsidR="00B92E45" w:rsidRPr="009E3D27" w:rsidRDefault="00B92E45" w:rsidP="00B92E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Cs w:val="24"/>
        </w:rPr>
      </w:pPr>
      <w:r w:rsidRPr="009E3D27">
        <w:rPr>
          <w:rFonts w:ascii="Times New Roman" w:hAnsi="Times New Roman" w:cs="Times New Roman"/>
          <w:color w:val="000000"/>
          <w:szCs w:val="24"/>
        </w:rPr>
        <w:t xml:space="preserve">Tabela </w:t>
      </w:r>
      <w:r w:rsidR="009E3AFD" w:rsidRPr="009E3D27">
        <w:rPr>
          <w:rFonts w:ascii="Times New Roman" w:hAnsi="Times New Roman" w:cs="Times New Roman"/>
          <w:color w:val="000000"/>
          <w:szCs w:val="24"/>
        </w:rPr>
        <w:t>2</w:t>
      </w:r>
      <w:r w:rsidRPr="009E3D27">
        <w:rPr>
          <w:rFonts w:ascii="Times New Roman" w:hAnsi="Times New Roman" w:cs="Times New Roman"/>
          <w:color w:val="000000"/>
          <w:szCs w:val="24"/>
        </w:rPr>
        <w:t xml:space="preserve">. </w:t>
      </w:r>
      <w:r w:rsidR="005C72B7" w:rsidRPr="009E3D27">
        <w:rPr>
          <w:rFonts w:ascii="Times New Roman" w:hAnsi="Times New Roman" w:cs="Times New Roman"/>
          <w:color w:val="000000"/>
          <w:szCs w:val="24"/>
        </w:rPr>
        <w:tab/>
      </w:r>
      <w:r w:rsidRPr="009E3D27">
        <w:rPr>
          <w:rFonts w:ascii="Times New Roman" w:hAnsi="Times New Roman" w:cs="Times New Roman"/>
          <w:color w:val="000000"/>
          <w:szCs w:val="24"/>
        </w:rPr>
        <w:t>Zmiany</w:t>
      </w:r>
      <w:r w:rsidR="00AE5712" w:rsidRPr="009E3D27">
        <w:rPr>
          <w:rFonts w:ascii="Times New Roman" w:hAnsi="Times New Roman" w:cs="Times New Roman"/>
          <w:color w:val="000000"/>
          <w:szCs w:val="24"/>
        </w:rPr>
        <w:t xml:space="preserve"> w </w:t>
      </w:r>
      <w:r w:rsidRPr="009E3D27">
        <w:rPr>
          <w:rFonts w:ascii="Times New Roman" w:hAnsi="Times New Roman" w:cs="Times New Roman"/>
          <w:color w:val="000000"/>
          <w:szCs w:val="24"/>
        </w:rPr>
        <w:t>strukturze ludności wg wieku</w:t>
      </w:r>
      <w:r w:rsidR="00AE5712" w:rsidRPr="009E3D27">
        <w:rPr>
          <w:rFonts w:ascii="Times New Roman" w:hAnsi="Times New Roman" w:cs="Times New Roman"/>
          <w:color w:val="000000"/>
          <w:szCs w:val="24"/>
        </w:rPr>
        <w:t xml:space="preserve"> w </w:t>
      </w:r>
      <w:r w:rsidR="00235A6B" w:rsidRPr="009E3D27">
        <w:rPr>
          <w:rFonts w:ascii="Times New Roman" w:hAnsi="Times New Roman" w:cs="Times New Roman"/>
          <w:color w:val="000000"/>
          <w:szCs w:val="24"/>
        </w:rPr>
        <w:t>województwie podkarpackim (%)</w:t>
      </w:r>
    </w:p>
    <w:tbl>
      <w:tblPr>
        <w:tblW w:w="10737" w:type="dxa"/>
        <w:jc w:val="center"/>
        <w:tblInd w:w="35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68"/>
        <w:gridCol w:w="851"/>
        <w:gridCol w:w="850"/>
        <w:gridCol w:w="851"/>
        <w:gridCol w:w="850"/>
        <w:gridCol w:w="851"/>
        <w:gridCol w:w="850"/>
        <w:gridCol w:w="851"/>
        <w:gridCol w:w="850"/>
        <w:gridCol w:w="709"/>
        <w:gridCol w:w="1256"/>
      </w:tblGrid>
      <w:tr w:rsidR="00E55FE5" w:rsidRPr="00E613EA" w:rsidTr="00E55FE5">
        <w:trPr>
          <w:trHeight w:val="91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4C6ED3" w:rsidRPr="001C3F21" w:rsidRDefault="004C6ED3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B65E28"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iek</w:t>
            </w:r>
          </w:p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ludności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E28" w:rsidRPr="001C3F21" w:rsidRDefault="00B65E28" w:rsidP="00B65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‘15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wzrost/</w:t>
            </w:r>
          </w:p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spadek</w:t>
            </w:r>
          </w:p>
          <w:p w:rsidR="00B65E28" w:rsidRPr="001C3F21" w:rsidRDefault="00B65E28" w:rsidP="00D17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okresie</w:t>
            </w:r>
          </w:p>
          <w:p w:rsidR="00F95E52" w:rsidRPr="001C3F21" w:rsidRDefault="00B65E28" w:rsidP="00B65E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1995 –</w:t>
            </w:r>
          </w:p>
          <w:p w:rsidR="00B65E28" w:rsidRDefault="00F95E52" w:rsidP="00F9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B65E28" w:rsidRPr="001C3F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</w:t>
            </w:r>
          </w:p>
          <w:p w:rsidR="008E2047" w:rsidRPr="001C3F21" w:rsidRDefault="008E2047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(pkt. proc.)</w:t>
            </w:r>
          </w:p>
        </w:tc>
      </w:tr>
      <w:tr w:rsidR="00B65E28" w:rsidRPr="00E613EA" w:rsidTr="004C6ED3">
        <w:trPr>
          <w:trHeight w:val="84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7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E3D27">
              <w:rPr>
                <w:rFonts w:ascii="Times New Roman" w:hAnsi="Times New Roman" w:cs="Times New Roman"/>
                <w:b/>
                <w:color w:val="000000"/>
              </w:rPr>
              <w:t>wg metodologii badania BAEL</w:t>
            </w:r>
          </w:p>
        </w:tc>
      </w:tr>
      <w:tr w:rsidR="00B65E28" w:rsidRPr="00E613EA" w:rsidTr="00E55FE5">
        <w:trPr>
          <w:trHeight w:val="96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>przedprodukcyjny</w:t>
            </w:r>
            <w:r w:rsidRPr="009E3D27">
              <w:rPr>
                <w:rStyle w:val="Odwoanieprzypisudolnego"/>
                <w:rFonts w:ascii="Times New Roman" w:hAnsi="Times New Roman" w:cs="Times New Roman"/>
                <w:color w:val="000000"/>
              </w:rPr>
              <w:footnoteReference w:id="3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25,2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D374C9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850DF9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-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1</w:t>
            </w:r>
            <w:r w:rsidR="00D374C9" w:rsidRPr="00D374C9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E55FE5" w:rsidRPr="00E613EA" w:rsidTr="00E55FE5">
        <w:trPr>
          <w:trHeight w:val="9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 xml:space="preserve">produkcyjny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D374C9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66,6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850DF9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+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74C9" w:rsidRPr="00D374C9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</w:tr>
      <w:tr w:rsidR="00B65E28" w:rsidRPr="00E613EA" w:rsidTr="00E55FE5">
        <w:trPr>
          <w:trHeight w:val="9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 xml:space="preserve">poprodukcyjny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D374C9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D374C9" w:rsidRDefault="00B65E28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74C9">
              <w:rPr>
                <w:rFonts w:ascii="Times New Roman" w:hAnsi="Times New Roman" w:cs="Times New Roman"/>
                <w:color w:val="000000"/>
              </w:rPr>
              <w:t>+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D374C9" w:rsidRPr="00D374C9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</w:tr>
      <w:tr w:rsidR="00B65E28" w:rsidRPr="00E613EA" w:rsidTr="004C6ED3">
        <w:trPr>
          <w:trHeight w:val="84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7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E3D27">
              <w:rPr>
                <w:rFonts w:ascii="Times New Roman" w:hAnsi="Times New Roman" w:cs="Times New Roman"/>
                <w:b/>
                <w:color w:val="000000"/>
              </w:rPr>
              <w:t>wg wskaźników demograficznych</w:t>
            </w:r>
          </w:p>
        </w:tc>
      </w:tr>
      <w:tr w:rsidR="00B65E28" w:rsidRPr="00E613EA" w:rsidTr="00E55FE5">
        <w:trPr>
          <w:trHeight w:val="9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>przedprodukcyjny</w:t>
            </w:r>
            <w:r w:rsidRPr="009E3D27">
              <w:rPr>
                <w:rStyle w:val="Odwoanieprzypisudolnego"/>
                <w:rFonts w:ascii="Times New Roman" w:hAnsi="Times New Roman" w:cs="Times New Roman"/>
                <w:color w:val="000000"/>
              </w:rPr>
              <w:footnoteReference w:id="4"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30,5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23,1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1D17BA" w:rsidRDefault="001D17BA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18,5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1D17BA" w:rsidRDefault="00B65E28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-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D17BA" w:rsidRPr="001D17BA">
              <w:rPr>
                <w:rFonts w:ascii="Times New Roman" w:hAnsi="Times New Roman" w:cs="Times New Roman"/>
                <w:color w:val="000000"/>
              </w:rPr>
              <w:t>12,0</w:t>
            </w:r>
          </w:p>
        </w:tc>
      </w:tr>
      <w:tr w:rsidR="00E55FE5" w:rsidRPr="00E613EA" w:rsidTr="00E55FE5">
        <w:trPr>
          <w:trHeight w:val="9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9E3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 xml:space="preserve">produkcyjny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56,2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63,8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63,5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7BA" w:rsidRPr="001D17BA" w:rsidRDefault="001D17BA" w:rsidP="001D1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63,2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1D17BA" w:rsidRDefault="00B65E28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+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D17BA" w:rsidRPr="001D17BA">
              <w:rPr>
                <w:rFonts w:ascii="Times New Roman" w:hAnsi="Times New Roman" w:cs="Times New Roman"/>
                <w:color w:val="000000"/>
              </w:rPr>
              <w:t>7,0</w:t>
            </w:r>
          </w:p>
        </w:tc>
      </w:tr>
      <w:tr w:rsidR="00B65E28" w:rsidRPr="00E613EA" w:rsidTr="00E55FE5">
        <w:trPr>
          <w:trHeight w:val="97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5E28" w:rsidRPr="009E3D27" w:rsidRDefault="00B65E28" w:rsidP="004C6E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E3D27">
              <w:rPr>
                <w:rFonts w:ascii="Times New Roman" w:hAnsi="Times New Roman" w:cs="Times New Roman"/>
                <w:color w:val="000000"/>
              </w:rPr>
              <w:t>poprodukcyjny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B65E28" w:rsidRDefault="00B65E28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65E28">
              <w:rPr>
                <w:rFonts w:ascii="Times New Roman" w:hAnsi="Times New Roman" w:cs="Times New Roman"/>
                <w:color w:val="000000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1D17BA" w:rsidRDefault="001D17BA" w:rsidP="00A618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18,2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5E28" w:rsidRPr="001D17BA" w:rsidRDefault="00B65E28" w:rsidP="008E20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17BA">
              <w:rPr>
                <w:rFonts w:ascii="Times New Roman" w:hAnsi="Times New Roman" w:cs="Times New Roman"/>
                <w:color w:val="000000"/>
              </w:rPr>
              <w:t>+</w:t>
            </w:r>
            <w:r w:rsidR="008E204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D17BA" w:rsidRPr="001D17BA">
              <w:rPr>
                <w:rFonts w:ascii="Times New Roman" w:hAnsi="Times New Roman" w:cs="Times New Roman"/>
                <w:color w:val="000000"/>
              </w:rPr>
              <w:t>4,9</w:t>
            </w:r>
          </w:p>
        </w:tc>
      </w:tr>
    </w:tbl>
    <w:p w:rsidR="000D62AE" w:rsidRPr="000D62AE" w:rsidRDefault="000D62AE" w:rsidP="000D62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B92E45" w:rsidRPr="00B23875" w:rsidRDefault="00B92E45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</w:rPr>
      </w:pPr>
      <w:r w:rsidRPr="00B23875">
        <w:rPr>
          <w:rFonts w:ascii="Times New Roman" w:hAnsi="Times New Roman" w:cs="Times New Roman"/>
          <w:color w:val="000000"/>
          <w:szCs w:val="24"/>
        </w:rPr>
        <w:t xml:space="preserve">Wykres </w:t>
      </w:r>
      <w:r w:rsidR="00D17C5E" w:rsidRPr="00B23875">
        <w:rPr>
          <w:rFonts w:ascii="Times New Roman" w:hAnsi="Times New Roman" w:cs="Times New Roman"/>
          <w:color w:val="000000"/>
          <w:szCs w:val="24"/>
        </w:rPr>
        <w:t>1</w:t>
      </w:r>
      <w:r w:rsidRPr="00B23875">
        <w:rPr>
          <w:rFonts w:ascii="Times New Roman" w:hAnsi="Times New Roman" w:cs="Times New Roman"/>
          <w:color w:val="000000"/>
          <w:szCs w:val="24"/>
        </w:rPr>
        <w:t>. Kategorie ekonomiczne ludności</w:t>
      </w:r>
      <w:r w:rsidR="00AE5712" w:rsidRPr="00B23875">
        <w:rPr>
          <w:rFonts w:ascii="Times New Roman" w:hAnsi="Times New Roman" w:cs="Times New Roman"/>
          <w:color w:val="000000"/>
          <w:szCs w:val="24"/>
        </w:rPr>
        <w:t xml:space="preserve"> w </w:t>
      </w:r>
      <w:r w:rsidRPr="00B23875">
        <w:rPr>
          <w:rFonts w:ascii="Times New Roman" w:hAnsi="Times New Roman" w:cs="Times New Roman"/>
          <w:color w:val="000000"/>
          <w:szCs w:val="24"/>
        </w:rPr>
        <w:t xml:space="preserve">województwie podkarpackim </w:t>
      </w:r>
      <w:r w:rsidR="001C3F21">
        <w:rPr>
          <w:rFonts w:ascii="Times New Roman" w:hAnsi="Times New Roman" w:cs="Times New Roman"/>
          <w:color w:val="000000"/>
          <w:szCs w:val="24"/>
        </w:rPr>
        <w:t>’</w:t>
      </w:r>
      <w:r w:rsidRPr="00B23875">
        <w:rPr>
          <w:rFonts w:ascii="Times New Roman" w:hAnsi="Times New Roman" w:cs="Times New Roman"/>
          <w:szCs w:val="24"/>
        </w:rPr>
        <w:t>95</w:t>
      </w:r>
      <w:r w:rsidR="001C3F21">
        <w:rPr>
          <w:rFonts w:ascii="Times New Roman" w:hAnsi="Times New Roman" w:cs="Times New Roman"/>
          <w:szCs w:val="24"/>
        </w:rPr>
        <w:t xml:space="preserve"> </w:t>
      </w:r>
      <w:r w:rsidRPr="00B23875">
        <w:rPr>
          <w:rFonts w:ascii="Times New Roman" w:hAnsi="Times New Roman" w:cs="Times New Roman"/>
          <w:szCs w:val="24"/>
        </w:rPr>
        <w:t>–</w:t>
      </w:r>
      <w:r w:rsidR="000D62AE" w:rsidRPr="00B23875">
        <w:rPr>
          <w:rFonts w:ascii="Times New Roman" w:hAnsi="Times New Roman" w:cs="Times New Roman"/>
          <w:szCs w:val="24"/>
        </w:rPr>
        <w:t>‘</w:t>
      </w:r>
      <w:r w:rsidR="00235A6B" w:rsidRPr="00B23875">
        <w:rPr>
          <w:rFonts w:ascii="Times New Roman" w:hAnsi="Times New Roman" w:cs="Times New Roman"/>
          <w:szCs w:val="24"/>
        </w:rPr>
        <w:t>1</w:t>
      </w:r>
      <w:r w:rsidR="00B23875" w:rsidRPr="00B23875">
        <w:rPr>
          <w:rFonts w:ascii="Times New Roman" w:hAnsi="Times New Roman" w:cs="Times New Roman"/>
          <w:szCs w:val="24"/>
        </w:rPr>
        <w:t>5</w:t>
      </w:r>
      <w:r w:rsidR="00235A6B" w:rsidRPr="00B23875">
        <w:rPr>
          <w:rFonts w:ascii="Times New Roman" w:hAnsi="Times New Roman" w:cs="Times New Roman"/>
          <w:szCs w:val="24"/>
        </w:rPr>
        <w:t xml:space="preserve"> (liczba)</w:t>
      </w: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52448" behindDoc="1" locked="0" layoutInCell="1" allowOverlap="1" wp14:anchorId="32CDFE99" wp14:editId="23AD0E3F">
            <wp:simplePos x="0" y="0"/>
            <wp:positionH relativeFrom="column">
              <wp:posOffset>122555</wp:posOffset>
            </wp:positionH>
            <wp:positionV relativeFrom="paragraph">
              <wp:posOffset>53340</wp:posOffset>
            </wp:positionV>
            <wp:extent cx="5758815" cy="2155825"/>
            <wp:effectExtent l="0" t="0" r="0" b="0"/>
            <wp:wrapTight wrapText="bothSides">
              <wp:wrapPolygon edited="0">
                <wp:start x="0" y="0"/>
                <wp:lineTo x="0" y="9162"/>
                <wp:lineTo x="143" y="19850"/>
                <wp:lineTo x="1858" y="21377"/>
                <wp:lineTo x="20864" y="21377"/>
                <wp:lineTo x="21007" y="20614"/>
                <wp:lineTo x="19292" y="20041"/>
                <wp:lineTo x="10718" y="18705"/>
                <wp:lineTo x="1715" y="15651"/>
                <wp:lineTo x="1715" y="12597"/>
                <wp:lineTo x="17363" y="12597"/>
                <wp:lineTo x="17577" y="9734"/>
                <wp:lineTo x="10789" y="9543"/>
                <wp:lineTo x="14433" y="8780"/>
                <wp:lineTo x="14433" y="8016"/>
                <wp:lineTo x="10789" y="6490"/>
                <wp:lineTo x="10646" y="3436"/>
                <wp:lineTo x="20578" y="3436"/>
                <wp:lineTo x="20435" y="2290"/>
                <wp:lineTo x="1715" y="0"/>
                <wp:lineTo x="0" y="0"/>
              </wp:wrapPolygon>
            </wp:wrapTight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Pr="00E613EA" w:rsidRDefault="000D62AE" w:rsidP="000D62AE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szCs w:val="24"/>
          <w:highlight w:val="yellow"/>
        </w:rPr>
      </w:pPr>
    </w:p>
    <w:p w:rsidR="000D62AE" w:rsidRDefault="000D62AE">
      <w:pPr>
        <w:rPr>
          <w:rFonts w:ascii="Times New Roman" w:hAnsi="Times New Roman" w:cs="Times New Roman"/>
          <w:color w:val="000000"/>
          <w:szCs w:val="24"/>
        </w:rPr>
      </w:pPr>
      <w:r>
        <w:br w:type="page"/>
      </w:r>
    </w:p>
    <w:p w:rsidR="00894482" w:rsidRPr="00107D62" w:rsidRDefault="00B92E45" w:rsidP="005C72B7">
      <w:pPr>
        <w:pStyle w:val="Default"/>
        <w:ind w:left="1410" w:hanging="1410"/>
        <w:jc w:val="both"/>
        <w:rPr>
          <w:sz w:val="18"/>
          <w:szCs w:val="18"/>
        </w:rPr>
      </w:pPr>
      <w:r w:rsidRPr="00107D62">
        <w:rPr>
          <w:sz w:val="18"/>
          <w:szCs w:val="18"/>
        </w:rPr>
        <w:lastRenderedPageBreak/>
        <w:t xml:space="preserve">Tabela </w:t>
      </w:r>
      <w:r w:rsidR="00220855" w:rsidRPr="00107D62">
        <w:rPr>
          <w:sz w:val="18"/>
          <w:szCs w:val="18"/>
        </w:rPr>
        <w:t>3</w:t>
      </w:r>
      <w:r w:rsidRPr="00107D62">
        <w:rPr>
          <w:sz w:val="18"/>
          <w:szCs w:val="18"/>
        </w:rPr>
        <w:t xml:space="preserve">. </w:t>
      </w:r>
      <w:r w:rsidR="002E5FA6" w:rsidRPr="00107D62">
        <w:rPr>
          <w:sz w:val="18"/>
          <w:szCs w:val="18"/>
        </w:rPr>
        <w:t xml:space="preserve">  </w:t>
      </w:r>
      <w:r w:rsidRPr="00107D62">
        <w:rPr>
          <w:sz w:val="18"/>
          <w:szCs w:val="18"/>
        </w:rPr>
        <w:t>Wskaźnik obciążenia demograficznego</w:t>
      </w:r>
      <w:r w:rsidR="00AE5712" w:rsidRPr="00107D62">
        <w:rPr>
          <w:sz w:val="18"/>
          <w:szCs w:val="18"/>
        </w:rPr>
        <w:t xml:space="preserve"> w </w:t>
      </w:r>
      <w:r w:rsidRPr="00107D62">
        <w:rPr>
          <w:sz w:val="18"/>
          <w:szCs w:val="18"/>
        </w:rPr>
        <w:t xml:space="preserve">latach </w:t>
      </w:r>
      <w:r w:rsidR="00894482" w:rsidRPr="00107D62">
        <w:rPr>
          <w:sz w:val="18"/>
          <w:szCs w:val="18"/>
        </w:rPr>
        <w:t>‘</w:t>
      </w:r>
      <w:r w:rsidRPr="00107D62">
        <w:rPr>
          <w:sz w:val="18"/>
          <w:szCs w:val="18"/>
        </w:rPr>
        <w:t>02–</w:t>
      </w:r>
      <w:r w:rsidR="00894482" w:rsidRPr="00107D62">
        <w:rPr>
          <w:sz w:val="18"/>
          <w:szCs w:val="18"/>
        </w:rPr>
        <w:t>‘</w:t>
      </w:r>
      <w:r w:rsidRPr="00107D62">
        <w:rPr>
          <w:sz w:val="18"/>
          <w:szCs w:val="18"/>
        </w:rPr>
        <w:t>1</w:t>
      </w:r>
      <w:r w:rsidR="00894482" w:rsidRPr="00107D62">
        <w:rPr>
          <w:sz w:val="18"/>
          <w:szCs w:val="18"/>
        </w:rPr>
        <w:t>5</w:t>
      </w:r>
      <w:r w:rsidRPr="00107D62">
        <w:rPr>
          <w:sz w:val="18"/>
          <w:szCs w:val="18"/>
        </w:rPr>
        <w:t xml:space="preserve"> (ludność</w:t>
      </w:r>
      <w:r w:rsidR="00AE5712" w:rsidRPr="00107D62">
        <w:rPr>
          <w:sz w:val="18"/>
          <w:szCs w:val="18"/>
        </w:rPr>
        <w:t xml:space="preserve"> w </w:t>
      </w:r>
      <w:r w:rsidRPr="00107D62">
        <w:rPr>
          <w:sz w:val="18"/>
          <w:szCs w:val="18"/>
        </w:rPr>
        <w:t>wieku</w:t>
      </w:r>
    </w:p>
    <w:p w:rsidR="00B92E45" w:rsidRPr="00107D62" w:rsidRDefault="00894482" w:rsidP="005C72B7">
      <w:pPr>
        <w:pStyle w:val="Default"/>
        <w:ind w:left="1410" w:hanging="1410"/>
        <w:jc w:val="both"/>
        <w:rPr>
          <w:sz w:val="18"/>
          <w:szCs w:val="18"/>
          <w:vertAlign w:val="superscript"/>
        </w:rPr>
      </w:pPr>
      <w:r w:rsidRPr="00107D62">
        <w:rPr>
          <w:sz w:val="18"/>
          <w:szCs w:val="18"/>
        </w:rPr>
        <w:t xml:space="preserve">                 </w:t>
      </w:r>
      <w:r w:rsidR="00107D62">
        <w:rPr>
          <w:sz w:val="18"/>
          <w:szCs w:val="18"/>
        </w:rPr>
        <w:t xml:space="preserve"> </w:t>
      </w:r>
      <w:r w:rsidR="00B92E45" w:rsidRPr="00107D62">
        <w:rPr>
          <w:sz w:val="18"/>
          <w:szCs w:val="18"/>
        </w:rPr>
        <w:t>nieprodukcyjnym na 100 osób</w:t>
      </w:r>
      <w:r w:rsidR="00AE5712" w:rsidRPr="00107D62">
        <w:rPr>
          <w:sz w:val="18"/>
          <w:szCs w:val="18"/>
        </w:rPr>
        <w:t xml:space="preserve"> w </w:t>
      </w:r>
      <w:r w:rsidR="00235A6B" w:rsidRPr="00107D62">
        <w:rPr>
          <w:sz w:val="18"/>
          <w:szCs w:val="18"/>
        </w:rPr>
        <w:t>wieku produkcyjnym)</w:t>
      </w:r>
      <w:r w:rsidR="00B92E45" w:rsidRPr="00107D62">
        <w:rPr>
          <w:sz w:val="18"/>
          <w:szCs w:val="18"/>
          <w:vertAlign w:val="superscript"/>
        </w:rPr>
        <w:footnoteReference w:id="5"/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1186"/>
        <w:gridCol w:w="626"/>
        <w:gridCol w:w="625"/>
        <w:gridCol w:w="552"/>
        <w:gridCol w:w="565"/>
        <w:gridCol w:w="565"/>
        <w:gridCol w:w="565"/>
        <w:gridCol w:w="565"/>
        <w:gridCol w:w="565"/>
        <w:gridCol w:w="565"/>
        <w:gridCol w:w="565"/>
        <w:gridCol w:w="532"/>
        <w:gridCol w:w="532"/>
        <w:gridCol w:w="532"/>
        <w:gridCol w:w="532"/>
      </w:tblGrid>
      <w:tr w:rsidR="00894482" w:rsidRPr="00E613EA" w:rsidTr="00F97EF7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kategoria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‘09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894482" w:rsidRPr="00374582" w:rsidRDefault="00894482" w:rsidP="00374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4582">
              <w:rPr>
                <w:rFonts w:ascii="Times New Roman" w:hAnsi="Times New Roman" w:cs="Times New Roman"/>
                <w:b/>
              </w:rPr>
              <w:t>‘15</w:t>
            </w:r>
          </w:p>
        </w:tc>
      </w:tr>
      <w:tr w:rsidR="00894482" w:rsidRPr="00E613EA" w:rsidTr="00F97EF7">
        <w:trPr>
          <w:trHeight w:val="378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Polska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60,7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58,9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55,2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58,8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</w:tr>
      <w:tr w:rsidR="00894482" w:rsidRPr="00E613EA" w:rsidTr="00F97EF7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54,7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53,3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52,3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52,5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54,3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55,8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</w:t>
            </w:r>
          </w:p>
        </w:tc>
      </w:tr>
      <w:tr w:rsidR="00894482" w:rsidRPr="00E613EA" w:rsidTr="00F97EF7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wieś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71,3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68,8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66,5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64,5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62,9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61,5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60,3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57,8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57,8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</w:t>
            </w:r>
          </w:p>
        </w:tc>
      </w:tr>
      <w:tr w:rsidR="00894482" w:rsidRPr="00E613EA" w:rsidTr="00F97EF7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Podkarpacie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67,1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64,7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62,9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61,2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59,8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57,5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b/>
                <w:sz w:val="18"/>
                <w:szCs w:val="18"/>
              </w:rPr>
              <w:t>56,5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57,6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E7048D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sz w:val="18"/>
                <w:szCs w:val="18"/>
              </w:rPr>
              <w:t>58,1</w:t>
            </w:r>
          </w:p>
        </w:tc>
      </w:tr>
      <w:tr w:rsidR="00894482" w:rsidRPr="00E613EA" w:rsidTr="00F97EF7">
        <w:trPr>
          <w:trHeight w:val="365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56,9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54,7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53,4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52,2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51,4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50,9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50,7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50,8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51,2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52,1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53,4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</w:t>
            </w:r>
          </w:p>
        </w:tc>
      </w:tr>
      <w:tr w:rsidR="00894482" w:rsidRPr="00E613EA" w:rsidTr="00F97EF7">
        <w:trPr>
          <w:trHeight w:val="378"/>
          <w:jc w:val="center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94482" w:rsidRPr="00894482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94482">
              <w:rPr>
                <w:rFonts w:ascii="Times New Roman" w:hAnsi="Times New Roman" w:cs="Times New Roman"/>
                <w:sz w:val="18"/>
                <w:szCs w:val="18"/>
              </w:rPr>
              <w:t>wieś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74,8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72,4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70,0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67,9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66,1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64,2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62,5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61,0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60,6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59,8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59,1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58,5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894482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894482" w:rsidRPr="00E7048D" w:rsidRDefault="004D1D1E" w:rsidP="00F97EF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048D">
              <w:rPr>
                <w:rFonts w:ascii="Times New Roman" w:hAnsi="Times New Roman" w:cs="Times New Roman"/>
                <w:b/>
                <w:sz w:val="18"/>
                <w:szCs w:val="18"/>
              </w:rPr>
              <w:t>58,1</w:t>
            </w:r>
          </w:p>
        </w:tc>
      </w:tr>
    </w:tbl>
    <w:p w:rsidR="002806AF" w:rsidRPr="002806AF" w:rsidRDefault="002806AF" w:rsidP="0012708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2806AF">
        <w:rPr>
          <w:rFonts w:ascii="Times New Roman" w:hAnsi="Times New Roman" w:cs="Times New Roman"/>
          <w:sz w:val="16"/>
          <w:szCs w:val="16"/>
        </w:rPr>
        <w:t>Kolorem niebieskim oznaczono sekwencje spadkowe.</w:t>
      </w:r>
      <w:r w:rsidR="00E7048D">
        <w:rPr>
          <w:rFonts w:ascii="Times New Roman" w:hAnsi="Times New Roman" w:cs="Times New Roman"/>
          <w:sz w:val="16"/>
          <w:szCs w:val="16"/>
        </w:rPr>
        <w:t xml:space="preserve"> Kolor biały oznacza wzrost w stos. do ostatniego roku z lat spadkowych.</w:t>
      </w:r>
    </w:p>
    <w:p w:rsidR="0012708B" w:rsidRDefault="0012708B" w:rsidP="0012708B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color w:val="000000"/>
          <w:szCs w:val="24"/>
        </w:rPr>
      </w:pPr>
    </w:p>
    <w:p w:rsidR="0012708B" w:rsidRPr="00107D62" w:rsidRDefault="0012708B" w:rsidP="0012708B">
      <w:pPr>
        <w:autoSpaceDE w:val="0"/>
        <w:autoSpaceDN w:val="0"/>
        <w:adjustRightInd w:val="0"/>
        <w:spacing w:after="0" w:line="240" w:lineRule="auto"/>
        <w:ind w:left="1410" w:hanging="1410"/>
        <w:rPr>
          <w:rFonts w:ascii="Times New Roman" w:hAnsi="Times New Roman" w:cs="Times New Roman"/>
          <w:sz w:val="18"/>
          <w:szCs w:val="18"/>
        </w:rPr>
      </w:pPr>
      <w:r w:rsidRPr="00107D62">
        <w:rPr>
          <w:rFonts w:ascii="Times New Roman" w:hAnsi="Times New Roman" w:cs="Times New Roman"/>
          <w:color w:val="000000"/>
          <w:sz w:val="18"/>
          <w:szCs w:val="18"/>
        </w:rPr>
        <w:t xml:space="preserve">Wykres 2. </w:t>
      </w:r>
      <w:r w:rsidR="00CC5402">
        <w:rPr>
          <w:rFonts w:ascii="Times New Roman" w:hAnsi="Times New Roman" w:cs="Times New Roman"/>
          <w:color w:val="000000"/>
          <w:sz w:val="18"/>
          <w:szCs w:val="18"/>
        </w:rPr>
        <w:t xml:space="preserve">  </w:t>
      </w:r>
      <w:r w:rsidR="001C3F21">
        <w:rPr>
          <w:rFonts w:ascii="Times New Roman" w:hAnsi="Times New Roman" w:cs="Times New Roman"/>
          <w:color w:val="000000"/>
          <w:sz w:val="18"/>
          <w:szCs w:val="18"/>
        </w:rPr>
        <w:t>W</w:t>
      </w:r>
      <w:r w:rsidRPr="00107D62">
        <w:rPr>
          <w:rFonts w:ascii="Times New Roman" w:hAnsi="Times New Roman" w:cs="Times New Roman"/>
          <w:color w:val="000000"/>
          <w:sz w:val="18"/>
          <w:szCs w:val="18"/>
        </w:rPr>
        <w:t>s</w:t>
      </w:r>
      <w:r w:rsidR="00ED2627">
        <w:rPr>
          <w:rFonts w:ascii="Times New Roman" w:hAnsi="Times New Roman" w:cs="Times New Roman"/>
          <w:color w:val="000000"/>
          <w:sz w:val="18"/>
          <w:szCs w:val="18"/>
        </w:rPr>
        <w:t>półczynnik</w:t>
      </w:r>
      <w:r w:rsidRPr="00107D62">
        <w:rPr>
          <w:rFonts w:ascii="Times New Roman" w:hAnsi="Times New Roman" w:cs="Times New Roman"/>
          <w:color w:val="000000"/>
          <w:sz w:val="18"/>
          <w:szCs w:val="18"/>
        </w:rPr>
        <w:t xml:space="preserve"> obciążenia demograficznego </w:t>
      </w:r>
      <w:r w:rsidR="00C7411C">
        <w:rPr>
          <w:rFonts w:ascii="Times New Roman" w:hAnsi="Times New Roman" w:cs="Times New Roman"/>
          <w:color w:val="000000"/>
          <w:sz w:val="18"/>
          <w:szCs w:val="18"/>
        </w:rPr>
        <w:t>’</w:t>
      </w:r>
      <w:r w:rsidRPr="00107D62">
        <w:rPr>
          <w:rFonts w:ascii="Times New Roman" w:hAnsi="Times New Roman" w:cs="Times New Roman"/>
          <w:sz w:val="18"/>
          <w:szCs w:val="18"/>
        </w:rPr>
        <w:t>95</w:t>
      </w:r>
      <w:r w:rsidR="00C7411C">
        <w:rPr>
          <w:rFonts w:ascii="Times New Roman" w:hAnsi="Times New Roman" w:cs="Times New Roman"/>
          <w:sz w:val="18"/>
          <w:szCs w:val="18"/>
        </w:rPr>
        <w:t xml:space="preserve"> </w:t>
      </w:r>
      <w:r w:rsidRPr="00107D62">
        <w:rPr>
          <w:rFonts w:ascii="Times New Roman" w:hAnsi="Times New Roman" w:cs="Times New Roman"/>
          <w:sz w:val="18"/>
          <w:szCs w:val="18"/>
        </w:rPr>
        <w:t>–</w:t>
      </w:r>
      <w:r w:rsidR="00C7411C">
        <w:rPr>
          <w:rFonts w:ascii="Times New Roman" w:hAnsi="Times New Roman" w:cs="Times New Roman"/>
          <w:sz w:val="18"/>
          <w:szCs w:val="18"/>
        </w:rPr>
        <w:t xml:space="preserve"> </w:t>
      </w:r>
      <w:r w:rsidR="00ED2627">
        <w:rPr>
          <w:rFonts w:ascii="Times New Roman" w:hAnsi="Times New Roman" w:cs="Times New Roman"/>
          <w:sz w:val="18"/>
          <w:szCs w:val="18"/>
        </w:rPr>
        <w:t>’</w:t>
      </w:r>
      <w:r w:rsidRPr="00107D62">
        <w:rPr>
          <w:rFonts w:ascii="Times New Roman" w:hAnsi="Times New Roman" w:cs="Times New Roman"/>
          <w:sz w:val="18"/>
          <w:szCs w:val="18"/>
        </w:rPr>
        <w:t>15</w:t>
      </w:r>
      <w:r w:rsidR="00ED2627">
        <w:rPr>
          <w:rFonts w:ascii="Times New Roman" w:hAnsi="Times New Roman" w:cs="Times New Roman"/>
          <w:sz w:val="18"/>
          <w:szCs w:val="18"/>
        </w:rPr>
        <w:t> </w:t>
      </w:r>
      <w:r w:rsidR="00ED2627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6"/>
      </w: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753472" behindDoc="1" locked="0" layoutInCell="1" allowOverlap="1" wp14:anchorId="4108587C" wp14:editId="78375F77">
            <wp:simplePos x="0" y="0"/>
            <wp:positionH relativeFrom="column">
              <wp:posOffset>0</wp:posOffset>
            </wp:positionH>
            <wp:positionV relativeFrom="paragraph">
              <wp:posOffset>13970</wp:posOffset>
            </wp:positionV>
            <wp:extent cx="5758815" cy="2053590"/>
            <wp:effectExtent l="0" t="0" r="0" b="3810"/>
            <wp:wrapTight wrapText="bothSides">
              <wp:wrapPolygon edited="0">
                <wp:start x="643" y="0"/>
                <wp:lineTo x="643" y="1202"/>
                <wp:lineTo x="2572" y="3607"/>
                <wp:lineTo x="3144" y="3607"/>
                <wp:lineTo x="1858" y="5009"/>
                <wp:lineTo x="572" y="6813"/>
                <wp:lineTo x="572" y="7213"/>
                <wp:lineTo x="8003" y="10019"/>
                <wp:lineTo x="8789" y="10019"/>
                <wp:lineTo x="2715" y="12022"/>
                <wp:lineTo x="572" y="13024"/>
                <wp:lineTo x="572" y="13625"/>
                <wp:lineTo x="9789" y="16430"/>
                <wp:lineTo x="10789" y="16430"/>
                <wp:lineTo x="572" y="19236"/>
                <wp:lineTo x="1000" y="21039"/>
                <wp:lineTo x="1072" y="21440"/>
                <wp:lineTo x="20935" y="21440"/>
                <wp:lineTo x="21078" y="20438"/>
                <wp:lineTo x="17863" y="20237"/>
                <wp:lineTo x="14648" y="19236"/>
                <wp:lineTo x="14934" y="17833"/>
                <wp:lineTo x="10789" y="16430"/>
                <wp:lineTo x="21150" y="16430"/>
                <wp:lineTo x="21221" y="13826"/>
                <wp:lineTo x="13790" y="13224"/>
                <wp:lineTo x="13862" y="12423"/>
                <wp:lineTo x="10718" y="10219"/>
                <wp:lineTo x="9932" y="9017"/>
                <wp:lineTo x="8217" y="6813"/>
                <wp:lineTo x="7217" y="5009"/>
                <wp:lineTo x="6288" y="3607"/>
                <wp:lineTo x="2644" y="1202"/>
                <wp:lineTo x="1358" y="0"/>
                <wp:lineTo x="643" y="0"/>
              </wp:wrapPolygon>
            </wp:wrapTight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2708B" w:rsidRPr="00C7411C" w:rsidRDefault="0012708B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242C45" w:rsidRPr="00894482" w:rsidRDefault="008C1EA0" w:rsidP="006B66D1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t>Wnioski</w:t>
      </w:r>
      <w:r w:rsidR="00242C45" w:rsidRPr="00894482">
        <w:rPr>
          <w:rFonts w:ascii="Times New Roman" w:hAnsi="Times New Roman" w:cs="Times New Roman"/>
          <w:sz w:val="24"/>
          <w:szCs w:val="24"/>
        </w:rPr>
        <w:t>:</w:t>
      </w:r>
    </w:p>
    <w:p w:rsidR="008C1EA0" w:rsidRDefault="008C1EA0" w:rsidP="008C1EA0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AF49A3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AF49A3">
        <w:rPr>
          <w:rFonts w:ascii="Times New Roman" w:hAnsi="Times New Roman" w:cs="Times New Roman"/>
          <w:sz w:val="18"/>
          <w:szCs w:val="18"/>
        </w:rPr>
        <w:t xml:space="preserve"> z </w:t>
      </w:r>
      <w:r w:rsidR="00AF49A3" w:rsidRPr="00AF49A3">
        <w:rPr>
          <w:rFonts w:ascii="Times New Roman" w:hAnsi="Times New Roman" w:cs="Times New Roman"/>
          <w:sz w:val="18"/>
          <w:szCs w:val="18"/>
        </w:rPr>
        <w:t>t</w:t>
      </w:r>
      <w:r w:rsidRPr="00AF49A3">
        <w:rPr>
          <w:rFonts w:ascii="Times New Roman" w:hAnsi="Times New Roman" w:cs="Times New Roman"/>
          <w:sz w:val="18"/>
          <w:szCs w:val="18"/>
        </w:rPr>
        <w:t>abeli 2</w:t>
      </w:r>
      <w:r w:rsidR="00242C45" w:rsidRPr="00AF49A3">
        <w:rPr>
          <w:rFonts w:ascii="Times New Roman" w:hAnsi="Times New Roman" w:cs="Times New Roman"/>
          <w:sz w:val="18"/>
          <w:szCs w:val="18"/>
        </w:rPr>
        <w:t>,</w:t>
      </w:r>
      <w:r w:rsidRPr="00AF49A3">
        <w:rPr>
          <w:rFonts w:ascii="Times New Roman" w:hAnsi="Times New Roman" w:cs="Times New Roman"/>
          <w:sz w:val="18"/>
          <w:szCs w:val="18"/>
        </w:rPr>
        <w:t xml:space="preserve">3 </w:t>
      </w:r>
      <w:r w:rsidR="00AF49A3" w:rsidRPr="00AF49A3">
        <w:rPr>
          <w:rFonts w:ascii="Times New Roman" w:hAnsi="Times New Roman" w:cs="Times New Roman"/>
          <w:sz w:val="18"/>
          <w:szCs w:val="18"/>
        </w:rPr>
        <w:t>i</w:t>
      </w:r>
      <w:r w:rsidRPr="00AF49A3">
        <w:rPr>
          <w:rFonts w:ascii="Times New Roman" w:hAnsi="Times New Roman" w:cs="Times New Roman"/>
          <w:sz w:val="18"/>
          <w:szCs w:val="18"/>
        </w:rPr>
        <w:t xml:space="preserve"> </w:t>
      </w:r>
      <w:r w:rsidR="00AF49A3" w:rsidRPr="00AF49A3">
        <w:rPr>
          <w:rFonts w:ascii="Times New Roman" w:hAnsi="Times New Roman" w:cs="Times New Roman"/>
          <w:sz w:val="18"/>
          <w:szCs w:val="18"/>
        </w:rPr>
        <w:t>w</w:t>
      </w:r>
      <w:r w:rsidRPr="00AF49A3">
        <w:rPr>
          <w:rFonts w:ascii="Times New Roman" w:hAnsi="Times New Roman" w:cs="Times New Roman"/>
          <w:sz w:val="18"/>
          <w:szCs w:val="18"/>
        </w:rPr>
        <w:t>ykresu 1</w:t>
      </w:r>
      <w:r w:rsidR="0012708B">
        <w:rPr>
          <w:rFonts w:ascii="Times New Roman" w:hAnsi="Times New Roman" w:cs="Times New Roman"/>
          <w:sz w:val="18"/>
          <w:szCs w:val="18"/>
        </w:rPr>
        <w:t>,2</w:t>
      </w:r>
      <w:r w:rsidRPr="00AF49A3">
        <w:rPr>
          <w:rFonts w:ascii="Times New Roman" w:hAnsi="Times New Roman" w:cs="Times New Roman"/>
          <w:sz w:val="18"/>
          <w:szCs w:val="18"/>
        </w:rPr>
        <w:t>)</w:t>
      </w:r>
    </w:p>
    <w:p w:rsidR="00C741CE" w:rsidRPr="00E62DAB" w:rsidRDefault="00C741CE" w:rsidP="008C1EA0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8C1EA0" w:rsidRPr="007F7507" w:rsidRDefault="008C1EA0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EEC">
        <w:rPr>
          <w:rFonts w:ascii="Times New Roman" w:hAnsi="Times New Roman" w:cs="Times New Roman"/>
          <w:sz w:val="24"/>
          <w:szCs w:val="24"/>
        </w:rPr>
        <w:t>Maleje od lat odsetek ludności</w:t>
      </w:r>
      <w:r w:rsidR="00AE5712" w:rsidRPr="00A77EEC">
        <w:rPr>
          <w:rFonts w:ascii="Times New Roman" w:hAnsi="Times New Roman" w:cs="Times New Roman"/>
          <w:sz w:val="24"/>
          <w:szCs w:val="24"/>
        </w:rPr>
        <w:t xml:space="preserve"> w </w:t>
      </w:r>
      <w:r w:rsidRPr="00A77EEC">
        <w:rPr>
          <w:rFonts w:ascii="Times New Roman" w:hAnsi="Times New Roman" w:cs="Times New Roman"/>
          <w:sz w:val="24"/>
          <w:szCs w:val="24"/>
        </w:rPr>
        <w:t>wieku przedprodukcyjnym (z 30,5%</w:t>
      </w:r>
      <w:r w:rsidR="00AE5712" w:rsidRPr="00A77EEC">
        <w:rPr>
          <w:rFonts w:ascii="Times New Roman" w:hAnsi="Times New Roman" w:cs="Times New Roman"/>
          <w:sz w:val="24"/>
          <w:szCs w:val="24"/>
        </w:rPr>
        <w:t xml:space="preserve"> w </w:t>
      </w:r>
      <w:r w:rsidRPr="00A77EEC">
        <w:rPr>
          <w:rFonts w:ascii="Times New Roman" w:hAnsi="Times New Roman" w:cs="Times New Roman"/>
          <w:sz w:val="24"/>
          <w:szCs w:val="24"/>
        </w:rPr>
        <w:t>1995</w:t>
      </w:r>
      <w:r w:rsidR="00AE5712" w:rsidRPr="00A77EEC">
        <w:rPr>
          <w:rFonts w:ascii="Times New Roman" w:hAnsi="Times New Roman" w:cs="Times New Roman"/>
          <w:sz w:val="24"/>
          <w:szCs w:val="24"/>
        </w:rPr>
        <w:t> r.</w:t>
      </w:r>
      <w:r w:rsidRPr="00A77EEC">
        <w:rPr>
          <w:rFonts w:ascii="Times New Roman" w:hAnsi="Times New Roman" w:cs="Times New Roman"/>
          <w:sz w:val="24"/>
          <w:szCs w:val="24"/>
        </w:rPr>
        <w:t xml:space="preserve"> do 18,</w:t>
      </w:r>
      <w:r w:rsidR="00A77EEC" w:rsidRPr="00A77EEC">
        <w:rPr>
          <w:rFonts w:ascii="Times New Roman" w:hAnsi="Times New Roman" w:cs="Times New Roman"/>
          <w:sz w:val="24"/>
          <w:szCs w:val="24"/>
        </w:rPr>
        <w:t>5</w:t>
      </w:r>
      <w:r w:rsidRPr="00A77EEC">
        <w:rPr>
          <w:rFonts w:ascii="Times New Roman" w:hAnsi="Times New Roman" w:cs="Times New Roman"/>
          <w:sz w:val="24"/>
          <w:szCs w:val="24"/>
        </w:rPr>
        <w:t>%</w:t>
      </w:r>
      <w:r w:rsidR="00AE5712" w:rsidRPr="00A77EEC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7F7507">
        <w:rPr>
          <w:rFonts w:ascii="Times New Roman" w:hAnsi="Times New Roman" w:cs="Times New Roman"/>
          <w:sz w:val="24"/>
          <w:szCs w:val="24"/>
        </w:rPr>
        <w:t>w </w:t>
      </w:r>
      <w:r w:rsidR="00AF49A3">
        <w:rPr>
          <w:rFonts w:ascii="Times New Roman" w:hAnsi="Times New Roman" w:cs="Times New Roman"/>
          <w:sz w:val="24"/>
          <w:szCs w:val="24"/>
        </w:rPr>
        <w:t>201</w:t>
      </w:r>
      <w:r w:rsidR="00A77EEC" w:rsidRPr="007F7507">
        <w:rPr>
          <w:rFonts w:ascii="Times New Roman" w:hAnsi="Times New Roman" w:cs="Times New Roman"/>
          <w:sz w:val="24"/>
          <w:szCs w:val="24"/>
        </w:rPr>
        <w:t>5</w:t>
      </w:r>
      <w:r w:rsidR="00AE5712" w:rsidRPr="007F7507">
        <w:rPr>
          <w:rFonts w:ascii="Times New Roman" w:hAnsi="Times New Roman" w:cs="Times New Roman"/>
          <w:sz w:val="24"/>
          <w:szCs w:val="24"/>
        </w:rPr>
        <w:t> r.</w:t>
      </w:r>
      <w:r w:rsidRPr="007F7507">
        <w:rPr>
          <w:rFonts w:ascii="Times New Roman" w:hAnsi="Times New Roman" w:cs="Times New Roman"/>
          <w:sz w:val="24"/>
          <w:szCs w:val="24"/>
        </w:rPr>
        <w:t>).</w:t>
      </w:r>
    </w:p>
    <w:p w:rsidR="008C1EA0" w:rsidRPr="00AD4877" w:rsidRDefault="002E4526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877">
        <w:rPr>
          <w:rFonts w:ascii="Times New Roman" w:hAnsi="Times New Roman" w:cs="Times New Roman"/>
          <w:sz w:val="24"/>
          <w:szCs w:val="24"/>
        </w:rPr>
        <w:t>o</w:t>
      </w:r>
      <w:r w:rsidR="008E2047" w:rsidRPr="00AD4877">
        <w:rPr>
          <w:rFonts w:ascii="Times New Roman" w:hAnsi="Times New Roman" w:cs="Times New Roman"/>
          <w:sz w:val="24"/>
          <w:szCs w:val="24"/>
        </w:rPr>
        <w:t xml:space="preserve">graniczenie </w:t>
      </w:r>
      <w:r w:rsidR="008C1EA0" w:rsidRPr="00AD4877">
        <w:rPr>
          <w:rFonts w:ascii="Times New Roman" w:hAnsi="Times New Roman" w:cs="Times New Roman"/>
          <w:sz w:val="24"/>
          <w:szCs w:val="24"/>
        </w:rPr>
        <w:t>wzrostu liczby ludności</w:t>
      </w:r>
      <w:r w:rsidR="00AE5712" w:rsidRPr="00AD4877">
        <w:rPr>
          <w:rFonts w:ascii="Times New Roman" w:hAnsi="Times New Roman" w:cs="Times New Roman"/>
          <w:sz w:val="24"/>
          <w:szCs w:val="24"/>
        </w:rPr>
        <w:t xml:space="preserve"> w </w:t>
      </w:r>
      <w:r w:rsidR="008C1EA0" w:rsidRPr="00AD4877">
        <w:rPr>
          <w:rFonts w:ascii="Times New Roman" w:hAnsi="Times New Roman" w:cs="Times New Roman"/>
          <w:sz w:val="24"/>
          <w:szCs w:val="24"/>
        </w:rPr>
        <w:t xml:space="preserve">wieku </w:t>
      </w:r>
      <w:r w:rsidR="008E2047" w:rsidRPr="00AD4877">
        <w:rPr>
          <w:rFonts w:ascii="Times New Roman" w:hAnsi="Times New Roman" w:cs="Times New Roman"/>
          <w:sz w:val="24"/>
          <w:szCs w:val="24"/>
        </w:rPr>
        <w:t>przedprodukcyjnym</w:t>
      </w:r>
      <w:r w:rsidR="00AD4877" w:rsidRPr="00AD4877">
        <w:rPr>
          <w:rFonts w:ascii="Times New Roman" w:hAnsi="Times New Roman" w:cs="Times New Roman"/>
          <w:sz w:val="24"/>
          <w:szCs w:val="24"/>
        </w:rPr>
        <w:t xml:space="preserve"> </w:t>
      </w:r>
      <w:r w:rsidR="006A7CF1">
        <w:rPr>
          <w:rFonts w:ascii="Times New Roman" w:hAnsi="Times New Roman" w:cs="Times New Roman"/>
          <w:sz w:val="24"/>
          <w:szCs w:val="24"/>
        </w:rPr>
        <w:t xml:space="preserve">współwystępuje </w:t>
      </w:r>
      <w:r w:rsidR="008C1EA0" w:rsidRPr="00AD4877">
        <w:rPr>
          <w:rFonts w:ascii="Times New Roman" w:hAnsi="Times New Roman" w:cs="Times New Roman"/>
          <w:sz w:val="24"/>
          <w:szCs w:val="24"/>
        </w:rPr>
        <w:t>ze wzrostem liczby ludności</w:t>
      </w:r>
      <w:r w:rsidR="00AE5712" w:rsidRPr="00AD4877">
        <w:rPr>
          <w:rFonts w:ascii="Times New Roman" w:hAnsi="Times New Roman" w:cs="Times New Roman"/>
          <w:sz w:val="24"/>
          <w:szCs w:val="24"/>
        </w:rPr>
        <w:t xml:space="preserve"> w </w:t>
      </w:r>
      <w:r w:rsidR="008C1EA0" w:rsidRPr="00AD4877">
        <w:rPr>
          <w:rFonts w:ascii="Times New Roman" w:hAnsi="Times New Roman" w:cs="Times New Roman"/>
          <w:sz w:val="24"/>
          <w:szCs w:val="24"/>
        </w:rPr>
        <w:t>wieku poprodukcyjnym.</w:t>
      </w:r>
    </w:p>
    <w:p w:rsidR="002D4EF1" w:rsidRPr="007F7507" w:rsidRDefault="002D4EF1" w:rsidP="00160DBC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4EF1">
        <w:rPr>
          <w:rFonts w:ascii="Times New Roman" w:hAnsi="Times New Roman" w:cs="Times New Roman"/>
          <w:sz w:val="24"/>
          <w:szCs w:val="24"/>
        </w:rPr>
        <w:t>Ponowne podniesienie wartości wskaźnika obciążenia demograficznego od 2012 r., tj. ludności w wieku nieprodukcyjnym na 100 osób w wieku produkcyjnym (po zmniejszaniu się w regionie jego wartości do 2011 r.)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7"/>
      </w:r>
      <w:r w:rsidRPr="002D4EF1">
        <w:rPr>
          <w:rFonts w:ascii="Times New Roman" w:hAnsi="Times New Roman" w:cs="Times New Roman"/>
          <w:sz w:val="24"/>
          <w:szCs w:val="24"/>
        </w:rPr>
        <w:t>.</w:t>
      </w:r>
    </w:p>
    <w:p w:rsidR="002D4EF1" w:rsidRDefault="002D4EF1" w:rsidP="002D4EF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6" w:name="_Toc446334629"/>
    </w:p>
    <w:p w:rsidR="0012708B" w:rsidRDefault="0012708B">
      <w:pP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:rsidR="00B92E45" w:rsidRPr="00486D94" w:rsidRDefault="00B92E45" w:rsidP="00AE4725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7" w:name="_Toc477160352"/>
      <w:r w:rsidRPr="00486D94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Stan rozwoju przedsiębiorczości</w:t>
      </w:r>
      <w:r w:rsidR="00330F97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 </w:t>
      </w:r>
      <w:r w:rsidRPr="00486D94">
        <w:rPr>
          <w:b/>
          <w:bCs/>
          <w:caps/>
          <w:sz w:val="28"/>
          <w:szCs w:val="28"/>
          <w:vertAlign w:val="superscrip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footnoteReference w:id="8"/>
      </w:r>
      <w:bookmarkEnd w:id="6"/>
      <w:bookmarkEnd w:id="7"/>
      <w:r w:rsidRPr="00486D94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B92E45" w:rsidRPr="00107D62" w:rsidRDefault="00107D62" w:rsidP="00B92E45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</w:t>
      </w:r>
      <w:r w:rsidR="00B92E45" w:rsidRPr="00107D62">
        <w:rPr>
          <w:rFonts w:ascii="Times New Roman" w:hAnsi="Times New Roman" w:cs="Times New Roman"/>
          <w:sz w:val="18"/>
          <w:szCs w:val="18"/>
        </w:rPr>
        <w:t xml:space="preserve">Tabela </w:t>
      </w:r>
      <w:r w:rsidR="00220855" w:rsidRPr="00107D62">
        <w:rPr>
          <w:rFonts w:ascii="Times New Roman" w:hAnsi="Times New Roman" w:cs="Times New Roman"/>
          <w:sz w:val="18"/>
          <w:szCs w:val="18"/>
        </w:rPr>
        <w:t>4</w:t>
      </w:r>
      <w:r w:rsidR="00B92E45" w:rsidRPr="00107D62">
        <w:rPr>
          <w:rFonts w:ascii="Times New Roman" w:hAnsi="Times New Roman" w:cs="Times New Roman"/>
          <w:sz w:val="18"/>
          <w:szCs w:val="18"/>
        </w:rPr>
        <w:t xml:space="preserve">. </w:t>
      </w:r>
      <w:r w:rsidR="005C72B7" w:rsidRPr="00107D62">
        <w:rPr>
          <w:rFonts w:ascii="Times New Roman" w:hAnsi="Times New Roman" w:cs="Times New Roman"/>
          <w:sz w:val="18"/>
          <w:szCs w:val="18"/>
        </w:rPr>
        <w:tab/>
      </w:r>
      <w:r w:rsidR="00B92E45" w:rsidRPr="00107D62">
        <w:rPr>
          <w:rFonts w:ascii="Times New Roman" w:hAnsi="Times New Roman" w:cs="Times New Roman"/>
          <w:sz w:val="18"/>
          <w:szCs w:val="18"/>
        </w:rPr>
        <w:t>Podmioty gospodarki narodowej</w:t>
      </w:r>
      <w:r w:rsidR="00AE5712" w:rsidRPr="00107D62">
        <w:rPr>
          <w:rFonts w:ascii="Times New Roman" w:hAnsi="Times New Roman" w:cs="Times New Roman"/>
          <w:sz w:val="18"/>
          <w:szCs w:val="18"/>
        </w:rPr>
        <w:t xml:space="preserve"> w </w:t>
      </w:r>
      <w:r w:rsidR="00B92E45" w:rsidRPr="00107D62">
        <w:rPr>
          <w:rFonts w:ascii="Times New Roman" w:hAnsi="Times New Roman" w:cs="Times New Roman"/>
          <w:sz w:val="18"/>
          <w:szCs w:val="18"/>
        </w:rPr>
        <w:t>województwach</w:t>
      </w:r>
      <w:r w:rsidR="007B4819" w:rsidRPr="00107D62">
        <w:rPr>
          <w:rFonts w:ascii="Times New Roman" w:hAnsi="Times New Roman" w:cs="Times New Roman"/>
          <w:sz w:val="18"/>
          <w:szCs w:val="18"/>
        </w:rPr>
        <w:t xml:space="preserve">, </w:t>
      </w:r>
      <w:r w:rsidR="00B92E45" w:rsidRPr="00107D62">
        <w:rPr>
          <w:rFonts w:ascii="Times New Roman" w:hAnsi="Times New Roman" w:cs="Times New Roman"/>
          <w:sz w:val="18"/>
          <w:szCs w:val="18"/>
        </w:rPr>
        <w:t>201</w:t>
      </w:r>
      <w:r w:rsidR="007F7507" w:rsidRPr="00107D62">
        <w:rPr>
          <w:rFonts w:ascii="Times New Roman" w:hAnsi="Times New Roman" w:cs="Times New Roman"/>
          <w:sz w:val="18"/>
          <w:szCs w:val="18"/>
        </w:rPr>
        <w:t>5</w:t>
      </w:r>
      <w:r w:rsidR="00AE5712" w:rsidRPr="00107D62">
        <w:rPr>
          <w:rFonts w:ascii="Times New Roman" w:hAnsi="Times New Roman" w:cs="Times New Roman"/>
          <w:sz w:val="18"/>
          <w:szCs w:val="18"/>
        </w:rPr>
        <w:t xml:space="preserve"> i </w:t>
      </w:r>
      <w:r w:rsidR="00B92E45" w:rsidRPr="00107D62">
        <w:rPr>
          <w:rFonts w:ascii="Times New Roman" w:hAnsi="Times New Roman" w:cs="Times New Roman"/>
          <w:sz w:val="18"/>
          <w:szCs w:val="18"/>
        </w:rPr>
        <w:t>201</w:t>
      </w:r>
      <w:r w:rsidR="007F7507" w:rsidRPr="00107D62">
        <w:rPr>
          <w:rFonts w:ascii="Times New Roman" w:hAnsi="Times New Roman" w:cs="Times New Roman"/>
          <w:sz w:val="18"/>
          <w:szCs w:val="18"/>
        </w:rPr>
        <w:t>6</w:t>
      </w:r>
      <w:r w:rsidR="00AE5712" w:rsidRPr="00107D62">
        <w:rPr>
          <w:rFonts w:ascii="Times New Roman" w:hAnsi="Times New Roman" w:cs="Times New Roman"/>
          <w:sz w:val="18"/>
          <w:szCs w:val="18"/>
        </w:rPr>
        <w:t> r.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93"/>
        <w:gridCol w:w="2410"/>
        <w:gridCol w:w="2199"/>
      </w:tblGrid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863F2" w:rsidRPr="00055C65" w:rsidRDefault="001863F2" w:rsidP="007F750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województwa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1863F2" w:rsidRPr="00055C65" w:rsidRDefault="001863F2" w:rsidP="007F7507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  <w:p w:rsidR="001863F2" w:rsidRPr="00055C65" w:rsidRDefault="001863F2" w:rsidP="001863F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na dzień 31 XII ‘15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1863F2" w:rsidRPr="00055C65" w:rsidRDefault="001863F2" w:rsidP="001863F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  <w:p w:rsidR="001863F2" w:rsidRPr="00055C65" w:rsidRDefault="001863F2" w:rsidP="001863F2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na dzień 31 XII ‘16</w:t>
            </w:r>
          </w:p>
        </w:tc>
      </w:tr>
      <w:tr w:rsidR="001F504A" w:rsidRPr="00E613EA" w:rsidTr="001863F2">
        <w:trPr>
          <w:trHeight w:val="109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mazowieckie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766 030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788 008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śląskie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465 779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467 090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wielkopolskie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409 865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414 798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małopolskie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363 883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D9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371 107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dolnośląskie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357 102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361 307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281 861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286 844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łódzkie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241 462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8E2D9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243 280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zachodniopomorskie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220 615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904EA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221 168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kujawsko-pomorskie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193 470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194 099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lubelskie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173 184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174 123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podkarpackie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165 155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167 749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warmińsko-mazurskie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123 876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124 287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lubuskie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111 272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111 756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świętokrzyskie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110 574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111 128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opolskie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100 432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100 295</w:t>
            </w:r>
          </w:p>
        </w:tc>
      </w:tr>
      <w:tr w:rsidR="001F504A" w:rsidRPr="00E613EA" w:rsidTr="001863F2">
        <w:trPr>
          <w:trHeight w:val="285"/>
          <w:jc w:val="center"/>
        </w:trPr>
        <w:tc>
          <w:tcPr>
            <w:tcW w:w="2693" w:type="dxa"/>
            <w:tcBorders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1863F2" w:rsidRPr="00055C65" w:rsidRDefault="001863F2" w:rsidP="00055C65">
            <w:pPr>
              <w:pStyle w:val="Bezodstpw"/>
              <w:spacing w:line="200" w:lineRule="exac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podlaskie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863F2" w:rsidRPr="00055C65" w:rsidRDefault="001863F2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99 309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3F2" w:rsidRPr="00055C65" w:rsidRDefault="00B23F50" w:rsidP="00055C65">
            <w:pPr>
              <w:pStyle w:val="Bezodstpw"/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C65">
              <w:rPr>
                <w:rFonts w:ascii="Times New Roman" w:hAnsi="Times New Roman" w:cs="Times New Roman"/>
                <w:sz w:val="16"/>
                <w:szCs w:val="16"/>
              </w:rPr>
              <w:t>99 956</w:t>
            </w:r>
          </w:p>
        </w:tc>
      </w:tr>
    </w:tbl>
    <w:p w:rsidR="00B92E45" w:rsidRPr="00E613EA" w:rsidRDefault="00B92E45" w:rsidP="00B92E45">
      <w:pPr>
        <w:pStyle w:val="Bezodstpw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92E45" w:rsidRPr="00055C65" w:rsidRDefault="00B92E45" w:rsidP="00B92E45">
      <w:pPr>
        <w:pStyle w:val="Bezodstpw"/>
        <w:rPr>
          <w:rFonts w:ascii="Times New Roman" w:hAnsi="Times New Roman" w:cs="Times New Roman"/>
          <w:szCs w:val="24"/>
        </w:rPr>
      </w:pPr>
      <w:r w:rsidRPr="00055C65">
        <w:rPr>
          <w:rFonts w:ascii="Times New Roman" w:hAnsi="Times New Roman" w:cs="Times New Roman"/>
          <w:szCs w:val="24"/>
        </w:rPr>
        <w:t xml:space="preserve">Tabela </w:t>
      </w:r>
      <w:r w:rsidR="00220855" w:rsidRPr="00055C65">
        <w:rPr>
          <w:rFonts w:ascii="Times New Roman" w:hAnsi="Times New Roman" w:cs="Times New Roman"/>
          <w:szCs w:val="24"/>
        </w:rPr>
        <w:t>5</w:t>
      </w:r>
      <w:r w:rsidRPr="00055C65">
        <w:rPr>
          <w:rFonts w:ascii="Times New Roman" w:hAnsi="Times New Roman" w:cs="Times New Roman"/>
          <w:szCs w:val="24"/>
        </w:rPr>
        <w:t xml:space="preserve">. </w:t>
      </w:r>
      <w:r w:rsidR="005C72B7" w:rsidRPr="00055C65">
        <w:rPr>
          <w:rFonts w:ascii="Times New Roman" w:hAnsi="Times New Roman" w:cs="Times New Roman"/>
          <w:szCs w:val="24"/>
        </w:rPr>
        <w:tab/>
      </w:r>
      <w:r w:rsidRPr="00055C65">
        <w:rPr>
          <w:rFonts w:ascii="Times New Roman" w:hAnsi="Times New Roman" w:cs="Times New Roman"/>
          <w:szCs w:val="24"/>
        </w:rPr>
        <w:t>Wskaźnik przedsiębiorczości</w:t>
      </w:r>
      <w:r w:rsidR="00AE5712" w:rsidRPr="00055C65">
        <w:rPr>
          <w:rFonts w:ascii="Times New Roman" w:hAnsi="Times New Roman" w:cs="Times New Roman"/>
          <w:szCs w:val="24"/>
        </w:rPr>
        <w:t xml:space="preserve"> w </w:t>
      </w:r>
      <w:r w:rsidRPr="00055C65">
        <w:rPr>
          <w:rFonts w:ascii="Times New Roman" w:hAnsi="Times New Roman" w:cs="Times New Roman"/>
          <w:szCs w:val="24"/>
        </w:rPr>
        <w:t>województwach</w:t>
      </w:r>
      <w:r w:rsidR="007B4819">
        <w:rPr>
          <w:rFonts w:ascii="Times New Roman" w:hAnsi="Times New Roman" w:cs="Times New Roman"/>
          <w:szCs w:val="24"/>
        </w:rPr>
        <w:t xml:space="preserve">,  </w:t>
      </w:r>
      <w:r w:rsidRPr="00055C65">
        <w:rPr>
          <w:rFonts w:ascii="Times New Roman" w:hAnsi="Times New Roman" w:cs="Times New Roman"/>
          <w:szCs w:val="24"/>
        </w:rPr>
        <w:t>3</w:t>
      </w:r>
      <w:r w:rsidR="00055C65" w:rsidRPr="00055C65">
        <w:rPr>
          <w:rFonts w:ascii="Times New Roman" w:hAnsi="Times New Roman" w:cs="Times New Roman"/>
          <w:szCs w:val="24"/>
        </w:rPr>
        <w:t>1</w:t>
      </w:r>
      <w:r w:rsidR="00817F67" w:rsidRPr="00055C65">
        <w:rPr>
          <w:rFonts w:ascii="Times New Roman" w:hAnsi="Times New Roman" w:cs="Times New Roman"/>
          <w:szCs w:val="24"/>
        </w:rPr>
        <w:t xml:space="preserve"> </w:t>
      </w:r>
      <w:r w:rsidR="00055C65" w:rsidRPr="00055C65">
        <w:rPr>
          <w:rFonts w:ascii="Times New Roman" w:hAnsi="Times New Roman" w:cs="Times New Roman"/>
          <w:szCs w:val="24"/>
        </w:rPr>
        <w:t>XII</w:t>
      </w:r>
      <w:r w:rsidR="00817F67" w:rsidRPr="00055C65">
        <w:rPr>
          <w:rFonts w:ascii="Times New Roman" w:hAnsi="Times New Roman" w:cs="Times New Roman"/>
          <w:szCs w:val="24"/>
        </w:rPr>
        <w:t xml:space="preserve"> ‘</w:t>
      </w:r>
      <w:r w:rsidRPr="00055C65">
        <w:rPr>
          <w:rFonts w:ascii="Times New Roman" w:hAnsi="Times New Roman" w:cs="Times New Roman"/>
          <w:szCs w:val="24"/>
        </w:rPr>
        <w:t>1</w:t>
      </w:r>
      <w:r w:rsidR="00055C65" w:rsidRPr="00055C65">
        <w:rPr>
          <w:rFonts w:ascii="Times New Roman" w:hAnsi="Times New Roman" w:cs="Times New Roman"/>
          <w:szCs w:val="24"/>
        </w:rPr>
        <w:t>5</w:t>
      </w:r>
      <w:r w:rsidR="00AE5712" w:rsidRPr="00055C65">
        <w:rPr>
          <w:rFonts w:ascii="Times New Roman" w:hAnsi="Times New Roman" w:cs="Times New Roman"/>
          <w:szCs w:val="24"/>
        </w:rPr>
        <w:t> r.</w:t>
      </w:r>
    </w:p>
    <w:tbl>
      <w:tblPr>
        <w:tblStyle w:val="Tabela-Siatka"/>
        <w:tblW w:w="4867" w:type="pct"/>
        <w:tblLayout w:type="fixed"/>
        <w:tblLook w:val="04A0" w:firstRow="1" w:lastRow="0" w:firstColumn="1" w:lastColumn="0" w:noHBand="0" w:noVBand="1"/>
      </w:tblPr>
      <w:tblGrid>
        <w:gridCol w:w="2327"/>
        <w:gridCol w:w="3261"/>
        <w:gridCol w:w="1661"/>
        <w:gridCol w:w="1790"/>
      </w:tblGrid>
      <w:tr w:rsidR="00151148" w:rsidRPr="00E613EA" w:rsidTr="00151148">
        <w:trPr>
          <w:trHeight w:val="285"/>
        </w:trPr>
        <w:tc>
          <w:tcPr>
            <w:tcW w:w="1287" w:type="pct"/>
            <w:shd w:val="clear" w:color="auto" w:fill="E5DFEC" w:themeFill="accent4" w:themeFillTint="33"/>
            <w:noWrap/>
            <w:vAlign w:val="center"/>
            <w:hideMark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województwa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caps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055C65">
              <w:rPr>
                <w:rFonts w:ascii="Times New Roman" w:hAnsi="Times New Roman" w:cs="Times New Roman"/>
                <w:b/>
                <w:caps/>
                <w:sz w:val="20"/>
                <w:szCs w:val="20"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wskaźnik przedsiębiorczości</w:t>
            </w:r>
          </w:p>
          <w:p w:rsidR="00797F16" w:rsidRDefault="00151148" w:rsidP="00797F16">
            <w:pPr>
              <w:pStyle w:val="Bezodstpw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(liczba podmiotów gospodarczych przypadająca na 1000</w:t>
            </w:r>
          </w:p>
          <w:p w:rsidR="00151148" w:rsidRPr="00055C65" w:rsidRDefault="00151148" w:rsidP="00797F16">
            <w:pPr>
              <w:pStyle w:val="Bezodstpw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mieszkańców)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center"/>
            <w:hideMark/>
          </w:tcPr>
          <w:p w:rsidR="00151148" w:rsidRPr="00055C65" w:rsidRDefault="00151148" w:rsidP="00055C65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podmiotów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151148" w:rsidRPr="00055C65" w:rsidRDefault="00151148" w:rsidP="009E3AFD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C65">
              <w:rPr>
                <w:rFonts w:ascii="Times New Roman" w:hAnsi="Times New Roman" w:cs="Times New Roman"/>
                <w:b/>
                <w:sz w:val="20"/>
                <w:szCs w:val="20"/>
              </w:rPr>
              <w:t>liczba mieszkańców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DOLNOŚLĄSKIE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357 102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2 904 207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KUJAWSKO-POMORSKIE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193 470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2 086 210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LUBELSKIE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173 184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2 139 726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LUBUSKIE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111 272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1 018 075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ŁÓDZKIE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241 462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2 493 603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MAŁOPOLSKIE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363 883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3 372 618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MAZOWIECKIE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766 030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5 349 114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100 432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996 011</w:t>
            </w:r>
          </w:p>
        </w:tc>
      </w:tr>
      <w:tr w:rsidR="00A62880" w:rsidRPr="00E613EA" w:rsidTr="001E5ADE">
        <w:trPr>
          <w:trHeight w:val="285"/>
        </w:trPr>
        <w:tc>
          <w:tcPr>
            <w:tcW w:w="1287" w:type="pct"/>
            <w:shd w:val="clear" w:color="auto" w:fill="E5DFEC" w:themeFill="accent4" w:themeFillTint="33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PODKARPACKIE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165 155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2 127 657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PODLASKIE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F20A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99 309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1 188 800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E5DFEC" w:themeFill="accent4" w:themeFillTint="33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POLSKA</w:t>
            </w:r>
          </w:p>
        </w:tc>
        <w:tc>
          <w:tcPr>
            <w:tcW w:w="1804" w:type="pct"/>
            <w:shd w:val="clear" w:color="auto" w:fill="E5DFEC" w:themeFill="accent4" w:themeFillTint="33"/>
            <w:vAlign w:val="center"/>
          </w:tcPr>
          <w:p w:rsidR="00A62880" w:rsidRPr="00A77FE2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FE2">
              <w:rPr>
                <w:rFonts w:ascii="Times New Roman" w:hAnsi="Times New Roman" w:cs="Times New Roman"/>
                <w:sz w:val="16"/>
                <w:szCs w:val="16"/>
              </w:rPr>
              <w:t>109</w:t>
            </w:r>
          </w:p>
        </w:tc>
        <w:tc>
          <w:tcPr>
            <w:tcW w:w="919" w:type="pct"/>
            <w:shd w:val="clear" w:color="auto" w:fill="E5DFEC" w:themeFill="accent4" w:themeFillTint="33"/>
            <w:noWrap/>
            <w:vAlign w:val="center"/>
          </w:tcPr>
          <w:p w:rsidR="00A62880" w:rsidRPr="00A77FE2" w:rsidRDefault="00A77FE2" w:rsidP="001E5AD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FE2">
              <w:rPr>
                <w:rFonts w:ascii="Times New Roman" w:hAnsi="Times New Roman" w:cs="Times New Roman"/>
                <w:sz w:val="16"/>
                <w:szCs w:val="16"/>
              </w:rPr>
              <w:t>4 18</w:t>
            </w:r>
            <w:r w:rsidR="001E5A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A77FE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  <w:r w:rsidR="001E5ADE">
              <w:rPr>
                <w:rFonts w:ascii="Times New Roman" w:hAnsi="Times New Roman" w:cs="Times New Roman"/>
                <w:sz w:val="16"/>
                <w:szCs w:val="16"/>
              </w:rPr>
              <w:t>409</w:t>
            </w:r>
          </w:p>
        </w:tc>
        <w:tc>
          <w:tcPr>
            <w:tcW w:w="990" w:type="pct"/>
            <w:shd w:val="clear" w:color="auto" w:fill="E5DFEC" w:themeFill="accent4" w:themeFillTint="33"/>
            <w:vAlign w:val="center"/>
          </w:tcPr>
          <w:p w:rsidR="00A62880" w:rsidRPr="00A77FE2" w:rsidRDefault="00A62880" w:rsidP="00A628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77FE2">
              <w:rPr>
                <w:rFonts w:ascii="Times New Roman" w:hAnsi="Times New Roman" w:cs="Times New Roman"/>
                <w:sz w:val="16"/>
                <w:szCs w:val="16"/>
              </w:rPr>
              <w:t>38 437 239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281 861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2 307 710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ŚLĄSKIE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465 779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7 842 717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ŚWIĘTOKRZYSKIE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110 574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3 900 218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WARMIŃSKO-MAZURSKIE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123 876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7 943 467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WIELKOPOLSKIE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409 865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6 203 880</w:t>
            </w:r>
          </w:p>
        </w:tc>
      </w:tr>
      <w:tr w:rsidR="00A62880" w:rsidRPr="00E613EA" w:rsidTr="00A62880">
        <w:trPr>
          <w:trHeight w:val="285"/>
        </w:trPr>
        <w:tc>
          <w:tcPr>
            <w:tcW w:w="1287" w:type="pct"/>
            <w:shd w:val="clear" w:color="auto" w:fill="FFFFFF" w:themeFill="background1"/>
            <w:noWrap/>
            <w:vAlign w:val="center"/>
          </w:tcPr>
          <w:p w:rsidR="00A62880" w:rsidRPr="00BF20A0" w:rsidRDefault="00A6288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ZACHODNIOPOMORSKIE</w:t>
            </w:r>
          </w:p>
        </w:tc>
        <w:tc>
          <w:tcPr>
            <w:tcW w:w="1804" w:type="pct"/>
            <w:shd w:val="clear" w:color="auto" w:fill="FFFFFF" w:themeFill="background1"/>
            <w:vAlign w:val="center"/>
          </w:tcPr>
          <w:p w:rsidR="00A62880" w:rsidRPr="00BF20A0" w:rsidRDefault="00A62880" w:rsidP="00BF20A0">
            <w:pPr>
              <w:spacing w:line="20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F20A0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919" w:type="pct"/>
            <w:shd w:val="clear" w:color="auto" w:fill="FFFFFF" w:themeFill="background1"/>
            <w:noWrap/>
            <w:vAlign w:val="center"/>
          </w:tcPr>
          <w:p w:rsidR="00A62880" w:rsidRPr="00BF20A0" w:rsidRDefault="00A62880" w:rsidP="00B357F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20A0">
              <w:rPr>
                <w:rFonts w:ascii="Times New Roman" w:hAnsi="Times New Roman" w:cs="Times New Roman"/>
                <w:sz w:val="16"/>
                <w:szCs w:val="16"/>
              </w:rPr>
              <w:t>220 615</w:t>
            </w:r>
          </w:p>
        </w:tc>
        <w:tc>
          <w:tcPr>
            <w:tcW w:w="990" w:type="pct"/>
            <w:shd w:val="clear" w:color="auto" w:fill="FFFFFF" w:themeFill="background1"/>
            <w:vAlign w:val="center"/>
          </w:tcPr>
          <w:p w:rsidR="00A62880" w:rsidRPr="00A62880" w:rsidRDefault="00A62880" w:rsidP="00A628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80">
              <w:rPr>
                <w:rFonts w:ascii="Times New Roman" w:hAnsi="Times New Roman" w:cs="Times New Roman"/>
                <w:sz w:val="18"/>
                <w:szCs w:val="18"/>
              </w:rPr>
              <w:t>5 833 595</w:t>
            </w:r>
          </w:p>
        </w:tc>
      </w:tr>
    </w:tbl>
    <w:p w:rsidR="001470C1" w:rsidRDefault="001470C1" w:rsidP="00220855">
      <w:pPr>
        <w:pStyle w:val="Bezodstpw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470C1" w:rsidRDefault="001470C1"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br w:type="page"/>
      </w:r>
    </w:p>
    <w:p w:rsidR="00220855" w:rsidRDefault="00220855" w:rsidP="001470C1">
      <w:pPr>
        <w:pStyle w:val="Bezodstpw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 w:rsidRPr="004368F8">
        <w:rPr>
          <w:rFonts w:ascii="Times New Roman" w:hAnsi="Times New Roman" w:cs="Times New Roman"/>
          <w:color w:val="000000"/>
          <w:sz w:val="18"/>
          <w:szCs w:val="18"/>
        </w:rPr>
        <w:lastRenderedPageBreak/>
        <w:t xml:space="preserve">Wykres </w:t>
      </w:r>
      <w:r w:rsidR="000078CD" w:rsidRPr="004368F8">
        <w:rPr>
          <w:rFonts w:ascii="Times New Roman" w:hAnsi="Times New Roman" w:cs="Times New Roman"/>
          <w:color w:val="000000"/>
          <w:sz w:val="18"/>
          <w:szCs w:val="18"/>
        </w:rPr>
        <w:t>3</w:t>
      </w:r>
      <w:r w:rsidR="00031F27">
        <w:rPr>
          <w:rFonts w:ascii="Times New Roman" w:hAnsi="Times New Roman" w:cs="Times New Roman"/>
          <w:color w:val="000000"/>
          <w:sz w:val="18"/>
          <w:szCs w:val="18"/>
        </w:rPr>
        <w:t xml:space="preserve"> a, b</w:t>
      </w:r>
      <w:r w:rsidRPr="004368F8">
        <w:rPr>
          <w:rFonts w:ascii="Times New Roman" w:hAnsi="Times New Roman" w:cs="Times New Roman"/>
          <w:color w:val="000000"/>
          <w:sz w:val="18"/>
          <w:szCs w:val="18"/>
        </w:rPr>
        <w:t xml:space="preserve">. </w:t>
      </w:r>
      <w:r w:rsidR="004368F8" w:rsidRPr="004368F8">
        <w:rPr>
          <w:rFonts w:ascii="Times New Roman" w:hAnsi="Times New Roman" w:cs="Times New Roman"/>
          <w:color w:val="000000"/>
          <w:sz w:val="18"/>
          <w:szCs w:val="18"/>
        </w:rPr>
        <w:t xml:space="preserve">     </w:t>
      </w:r>
      <w:r w:rsidRPr="004368F8">
        <w:rPr>
          <w:rFonts w:ascii="Times New Roman" w:hAnsi="Times New Roman" w:cs="Times New Roman"/>
          <w:color w:val="000000"/>
          <w:sz w:val="18"/>
          <w:szCs w:val="18"/>
        </w:rPr>
        <w:t>Wskaźnik przedsiębiorczości</w:t>
      </w:r>
      <w:r w:rsidR="00AE5712" w:rsidRPr="004368F8">
        <w:rPr>
          <w:rFonts w:ascii="Times New Roman" w:hAnsi="Times New Roman" w:cs="Times New Roman"/>
          <w:color w:val="000000"/>
          <w:sz w:val="18"/>
          <w:szCs w:val="18"/>
        </w:rPr>
        <w:t xml:space="preserve"> w </w:t>
      </w:r>
      <w:r w:rsidRPr="004368F8">
        <w:rPr>
          <w:rFonts w:ascii="Times New Roman" w:hAnsi="Times New Roman" w:cs="Times New Roman"/>
          <w:color w:val="000000"/>
          <w:sz w:val="18"/>
          <w:szCs w:val="18"/>
        </w:rPr>
        <w:t>województwach</w:t>
      </w:r>
    </w:p>
    <w:p w:rsidR="0068079A" w:rsidRDefault="0068079A" w:rsidP="0068079A">
      <w:pPr>
        <w:pStyle w:val="Bezodstpw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Theme="majorHAnsi" w:hAnsiTheme="majorHAnsi"/>
          <w:sz w:val="16"/>
          <w:szCs w:val="16"/>
        </w:rPr>
        <w:t xml:space="preserve">                     w okresie poszczególnych </w:t>
      </w:r>
      <w:r w:rsidRPr="004368F8">
        <w:rPr>
          <w:rFonts w:asciiTheme="majorHAnsi" w:hAnsiTheme="majorHAnsi"/>
          <w:sz w:val="16"/>
          <w:szCs w:val="16"/>
        </w:rPr>
        <w:t>lat</w:t>
      </w:r>
      <w:r>
        <w:rPr>
          <w:rFonts w:asciiTheme="majorHAnsi" w:hAnsiTheme="majorHAnsi"/>
          <w:sz w:val="16"/>
          <w:szCs w:val="16"/>
        </w:rPr>
        <w:t xml:space="preserve"> (2002–2015)</w:t>
      </w:r>
    </w:p>
    <w:p w:rsidR="0068079A" w:rsidRDefault="0068079A" w:rsidP="0068079A">
      <w:pPr>
        <w:pStyle w:val="Bezodstpw"/>
        <w:jc w:val="center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754496" behindDoc="1" locked="0" layoutInCell="1" allowOverlap="1" wp14:anchorId="5469D164" wp14:editId="7A92B9CC">
            <wp:simplePos x="0" y="0"/>
            <wp:positionH relativeFrom="column">
              <wp:posOffset>-121285</wp:posOffset>
            </wp:positionH>
            <wp:positionV relativeFrom="paragraph">
              <wp:posOffset>113030</wp:posOffset>
            </wp:positionV>
            <wp:extent cx="2986405" cy="2155190"/>
            <wp:effectExtent l="0" t="0" r="4445" b="0"/>
            <wp:wrapTight wrapText="bothSides">
              <wp:wrapPolygon edited="0">
                <wp:start x="5925" y="573"/>
                <wp:lineTo x="5925" y="1336"/>
                <wp:lineTo x="10196" y="4009"/>
                <wp:lineTo x="10747" y="4009"/>
                <wp:lineTo x="9369" y="7064"/>
                <wp:lineTo x="964" y="7637"/>
                <wp:lineTo x="1102" y="11074"/>
                <wp:lineTo x="19979" y="13174"/>
                <wp:lineTo x="15983" y="13365"/>
                <wp:lineTo x="551" y="15847"/>
                <wp:lineTo x="551" y="16420"/>
                <wp:lineTo x="10334" y="19283"/>
                <wp:lineTo x="2480" y="20238"/>
                <wp:lineTo x="827" y="20620"/>
                <wp:lineTo x="964" y="21384"/>
                <wp:lineTo x="21081" y="21384"/>
                <wp:lineTo x="21357" y="20620"/>
                <wp:lineTo x="19152" y="20238"/>
                <wp:lineTo x="10747" y="19283"/>
                <wp:lineTo x="9507" y="16229"/>
                <wp:lineTo x="11574" y="16229"/>
                <wp:lineTo x="21081" y="13747"/>
                <wp:lineTo x="21219" y="12983"/>
                <wp:lineTo x="11023" y="10119"/>
                <wp:lineTo x="16396" y="7255"/>
                <wp:lineTo x="16396" y="7064"/>
                <wp:lineTo x="21494" y="5537"/>
                <wp:lineTo x="21357" y="4009"/>
                <wp:lineTo x="12125" y="4009"/>
                <wp:lineTo x="18463" y="1527"/>
                <wp:lineTo x="18325" y="573"/>
                <wp:lineTo x="5925" y="573"/>
              </wp:wrapPolygon>
            </wp:wrapTight>
            <wp:docPr id="12" name="Wykres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8079A" w:rsidRPr="0068079A" w:rsidRDefault="0068079A" w:rsidP="0068079A">
      <w:pPr>
        <w:pStyle w:val="Bezodstpw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noProof/>
          <w:lang w:eastAsia="pl-PL"/>
        </w:rPr>
        <w:drawing>
          <wp:anchor distT="0" distB="0" distL="114300" distR="114300" simplePos="0" relativeHeight="251755520" behindDoc="0" locked="0" layoutInCell="1" allowOverlap="1" wp14:anchorId="1716B27A" wp14:editId="5CC9A63F">
            <wp:simplePos x="0" y="0"/>
            <wp:positionH relativeFrom="column">
              <wp:posOffset>102235</wp:posOffset>
            </wp:positionH>
            <wp:positionV relativeFrom="paragraph">
              <wp:posOffset>-635</wp:posOffset>
            </wp:positionV>
            <wp:extent cx="3218180" cy="2137410"/>
            <wp:effectExtent l="0" t="0" r="1270" b="0"/>
            <wp:wrapSquare wrapText="bothSides"/>
            <wp:docPr id="13" name="Wykres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E45" w:rsidRPr="0068079A" w:rsidRDefault="00B92E45" w:rsidP="0068079A">
      <w:pPr>
        <w:pStyle w:val="Bezodstpw"/>
        <w:rPr>
          <w:rFonts w:ascii="Times New Roman" w:hAnsi="Times New Roman" w:cs="Times New Roman"/>
          <w:color w:val="000000"/>
          <w:sz w:val="16"/>
          <w:szCs w:val="16"/>
        </w:rPr>
      </w:pPr>
    </w:p>
    <w:p w:rsidR="001F504A" w:rsidRPr="0068079A" w:rsidRDefault="001F504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Pr="0068079A" w:rsidRDefault="001F504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Pr="0068079A" w:rsidRDefault="001F504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Default="001F504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68079A" w:rsidRPr="0068079A" w:rsidRDefault="0068079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1F504A" w:rsidRPr="0068079A" w:rsidRDefault="001F504A" w:rsidP="0068079A">
      <w:pPr>
        <w:pStyle w:val="Tekstpodstawowywcity"/>
        <w:pBdr>
          <w:bottom w:val="single" w:sz="4" w:space="1" w:color="auto"/>
        </w:pBdr>
        <w:spacing w:after="0" w:line="240" w:lineRule="auto"/>
        <w:ind w:left="0"/>
        <w:rPr>
          <w:rFonts w:ascii="Times New Roman" w:hAnsi="Times New Roman" w:cs="Times New Roman"/>
          <w:sz w:val="16"/>
          <w:szCs w:val="16"/>
        </w:rPr>
      </w:pPr>
    </w:p>
    <w:p w:rsidR="00242C45" w:rsidRPr="00894482" w:rsidRDefault="00242C45" w:rsidP="00817F67">
      <w:pPr>
        <w:pStyle w:val="Tekstpodstawowywcity"/>
        <w:pBdr>
          <w:bottom w:val="single" w:sz="4" w:space="1" w:color="auto"/>
        </w:pBd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t>Wnioski:</w:t>
      </w:r>
    </w:p>
    <w:p w:rsidR="00242C45" w:rsidRPr="004368F8" w:rsidRDefault="00242C45" w:rsidP="00242C4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4368F8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4368F8">
        <w:rPr>
          <w:rFonts w:ascii="Times New Roman" w:hAnsi="Times New Roman" w:cs="Times New Roman"/>
          <w:sz w:val="18"/>
          <w:szCs w:val="18"/>
        </w:rPr>
        <w:t xml:space="preserve"> z </w:t>
      </w:r>
      <w:r w:rsidRPr="004368F8">
        <w:rPr>
          <w:rFonts w:ascii="Times New Roman" w:hAnsi="Times New Roman" w:cs="Times New Roman"/>
          <w:sz w:val="18"/>
          <w:szCs w:val="18"/>
        </w:rPr>
        <w:t>Tabeli 4</w:t>
      </w:r>
      <w:r w:rsidR="00151148" w:rsidRPr="004368F8">
        <w:rPr>
          <w:rFonts w:ascii="Times New Roman" w:hAnsi="Times New Roman" w:cs="Times New Roman"/>
          <w:sz w:val="18"/>
          <w:szCs w:val="18"/>
        </w:rPr>
        <w:t>,</w:t>
      </w:r>
      <w:r w:rsidRPr="004368F8">
        <w:rPr>
          <w:rFonts w:ascii="Times New Roman" w:hAnsi="Times New Roman" w:cs="Times New Roman"/>
          <w:sz w:val="18"/>
          <w:szCs w:val="18"/>
        </w:rPr>
        <w:t xml:space="preserve">5 </w:t>
      </w:r>
      <w:r w:rsidR="00151148" w:rsidRPr="004368F8">
        <w:rPr>
          <w:rFonts w:ascii="Times New Roman" w:hAnsi="Times New Roman" w:cs="Times New Roman"/>
          <w:sz w:val="18"/>
          <w:szCs w:val="18"/>
        </w:rPr>
        <w:t>i</w:t>
      </w:r>
      <w:r w:rsidRPr="004368F8">
        <w:rPr>
          <w:rFonts w:ascii="Times New Roman" w:hAnsi="Times New Roman" w:cs="Times New Roman"/>
          <w:sz w:val="18"/>
          <w:szCs w:val="18"/>
        </w:rPr>
        <w:t xml:space="preserve"> </w:t>
      </w:r>
      <w:r w:rsidR="00151148" w:rsidRPr="004368F8">
        <w:rPr>
          <w:rFonts w:ascii="Times New Roman" w:hAnsi="Times New Roman" w:cs="Times New Roman"/>
          <w:sz w:val="18"/>
          <w:szCs w:val="18"/>
        </w:rPr>
        <w:t>w</w:t>
      </w:r>
      <w:r w:rsidRPr="004368F8">
        <w:rPr>
          <w:rFonts w:ascii="Times New Roman" w:hAnsi="Times New Roman" w:cs="Times New Roman"/>
          <w:sz w:val="18"/>
          <w:szCs w:val="18"/>
        </w:rPr>
        <w:t xml:space="preserve">ykresu </w:t>
      </w:r>
      <w:r w:rsidR="00151148" w:rsidRPr="004368F8">
        <w:rPr>
          <w:rFonts w:ascii="Times New Roman" w:hAnsi="Times New Roman" w:cs="Times New Roman"/>
          <w:sz w:val="18"/>
          <w:szCs w:val="18"/>
        </w:rPr>
        <w:t>3</w:t>
      </w:r>
      <w:r w:rsidRPr="004368F8">
        <w:rPr>
          <w:rFonts w:ascii="Times New Roman" w:hAnsi="Times New Roman" w:cs="Times New Roman"/>
          <w:sz w:val="18"/>
          <w:szCs w:val="18"/>
        </w:rPr>
        <w:t>)</w:t>
      </w:r>
    </w:p>
    <w:p w:rsidR="00242C45" w:rsidRPr="00486D94" w:rsidRDefault="00242C45" w:rsidP="00160DB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6D94">
        <w:rPr>
          <w:rFonts w:ascii="Times New Roman" w:hAnsi="Times New Roman" w:cs="Times New Roman"/>
          <w:sz w:val="24"/>
          <w:szCs w:val="24"/>
        </w:rPr>
        <w:t>Liczba podmiotów zarejestrowanych</w:t>
      </w:r>
      <w:r w:rsidR="00AE5712" w:rsidRPr="00486D94">
        <w:rPr>
          <w:rFonts w:ascii="Times New Roman" w:hAnsi="Times New Roman" w:cs="Times New Roman"/>
          <w:sz w:val="24"/>
          <w:szCs w:val="24"/>
        </w:rPr>
        <w:t xml:space="preserve"> w </w:t>
      </w:r>
      <w:r w:rsidRPr="00486D94">
        <w:rPr>
          <w:rFonts w:ascii="Times New Roman" w:hAnsi="Times New Roman" w:cs="Times New Roman"/>
          <w:sz w:val="24"/>
          <w:szCs w:val="24"/>
        </w:rPr>
        <w:t>województwie podkarpackim</w:t>
      </w:r>
      <w:r w:rsidR="000503CA" w:rsidRPr="00486D94">
        <w:rPr>
          <w:rFonts w:ascii="Times New Roman" w:hAnsi="Times New Roman" w:cs="Times New Roman"/>
          <w:sz w:val="24"/>
          <w:szCs w:val="24"/>
        </w:rPr>
        <w:t xml:space="preserve"> w 2016 r.</w:t>
      </w:r>
      <w:r w:rsidRPr="00486D94">
        <w:rPr>
          <w:rFonts w:ascii="Times New Roman" w:hAnsi="Times New Roman" w:cs="Times New Roman"/>
          <w:sz w:val="24"/>
          <w:szCs w:val="24"/>
        </w:rPr>
        <w:t xml:space="preserve"> plasuje je</w:t>
      </w:r>
      <w:r w:rsidR="00AE5712" w:rsidRPr="00486D94">
        <w:rPr>
          <w:rFonts w:ascii="Times New Roman" w:hAnsi="Times New Roman" w:cs="Times New Roman"/>
          <w:sz w:val="24"/>
          <w:szCs w:val="24"/>
        </w:rPr>
        <w:t xml:space="preserve"> </w:t>
      </w:r>
      <w:r w:rsidR="000503CA" w:rsidRPr="00486D94">
        <w:rPr>
          <w:rFonts w:ascii="Times New Roman" w:hAnsi="Times New Roman" w:cs="Times New Roman"/>
          <w:sz w:val="24"/>
          <w:szCs w:val="24"/>
        </w:rPr>
        <w:t xml:space="preserve">podobnie jak </w:t>
      </w:r>
      <w:r w:rsidR="00AE5712" w:rsidRPr="00486D94">
        <w:rPr>
          <w:rFonts w:ascii="Times New Roman" w:hAnsi="Times New Roman" w:cs="Times New Roman"/>
          <w:sz w:val="24"/>
          <w:szCs w:val="24"/>
        </w:rPr>
        <w:t>w </w:t>
      </w:r>
      <w:r w:rsidRPr="00486D94">
        <w:rPr>
          <w:rFonts w:ascii="Times New Roman" w:hAnsi="Times New Roman" w:cs="Times New Roman"/>
          <w:sz w:val="24"/>
          <w:szCs w:val="24"/>
        </w:rPr>
        <w:t>2015</w:t>
      </w:r>
      <w:r w:rsidR="00AE5712" w:rsidRPr="00486D94">
        <w:rPr>
          <w:rFonts w:ascii="Times New Roman" w:hAnsi="Times New Roman" w:cs="Times New Roman"/>
          <w:sz w:val="24"/>
          <w:szCs w:val="24"/>
        </w:rPr>
        <w:t> r.</w:t>
      </w:r>
      <w:r w:rsidRPr="00486D94">
        <w:rPr>
          <w:rFonts w:ascii="Times New Roman" w:hAnsi="Times New Roman" w:cs="Times New Roman"/>
          <w:sz w:val="24"/>
          <w:szCs w:val="24"/>
        </w:rPr>
        <w:t xml:space="preserve"> na 11.</w:t>
      </w:r>
      <w:r w:rsidR="000503CA" w:rsidRPr="00486D94">
        <w:rPr>
          <w:rFonts w:ascii="Times New Roman" w:hAnsi="Times New Roman" w:cs="Times New Roman"/>
          <w:sz w:val="24"/>
          <w:szCs w:val="24"/>
        </w:rPr>
        <w:t xml:space="preserve"> </w:t>
      </w:r>
      <w:r w:rsidR="00486D94" w:rsidRPr="00486D94">
        <w:rPr>
          <w:rFonts w:ascii="Times New Roman" w:hAnsi="Times New Roman" w:cs="Times New Roman"/>
          <w:sz w:val="24"/>
          <w:szCs w:val="24"/>
        </w:rPr>
        <w:t>M</w:t>
      </w:r>
      <w:r w:rsidRPr="00486D94">
        <w:rPr>
          <w:rFonts w:ascii="Times New Roman" w:hAnsi="Times New Roman" w:cs="Times New Roman"/>
          <w:sz w:val="24"/>
          <w:szCs w:val="24"/>
        </w:rPr>
        <w:t>iejscu</w:t>
      </w:r>
      <w:r w:rsidR="00486D94" w:rsidRPr="00486D94">
        <w:rPr>
          <w:rFonts w:ascii="Times New Roman" w:hAnsi="Times New Roman" w:cs="Times New Roman"/>
          <w:sz w:val="24"/>
          <w:szCs w:val="24"/>
        </w:rPr>
        <w:t xml:space="preserve"> – </w:t>
      </w:r>
      <w:r w:rsidR="000503CA" w:rsidRPr="00486D94">
        <w:rPr>
          <w:rFonts w:ascii="Times New Roman" w:hAnsi="Times New Roman" w:cs="Times New Roman"/>
          <w:sz w:val="24"/>
          <w:szCs w:val="24"/>
        </w:rPr>
        <w:t xml:space="preserve">odnośnie </w:t>
      </w:r>
      <w:r w:rsidRPr="00486D94">
        <w:rPr>
          <w:rFonts w:ascii="Times New Roman" w:hAnsi="Times New Roman" w:cs="Times New Roman"/>
          <w:sz w:val="24"/>
          <w:szCs w:val="24"/>
        </w:rPr>
        <w:t>województw</w:t>
      </w:r>
      <w:r w:rsidR="000503CA" w:rsidRPr="00486D94">
        <w:rPr>
          <w:rFonts w:ascii="Times New Roman" w:hAnsi="Times New Roman" w:cs="Times New Roman"/>
          <w:sz w:val="24"/>
          <w:szCs w:val="24"/>
        </w:rPr>
        <w:t xml:space="preserve"> w kraju</w:t>
      </w:r>
      <w:r w:rsidRPr="00486D94">
        <w:rPr>
          <w:rFonts w:ascii="Times New Roman" w:hAnsi="Times New Roman" w:cs="Times New Roman"/>
          <w:sz w:val="24"/>
          <w:szCs w:val="24"/>
        </w:rPr>
        <w:t>.</w:t>
      </w:r>
    </w:p>
    <w:p w:rsidR="00242C45" w:rsidRPr="00612654" w:rsidRDefault="00242C45" w:rsidP="00160DBC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Po uwzględnieniu liczby ludności</w:t>
      </w:r>
      <w:r w:rsidR="00492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E5712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49201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regionie, przeliczeniu ilości podmiotów</w:t>
      </w:r>
      <w:r w:rsidR="00AE5712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przypadających na 1 000 mieszkańców, pozycja Podkarpacia okazuje się najniższa</w:t>
      </w:r>
      <w:r w:rsidR="00AE5712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kraju (najniższy</w:t>
      </w:r>
      <w:r w:rsidR="00AE5712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 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kraju wskaźnik przedsiębiorczości: jedynie </w:t>
      </w:r>
      <w:r w:rsidR="00612654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78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podmiotów gospodarczych na 1 000 mieszkańców, przy średniej dla Polski: 10</w:t>
      </w:r>
      <w:r w:rsidR="00612654"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6126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2001EC" w:rsidRPr="00612654" w:rsidRDefault="002001EC" w:rsidP="00612654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5592C" w:rsidRDefault="0065592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Tabela </w:t>
      </w:r>
      <w:r w:rsidR="00D54BBE" w:rsidRPr="00B9244B">
        <w:rPr>
          <w:rFonts w:ascii="Times New Roman" w:hAnsi="Times New Roman" w:cs="Times New Roman"/>
          <w:szCs w:val="24"/>
        </w:rPr>
        <w:t>6</w:t>
      </w:r>
      <w:r>
        <w:rPr>
          <w:rFonts w:ascii="Times New Roman" w:hAnsi="Times New Roman" w:cs="Times New Roman"/>
          <w:szCs w:val="24"/>
        </w:rPr>
        <w:t>. </w:t>
      </w:r>
      <w:r w:rsidR="00B92E45" w:rsidRPr="009130E5">
        <w:rPr>
          <w:rFonts w:ascii="Times New Roman" w:hAnsi="Times New Roman" w:cs="Times New Roman"/>
          <w:b/>
          <w:szCs w:val="24"/>
        </w:rPr>
        <w:t>Podmioty gospodarki narodowej</w:t>
      </w:r>
      <w:r w:rsidR="00AE5712" w:rsidRPr="009130E5">
        <w:rPr>
          <w:rFonts w:ascii="Times New Roman" w:hAnsi="Times New Roman" w:cs="Times New Roman"/>
          <w:b/>
          <w:szCs w:val="24"/>
        </w:rPr>
        <w:t xml:space="preserve"> w </w:t>
      </w:r>
      <w:r w:rsidR="00B92E45" w:rsidRPr="009130E5">
        <w:rPr>
          <w:rFonts w:ascii="Times New Roman" w:hAnsi="Times New Roman" w:cs="Times New Roman"/>
          <w:b/>
          <w:szCs w:val="24"/>
        </w:rPr>
        <w:t>województwie podkarpackim</w:t>
      </w:r>
      <w:r w:rsidR="00AE5712" w:rsidRPr="009130E5">
        <w:rPr>
          <w:rFonts w:ascii="Times New Roman" w:hAnsi="Times New Roman" w:cs="Times New Roman"/>
          <w:b/>
          <w:szCs w:val="24"/>
        </w:rPr>
        <w:t xml:space="preserve"> w </w:t>
      </w:r>
      <w:r w:rsidR="00B92E45" w:rsidRPr="009130E5">
        <w:rPr>
          <w:rFonts w:ascii="Times New Roman" w:hAnsi="Times New Roman" w:cs="Times New Roman"/>
          <w:b/>
          <w:szCs w:val="24"/>
        </w:rPr>
        <w:t>201</w:t>
      </w:r>
      <w:r w:rsidR="00B9244B" w:rsidRPr="009130E5">
        <w:rPr>
          <w:rFonts w:ascii="Times New Roman" w:hAnsi="Times New Roman" w:cs="Times New Roman"/>
          <w:b/>
          <w:szCs w:val="24"/>
        </w:rPr>
        <w:t>6</w:t>
      </w:r>
      <w:r w:rsidR="00AE5712" w:rsidRPr="009130E5">
        <w:rPr>
          <w:rFonts w:ascii="Times New Roman" w:hAnsi="Times New Roman" w:cs="Times New Roman"/>
          <w:b/>
          <w:szCs w:val="24"/>
        </w:rPr>
        <w:t> r.</w:t>
      </w:r>
      <w:r>
        <w:rPr>
          <w:rFonts w:ascii="Times New Roman" w:hAnsi="Times New Roman" w:cs="Times New Roman"/>
          <w:szCs w:val="24"/>
        </w:rPr>
        <w:t xml:space="preserve"> </w:t>
      </w:r>
      <w:r w:rsidR="009130E5">
        <w:rPr>
          <w:rFonts w:ascii="Times New Roman" w:hAnsi="Times New Roman" w:cs="Times New Roman"/>
          <w:szCs w:val="24"/>
        </w:rPr>
        <w:t xml:space="preserve">ogółem </w:t>
      </w:r>
      <w:r>
        <w:rPr>
          <w:rFonts w:ascii="Times New Roman" w:hAnsi="Times New Roman" w:cs="Times New Roman"/>
          <w:szCs w:val="24"/>
        </w:rPr>
        <w:t>wg</w:t>
      </w:r>
    </w:p>
    <w:p w:rsidR="0065592C" w:rsidRDefault="0065592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</w:t>
      </w:r>
      <w:r w:rsidR="00B92E45" w:rsidRPr="00B9244B">
        <w:rPr>
          <w:rFonts w:ascii="Times New Roman" w:hAnsi="Times New Roman" w:cs="Times New Roman"/>
          <w:szCs w:val="24"/>
        </w:rPr>
        <w:t>przewidywanej liczby pracujących (bez osób fizycznych prowadzących</w:t>
      </w:r>
    </w:p>
    <w:p w:rsidR="00B92E45" w:rsidRPr="00B9244B" w:rsidRDefault="0065592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</w:t>
      </w:r>
      <w:r w:rsidR="00B92E45" w:rsidRPr="00B9244B">
        <w:rPr>
          <w:rFonts w:ascii="Times New Roman" w:hAnsi="Times New Roman" w:cs="Times New Roman"/>
          <w:szCs w:val="24"/>
        </w:rPr>
        <w:t xml:space="preserve"> wyłącznie indywidualne gospodarstwa rolne)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1809"/>
        <w:gridCol w:w="1129"/>
        <w:gridCol w:w="1270"/>
        <w:gridCol w:w="1270"/>
        <w:gridCol w:w="1270"/>
        <w:gridCol w:w="1270"/>
        <w:gridCol w:w="1270"/>
      </w:tblGrid>
      <w:tr w:rsidR="00B92E45" w:rsidRPr="00E613EA" w:rsidTr="00817F67">
        <w:trPr>
          <w:trHeight w:val="285"/>
        </w:trPr>
        <w:tc>
          <w:tcPr>
            <w:tcW w:w="1809" w:type="dxa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D72FCD" w:rsidP="00235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s</w:t>
            </w:r>
            <w:r w:rsidR="00817F67" w:rsidRPr="0034720D">
              <w:rPr>
                <w:rFonts w:ascii="Times New Roman" w:hAnsi="Times New Roman" w:cs="Times New Roman"/>
                <w:b/>
              </w:rPr>
              <w:t>tan na</w:t>
            </w:r>
          </w:p>
        </w:tc>
        <w:tc>
          <w:tcPr>
            <w:tcW w:w="7479" w:type="dxa"/>
            <w:gridSpan w:val="6"/>
            <w:shd w:val="clear" w:color="auto" w:fill="E5DFEC" w:themeFill="accent4" w:themeFillTint="33"/>
            <w:noWrap/>
            <w:hideMark/>
          </w:tcPr>
          <w:p w:rsidR="00B92E45" w:rsidRPr="0034720D" w:rsidRDefault="00DE5750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B92E45" w:rsidRPr="0034720D">
              <w:rPr>
                <w:rFonts w:ascii="Times New Roman" w:hAnsi="Times New Roman" w:cs="Times New Roman"/>
                <w:b/>
              </w:rPr>
              <w:t>gółem</w:t>
            </w:r>
          </w:p>
        </w:tc>
      </w:tr>
      <w:tr w:rsidR="00B92E45" w:rsidRPr="00E613EA" w:rsidTr="00817F67">
        <w:trPr>
          <w:trHeight w:val="285"/>
        </w:trPr>
        <w:tc>
          <w:tcPr>
            <w:tcW w:w="1809" w:type="dxa"/>
            <w:vMerge/>
            <w:shd w:val="clear" w:color="auto" w:fill="E5DFEC" w:themeFill="accent4" w:themeFillTint="33"/>
            <w:noWrap/>
            <w:hideMark/>
          </w:tcPr>
          <w:p w:rsidR="00B92E45" w:rsidRPr="0034720D" w:rsidRDefault="00B92E45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9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235A6B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r</w:t>
            </w:r>
            <w:r w:rsidR="00B92E45" w:rsidRPr="0034720D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1270" w:type="dxa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34720D" w:rsidRDefault="00B92E45" w:rsidP="00817F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817F67" w:rsidRPr="00E613EA" w:rsidTr="0034720D">
        <w:trPr>
          <w:trHeight w:val="285"/>
        </w:trPr>
        <w:tc>
          <w:tcPr>
            <w:tcW w:w="1809" w:type="dxa"/>
            <w:shd w:val="clear" w:color="auto" w:fill="FFFFFF" w:themeFill="background1"/>
            <w:noWrap/>
            <w:vAlign w:val="center"/>
            <w:hideMark/>
          </w:tcPr>
          <w:p w:rsidR="00817F67" w:rsidRPr="0034720D" w:rsidRDefault="00817F67" w:rsidP="003472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31 XII ‘15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165 155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157 787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5 929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1 249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817F67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</w:tr>
      <w:tr w:rsidR="00650EE8" w:rsidRPr="00E613EA" w:rsidTr="0034720D">
        <w:trPr>
          <w:trHeight w:val="285"/>
        </w:trPr>
        <w:tc>
          <w:tcPr>
            <w:tcW w:w="1809" w:type="dxa"/>
            <w:shd w:val="clear" w:color="auto" w:fill="FFFFFF" w:themeFill="background1"/>
            <w:noWrap/>
            <w:vAlign w:val="center"/>
            <w:hideMark/>
          </w:tcPr>
          <w:p w:rsidR="00650EE8" w:rsidRPr="0034720D" w:rsidRDefault="00650EE8" w:rsidP="0034720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31 XII ‘16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167</w:t>
            </w:r>
            <w:r w:rsidR="0065592C"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749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160</w:t>
            </w:r>
            <w:r w:rsidR="0065592C"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356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65592C"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952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 w:rsidR="0065592C"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251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157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650EE8" w:rsidRPr="0034720D" w:rsidRDefault="00650EE8" w:rsidP="00650EE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33</w:t>
            </w:r>
          </w:p>
        </w:tc>
      </w:tr>
      <w:tr w:rsidR="00817F67" w:rsidRPr="00E613EA" w:rsidTr="0034720D">
        <w:trPr>
          <w:trHeight w:val="285"/>
        </w:trPr>
        <w:tc>
          <w:tcPr>
            <w:tcW w:w="1809" w:type="dxa"/>
            <w:shd w:val="clear" w:color="auto" w:fill="FFFFFF" w:themeFill="background1"/>
            <w:noWrap/>
            <w:vAlign w:val="center"/>
            <w:hideMark/>
          </w:tcPr>
          <w:p w:rsidR="00817F67" w:rsidRPr="0034720D" w:rsidRDefault="00817F67" w:rsidP="003472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1129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2 594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2 569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0" w:type="dxa"/>
            <w:shd w:val="clear" w:color="auto" w:fill="FFFFFF" w:themeFill="background1"/>
            <w:noWrap/>
            <w:vAlign w:val="center"/>
          </w:tcPr>
          <w:p w:rsidR="00817F67" w:rsidRPr="0034720D" w:rsidRDefault="00E10F11" w:rsidP="00650E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486D94" w:rsidRPr="00486D94" w:rsidRDefault="00486D94" w:rsidP="00486D94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63CF2" w:rsidRPr="00DA5DC7" w:rsidRDefault="00163CF2" w:rsidP="00650EE8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DA5DC7">
        <w:rPr>
          <w:rFonts w:ascii="Times New Roman" w:hAnsi="Times New Roman" w:cs="Times New Roman"/>
          <w:sz w:val="18"/>
          <w:szCs w:val="18"/>
        </w:rPr>
        <w:t xml:space="preserve">Wykres </w:t>
      </w:r>
      <w:r w:rsidR="00E10F11" w:rsidRPr="00DA5DC7">
        <w:rPr>
          <w:rFonts w:ascii="Times New Roman" w:hAnsi="Times New Roman" w:cs="Times New Roman"/>
          <w:sz w:val="18"/>
          <w:szCs w:val="18"/>
        </w:rPr>
        <w:t>4</w:t>
      </w:r>
      <w:r w:rsidRPr="00DA5DC7">
        <w:rPr>
          <w:rFonts w:ascii="Times New Roman" w:hAnsi="Times New Roman" w:cs="Times New Roman"/>
          <w:sz w:val="18"/>
          <w:szCs w:val="18"/>
        </w:rPr>
        <w:t xml:space="preserve">. </w:t>
      </w:r>
      <w:r w:rsidR="00DA5DC7">
        <w:rPr>
          <w:rFonts w:ascii="Times New Roman" w:hAnsi="Times New Roman" w:cs="Times New Roman"/>
          <w:sz w:val="18"/>
          <w:szCs w:val="18"/>
        </w:rPr>
        <w:t xml:space="preserve">    </w:t>
      </w:r>
      <w:r w:rsidRPr="00DA5DC7">
        <w:rPr>
          <w:rFonts w:ascii="Times New Roman" w:hAnsi="Times New Roman" w:cs="Times New Roman"/>
          <w:sz w:val="18"/>
          <w:szCs w:val="18"/>
        </w:rPr>
        <w:t>Podmioty gospodarki narodowej</w:t>
      </w:r>
      <w:r w:rsidR="00165326" w:rsidRPr="00DA5DC7">
        <w:rPr>
          <w:rFonts w:ascii="Times New Roman" w:hAnsi="Times New Roman" w:cs="Times New Roman"/>
          <w:sz w:val="18"/>
          <w:szCs w:val="18"/>
        </w:rPr>
        <w:t>*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 </w:t>
      </w:r>
      <w:r w:rsidRPr="00DA5DC7">
        <w:rPr>
          <w:rFonts w:ascii="Times New Roman" w:hAnsi="Times New Roman" w:cs="Times New Roman"/>
          <w:sz w:val="18"/>
          <w:szCs w:val="18"/>
        </w:rPr>
        <w:t>województwie podkarpackim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</w:t>
      </w:r>
      <w:r w:rsidR="00650EE8" w:rsidRPr="00DA5DC7">
        <w:rPr>
          <w:rFonts w:ascii="Times New Roman" w:hAnsi="Times New Roman" w:cs="Times New Roman"/>
          <w:sz w:val="18"/>
          <w:szCs w:val="18"/>
        </w:rPr>
        <w:t xml:space="preserve"> </w:t>
      </w:r>
      <w:r w:rsidRPr="00DA5DC7">
        <w:rPr>
          <w:rFonts w:ascii="Times New Roman" w:hAnsi="Times New Roman" w:cs="Times New Roman"/>
          <w:sz w:val="18"/>
          <w:szCs w:val="18"/>
        </w:rPr>
        <w:t>201</w:t>
      </w:r>
      <w:r w:rsidR="00650EE8" w:rsidRPr="00DA5DC7">
        <w:rPr>
          <w:rFonts w:ascii="Times New Roman" w:hAnsi="Times New Roman" w:cs="Times New Roman"/>
          <w:sz w:val="18"/>
          <w:szCs w:val="18"/>
        </w:rPr>
        <w:t>6</w:t>
      </w:r>
      <w:r w:rsidR="00AE5712" w:rsidRPr="00DA5DC7">
        <w:rPr>
          <w:rFonts w:ascii="Times New Roman" w:hAnsi="Times New Roman" w:cs="Times New Roman"/>
          <w:sz w:val="18"/>
          <w:szCs w:val="18"/>
        </w:rPr>
        <w:t> r.</w:t>
      </w:r>
    </w:p>
    <w:p w:rsidR="008D68EC" w:rsidRPr="00DA5DC7" w:rsidRDefault="00731D43" w:rsidP="00650EE8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DA5DC7">
        <w:rPr>
          <w:rFonts w:ascii="Times New Roman" w:hAnsi="Times New Roman" w:cs="Times New Roman"/>
          <w:sz w:val="18"/>
          <w:szCs w:val="18"/>
        </w:rPr>
        <w:t xml:space="preserve">                  </w:t>
      </w:r>
      <w:r w:rsidR="00DA5DC7">
        <w:rPr>
          <w:rFonts w:ascii="Times New Roman" w:hAnsi="Times New Roman" w:cs="Times New Roman"/>
          <w:sz w:val="18"/>
          <w:szCs w:val="18"/>
        </w:rPr>
        <w:t xml:space="preserve">    </w:t>
      </w:r>
      <w:r w:rsidR="008D68EC" w:rsidRPr="00DA5DC7">
        <w:rPr>
          <w:rFonts w:ascii="Times New Roman" w:hAnsi="Times New Roman" w:cs="Times New Roman"/>
          <w:sz w:val="18"/>
          <w:szCs w:val="18"/>
        </w:rPr>
        <w:t xml:space="preserve">Rozkład </w:t>
      </w:r>
      <w:r w:rsidR="009130E5" w:rsidRPr="00DA5DC7">
        <w:rPr>
          <w:rFonts w:ascii="Times New Roman" w:hAnsi="Times New Roman" w:cs="Times New Roman"/>
          <w:sz w:val="18"/>
          <w:szCs w:val="18"/>
        </w:rPr>
        <w:t xml:space="preserve">procentowy </w:t>
      </w:r>
      <w:r w:rsidR="008D68EC" w:rsidRPr="00DA5DC7">
        <w:rPr>
          <w:rFonts w:ascii="Times New Roman" w:hAnsi="Times New Roman" w:cs="Times New Roman"/>
          <w:sz w:val="18"/>
          <w:szCs w:val="18"/>
        </w:rPr>
        <w:t>wg</w:t>
      </w:r>
      <w:r w:rsidRPr="00DA5DC7">
        <w:rPr>
          <w:rFonts w:ascii="Times New Roman" w:hAnsi="Times New Roman" w:cs="Times New Roman"/>
          <w:sz w:val="18"/>
          <w:szCs w:val="18"/>
        </w:rPr>
        <w:t xml:space="preserve"> przewidywanej liczby pracujących</w:t>
      </w:r>
    </w:p>
    <w:p w:rsidR="00DF6845" w:rsidRDefault="001073AA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58592" behindDoc="1" locked="0" layoutInCell="1" allowOverlap="1" wp14:anchorId="63B2E5EA" wp14:editId="612B2643">
            <wp:simplePos x="0" y="0"/>
            <wp:positionH relativeFrom="column">
              <wp:posOffset>441325</wp:posOffset>
            </wp:positionH>
            <wp:positionV relativeFrom="paragraph">
              <wp:posOffset>74295</wp:posOffset>
            </wp:positionV>
            <wp:extent cx="5111750" cy="1935480"/>
            <wp:effectExtent l="0" t="0" r="0" b="7620"/>
            <wp:wrapTight wrapText="bothSides">
              <wp:wrapPolygon edited="0">
                <wp:start x="7325" y="638"/>
                <wp:lineTo x="402" y="2976"/>
                <wp:lineTo x="322" y="3827"/>
                <wp:lineTo x="2254" y="4465"/>
                <wp:lineTo x="644" y="6378"/>
                <wp:lineTo x="644" y="7016"/>
                <wp:lineTo x="2254" y="7866"/>
                <wp:lineTo x="563" y="9567"/>
                <wp:lineTo x="563" y="9992"/>
                <wp:lineTo x="2254" y="11268"/>
                <wp:lineTo x="563" y="12756"/>
                <wp:lineTo x="563" y="13181"/>
                <wp:lineTo x="2254" y="14669"/>
                <wp:lineTo x="563" y="15945"/>
                <wp:lineTo x="563" y="16370"/>
                <wp:lineTo x="2254" y="18071"/>
                <wp:lineTo x="724" y="19134"/>
                <wp:lineTo x="1127" y="21260"/>
                <wp:lineTo x="19400" y="21472"/>
                <wp:lineTo x="20366" y="21472"/>
                <wp:lineTo x="20607" y="18496"/>
                <wp:lineTo x="19963" y="18283"/>
                <wp:lineTo x="8694" y="17858"/>
                <wp:lineTo x="3944" y="14669"/>
                <wp:lineTo x="3944" y="7866"/>
                <wp:lineTo x="13201" y="6591"/>
                <wp:lineTo x="13201" y="5315"/>
                <wp:lineTo x="3944" y="4465"/>
                <wp:lineTo x="17548" y="2339"/>
                <wp:lineTo x="18031" y="1488"/>
                <wp:lineTo x="17146" y="638"/>
                <wp:lineTo x="7325" y="638"/>
              </wp:wrapPolygon>
            </wp:wrapTight>
            <wp:docPr id="15" name="Wykres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6845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DF6845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DF6845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DF6845" w:rsidRDefault="00DF6845" w:rsidP="00163CF2">
      <w:pPr>
        <w:pStyle w:val="Bezodstpw"/>
        <w:jc w:val="both"/>
        <w:rPr>
          <w:rFonts w:ascii="Times New Roman" w:hAnsi="Times New Roman" w:cs="Times New Roman"/>
          <w:sz w:val="24"/>
          <w:highlight w:val="yellow"/>
        </w:rPr>
      </w:pPr>
    </w:p>
    <w:p w:rsidR="00165326" w:rsidRDefault="00165326">
      <w:pPr>
        <w:rPr>
          <w:lang w:val="en-US"/>
        </w:rPr>
      </w:pPr>
    </w:p>
    <w:p w:rsidR="00165326" w:rsidRDefault="00165326">
      <w:pPr>
        <w:rPr>
          <w:sz w:val="18"/>
          <w:szCs w:val="18"/>
          <w:lang w:val="en-US"/>
        </w:rPr>
      </w:pPr>
    </w:p>
    <w:p w:rsidR="00731D43" w:rsidRDefault="00731D43">
      <w:pPr>
        <w:rPr>
          <w:sz w:val="18"/>
          <w:szCs w:val="18"/>
          <w:lang w:val="en-US"/>
        </w:rPr>
      </w:pPr>
    </w:p>
    <w:p w:rsidR="00595A2F" w:rsidRDefault="00595A2F">
      <w:pPr>
        <w:rPr>
          <w:sz w:val="18"/>
          <w:szCs w:val="18"/>
          <w:lang w:val="en-US"/>
        </w:rPr>
      </w:pPr>
    </w:p>
    <w:p w:rsidR="00DF6845" w:rsidRPr="00165326" w:rsidRDefault="00731D43">
      <w:pPr>
        <w:rPr>
          <w:rFonts w:ascii="Times New Roman" w:hAnsi="Times New Roman" w:cs="Times New Roman"/>
          <w:sz w:val="18"/>
          <w:szCs w:val="18"/>
          <w:highlight w:val="yellow"/>
        </w:rPr>
      </w:pPr>
      <w:r>
        <w:rPr>
          <w:rFonts w:ascii="Times New Roman" w:hAnsi="Times New Roman" w:cs="Times New Roman"/>
          <w:sz w:val="16"/>
          <w:szCs w:val="16"/>
          <w:lang w:val="en-US"/>
        </w:rPr>
        <w:t xml:space="preserve">                                            </w:t>
      </w:r>
      <w:r w:rsidR="00165326" w:rsidRPr="00165326">
        <w:rPr>
          <w:rFonts w:ascii="Times New Roman" w:hAnsi="Times New Roman" w:cs="Times New Roman"/>
          <w:sz w:val="16"/>
          <w:szCs w:val="16"/>
          <w:lang w:val="en-US"/>
        </w:rPr>
        <w:t>*</w:t>
      </w:r>
      <w:r w:rsidR="0029588D">
        <w:rPr>
          <w:rFonts w:ascii="Times New Roman" w:hAnsi="Times New Roman" w:cs="Times New Roman"/>
          <w:sz w:val="16"/>
          <w:szCs w:val="16"/>
          <w:lang w:val="en-US"/>
        </w:rPr>
        <w:t>B</w:t>
      </w:r>
      <w:r w:rsidR="00165326" w:rsidRPr="00165326">
        <w:rPr>
          <w:rFonts w:ascii="Times New Roman" w:hAnsi="Times New Roman" w:cs="Times New Roman"/>
          <w:sz w:val="16"/>
          <w:szCs w:val="16"/>
          <w:lang w:val="en-US"/>
        </w:rPr>
        <w:t>ez osób fizycznych prowadzących wyłącznie indywidualne gospodarstwa rolne.</w:t>
      </w:r>
      <w:r w:rsidR="00DF6845" w:rsidRPr="00165326">
        <w:rPr>
          <w:rFonts w:ascii="Times New Roman" w:hAnsi="Times New Roman" w:cs="Times New Roman"/>
          <w:sz w:val="18"/>
          <w:szCs w:val="18"/>
          <w:highlight w:val="yellow"/>
        </w:rPr>
        <w:br w:type="page"/>
      </w:r>
    </w:p>
    <w:p w:rsidR="00242C45" w:rsidRPr="00894482" w:rsidRDefault="00242C45" w:rsidP="00B9244B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242C45" w:rsidRPr="00B9244B" w:rsidRDefault="00242C45" w:rsidP="00242C4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B9244B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B9244B">
        <w:rPr>
          <w:rFonts w:ascii="Times New Roman" w:hAnsi="Times New Roman" w:cs="Times New Roman"/>
          <w:sz w:val="18"/>
          <w:szCs w:val="18"/>
        </w:rPr>
        <w:t xml:space="preserve"> z </w:t>
      </w:r>
      <w:r w:rsidRPr="00B9244B">
        <w:rPr>
          <w:rFonts w:ascii="Times New Roman" w:hAnsi="Times New Roman" w:cs="Times New Roman"/>
          <w:sz w:val="18"/>
          <w:szCs w:val="18"/>
        </w:rPr>
        <w:t xml:space="preserve">Tabeli 6 </w:t>
      </w:r>
      <w:r w:rsidR="00B9244B" w:rsidRPr="00B9244B">
        <w:rPr>
          <w:rFonts w:ascii="Times New Roman" w:hAnsi="Times New Roman" w:cs="Times New Roman"/>
          <w:sz w:val="18"/>
          <w:szCs w:val="18"/>
        </w:rPr>
        <w:t>i</w:t>
      </w:r>
      <w:r w:rsidRPr="00B9244B">
        <w:rPr>
          <w:rFonts w:ascii="Times New Roman" w:hAnsi="Times New Roman" w:cs="Times New Roman"/>
          <w:sz w:val="18"/>
          <w:szCs w:val="18"/>
        </w:rPr>
        <w:t xml:space="preserve"> </w:t>
      </w:r>
      <w:r w:rsidR="00B9244B" w:rsidRPr="00B9244B">
        <w:rPr>
          <w:rFonts w:ascii="Times New Roman" w:hAnsi="Times New Roman" w:cs="Times New Roman"/>
          <w:sz w:val="18"/>
          <w:szCs w:val="18"/>
        </w:rPr>
        <w:t>w</w:t>
      </w:r>
      <w:r w:rsidRPr="00B9244B">
        <w:rPr>
          <w:rFonts w:ascii="Times New Roman" w:hAnsi="Times New Roman" w:cs="Times New Roman"/>
          <w:sz w:val="18"/>
          <w:szCs w:val="18"/>
        </w:rPr>
        <w:t xml:space="preserve">ykresu </w:t>
      </w:r>
      <w:r w:rsidR="00E10F11">
        <w:rPr>
          <w:rFonts w:ascii="Times New Roman" w:hAnsi="Times New Roman" w:cs="Times New Roman"/>
          <w:sz w:val="18"/>
          <w:szCs w:val="18"/>
        </w:rPr>
        <w:t>4</w:t>
      </w:r>
      <w:r w:rsidRPr="00B9244B">
        <w:rPr>
          <w:rFonts w:ascii="Times New Roman" w:hAnsi="Times New Roman" w:cs="Times New Roman"/>
          <w:sz w:val="18"/>
          <w:szCs w:val="18"/>
        </w:rPr>
        <w:t>)</w:t>
      </w:r>
    </w:p>
    <w:p w:rsidR="00242C45" w:rsidRPr="00044978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4978">
        <w:rPr>
          <w:rFonts w:ascii="Times New Roman" w:hAnsi="Times New Roman" w:cs="Times New Roman"/>
          <w:sz w:val="24"/>
          <w:szCs w:val="24"/>
        </w:rPr>
        <w:t>Ogromne rozdrobnienie podmiotów gospodarczych. Struktura występujących</w:t>
      </w:r>
      <w:r w:rsidR="00AE5712" w:rsidRPr="00044978">
        <w:rPr>
          <w:rFonts w:ascii="Times New Roman" w:hAnsi="Times New Roman" w:cs="Times New Roman"/>
          <w:sz w:val="24"/>
          <w:szCs w:val="24"/>
        </w:rPr>
        <w:t xml:space="preserve"> w </w:t>
      </w:r>
      <w:r w:rsidRPr="00044978">
        <w:rPr>
          <w:rFonts w:ascii="Times New Roman" w:hAnsi="Times New Roman" w:cs="Times New Roman"/>
          <w:sz w:val="24"/>
          <w:szCs w:val="24"/>
        </w:rPr>
        <w:t>regionie podmiotów gospodarczych</w:t>
      </w:r>
      <w:r w:rsidR="00044978" w:rsidRPr="00044978">
        <w:rPr>
          <w:rFonts w:ascii="Times New Roman" w:hAnsi="Times New Roman" w:cs="Times New Roman"/>
          <w:sz w:val="24"/>
          <w:szCs w:val="24"/>
        </w:rPr>
        <w:t xml:space="preserve"> – </w:t>
      </w:r>
      <w:r w:rsidRPr="00044978">
        <w:rPr>
          <w:rFonts w:ascii="Times New Roman" w:hAnsi="Times New Roman" w:cs="Times New Roman"/>
          <w:sz w:val="24"/>
          <w:szCs w:val="24"/>
        </w:rPr>
        <w:t>nie zmienia się od lat</w:t>
      </w:r>
      <w:r w:rsidR="009D42DE">
        <w:rPr>
          <w:rFonts w:ascii="Times New Roman" w:hAnsi="Times New Roman" w:cs="Times New Roman"/>
          <w:sz w:val="24"/>
          <w:szCs w:val="24"/>
        </w:rPr>
        <w:t>.</w:t>
      </w:r>
      <w:r w:rsidRPr="00044978">
        <w:rPr>
          <w:rFonts w:ascii="Times New Roman" w:hAnsi="Times New Roman" w:cs="Times New Roman"/>
          <w:sz w:val="24"/>
          <w:szCs w:val="24"/>
        </w:rPr>
        <w:t xml:space="preserve"> </w:t>
      </w:r>
      <w:r w:rsidR="009D42DE" w:rsidRPr="009D42DE">
        <w:rPr>
          <w:rFonts w:ascii="Times New Roman" w:hAnsi="Times New Roman" w:cs="Times New Roman"/>
          <w:i/>
          <w:sz w:val="24"/>
          <w:szCs w:val="24"/>
        </w:rPr>
        <w:t>G</w:t>
      </w:r>
      <w:r w:rsidRPr="00044978">
        <w:rPr>
          <w:rFonts w:ascii="Times New Roman" w:hAnsi="Times New Roman" w:cs="Times New Roman"/>
          <w:i/>
          <w:sz w:val="24"/>
          <w:szCs w:val="24"/>
        </w:rPr>
        <w:t>ro</w:t>
      </w:r>
      <w:r w:rsidR="00B9244B" w:rsidRPr="00044978">
        <w:rPr>
          <w:rFonts w:ascii="Times New Roman" w:hAnsi="Times New Roman" w:cs="Times New Roman"/>
          <w:i/>
          <w:sz w:val="24"/>
          <w:szCs w:val="24"/>
        </w:rPr>
        <w:t>s</w:t>
      </w:r>
      <w:r w:rsidRPr="00044978">
        <w:rPr>
          <w:rFonts w:ascii="Times New Roman" w:hAnsi="Times New Roman" w:cs="Times New Roman"/>
          <w:sz w:val="24"/>
          <w:szCs w:val="24"/>
        </w:rPr>
        <w:t xml:space="preserve"> podmiotów stanowią mikroprzedsiębiorstwa</w:t>
      </w:r>
      <w:r w:rsidR="00E10F11" w:rsidRPr="00044978">
        <w:rPr>
          <w:rFonts w:ascii="Times New Roman" w:hAnsi="Times New Roman" w:cs="Times New Roman"/>
          <w:sz w:val="24"/>
          <w:szCs w:val="24"/>
        </w:rPr>
        <w:t xml:space="preserve"> – </w:t>
      </w:r>
      <w:r w:rsidRPr="00044978">
        <w:rPr>
          <w:rFonts w:ascii="Times New Roman" w:hAnsi="Times New Roman" w:cs="Times New Roman"/>
          <w:sz w:val="24"/>
          <w:szCs w:val="24"/>
        </w:rPr>
        <w:t>95,</w:t>
      </w:r>
      <w:r w:rsidR="00E10F11" w:rsidRPr="00044978">
        <w:rPr>
          <w:rFonts w:ascii="Times New Roman" w:hAnsi="Times New Roman" w:cs="Times New Roman"/>
          <w:sz w:val="24"/>
          <w:szCs w:val="24"/>
        </w:rPr>
        <w:t>6</w:t>
      </w:r>
      <w:r w:rsidRPr="00044978">
        <w:rPr>
          <w:rFonts w:ascii="Times New Roman" w:hAnsi="Times New Roman" w:cs="Times New Roman"/>
          <w:sz w:val="24"/>
          <w:szCs w:val="24"/>
        </w:rPr>
        <w:t>%. Kategoria łączna mikro-</w:t>
      </w:r>
      <w:r w:rsidR="00AE5712" w:rsidRPr="00044978">
        <w:rPr>
          <w:rFonts w:ascii="Times New Roman" w:hAnsi="Times New Roman" w:cs="Times New Roman"/>
          <w:sz w:val="24"/>
          <w:szCs w:val="24"/>
        </w:rPr>
        <w:t xml:space="preserve"> i </w:t>
      </w:r>
      <w:r w:rsidRPr="00044978">
        <w:rPr>
          <w:rFonts w:ascii="Times New Roman" w:hAnsi="Times New Roman" w:cs="Times New Roman"/>
          <w:sz w:val="24"/>
          <w:szCs w:val="24"/>
        </w:rPr>
        <w:t>małych przedsiębiorstw</w:t>
      </w:r>
      <w:r w:rsidR="00E10F11" w:rsidRPr="00044978">
        <w:rPr>
          <w:rFonts w:ascii="Times New Roman" w:hAnsi="Times New Roman" w:cs="Times New Roman"/>
          <w:sz w:val="24"/>
          <w:szCs w:val="24"/>
        </w:rPr>
        <w:t xml:space="preserve"> (do 49 pracowników)</w:t>
      </w:r>
      <w:r w:rsidRPr="00044978">
        <w:rPr>
          <w:rFonts w:ascii="Times New Roman" w:hAnsi="Times New Roman" w:cs="Times New Roman"/>
          <w:sz w:val="24"/>
          <w:szCs w:val="24"/>
        </w:rPr>
        <w:t xml:space="preserve"> to 99,1% wszystkich podmiotów gospodarczych</w:t>
      </w:r>
      <w:r w:rsidR="00AE5712" w:rsidRPr="00044978">
        <w:rPr>
          <w:rFonts w:ascii="Times New Roman" w:hAnsi="Times New Roman" w:cs="Times New Roman"/>
          <w:sz w:val="24"/>
          <w:szCs w:val="24"/>
        </w:rPr>
        <w:t xml:space="preserve"> w </w:t>
      </w:r>
      <w:r w:rsidRPr="00044978">
        <w:rPr>
          <w:rFonts w:ascii="Times New Roman" w:hAnsi="Times New Roman" w:cs="Times New Roman"/>
          <w:sz w:val="24"/>
          <w:szCs w:val="24"/>
        </w:rPr>
        <w:t xml:space="preserve">województwie. </w:t>
      </w:r>
    </w:p>
    <w:p w:rsidR="00B92E45" w:rsidRPr="00B357FC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 w:rsidRPr="00B357FC">
        <w:rPr>
          <w:rFonts w:ascii="Times New Roman" w:hAnsi="Times New Roman" w:cs="Times New Roman"/>
          <w:szCs w:val="24"/>
          <w:shd w:val="clear" w:color="auto" w:fill="FFFFFF" w:themeFill="background1"/>
        </w:rPr>
        <w:t xml:space="preserve">Tabela </w:t>
      </w:r>
      <w:r w:rsidR="00163CF2" w:rsidRPr="00B357FC">
        <w:rPr>
          <w:rFonts w:ascii="Times New Roman" w:hAnsi="Times New Roman" w:cs="Times New Roman"/>
          <w:szCs w:val="24"/>
          <w:shd w:val="clear" w:color="auto" w:fill="FFFFFF" w:themeFill="background1"/>
        </w:rPr>
        <w:t>7</w:t>
      </w:r>
      <w:r w:rsidRPr="00B357FC">
        <w:rPr>
          <w:rFonts w:ascii="Times New Roman" w:hAnsi="Times New Roman" w:cs="Times New Roman"/>
          <w:szCs w:val="24"/>
          <w:shd w:val="clear" w:color="auto" w:fill="FFFFFF" w:themeFill="background1"/>
        </w:rPr>
        <w:t xml:space="preserve">. </w:t>
      </w:r>
      <w:r w:rsidR="005C72B7" w:rsidRPr="00B357FC">
        <w:rPr>
          <w:rFonts w:ascii="Times New Roman" w:hAnsi="Times New Roman" w:cs="Times New Roman"/>
          <w:szCs w:val="24"/>
          <w:shd w:val="clear" w:color="auto" w:fill="FFFFFF" w:themeFill="background1"/>
        </w:rPr>
        <w:tab/>
      </w:r>
      <w:r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>Podmioty gospodarki narodowej</w:t>
      </w:r>
      <w:r w:rsidR="00AE5712"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 xml:space="preserve"> w </w:t>
      </w:r>
      <w:r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>województwie podkarpackim</w:t>
      </w:r>
      <w:r w:rsidR="00AE5712"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 xml:space="preserve"> w </w:t>
      </w:r>
      <w:r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>201</w:t>
      </w:r>
      <w:r w:rsidR="00B357FC"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>6</w:t>
      </w:r>
      <w:r w:rsidR="00AE5712" w:rsidRPr="009130E5">
        <w:rPr>
          <w:rFonts w:ascii="Times New Roman" w:hAnsi="Times New Roman" w:cs="Times New Roman"/>
          <w:b/>
          <w:szCs w:val="24"/>
          <w:shd w:val="clear" w:color="auto" w:fill="FFFFFF" w:themeFill="background1"/>
        </w:rPr>
        <w:t> r. w </w:t>
      </w:r>
      <w:r w:rsidRPr="009130E5">
        <w:rPr>
          <w:rFonts w:ascii="Times New Roman" w:hAnsi="Times New Roman" w:cs="Times New Roman"/>
          <w:b/>
          <w:szCs w:val="24"/>
        </w:rPr>
        <w:t>sektorze publicznym</w:t>
      </w:r>
      <w:r w:rsidRPr="00B357FC">
        <w:rPr>
          <w:rFonts w:ascii="Times New Roman" w:hAnsi="Times New Roman" w:cs="Times New Roman"/>
          <w:szCs w:val="24"/>
        </w:rPr>
        <w:t xml:space="preserve"> wg przewidywanej liczby pracujących (bez osób fizycznych prowadzących wyłącznie i</w:t>
      </w:r>
      <w:r w:rsidR="00235A6B" w:rsidRPr="00B357FC">
        <w:rPr>
          <w:rFonts w:ascii="Times New Roman" w:hAnsi="Times New Roman" w:cs="Times New Roman"/>
          <w:szCs w:val="24"/>
        </w:rPr>
        <w:t>ndywidualne gospodarstwa rolne)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6"/>
        <w:gridCol w:w="1270"/>
        <w:gridCol w:w="1270"/>
        <w:gridCol w:w="1270"/>
        <w:gridCol w:w="1270"/>
        <w:gridCol w:w="1265"/>
      </w:tblGrid>
      <w:tr w:rsidR="00B92E45" w:rsidRPr="00B357FC" w:rsidTr="00B927AC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D72FCD" w:rsidP="00235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34720D" w:rsidRDefault="00235A6B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s</w:t>
            </w:r>
            <w:r w:rsidR="00B92E45" w:rsidRPr="0034720D">
              <w:rPr>
                <w:rFonts w:ascii="Times New Roman" w:hAnsi="Times New Roman" w:cs="Times New Roman"/>
                <w:b/>
              </w:rPr>
              <w:t>ektor publiczny</w:t>
            </w:r>
          </w:p>
        </w:tc>
      </w:tr>
      <w:tr w:rsidR="00B92E45" w:rsidRPr="00E613EA" w:rsidTr="00FA3CB2">
        <w:trPr>
          <w:trHeight w:val="285"/>
        </w:trPr>
        <w:tc>
          <w:tcPr>
            <w:tcW w:w="977" w:type="pct"/>
            <w:vMerge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hideMark/>
          </w:tcPr>
          <w:p w:rsidR="00B92E45" w:rsidRPr="0034720D" w:rsidRDefault="00B92E45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235A6B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r</w:t>
            </w:r>
            <w:r w:rsidR="00B92E45" w:rsidRPr="0034720D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681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34720D" w:rsidRDefault="00B92E45" w:rsidP="00C90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B357FC" w:rsidRPr="00E613EA" w:rsidTr="00920D43">
        <w:trPr>
          <w:trHeight w:val="285"/>
        </w:trPr>
        <w:tc>
          <w:tcPr>
            <w:tcW w:w="9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57FC" w:rsidRPr="0034720D" w:rsidRDefault="00B357FC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31 XII ‘15</w:t>
            </w:r>
          </w:p>
        </w:tc>
        <w:tc>
          <w:tcPr>
            <w:tcW w:w="606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5 994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3 323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1 998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606</w:t>
            </w:r>
          </w:p>
        </w:tc>
        <w:tc>
          <w:tcPr>
            <w:tcW w:w="68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B357FC" w:rsidRPr="0034720D" w:rsidRDefault="00B357FC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855E6D" w:rsidRPr="00E613EA" w:rsidTr="00920D43">
        <w:trPr>
          <w:trHeight w:val="285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855E6D" w:rsidRPr="0034720D" w:rsidRDefault="00855E6D" w:rsidP="00920D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31 XII ‘16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6 017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3 356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1 990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:rsidR="00855E6D" w:rsidRPr="0034720D" w:rsidRDefault="00855E6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B357FC" w:rsidRPr="00E613EA" w:rsidTr="00920D43">
        <w:trPr>
          <w:trHeight w:val="285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B357FC" w:rsidRPr="0034720D" w:rsidRDefault="00B357FC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B357FC" w:rsidRPr="0034720D" w:rsidRDefault="0076336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B357FC" w:rsidRPr="0034720D" w:rsidRDefault="0076336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B357FC" w:rsidRPr="0034720D" w:rsidRDefault="00855E6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B357FC" w:rsidRPr="0034720D" w:rsidRDefault="00855E6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B357FC" w:rsidRPr="0034720D" w:rsidRDefault="00855E6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1" w:type="pct"/>
            <w:shd w:val="clear" w:color="auto" w:fill="auto"/>
            <w:noWrap/>
            <w:vAlign w:val="center"/>
          </w:tcPr>
          <w:p w:rsidR="00B357FC" w:rsidRPr="0034720D" w:rsidRDefault="00855E6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FA3CB2" w:rsidRDefault="00FA3CB2" w:rsidP="00FA3CB2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</w:p>
    <w:p w:rsidR="00DA5DC7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DA5DC7">
        <w:rPr>
          <w:rFonts w:ascii="Times New Roman" w:hAnsi="Times New Roman" w:cs="Times New Roman"/>
          <w:sz w:val="18"/>
          <w:szCs w:val="18"/>
        </w:rPr>
        <w:t xml:space="preserve">Wykres </w:t>
      </w:r>
      <w:r w:rsidR="00E10F11" w:rsidRPr="00DA5DC7">
        <w:rPr>
          <w:rFonts w:ascii="Times New Roman" w:hAnsi="Times New Roman" w:cs="Times New Roman"/>
          <w:sz w:val="18"/>
          <w:szCs w:val="18"/>
        </w:rPr>
        <w:t>5</w:t>
      </w:r>
      <w:r w:rsidRPr="00DA5DC7">
        <w:rPr>
          <w:rFonts w:ascii="Times New Roman" w:hAnsi="Times New Roman" w:cs="Times New Roman"/>
          <w:sz w:val="18"/>
          <w:szCs w:val="18"/>
        </w:rPr>
        <w:t xml:space="preserve">. </w:t>
      </w:r>
      <w:r w:rsidR="00DA5DC7">
        <w:rPr>
          <w:rFonts w:ascii="Times New Roman" w:hAnsi="Times New Roman" w:cs="Times New Roman"/>
          <w:sz w:val="18"/>
          <w:szCs w:val="18"/>
        </w:rPr>
        <w:t xml:space="preserve">    </w:t>
      </w:r>
      <w:r w:rsidRPr="00DA5DC7">
        <w:rPr>
          <w:rFonts w:ascii="Times New Roman" w:hAnsi="Times New Roman" w:cs="Times New Roman"/>
          <w:sz w:val="18"/>
          <w:szCs w:val="18"/>
        </w:rPr>
        <w:t>Podmioty gospodarki narodowej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 </w:t>
      </w:r>
      <w:r w:rsidRPr="00DA5DC7">
        <w:rPr>
          <w:rFonts w:ascii="Times New Roman" w:hAnsi="Times New Roman" w:cs="Times New Roman"/>
          <w:sz w:val="18"/>
          <w:szCs w:val="18"/>
        </w:rPr>
        <w:t>województwie podkarpackim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 </w:t>
      </w:r>
      <w:r w:rsidRPr="00DA5DC7">
        <w:rPr>
          <w:rFonts w:ascii="Times New Roman" w:hAnsi="Times New Roman" w:cs="Times New Roman"/>
          <w:sz w:val="18"/>
          <w:szCs w:val="18"/>
        </w:rPr>
        <w:t>201</w:t>
      </w:r>
      <w:r w:rsidR="00B357FC" w:rsidRPr="00DA5DC7">
        <w:rPr>
          <w:rFonts w:ascii="Times New Roman" w:hAnsi="Times New Roman" w:cs="Times New Roman"/>
          <w:sz w:val="18"/>
          <w:szCs w:val="18"/>
        </w:rPr>
        <w:t>6</w:t>
      </w:r>
      <w:r w:rsidR="00AE5712" w:rsidRPr="00DA5DC7">
        <w:rPr>
          <w:rFonts w:ascii="Times New Roman" w:hAnsi="Times New Roman" w:cs="Times New Roman"/>
          <w:sz w:val="18"/>
          <w:szCs w:val="18"/>
        </w:rPr>
        <w:t> r. w </w:t>
      </w:r>
      <w:r w:rsidR="00DA5DC7">
        <w:rPr>
          <w:rFonts w:ascii="Times New Roman" w:hAnsi="Times New Roman" w:cs="Times New Roman"/>
          <w:sz w:val="18"/>
          <w:szCs w:val="18"/>
        </w:rPr>
        <w:t>sektorze publicznym wg</w:t>
      </w:r>
    </w:p>
    <w:p w:rsidR="00DA5DC7" w:rsidRDefault="00DA5DC7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92E45" w:rsidRPr="00DA5DC7">
        <w:rPr>
          <w:rFonts w:ascii="Times New Roman" w:hAnsi="Times New Roman" w:cs="Times New Roman"/>
          <w:sz w:val="18"/>
          <w:szCs w:val="18"/>
        </w:rPr>
        <w:t>przewidywanej liczby pracujących (bez osób fizycznych prowadzących wyłącznie indywidualne gospodarstwa</w:t>
      </w:r>
    </w:p>
    <w:p w:rsidR="00B92E45" w:rsidRPr="00DA5DC7" w:rsidRDefault="00DA5DC7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B92E45" w:rsidRPr="00DA5DC7">
        <w:rPr>
          <w:rFonts w:ascii="Times New Roman" w:hAnsi="Times New Roman" w:cs="Times New Roman"/>
          <w:sz w:val="18"/>
          <w:szCs w:val="18"/>
        </w:rPr>
        <w:t xml:space="preserve"> rolne)</w:t>
      </w:r>
    </w:p>
    <w:p w:rsidR="00DE2EF0" w:rsidRDefault="00855E6D" w:rsidP="00855E6D">
      <w:pPr>
        <w:pStyle w:val="Bezodstpw"/>
        <w:jc w:val="center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inline distT="0" distB="0" distL="0" distR="0" wp14:anchorId="4F67B387" wp14:editId="585F1E0E">
            <wp:extent cx="4514850" cy="1590675"/>
            <wp:effectExtent l="0" t="0" r="0" b="0"/>
            <wp:docPr id="9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68503C" w:rsidRDefault="0068503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</w:p>
    <w:p w:rsidR="00B92E45" w:rsidRPr="00ED3688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 w:rsidRPr="00ED3688">
        <w:rPr>
          <w:rFonts w:ascii="Times New Roman" w:hAnsi="Times New Roman" w:cs="Times New Roman"/>
          <w:szCs w:val="24"/>
        </w:rPr>
        <w:t xml:space="preserve">Tabela </w:t>
      </w:r>
      <w:r w:rsidR="00163CF2" w:rsidRPr="00ED3688">
        <w:rPr>
          <w:rFonts w:ascii="Times New Roman" w:hAnsi="Times New Roman" w:cs="Times New Roman"/>
          <w:szCs w:val="24"/>
        </w:rPr>
        <w:t>8</w:t>
      </w:r>
      <w:r w:rsidRPr="00ED3688">
        <w:rPr>
          <w:rFonts w:ascii="Times New Roman" w:hAnsi="Times New Roman" w:cs="Times New Roman"/>
          <w:szCs w:val="24"/>
        </w:rPr>
        <w:t xml:space="preserve">. </w:t>
      </w:r>
      <w:r w:rsidR="005C72B7" w:rsidRPr="00ED3688">
        <w:rPr>
          <w:rFonts w:ascii="Times New Roman" w:hAnsi="Times New Roman" w:cs="Times New Roman"/>
          <w:szCs w:val="24"/>
        </w:rPr>
        <w:tab/>
      </w:r>
      <w:r w:rsidRPr="009130E5">
        <w:rPr>
          <w:rFonts w:ascii="Times New Roman" w:hAnsi="Times New Roman" w:cs="Times New Roman"/>
          <w:b/>
          <w:szCs w:val="24"/>
        </w:rPr>
        <w:t>Podmioty gospodarki narodowej</w:t>
      </w:r>
      <w:r w:rsidR="00AE5712" w:rsidRPr="009130E5">
        <w:rPr>
          <w:rFonts w:ascii="Times New Roman" w:hAnsi="Times New Roman" w:cs="Times New Roman"/>
          <w:b/>
          <w:szCs w:val="24"/>
        </w:rPr>
        <w:t xml:space="preserve"> w </w:t>
      </w:r>
      <w:r w:rsidRPr="009130E5">
        <w:rPr>
          <w:rFonts w:ascii="Times New Roman" w:hAnsi="Times New Roman" w:cs="Times New Roman"/>
          <w:b/>
          <w:szCs w:val="24"/>
        </w:rPr>
        <w:t>województwie podkarpackim</w:t>
      </w:r>
      <w:r w:rsidR="00AE5712" w:rsidRPr="009130E5">
        <w:rPr>
          <w:rFonts w:ascii="Times New Roman" w:hAnsi="Times New Roman" w:cs="Times New Roman"/>
          <w:b/>
          <w:szCs w:val="24"/>
        </w:rPr>
        <w:t xml:space="preserve"> w </w:t>
      </w:r>
      <w:r w:rsidRPr="009130E5">
        <w:rPr>
          <w:rFonts w:ascii="Times New Roman" w:hAnsi="Times New Roman" w:cs="Times New Roman"/>
          <w:b/>
          <w:szCs w:val="24"/>
        </w:rPr>
        <w:t>201</w:t>
      </w:r>
      <w:r w:rsidR="00ED3688" w:rsidRPr="009130E5">
        <w:rPr>
          <w:rFonts w:ascii="Times New Roman" w:hAnsi="Times New Roman" w:cs="Times New Roman"/>
          <w:b/>
          <w:szCs w:val="24"/>
        </w:rPr>
        <w:t>6</w:t>
      </w:r>
      <w:r w:rsidR="00AE5712" w:rsidRPr="009130E5">
        <w:rPr>
          <w:rFonts w:ascii="Times New Roman" w:hAnsi="Times New Roman" w:cs="Times New Roman"/>
          <w:b/>
          <w:szCs w:val="24"/>
        </w:rPr>
        <w:t> r. w </w:t>
      </w:r>
      <w:r w:rsidRPr="009130E5">
        <w:rPr>
          <w:rFonts w:ascii="Times New Roman" w:hAnsi="Times New Roman" w:cs="Times New Roman"/>
          <w:b/>
          <w:szCs w:val="24"/>
        </w:rPr>
        <w:t>sektorze prywatnym</w:t>
      </w:r>
      <w:r w:rsidRPr="00ED3688">
        <w:rPr>
          <w:rFonts w:ascii="Times New Roman" w:hAnsi="Times New Roman" w:cs="Times New Roman"/>
          <w:szCs w:val="24"/>
        </w:rPr>
        <w:t xml:space="preserve"> wg przewidywanej liczby pracujących (bez osób fizycznych prowadzących wyłącznie indywidualne gospodarstwa rolne)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6"/>
        <w:gridCol w:w="1270"/>
        <w:gridCol w:w="1270"/>
        <w:gridCol w:w="1270"/>
        <w:gridCol w:w="1270"/>
        <w:gridCol w:w="1265"/>
      </w:tblGrid>
      <w:tr w:rsidR="00B92E45" w:rsidRPr="00E613EA" w:rsidTr="0034720D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27F2A" w:rsidP="00235A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34720D" w:rsidRDefault="00235A6B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s</w:t>
            </w:r>
            <w:r w:rsidR="00B92E45" w:rsidRPr="0034720D">
              <w:rPr>
                <w:rFonts w:ascii="Times New Roman" w:hAnsi="Times New Roman" w:cs="Times New Roman"/>
                <w:b/>
              </w:rPr>
              <w:t>ektor prywatny</w:t>
            </w:r>
          </w:p>
        </w:tc>
      </w:tr>
      <w:tr w:rsidR="00B92E45" w:rsidRPr="00E613EA" w:rsidTr="0034720D">
        <w:trPr>
          <w:trHeight w:val="285"/>
        </w:trPr>
        <w:tc>
          <w:tcPr>
            <w:tcW w:w="977" w:type="pct"/>
            <w:vMerge/>
            <w:shd w:val="clear" w:color="auto" w:fill="E5DFEC" w:themeFill="accent4" w:themeFillTint="33"/>
            <w:noWrap/>
            <w:hideMark/>
          </w:tcPr>
          <w:p w:rsidR="00B92E45" w:rsidRPr="0034720D" w:rsidRDefault="00B92E45" w:rsidP="009E3AF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235A6B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r</w:t>
            </w:r>
            <w:r w:rsidR="00B92E45" w:rsidRPr="0034720D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682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34720D" w:rsidRDefault="00B92E45" w:rsidP="00FA3C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720D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FA3CB2" w:rsidRPr="00E613EA" w:rsidTr="0034720D">
        <w:trPr>
          <w:trHeight w:val="285"/>
        </w:trPr>
        <w:tc>
          <w:tcPr>
            <w:tcW w:w="977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31 XII ‘15</w:t>
            </w:r>
          </w:p>
        </w:tc>
        <w:tc>
          <w:tcPr>
            <w:tcW w:w="606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158 141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153 446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3 929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643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682" w:type="pct"/>
            <w:shd w:val="clear" w:color="auto" w:fill="FFFFFF" w:themeFill="background1"/>
            <w:noWrap/>
            <w:vAlign w:val="center"/>
          </w:tcPr>
          <w:p w:rsidR="00FA3CB2" w:rsidRPr="0034720D" w:rsidRDefault="00FA3CB2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</w:tr>
      <w:tr w:rsidR="0034720D" w:rsidRPr="00E613EA" w:rsidTr="0034720D">
        <w:trPr>
          <w:trHeight w:val="285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34720D" w:rsidRPr="0034720D" w:rsidRDefault="0034720D" w:rsidP="00920D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31 XII ‘16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160 548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155 819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3 959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647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103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34720D" w:rsidRPr="0034720D" w:rsidRDefault="0034720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</w:p>
        </w:tc>
      </w:tr>
      <w:tr w:rsidR="00FA3CB2" w:rsidRPr="00E613EA" w:rsidTr="0034720D">
        <w:trPr>
          <w:trHeight w:val="285"/>
        </w:trPr>
        <w:tc>
          <w:tcPr>
            <w:tcW w:w="977" w:type="pct"/>
            <w:shd w:val="clear" w:color="auto" w:fill="auto"/>
            <w:noWrap/>
            <w:vAlign w:val="center"/>
            <w:hideMark/>
          </w:tcPr>
          <w:p w:rsidR="00FA3CB2" w:rsidRPr="0034720D" w:rsidRDefault="00FA3CB2" w:rsidP="00920D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4720D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6" w:type="pct"/>
            <w:shd w:val="clear" w:color="auto" w:fill="auto"/>
            <w:noWrap/>
            <w:vAlign w:val="center"/>
          </w:tcPr>
          <w:p w:rsidR="00FA3CB2" w:rsidRPr="009130E5" w:rsidRDefault="0034720D" w:rsidP="009130E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2 40</w:t>
            </w:r>
            <w:r w:rsidR="009130E5" w:rsidRPr="009130E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FA3CB2" w:rsidRPr="009130E5" w:rsidRDefault="0034720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2 373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FA3CB2" w:rsidRPr="009130E5" w:rsidRDefault="0034720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FA3CB2" w:rsidRPr="009130E5" w:rsidRDefault="0034720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84" w:type="pct"/>
            <w:shd w:val="clear" w:color="auto" w:fill="auto"/>
            <w:noWrap/>
            <w:vAlign w:val="center"/>
          </w:tcPr>
          <w:p w:rsidR="00FA3CB2" w:rsidRPr="009130E5" w:rsidRDefault="0034720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82" w:type="pct"/>
            <w:shd w:val="clear" w:color="auto" w:fill="auto"/>
            <w:noWrap/>
            <w:vAlign w:val="center"/>
          </w:tcPr>
          <w:p w:rsidR="00FA3CB2" w:rsidRPr="009130E5" w:rsidRDefault="0034720D" w:rsidP="00920D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130E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DA5DC7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DA5DC7">
        <w:rPr>
          <w:rFonts w:ascii="Times New Roman" w:hAnsi="Times New Roman" w:cs="Times New Roman"/>
          <w:sz w:val="18"/>
          <w:szCs w:val="18"/>
        </w:rPr>
        <w:t xml:space="preserve">Wykres </w:t>
      </w:r>
      <w:r w:rsidR="00E10F11" w:rsidRPr="00DA5DC7">
        <w:rPr>
          <w:rFonts w:ascii="Times New Roman" w:hAnsi="Times New Roman" w:cs="Times New Roman"/>
          <w:sz w:val="18"/>
          <w:szCs w:val="18"/>
        </w:rPr>
        <w:t>6</w:t>
      </w:r>
      <w:r w:rsidRPr="00DA5DC7">
        <w:rPr>
          <w:rFonts w:ascii="Times New Roman" w:hAnsi="Times New Roman" w:cs="Times New Roman"/>
          <w:sz w:val="18"/>
          <w:szCs w:val="18"/>
        </w:rPr>
        <w:t xml:space="preserve">. </w:t>
      </w:r>
      <w:r w:rsidR="00DA5DC7">
        <w:rPr>
          <w:rFonts w:ascii="Times New Roman" w:hAnsi="Times New Roman" w:cs="Times New Roman"/>
          <w:sz w:val="18"/>
          <w:szCs w:val="18"/>
        </w:rPr>
        <w:t xml:space="preserve">   </w:t>
      </w:r>
      <w:r w:rsidRPr="00DA5DC7">
        <w:rPr>
          <w:rFonts w:ascii="Times New Roman" w:hAnsi="Times New Roman" w:cs="Times New Roman"/>
          <w:sz w:val="18"/>
          <w:szCs w:val="18"/>
        </w:rPr>
        <w:t>Podmioty gospodarki narodowej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 </w:t>
      </w:r>
      <w:r w:rsidRPr="00DA5DC7">
        <w:rPr>
          <w:rFonts w:ascii="Times New Roman" w:hAnsi="Times New Roman" w:cs="Times New Roman"/>
          <w:sz w:val="18"/>
          <w:szCs w:val="18"/>
        </w:rPr>
        <w:t>województwie podkarpackim</w:t>
      </w:r>
      <w:r w:rsidR="00AE5712" w:rsidRPr="00DA5DC7">
        <w:rPr>
          <w:rFonts w:ascii="Times New Roman" w:hAnsi="Times New Roman" w:cs="Times New Roman"/>
          <w:sz w:val="18"/>
          <w:szCs w:val="18"/>
        </w:rPr>
        <w:t xml:space="preserve"> w </w:t>
      </w:r>
      <w:r w:rsidRPr="00DA5DC7">
        <w:rPr>
          <w:rFonts w:ascii="Times New Roman" w:hAnsi="Times New Roman" w:cs="Times New Roman"/>
          <w:sz w:val="18"/>
          <w:szCs w:val="18"/>
        </w:rPr>
        <w:t>201</w:t>
      </w:r>
      <w:r w:rsidR="00ED3688" w:rsidRPr="00DA5DC7">
        <w:rPr>
          <w:rFonts w:ascii="Times New Roman" w:hAnsi="Times New Roman" w:cs="Times New Roman"/>
          <w:sz w:val="18"/>
          <w:szCs w:val="18"/>
        </w:rPr>
        <w:t>6</w:t>
      </w:r>
      <w:r w:rsidR="00AE5712" w:rsidRPr="00DA5DC7">
        <w:rPr>
          <w:rFonts w:ascii="Times New Roman" w:hAnsi="Times New Roman" w:cs="Times New Roman"/>
          <w:sz w:val="18"/>
          <w:szCs w:val="18"/>
        </w:rPr>
        <w:t> r. w </w:t>
      </w:r>
      <w:r w:rsidRPr="00DA5DC7">
        <w:rPr>
          <w:rFonts w:ascii="Times New Roman" w:hAnsi="Times New Roman" w:cs="Times New Roman"/>
          <w:sz w:val="18"/>
          <w:szCs w:val="18"/>
        </w:rPr>
        <w:t>sektorze prywatnym wg</w:t>
      </w:r>
    </w:p>
    <w:p w:rsidR="00DA5DC7" w:rsidRDefault="00DA5DC7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B92E45" w:rsidRPr="00DA5DC7">
        <w:rPr>
          <w:rFonts w:ascii="Times New Roman" w:hAnsi="Times New Roman" w:cs="Times New Roman"/>
          <w:sz w:val="18"/>
          <w:szCs w:val="18"/>
        </w:rPr>
        <w:t xml:space="preserve"> przewidywanej liczby pracujących (bez osób fizycznych prowadzących wyłącznie indywidualne gospodarstwa</w:t>
      </w:r>
    </w:p>
    <w:p w:rsidR="00B92E45" w:rsidRPr="00DA5DC7" w:rsidRDefault="00DA5DC7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B92E45" w:rsidRPr="00DA5DC7">
        <w:rPr>
          <w:rFonts w:ascii="Times New Roman" w:hAnsi="Times New Roman" w:cs="Times New Roman"/>
          <w:sz w:val="18"/>
          <w:szCs w:val="18"/>
        </w:rPr>
        <w:t xml:space="preserve"> rolne)</w:t>
      </w:r>
    </w:p>
    <w:p w:rsidR="00F0505E" w:rsidRPr="00E613EA" w:rsidRDefault="0034720D" w:rsidP="00B92E45">
      <w:pPr>
        <w:pStyle w:val="Bezodstpw"/>
        <w:jc w:val="both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59616" behindDoc="1" locked="0" layoutInCell="1" allowOverlap="1" wp14:anchorId="5410DB06" wp14:editId="25AF4A26">
            <wp:simplePos x="0" y="0"/>
            <wp:positionH relativeFrom="column">
              <wp:posOffset>619125</wp:posOffset>
            </wp:positionH>
            <wp:positionV relativeFrom="paragraph">
              <wp:posOffset>55880</wp:posOffset>
            </wp:positionV>
            <wp:extent cx="4613275" cy="1543685"/>
            <wp:effectExtent l="0" t="0" r="0" b="0"/>
            <wp:wrapTight wrapText="bothSides">
              <wp:wrapPolygon edited="0">
                <wp:start x="9276" y="267"/>
                <wp:lineTo x="624" y="800"/>
                <wp:lineTo x="446" y="3199"/>
                <wp:lineTo x="2141" y="5065"/>
                <wp:lineTo x="892" y="5331"/>
                <wp:lineTo x="714" y="5864"/>
                <wp:lineTo x="624" y="12262"/>
                <wp:lineTo x="1070" y="13594"/>
                <wp:lineTo x="2141" y="13594"/>
                <wp:lineTo x="803" y="15194"/>
                <wp:lineTo x="803" y="15993"/>
                <wp:lineTo x="2141" y="17859"/>
                <wp:lineTo x="892" y="18126"/>
                <wp:lineTo x="1338" y="21058"/>
                <wp:lineTo x="19266" y="21325"/>
                <wp:lineTo x="20336" y="21325"/>
                <wp:lineTo x="20426" y="21058"/>
                <wp:lineTo x="20872" y="17859"/>
                <wp:lineTo x="20782" y="14927"/>
                <wp:lineTo x="20604" y="12795"/>
                <wp:lineTo x="18107" y="11995"/>
                <wp:lineTo x="6779" y="9329"/>
                <wp:lineTo x="8384" y="9329"/>
                <wp:lineTo x="13736" y="6131"/>
                <wp:lineTo x="13736" y="5065"/>
                <wp:lineTo x="14271" y="1333"/>
                <wp:lineTo x="13736" y="800"/>
                <wp:lineTo x="10347" y="267"/>
                <wp:lineTo x="9276" y="267"/>
              </wp:wrapPolygon>
            </wp:wrapTight>
            <wp:docPr id="16" name="Wykres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2E45" w:rsidRDefault="00B92E45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8503C" w:rsidRDefault="0068503C" w:rsidP="0068503C">
      <w:pPr>
        <w:spacing w:after="0" w:line="240" w:lineRule="auto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ED3688" w:rsidRDefault="00ED3688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B92E45" w:rsidRPr="009130E5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 w:rsidRPr="009130E5">
        <w:rPr>
          <w:rFonts w:ascii="Times New Roman" w:hAnsi="Times New Roman" w:cs="Times New Roman"/>
          <w:szCs w:val="24"/>
        </w:rPr>
        <w:lastRenderedPageBreak/>
        <w:t xml:space="preserve">Tabela </w:t>
      </w:r>
      <w:r w:rsidR="00F0505E" w:rsidRPr="009130E5">
        <w:rPr>
          <w:rFonts w:ascii="Times New Roman" w:hAnsi="Times New Roman" w:cs="Times New Roman"/>
          <w:szCs w:val="24"/>
        </w:rPr>
        <w:t>9</w:t>
      </w:r>
      <w:r w:rsidRPr="009130E5">
        <w:rPr>
          <w:rFonts w:ascii="Times New Roman" w:hAnsi="Times New Roman" w:cs="Times New Roman"/>
          <w:szCs w:val="24"/>
        </w:rPr>
        <w:t>.</w:t>
      </w:r>
      <w:r w:rsidR="005C72B7" w:rsidRPr="009130E5">
        <w:rPr>
          <w:rFonts w:ascii="Times New Roman" w:hAnsi="Times New Roman" w:cs="Times New Roman"/>
          <w:szCs w:val="24"/>
        </w:rPr>
        <w:tab/>
      </w:r>
      <w:r w:rsidRPr="009130E5">
        <w:rPr>
          <w:rFonts w:ascii="Times New Roman" w:hAnsi="Times New Roman" w:cs="Times New Roman"/>
          <w:b/>
          <w:szCs w:val="24"/>
        </w:rPr>
        <w:t xml:space="preserve">Osoby fizyczne </w:t>
      </w:r>
      <w:r w:rsidR="009130E5" w:rsidRPr="009130E5">
        <w:rPr>
          <w:rFonts w:ascii="Times New Roman" w:hAnsi="Times New Roman" w:cs="Times New Roman"/>
          <w:b/>
          <w:szCs w:val="24"/>
        </w:rPr>
        <w:t>prowadzące działalność gospodarczą w 2016 r.</w:t>
      </w:r>
      <w:r w:rsidR="009130E5" w:rsidRPr="009130E5">
        <w:rPr>
          <w:rFonts w:ascii="Times New Roman" w:hAnsi="Times New Roman" w:cs="Times New Roman"/>
          <w:szCs w:val="24"/>
        </w:rPr>
        <w:t xml:space="preserve"> </w:t>
      </w:r>
      <w:r w:rsidR="00AE5712" w:rsidRPr="009130E5">
        <w:rPr>
          <w:rFonts w:ascii="Times New Roman" w:hAnsi="Times New Roman" w:cs="Times New Roman"/>
          <w:szCs w:val="24"/>
        </w:rPr>
        <w:t>w </w:t>
      </w:r>
      <w:r w:rsidRPr="009130E5">
        <w:rPr>
          <w:rFonts w:ascii="Times New Roman" w:hAnsi="Times New Roman" w:cs="Times New Roman"/>
          <w:szCs w:val="24"/>
        </w:rPr>
        <w:t>sektorze prywatnym wg przewidywanej liczby pracujących (bez osób fizycznych prowadzących wyłącznie indywidualne gospodarstwa rolne)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1815"/>
        <w:gridCol w:w="1128"/>
        <w:gridCol w:w="1270"/>
        <w:gridCol w:w="1270"/>
        <w:gridCol w:w="1270"/>
        <w:gridCol w:w="1270"/>
        <w:gridCol w:w="1263"/>
      </w:tblGrid>
      <w:tr w:rsidR="00B92E45" w:rsidRPr="00E613EA" w:rsidTr="00277027">
        <w:trPr>
          <w:trHeight w:val="285"/>
        </w:trPr>
        <w:tc>
          <w:tcPr>
            <w:tcW w:w="977" w:type="pct"/>
            <w:vMerge w:val="restar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9130E5" w:rsidP="00E62DA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E5750">
              <w:rPr>
                <w:rFonts w:ascii="Times New Roman" w:hAnsi="Times New Roman" w:cs="Times New Roman"/>
                <w:b/>
              </w:rPr>
              <w:t>stan na</w:t>
            </w:r>
          </w:p>
        </w:tc>
        <w:tc>
          <w:tcPr>
            <w:tcW w:w="4023" w:type="pct"/>
            <w:gridSpan w:val="6"/>
            <w:shd w:val="clear" w:color="auto" w:fill="E5DFEC" w:themeFill="accent4" w:themeFillTint="33"/>
            <w:noWrap/>
            <w:hideMark/>
          </w:tcPr>
          <w:p w:rsidR="00B92E45" w:rsidRPr="00DE5750" w:rsidRDefault="00235A6B" w:rsidP="00235A6B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E5750">
              <w:rPr>
                <w:rFonts w:ascii="Times New Roman" w:hAnsi="Times New Roman" w:cs="Times New Roman"/>
                <w:b/>
              </w:rPr>
              <w:t>o</w:t>
            </w:r>
            <w:r w:rsidR="00B92E45" w:rsidRPr="00DE5750">
              <w:rPr>
                <w:rFonts w:ascii="Times New Roman" w:hAnsi="Times New Roman" w:cs="Times New Roman"/>
                <w:b/>
              </w:rPr>
              <w:t>soby fizyczne</w:t>
            </w:r>
            <w:r w:rsidR="00AE5712" w:rsidRPr="00DE5750">
              <w:rPr>
                <w:rFonts w:ascii="Times New Roman" w:hAnsi="Times New Roman" w:cs="Times New Roman"/>
                <w:b/>
              </w:rPr>
              <w:t xml:space="preserve"> w </w:t>
            </w:r>
            <w:r w:rsidR="00B92E45" w:rsidRPr="00DE5750">
              <w:rPr>
                <w:rFonts w:ascii="Times New Roman" w:hAnsi="Times New Roman" w:cs="Times New Roman"/>
                <w:b/>
              </w:rPr>
              <w:t>sektorze prywatnym</w:t>
            </w:r>
          </w:p>
        </w:tc>
      </w:tr>
      <w:tr w:rsidR="00B92E45" w:rsidRPr="00E613EA" w:rsidTr="00277027">
        <w:trPr>
          <w:trHeight w:val="285"/>
        </w:trPr>
        <w:tc>
          <w:tcPr>
            <w:tcW w:w="977" w:type="pct"/>
            <w:vMerge/>
            <w:shd w:val="clear" w:color="auto" w:fill="E5DFEC" w:themeFill="accent4" w:themeFillTint="33"/>
            <w:noWrap/>
            <w:hideMark/>
          </w:tcPr>
          <w:p w:rsidR="00B92E45" w:rsidRPr="00DE5750" w:rsidRDefault="00B92E45" w:rsidP="009E3AFD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607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235A6B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r</w:t>
            </w:r>
            <w:r w:rsidR="00B92E45" w:rsidRPr="00DE5750">
              <w:rPr>
                <w:rFonts w:ascii="Times New Roman" w:hAnsi="Times New Roman" w:cs="Times New Roman"/>
                <w:b/>
              </w:rPr>
              <w:t>azem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0-9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10-49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50-249</w:t>
            </w:r>
          </w:p>
        </w:tc>
        <w:tc>
          <w:tcPr>
            <w:tcW w:w="684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250-999</w:t>
            </w:r>
          </w:p>
        </w:tc>
        <w:tc>
          <w:tcPr>
            <w:tcW w:w="681" w:type="pct"/>
            <w:shd w:val="clear" w:color="auto" w:fill="E5DFEC" w:themeFill="accent4" w:themeFillTint="33"/>
            <w:noWrap/>
            <w:vAlign w:val="center"/>
            <w:hideMark/>
          </w:tcPr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1000</w:t>
            </w:r>
          </w:p>
          <w:p w:rsidR="00B92E45" w:rsidRPr="00DE5750" w:rsidRDefault="00B92E45" w:rsidP="00CE3B4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5750">
              <w:rPr>
                <w:rFonts w:ascii="Times New Roman" w:hAnsi="Times New Roman" w:cs="Times New Roman"/>
                <w:b/>
              </w:rPr>
              <w:t>i więcej</w:t>
            </w:r>
          </w:p>
        </w:tc>
      </w:tr>
      <w:tr w:rsidR="00CE3B4A" w:rsidRPr="00E613EA" w:rsidTr="00277027">
        <w:trPr>
          <w:trHeight w:val="285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CE3B4A" w:rsidRPr="00DE5750" w:rsidRDefault="00CE3B4A" w:rsidP="00CE3B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31 XII ‘15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122 549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121 391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1 123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FFFFFF" w:themeFill="background1"/>
            <w:noWrap/>
            <w:vAlign w:val="center"/>
          </w:tcPr>
          <w:p w:rsidR="00CE3B4A" w:rsidRPr="00DE5750" w:rsidRDefault="00CE3B4A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77027" w:rsidRPr="00E613EA" w:rsidTr="00277027">
        <w:trPr>
          <w:trHeight w:val="285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277027" w:rsidRPr="00DE5750" w:rsidRDefault="00277027" w:rsidP="00CE3B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31 XII ‘16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123 175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122 013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1 130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81" w:type="pct"/>
            <w:shd w:val="clear" w:color="auto" w:fill="FFFFFF" w:themeFill="background1"/>
            <w:noWrap/>
            <w:vAlign w:val="center"/>
          </w:tcPr>
          <w:p w:rsidR="00277027" w:rsidRPr="00DE5750" w:rsidRDefault="002770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CE3B4A" w:rsidRPr="00E613EA" w:rsidTr="00277027">
        <w:trPr>
          <w:trHeight w:val="285"/>
        </w:trPr>
        <w:tc>
          <w:tcPr>
            <w:tcW w:w="977" w:type="pct"/>
            <w:shd w:val="clear" w:color="auto" w:fill="FFFFFF" w:themeFill="background1"/>
            <w:noWrap/>
            <w:vAlign w:val="center"/>
            <w:hideMark/>
          </w:tcPr>
          <w:p w:rsidR="00CE3B4A" w:rsidRPr="00DE5750" w:rsidRDefault="00CE3B4A" w:rsidP="00CE3B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wzrost/spadek</w:t>
            </w:r>
          </w:p>
        </w:tc>
        <w:tc>
          <w:tcPr>
            <w:tcW w:w="607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626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107D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84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81" w:type="pct"/>
            <w:shd w:val="clear" w:color="auto" w:fill="FFFFFF" w:themeFill="background1"/>
            <w:noWrap/>
            <w:vAlign w:val="center"/>
          </w:tcPr>
          <w:p w:rsidR="00CE3B4A" w:rsidRPr="00DE5750" w:rsidRDefault="00277027" w:rsidP="00CE3B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575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</w:tbl>
    <w:p w:rsidR="00F0505E" w:rsidRPr="00E613EA" w:rsidRDefault="00F0505E" w:rsidP="00B92E45">
      <w:pPr>
        <w:pStyle w:val="Bezodstpw"/>
        <w:jc w:val="both"/>
        <w:rPr>
          <w:rFonts w:ascii="Times New Roman" w:hAnsi="Times New Roman" w:cs="Times New Roman"/>
          <w:szCs w:val="24"/>
          <w:highlight w:val="yellow"/>
        </w:rPr>
      </w:pPr>
    </w:p>
    <w:p w:rsidR="00F95D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95DD3">
        <w:rPr>
          <w:rFonts w:ascii="Times New Roman" w:hAnsi="Times New Roman" w:cs="Times New Roman"/>
          <w:sz w:val="18"/>
          <w:szCs w:val="18"/>
        </w:rPr>
        <w:t xml:space="preserve">Wykres </w:t>
      </w:r>
      <w:r w:rsidR="00DA5DC7" w:rsidRPr="00F95DD3">
        <w:rPr>
          <w:rFonts w:ascii="Times New Roman" w:hAnsi="Times New Roman" w:cs="Times New Roman"/>
          <w:sz w:val="18"/>
          <w:szCs w:val="18"/>
        </w:rPr>
        <w:t>7</w:t>
      </w:r>
      <w:r w:rsidR="00F0505E" w:rsidRPr="00F95DD3">
        <w:rPr>
          <w:rFonts w:ascii="Times New Roman" w:hAnsi="Times New Roman" w:cs="Times New Roman"/>
          <w:sz w:val="18"/>
          <w:szCs w:val="18"/>
        </w:rPr>
        <w:t>.</w:t>
      </w:r>
      <w:r w:rsidRPr="00F95DD3">
        <w:rPr>
          <w:rFonts w:ascii="Times New Roman" w:hAnsi="Times New Roman" w:cs="Times New Roman"/>
          <w:sz w:val="18"/>
          <w:szCs w:val="18"/>
        </w:rPr>
        <w:t xml:space="preserve"> </w:t>
      </w:r>
      <w:r w:rsidR="00DA5DC7" w:rsidRPr="00F95DD3">
        <w:rPr>
          <w:rFonts w:ascii="Times New Roman" w:hAnsi="Times New Roman" w:cs="Times New Roman"/>
          <w:sz w:val="18"/>
          <w:szCs w:val="18"/>
        </w:rPr>
        <w:t xml:space="preserve">    </w:t>
      </w:r>
      <w:r w:rsidRPr="00F95DD3">
        <w:rPr>
          <w:rFonts w:ascii="Times New Roman" w:hAnsi="Times New Roman" w:cs="Times New Roman"/>
          <w:b/>
          <w:sz w:val="18"/>
          <w:szCs w:val="18"/>
        </w:rPr>
        <w:t>Osoby fizyczne wśród podmiotów gospodarki narodowej</w:t>
      </w:r>
      <w:r w:rsidR="00AE5712" w:rsidRPr="00F95DD3">
        <w:rPr>
          <w:rFonts w:ascii="Times New Roman" w:hAnsi="Times New Roman" w:cs="Times New Roman"/>
          <w:b/>
          <w:sz w:val="18"/>
          <w:szCs w:val="18"/>
        </w:rPr>
        <w:t xml:space="preserve"> w </w:t>
      </w:r>
      <w:r w:rsidRPr="00F95DD3">
        <w:rPr>
          <w:rFonts w:ascii="Times New Roman" w:hAnsi="Times New Roman" w:cs="Times New Roman"/>
          <w:b/>
          <w:sz w:val="18"/>
          <w:szCs w:val="18"/>
        </w:rPr>
        <w:t>województwie podkarpackim</w:t>
      </w:r>
      <w:r w:rsidR="00AE5712" w:rsidRPr="00F95DD3">
        <w:rPr>
          <w:rFonts w:ascii="Times New Roman" w:hAnsi="Times New Roman" w:cs="Times New Roman"/>
          <w:b/>
          <w:sz w:val="18"/>
          <w:szCs w:val="18"/>
        </w:rPr>
        <w:t xml:space="preserve"> w </w:t>
      </w:r>
      <w:r w:rsidRPr="00F95DD3">
        <w:rPr>
          <w:rFonts w:ascii="Times New Roman" w:hAnsi="Times New Roman" w:cs="Times New Roman"/>
          <w:b/>
          <w:sz w:val="18"/>
          <w:szCs w:val="18"/>
        </w:rPr>
        <w:t>201</w:t>
      </w:r>
      <w:r w:rsidR="00F95DD3" w:rsidRPr="00F95DD3">
        <w:rPr>
          <w:rFonts w:ascii="Times New Roman" w:hAnsi="Times New Roman" w:cs="Times New Roman"/>
          <w:b/>
          <w:sz w:val="18"/>
          <w:szCs w:val="18"/>
        </w:rPr>
        <w:t>6</w:t>
      </w:r>
      <w:r w:rsidR="00F95DD3">
        <w:rPr>
          <w:rFonts w:ascii="Times New Roman" w:hAnsi="Times New Roman" w:cs="Times New Roman"/>
          <w:b/>
          <w:sz w:val="18"/>
          <w:szCs w:val="18"/>
        </w:rPr>
        <w:t> r.</w:t>
      </w:r>
    </w:p>
    <w:p w:rsidR="00F95DD3" w:rsidRDefault="00F95DD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AE5712" w:rsidRPr="00F95DD3">
        <w:rPr>
          <w:rFonts w:ascii="Times New Roman" w:hAnsi="Times New Roman" w:cs="Times New Roman"/>
          <w:sz w:val="18"/>
          <w:szCs w:val="18"/>
        </w:rPr>
        <w:t>w </w:t>
      </w:r>
      <w:r w:rsidR="00B92E45" w:rsidRPr="00F95DD3">
        <w:rPr>
          <w:rFonts w:ascii="Times New Roman" w:hAnsi="Times New Roman" w:cs="Times New Roman"/>
          <w:sz w:val="18"/>
          <w:szCs w:val="18"/>
        </w:rPr>
        <w:t>sektorze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B92E45" w:rsidRPr="00F95DD3">
        <w:rPr>
          <w:rFonts w:ascii="Times New Roman" w:hAnsi="Times New Roman" w:cs="Times New Roman"/>
          <w:sz w:val="18"/>
          <w:szCs w:val="18"/>
        </w:rPr>
        <w:t>prywatnym wg przewidywanej liczby pracujących (bez osób fizycznych prowadzących wyłącznie</w:t>
      </w:r>
    </w:p>
    <w:p w:rsidR="00B92E45" w:rsidRPr="00F95DD3" w:rsidRDefault="00F95DD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</w:t>
      </w:r>
      <w:r w:rsidR="00B92E45" w:rsidRPr="00F95DD3">
        <w:rPr>
          <w:rFonts w:ascii="Times New Roman" w:hAnsi="Times New Roman" w:cs="Times New Roman"/>
          <w:sz w:val="18"/>
          <w:szCs w:val="18"/>
        </w:rPr>
        <w:t xml:space="preserve"> indywidualne gospodarstwa rolne)</w:t>
      </w:r>
    </w:p>
    <w:p w:rsidR="00B92E45" w:rsidRPr="00E613EA" w:rsidRDefault="004D4E23" w:rsidP="00B92E45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1664" behindDoc="1" locked="0" layoutInCell="1" allowOverlap="1" wp14:anchorId="50BC6CE5" wp14:editId="67AA65E8">
            <wp:simplePos x="0" y="0"/>
            <wp:positionH relativeFrom="column">
              <wp:posOffset>442595</wp:posOffset>
            </wp:positionH>
            <wp:positionV relativeFrom="paragraph">
              <wp:posOffset>67310</wp:posOffset>
            </wp:positionV>
            <wp:extent cx="5133975" cy="1809750"/>
            <wp:effectExtent l="0" t="0" r="0" b="0"/>
            <wp:wrapTight wrapText="bothSides">
              <wp:wrapPolygon edited="0">
                <wp:start x="3206" y="1137"/>
                <wp:lineTo x="1363" y="3183"/>
                <wp:lineTo x="1363" y="3638"/>
                <wp:lineTo x="3206" y="5229"/>
                <wp:lineTo x="1603" y="5912"/>
                <wp:lineTo x="1603" y="6594"/>
                <wp:lineTo x="3206" y="8867"/>
                <wp:lineTo x="1683" y="8867"/>
                <wp:lineTo x="1443" y="9322"/>
                <wp:lineTo x="1443" y="15234"/>
                <wp:lineTo x="1924" y="16143"/>
                <wp:lineTo x="3206" y="16143"/>
                <wp:lineTo x="1763" y="17735"/>
                <wp:lineTo x="1843" y="18644"/>
                <wp:lineTo x="4168" y="19781"/>
                <wp:lineTo x="4168" y="20008"/>
                <wp:lineTo x="19717" y="20463"/>
                <wp:lineTo x="20678" y="20463"/>
                <wp:lineTo x="20678" y="19781"/>
                <wp:lineTo x="20999" y="16598"/>
                <wp:lineTo x="20598" y="16143"/>
                <wp:lineTo x="17873" y="16143"/>
                <wp:lineTo x="18033" y="15234"/>
                <wp:lineTo x="16911" y="14779"/>
                <wp:lineTo x="7133" y="12505"/>
                <wp:lineTo x="7133" y="8867"/>
                <wp:lineTo x="8656" y="8867"/>
                <wp:lineTo x="13866" y="6139"/>
                <wp:lineTo x="13786" y="5229"/>
                <wp:lineTo x="16911" y="2728"/>
                <wp:lineTo x="16591" y="1592"/>
                <wp:lineTo x="6011" y="1137"/>
                <wp:lineTo x="3206" y="1137"/>
              </wp:wrapPolygon>
            </wp:wrapTight>
            <wp:docPr id="18" name="Wykres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4D4E23" w:rsidRDefault="004D4E2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</w:p>
    <w:p w:rsidR="00F95DD3" w:rsidRPr="00F95DD3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F95DD3">
        <w:rPr>
          <w:rFonts w:ascii="Times New Roman" w:hAnsi="Times New Roman" w:cs="Times New Roman"/>
          <w:sz w:val="18"/>
          <w:szCs w:val="18"/>
        </w:rPr>
        <w:t xml:space="preserve">Wykres </w:t>
      </w:r>
      <w:r w:rsidR="00E10F11" w:rsidRPr="00F95DD3">
        <w:rPr>
          <w:rFonts w:ascii="Times New Roman" w:hAnsi="Times New Roman" w:cs="Times New Roman"/>
          <w:sz w:val="18"/>
          <w:szCs w:val="18"/>
        </w:rPr>
        <w:t>8</w:t>
      </w:r>
      <w:r w:rsidRPr="00F95DD3">
        <w:rPr>
          <w:rFonts w:ascii="Times New Roman" w:hAnsi="Times New Roman" w:cs="Times New Roman"/>
          <w:sz w:val="18"/>
          <w:szCs w:val="18"/>
        </w:rPr>
        <w:t xml:space="preserve">. </w:t>
      </w:r>
      <w:r w:rsidR="00F95DD3" w:rsidRPr="00F95DD3">
        <w:rPr>
          <w:rFonts w:ascii="Times New Roman" w:hAnsi="Times New Roman" w:cs="Times New Roman"/>
          <w:sz w:val="18"/>
          <w:szCs w:val="18"/>
        </w:rPr>
        <w:t xml:space="preserve">     </w:t>
      </w:r>
      <w:r w:rsidR="00F95DD3" w:rsidRPr="00F95DD3">
        <w:rPr>
          <w:rFonts w:ascii="Times New Roman" w:hAnsi="Times New Roman" w:cs="Times New Roman"/>
          <w:b/>
          <w:sz w:val="18"/>
          <w:szCs w:val="18"/>
        </w:rPr>
        <w:t xml:space="preserve">Podsumowanie. </w:t>
      </w:r>
      <w:r w:rsidRPr="00F95DD3">
        <w:rPr>
          <w:rFonts w:ascii="Times New Roman" w:hAnsi="Times New Roman" w:cs="Times New Roman"/>
          <w:b/>
          <w:sz w:val="18"/>
          <w:szCs w:val="18"/>
        </w:rPr>
        <w:t>Publiczne</w:t>
      </w:r>
      <w:r w:rsidR="00F95DD3" w:rsidRPr="00F95DD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AE5712" w:rsidRPr="00F95DD3">
        <w:rPr>
          <w:rFonts w:ascii="Times New Roman" w:hAnsi="Times New Roman" w:cs="Times New Roman"/>
          <w:b/>
          <w:sz w:val="18"/>
          <w:szCs w:val="18"/>
        </w:rPr>
        <w:t>i</w:t>
      </w:r>
      <w:r w:rsidR="00F95DD3" w:rsidRPr="00F95DD3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F95DD3">
        <w:rPr>
          <w:rFonts w:ascii="Times New Roman" w:hAnsi="Times New Roman" w:cs="Times New Roman"/>
          <w:b/>
          <w:sz w:val="18"/>
          <w:szCs w:val="18"/>
        </w:rPr>
        <w:t>prywatne podmioty gospodarki narodowej</w:t>
      </w:r>
      <w:r w:rsidR="00F95DD3" w:rsidRPr="00F95DD3">
        <w:rPr>
          <w:rFonts w:ascii="Times New Roman" w:hAnsi="Times New Roman" w:cs="Times New Roman"/>
          <w:b/>
          <w:sz w:val="18"/>
          <w:szCs w:val="18"/>
        </w:rPr>
        <w:t>.</w:t>
      </w:r>
    </w:p>
    <w:p w:rsidR="00F95DD3" w:rsidRPr="00F95DD3" w:rsidRDefault="00F95DD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F95DD3">
        <w:rPr>
          <w:rFonts w:ascii="Times New Roman" w:hAnsi="Times New Roman" w:cs="Times New Roman"/>
          <w:b/>
          <w:sz w:val="18"/>
          <w:szCs w:val="18"/>
        </w:rPr>
        <w:t xml:space="preserve">                      </w:t>
      </w:r>
      <w:r w:rsidR="00AE5712" w:rsidRPr="00F95DD3">
        <w:rPr>
          <w:rFonts w:ascii="Times New Roman" w:hAnsi="Times New Roman" w:cs="Times New Roman"/>
          <w:sz w:val="18"/>
          <w:szCs w:val="18"/>
        </w:rPr>
        <w:t xml:space="preserve"> </w:t>
      </w:r>
      <w:r w:rsidRPr="00F95DD3">
        <w:rPr>
          <w:rFonts w:ascii="Times New Roman" w:hAnsi="Times New Roman" w:cs="Times New Roman"/>
          <w:sz w:val="18"/>
          <w:szCs w:val="18"/>
        </w:rPr>
        <w:t xml:space="preserve">Województwo </w:t>
      </w:r>
      <w:r w:rsidR="00B92E45" w:rsidRPr="00F95DD3">
        <w:rPr>
          <w:rFonts w:ascii="Times New Roman" w:hAnsi="Times New Roman" w:cs="Times New Roman"/>
          <w:sz w:val="18"/>
          <w:szCs w:val="18"/>
        </w:rPr>
        <w:t>podkarpacki</w:t>
      </w:r>
      <w:r w:rsidRPr="00F95DD3">
        <w:rPr>
          <w:rFonts w:ascii="Times New Roman" w:hAnsi="Times New Roman" w:cs="Times New Roman"/>
          <w:sz w:val="18"/>
          <w:szCs w:val="18"/>
        </w:rPr>
        <w:t>e stan na 31 XII ‘</w:t>
      </w:r>
      <w:r w:rsidR="00B92E45" w:rsidRPr="00F95DD3">
        <w:rPr>
          <w:rFonts w:ascii="Times New Roman" w:hAnsi="Times New Roman" w:cs="Times New Roman"/>
          <w:sz w:val="18"/>
          <w:szCs w:val="18"/>
        </w:rPr>
        <w:t>1</w:t>
      </w:r>
      <w:r w:rsidRPr="00F95DD3">
        <w:rPr>
          <w:rFonts w:ascii="Times New Roman" w:hAnsi="Times New Roman" w:cs="Times New Roman"/>
          <w:sz w:val="18"/>
          <w:szCs w:val="18"/>
        </w:rPr>
        <w:t>6</w:t>
      </w:r>
      <w:r w:rsidR="00AE5712" w:rsidRPr="00F95DD3">
        <w:rPr>
          <w:rFonts w:ascii="Times New Roman" w:hAnsi="Times New Roman" w:cs="Times New Roman"/>
          <w:sz w:val="18"/>
          <w:szCs w:val="18"/>
        </w:rPr>
        <w:t> r.</w:t>
      </w:r>
      <w:r w:rsidR="00B92E45" w:rsidRPr="00F95DD3">
        <w:rPr>
          <w:rFonts w:ascii="Times New Roman" w:hAnsi="Times New Roman" w:cs="Times New Roman"/>
          <w:sz w:val="18"/>
          <w:szCs w:val="18"/>
        </w:rPr>
        <w:t xml:space="preserve"> (bez osób fizycznych prowadzących</w:t>
      </w:r>
      <w:r w:rsidRPr="00F95DD3">
        <w:rPr>
          <w:rFonts w:ascii="Times New Roman" w:hAnsi="Times New Roman" w:cs="Times New Roman"/>
          <w:sz w:val="18"/>
          <w:szCs w:val="18"/>
        </w:rPr>
        <w:t xml:space="preserve"> w</w:t>
      </w:r>
      <w:r w:rsidR="00B92E45" w:rsidRPr="00F95DD3">
        <w:rPr>
          <w:rFonts w:ascii="Times New Roman" w:hAnsi="Times New Roman" w:cs="Times New Roman"/>
          <w:sz w:val="18"/>
          <w:szCs w:val="18"/>
        </w:rPr>
        <w:t>yłącznie indywidualne</w:t>
      </w:r>
    </w:p>
    <w:p w:rsidR="00B92E45" w:rsidRPr="00F95DD3" w:rsidRDefault="00F95DD3" w:rsidP="005C72B7">
      <w:pPr>
        <w:pStyle w:val="Bezodstpw"/>
        <w:ind w:left="1410" w:hanging="1410"/>
        <w:jc w:val="both"/>
        <w:rPr>
          <w:rFonts w:ascii="Times New Roman" w:hAnsi="Times New Roman" w:cs="Times New Roman"/>
          <w:sz w:val="18"/>
          <w:szCs w:val="18"/>
        </w:rPr>
      </w:pPr>
      <w:r w:rsidRPr="00F95DD3">
        <w:rPr>
          <w:rFonts w:ascii="Times New Roman" w:hAnsi="Times New Roman" w:cs="Times New Roman"/>
          <w:sz w:val="18"/>
          <w:szCs w:val="18"/>
        </w:rPr>
        <w:t xml:space="preserve">                      </w:t>
      </w:r>
      <w:r w:rsidR="00B92E45" w:rsidRPr="00F95DD3">
        <w:rPr>
          <w:rFonts w:ascii="Times New Roman" w:hAnsi="Times New Roman" w:cs="Times New Roman"/>
          <w:sz w:val="18"/>
          <w:szCs w:val="18"/>
        </w:rPr>
        <w:t xml:space="preserve"> gospodarstwa rolne)</w:t>
      </w:r>
    </w:p>
    <w:p w:rsidR="00B92E45" w:rsidRPr="00E613EA" w:rsidRDefault="004D4E23" w:rsidP="00B92E45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0640" behindDoc="1" locked="0" layoutInCell="1" allowOverlap="1" wp14:anchorId="74F14910" wp14:editId="678CD0B6">
            <wp:simplePos x="0" y="0"/>
            <wp:positionH relativeFrom="column">
              <wp:posOffset>245110</wp:posOffset>
            </wp:positionH>
            <wp:positionV relativeFrom="paragraph">
              <wp:posOffset>41275</wp:posOffset>
            </wp:positionV>
            <wp:extent cx="5543550" cy="2038350"/>
            <wp:effectExtent l="0" t="0" r="0" b="0"/>
            <wp:wrapTight wrapText="bothSides">
              <wp:wrapPolygon edited="0">
                <wp:start x="965" y="807"/>
                <wp:lineTo x="1039" y="13727"/>
                <wp:lineTo x="1262" y="17159"/>
                <wp:lineTo x="4008" y="17966"/>
                <wp:lineTo x="20709" y="17966"/>
                <wp:lineTo x="20858" y="17361"/>
                <wp:lineTo x="20115" y="14131"/>
                <wp:lineTo x="20264" y="1817"/>
                <wp:lineTo x="19522" y="1615"/>
                <wp:lineTo x="2078" y="807"/>
                <wp:lineTo x="965" y="807"/>
              </wp:wrapPolygon>
            </wp:wrapTight>
            <wp:docPr id="17" name="Wykres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7F4380" w:rsidRPr="007F4380" w:rsidRDefault="007F4380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42C45" w:rsidRPr="00894482" w:rsidRDefault="00242C45" w:rsidP="007F4380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t>Wnioski:</w:t>
      </w:r>
    </w:p>
    <w:p w:rsidR="00242C45" w:rsidRPr="004D4E23" w:rsidRDefault="00242C45" w:rsidP="00862E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D4E23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4D4E23">
        <w:rPr>
          <w:rFonts w:ascii="Times New Roman" w:hAnsi="Times New Roman" w:cs="Times New Roman"/>
          <w:sz w:val="18"/>
          <w:szCs w:val="18"/>
        </w:rPr>
        <w:t xml:space="preserve"> z </w:t>
      </w:r>
      <w:r w:rsidRPr="004D4E23">
        <w:rPr>
          <w:rFonts w:ascii="Times New Roman" w:hAnsi="Times New Roman" w:cs="Times New Roman"/>
          <w:sz w:val="18"/>
          <w:szCs w:val="18"/>
        </w:rPr>
        <w:t>Tabeli 7, 8</w:t>
      </w:r>
      <w:r w:rsidR="004D4E23" w:rsidRPr="004D4E23">
        <w:rPr>
          <w:rFonts w:ascii="Times New Roman" w:hAnsi="Times New Roman" w:cs="Times New Roman"/>
          <w:sz w:val="18"/>
          <w:szCs w:val="18"/>
        </w:rPr>
        <w:t xml:space="preserve"> i</w:t>
      </w:r>
      <w:r w:rsidRPr="004D4E23">
        <w:rPr>
          <w:rFonts w:ascii="Times New Roman" w:hAnsi="Times New Roman" w:cs="Times New Roman"/>
          <w:sz w:val="18"/>
          <w:szCs w:val="18"/>
        </w:rPr>
        <w:t xml:space="preserve"> 9 oraz </w:t>
      </w:r>
      <w:r w:rsidR="004D4E23" w:rsidRPr="004D4E23">
        <w:rPr>
          <w:rFonts w:ascii="Times New Roman" w:hAnsi="Times New Roman" w:cs="Times New Roman"/>
          <w:sz w:val="18"/>
          <w:szCs w:val="18"/>
        </w:rPr>
        <w:t>w</w:t>
      </w:r>
      <w:r w:rsidRPr="004D4E23">
        <w:rPr>
          <w:rFonts w:ascii="Times New Roman" w:hAnsi="Times New Roman" w:cs="Times New Roman"/>
          <w:sz w:val="18"/>
          <w:szCs w:val="18"/>
        </w:rPr>
        <w:t xml:space="preserve">ykresu </w:t>
      </w:r>
      <w:r w:rsidR="004D4E23" w:rsidRPr="004D4E23">
        <w:rPr>
          <w:rFonts w:ascii="Times New Roman" w:hAnsi="Times New Roman" w:cs="Times New Roman"/>
          <w:sz w:val="18"/>
          <w:szCs w:val="18"/>
        </w:rPr>
        <w:t>5</w:t>
      </w:r>
      <w:r w:rsidRPr="004D4E23">
        <w:rPr>
          <w:rFonts w:ascii="Times New Roman" w:hAnsi="Times New Roman" w:cs="Times New Roman"/>
          <w:sz w:val="18"/>
          <w:szCs w:val="18"/>
        </w:rPr>
        <w:t xml:space="preserve">, </w:t>
      </w:r>
      <w:r w:rsidR="004D4E23" w:rsidRPr="004D4E23">
        <w:rPr>
          <w:rFonts w:ascii="Times New Roman" w:hAnsi="Times New Roman" w:cs="Times New Roman"/>
          <w:sz w:val="18"/>
          <w:szCs w:val="18"/>
        </w:rPr>
        <w:t>6</w:t>
      </w:r>
      <w:r w:rsidRPr="004D4E23">
        <w:rPr>
          <w:rFonts w:ascii="Times New Roman" w:hAnsi="Times New Roman" w:cs="Times New Roman"/>
          <w:sz w:val="18"/>
          <w:szCs w:val="18"/>
        </w:rPr>
        <w:t xml:space="preserve">, </w:t>
      </w:r>
      <w:r w:rsidR="004D4E23" w:rsidRPr="004D4E23">
        <w:rPr>
          <w:rFonts w:ascii="Times New Roman" w:hAnsi="Times New Roman" w:cs="Times New Roman"/>
          <w:sz w:val="18"/>
          <w:szCs w:val="18"/>
        </w:rPr>
        <w:t>7</w:t>
      </w:r>
      <w:r w:rsidR="00AE5712" w:rsidRPr="004D4E23">
        <w:rPr>
          <w:rFonts w:ascii="Times New Roman" w:hAnsi="Times New Roman" w:cs="Times New Roman"/>
          <w:sz w:val="18"/>
          <w:szCs w:val="18"/>
        </w:rPr>
        <w:t xml:space="preserve"> i </w:t>
      </w:r>
      <w:r w:rsidR="004D4E23" w:rsidRPr="004D4E23">
        <w:rPr>
          <w:rFonts w:ascii="Times New Roman" w:hAnsi="Times New Roman" w:cs="Times New Roman"/>
          <w:sz w:val="18"/>
          <w:szCs w:val="18"/>
        </w:rPr>
        <w:t>8</w:t>
      </w:r>
      <w:r w:rsidRPr="004D4E23">
        <w:rPr>
          <w:rFonts w:ascii="Times New Roman" w:hAnsi="Times New Roman" w:cs="Times New Roman"/>
          <w:sz w:val="18"/>
          <w:szCs w:val="18"/>
        </w:rPr>
        <w:t>)</w:t>
      </w:r>
    </w:p>
    <w:p w:rsidR="00862E1D" w:rsidRPr="00ED3688" w:rsidRDefault="00862E1D" w:rsidP="00862E1D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highlight w:val="yellow"/>
        </w:rPr>
      </w:pPr>
    </w:p>
    <w:p w:rsidR="00242C45" w:rsidRPr="0037602E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02E">
        <w:rPr>
          <w:rFonts w:ascii="Times New Roman" w:hAnsi="Times New Roman" w:cs="Times New Roman"/>
          <w:sz w:val="24"/>
          <w:szCs w:val="24"/>
        </w:rPr>
        <w:t>Niewielki udział podmiotów publicznych</w:t>
      </w:r>
      <w:r w:rsidR="00AE5712" w:rsidRPr="0037602E">
        <w:rPr>
          <w:rFonts w:ascii="Times New Roman" w:hAnsi="Times New Roman" w:cs="Times New Roman"/>
          <w:sz w:val="24"/>
          <w:szCs w:val="24"/>
        </w:rPr>
        <w:t xml:space="preserve"> w </w:t>
      </w:r>
      <w:r w:rsidRPr="0037602E">
        <w:rPr>
          <w:rFonts w:ascii="Times New Roman" w:hAnsi="Times New Roman" w:cs="Times New Roman"/>
          <w:sz w:val="24"/>
          <w:szCs w:val="24"/>
        </w:rPr>
        <w:t xml:space="preserve">strukturze podmiotów </w:t>
      </w:r>
      <w:r w:rsidR="0037602E" w:rsidRPr="0037602E">
        <w:rPr>
          <w:rFonts w:ascii="Times New Roman" w:hAnsi="Times New Roman" w:cs="Times New Roman"/>
          <w:sz w:val="24"/>
          <w:szCs w:val="24"/>
        </w:rPr>
        <w:t>ogółem</w:t>
      </w:r>
      <w:r w:rsidRPr="0037602E">
        <w:rPr>
          <w:rFonts w:ascii="Times New Roman" w:hAnsi="Times New Roman" w:cs="Times New Roman"/>
          <w:sz w:val="24"/>
          <w:szCs w:val="24"/>
        </w:rPr>
        <w:t xml:space="preserve"> (3,6%).</w:t>
      </w:r>
    </w:p>
    <w:p w:rsidR="00242C45" w:rsidRPr="0037602E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02E">
        <w:rPr>
          <w:rFonts w:ascii="Times New Roman" w:hAnsi="Times New Roman" w:cs="Times New Roman"/>
          <w:sz w:val="24"/>
          <w:szCs w:val="24"/>
        </w:rPr>
        <w:t>Dominacja mikro-</w:t>
      </w:r>
      <w:r w:rsidR="00AE5712" w:rsidRPr="0037602E">
        <w:rPr>
          <w:rFonts w:ascii="Times New Roman" w:hAnsi="Times New Roman" w:cs="Times New Roman"/>
          <w:sz w:val="24"/>
          <w:szCs w:val="24"/>
        </w:rPr>
        <w:t xml:space="preserve"> i </w:t>
      </w:r>
      <w:r w:rsidRPr="0037602E">
        <w:rPr>
          <w:rFonts w:ascii="Times New Roman" w:hAnsi="Times New Roman" w:cs="Times New Roman"/>
          <w:sz w:val="24"/>
          <w:szCs w:val="24"/>
        </w:rPr>
        <w:t>małych przedsiębiorstw</w:t>
      </w:r>
      <w:r w:rsidR="0037602E" w:rsidRPr="0037602E">
        <w:rPr>
          <w:rFonts w:ascii="Times New Roman" w:hAnsi="Times New Roman" w:cs="Times New Roman"/>
          <w:sz w:val="24"/>
          <w:szCs w:val="24"/>
        </w:rPr>
        <w:t xml:space="preserve"> – głównie</w:t>
      </w:r>
      <w:r w:rsidRPr="0037602E">
        <w:rPr>
          <w:rFonts w:ascii="Times New Roman" w:hAnsi="Times New Roman" w:cs="Times New Roman"/>
          <w:sz w:val="24"/>
          <w:szCs w:val="24"/>
        </w:rPr>
        <w:t xml:space="preserve"> wśród podmiotów prywatnych (wśród podmiotów publicznych nie jest już tak wyraźna).</w:t>
      </w:r>
    </w:p>
    <w:p w:rsidR="0037602E" w:rsidRDefault="00242C4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602E">
        <w:rPr>
          <w:rFonts w:ascii="Times New Roman" w:hAnsi="Times New Roman" w:cs="Times New Roman"/>
          <w:sz w:val="24"/>
          <w:szCs w:val="24"/>
        </w:rPr>
        <w:t>Dominacja osób fizycznych</w:t>
      </w:r>
      <w:r w:rsidR="00E423F5">
        <w:rPr>
          <w:rFonts w:ascii="Times New Roman" w:hAnsi="Times New Roman" w:cs="Times New Roman"/>
          <w:sz w:val="24"/>
          <w:szCs w:val="24"/>
        </w:rPr>
        <w:t>, prowadzących działalność gospodarczą</w:t>
      </w:r>
      <w:r w:rsidRPr="0037602E">
        <w:rPr>
          <w:rFonts w:ascii="Times New Roman" w:hAnsi="Times New Roman" w:cs="Times New Roman"/>
          <w:sz w:val="24"/>
          <w:szCs w:val="24"/>
        </w:rPr>
        <w:t xml:space="preserve"> wśród podmiotów prywatnych</w:t>
      </w:r>
      <w:r w:rsidR="0037602E">
        <w:rPr>
          <w:rFonts w:ascii="Times New Roman" w:hAnsi="Times New Roman" w:cs="Times New Roman"/>
          <w:sz w:val="24"/>
          <w:szCs w:val="24"/>
        </w:rPr>
        <w:t>.</w:t>
      </w:r>
    </w:p>
    <w:p w:rsidR="00242C45" w:rsidRPr="00E423F5" w:rsidRDefault="00E423F5" w:rsidP="00160DBC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7602E" w:rsidRPr="00E423F5">
        <w:rPr>
          <w:rFonts w:ascii="Times New Roman" w:hAnsi="Times New Roman" w:cs="Times New Roman"/>
          <w:sz w:val="24"/>
          <w:szCs w:val="24"/>
        </w:rPr>
        <w:t>śród osób fizycznych</w:t>
      </w:r>
      <w:r w:rsidRPr="00E42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odnotowano przewagę podmiotów mikro</w:t>
      </w:r>
      <w:r w:rsidR="0037602E" w:rsidRPr="00E423F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 xml:space="preserve">zatrudniających </w:t>
      </w:r>
      <w:r w:rsidR="0037602E" w:rsidRPr="00E423F5">
        <w:rPr>
          <w:rFonts w:ascii="Times New Roman" w:hAnsi="Times New Roman" w:cs="Times New Roman"/>
          <w:sz w:val="24"/>
          <w:szCs w:val="24"/>
        </w:rPr>
        <w:t>do 9 osób).</w:t>
      </w:r>
      <w:r w:rsidR="00242C45" w:rsidRPr="00E423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Firmy</w:t>
      </w:r>
      <w:r w:rsidR="0037602E" w:rsidRPr="00E423F5">
        <w:rPr>
          <w:rFonts w:ascii="Times New Roman" w:hAnsi="Times New Roman" w:cs="Times New Roman"/>
          <w:sz w:val="24"/>
          <w:szCs w:val="24"/>
        </w:rPr>
        <w:t xml:space="preserve"> małe (do 49 pracowników) to jedynie 0,9%,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242C45" w:rsidRPr="00E423F5">
        <w:rPr>
          <w:rFonts w:ascii="Times New Roman" w:hAnsi="Times New Roman" w:cs="Times New Roman"/>
          <w:sz w:val="24"/>
          <w:szCs w:val="24"/>
        </w:rPr>
        <w:t>średnie</w:t>
      </w:r>
      <w:r w:rsidR="0037602E" w:rsidRPr="00E423F5">
        <w:rPr>
          <w:rFonts w:ascii="Times New Roman" w:hAnsi="Times New Roman" w:cs="Times New Roman"/>
          <w:sz w:val="24"/>
          <w:szCs w:val="24"/>
        </w:rPr>
        <w:t xml:space="preserve">, </w:t>
      </w:r>
      <w:r w:rsidR="00242C45" w:rsidRPr="00E423F5">
        <w:rPr>
          <w:rFonts w:ascii="Times New Roman" w:hAnsi="Times New Roman" w:cs="Times New Roman"/>
          <w:sz w:val="24"/>
          <w:szCs w:val="24"/>
        </w:rPr>
        <w:t>duże</w:t>
      </w:r>
      <w:r w:rsidR="0037602E" w:rsidRPr="00E423F5">
        <w:rPr>
          <w:rFonts w:ascii="Times New Roman" w:hAnsi="Times New Roman" w:cs="Times New Roman"/>
          <w:sz w:val="24"/>
          <w:szCs w:val="24"/>
        </w:rPr>
        <w:t xml:space="preserve"> i wielkie – poniżej 1%</w:t>
      </w:r>
      <w:r w:rsidR="00242C45" w:rsidRPr="00E423F5">
        <w:rPr>
          <w:rFonts w:ascii="Times New Roman" w:hAnsi="Times New Roman" w:cs="Times New Roman"/>
          <w:sz w:val="24"/>
          <w:szCs w:val="24"/>
        </w:rPr>
        <w:t>).</w:t>
      </w:r>
    </w:p>
    <w:p w:rsidR="00CF3C61" w:rsidRPr="00CF3C61" w:rsidRDefault="00B92E45" w:rsidP="005C72B7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Cs w:val="24"/>
        </w:rPr>
      </w:pPr>
      <w:r w:rsidRPr="00CF3C61">
        <w:rPr>
          <w:rFonts w:ascii="Times New Roman" w:hAnsi="Times New Roman" w:cs="Times New Roman"/>
          <w:bCs/>
          <w:color w:val="000000"/>
          <w:szCs w:val="24"/>
        </w:rPr>
        <w:lastRenderedPageBreak/>
        <w:t xml:space="preserve">Tabela 10. </w:t>
      </w:r>
      <w:r w:rsidR="005C72B7" w:rsidRPr="00CF3C61">
        <w:rPr>
          <w:rFonts w:ascii="Times New Roman" w:hAnsi="Times New Roman" w:cs="Times New Roman"/>
          <w:bCs/>
          <w:color w:val="000000"/>
          <w:szCs w:val="24"/>
        </w:rPr>
        <w:tab/>
      </w:r>
      <w:r w:rsidRPr="00CF3C61">
        <w:rPr>
          <w:rFonts w:ascii="Times New Roman" w:hAnsi="Times New Roman" w:cs="Times New Roman"/>
          <w:b/>
          <w:bCs/>
          <w:color w:val="000000"/>
          <w:szCs w:val="24"/>
        </w:rPr>
        <w:t>Struktura pracujących</w:t>
      </w:r>
      <w:r w:rsidR="00CF3C61" w:rsidRPr="00CF3C61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="00AE5712" w:rsidRPr="00CF3C61">
        <w:rPr>
          <w:rFonts w:ascii="Times New Roman" w:hAnsi="Times New Roman" w:cs="Times New Roman"/>
          <w:b/>
          <w:bCs/>
          <w:color w:val="000000"/>
          <w:szCs w:val="24"/>
        </w:rPr>
        <w:t>w</w:t>
      </w:r>
      <w:r w:rsidR="00CF3C61" w:rsidRPr="00CF3C61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Pr="00CF3C61">
        <w:rPr>
          <w:rFonts w:ascii="Times New Roman" w:hAnsi="Times New Roman" w:cs="Times New Roman"/>
          <w:b/>
          <w:bCs/>
          <w:color w:val="000000"/>
          <w:szCs w:val="24"/>
        </w:rPr>
        <w:t>podmiotach</w:t>
      </w:r>
      <w:r w:rsidR="00CF3C61" w:rsidRPr="00CF3C61">
        <w:rPr>
          <w:rFonts w:ascii="Times New Roman" w:hAnsi="Times New Roman" w:cs="Times New Roman"/>
          <w:b/>
          <w:bCs/>
          <w:color w:val="000000"/>
          <w:szCs w:val="24"/>
        </w:rPr>
        <w:t xml:space="preserve"> </w:t>
      </w:r>
      <w:r w:rsidRPr="00CF3C61">
        <w:rPr>
          <w:rFonts w:ascii="Times New Roman" w:hAnsi="Times New Roman" w:cs="Times New Roman"/>
          <w:bCs/>
          <w:color w:val="000000"/>
          <w:szCs w:val="24"/>
        </w:rPr>
        <w:t>zarejestrowanych</w:t>
      </w:r>
      <w:r w:rsidR="00CF3C61" w:rsidRPr="00CF3C61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AE5712" w:rsidRPr="00CF3C61">
        <w:rPr>
          <w:rFonts w:ascii="Times New Roman" w:hAnsi="Times New Roman" w:cs="Times New Roman"/>
          <w:bCs/>
          <w:color w:val="000000"/>
          <w:szCs w:val="24"/>
        </w:rPr>
        <w:t>w</w:t>
      </w:r>
      <w:r w:rsidR="00CF3C61" w:rsidRPr="00CF3C61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Pr="00CF3C61">
        <w:rPr>
          <w:rFonts w:ascii="Times New Roman" w:hAnsi="Times New Roman" w:cs="Times New Roman"/>
          <w:bCs/>
          <w:color w:val="000000"/>
          <w:szCs w:val="24"/>
        </w:rPr>
        <w:t>rejestrze</w:t>
      </w:r>
      <w:r w:rsidR="00CF3C61" w:rsidRPr="00CF3C61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Pr="00CF3C61">
        <w:rPr>
          <w:rFonts w:ascii="Times New Roman" w:hAnsi="Times New Roman" w:cs="Times New Roman"/>
          <w:bCs/>
          <w:color w:val="000000"/>
          <w:szCs w:val="24"/>
        </w:rPr>
        <w:t>REGON</w:t>
      </w:r>
    </w:p>
    <w:p w:rsidR="00B92E45" w:rsidRPr="000A0E30" w:rsidRDefault="00CF3C61" w:rsidP="005C72B7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  <w:bCs/>
          <w:szCs w:val="24"/>
        </w:rPr>
      </w:pPr>
      <w:r w:rsidRPr="00CF3C61">
        <w:rPr>
          <w:rFonts w:ascii="Times New Roman" w:hAnsi="Times New Roman" w:cs="Times New Roman"/>
          <w:bCs/>
          <w:color w:val="000000"/>
          <w:szCs w:val="24"/>
        </w:rPr>
        <w:t xml:space="preserve">                         </w:t>
      </w:r>
      <w:r w:rsidR="00AE5712" w:rsidRPr="00CF3C61">
        <w:rPr>
          <w:rFonts w:ascii="Times New Roman" w:hAnsi="Times New Roman" w:cs="Times New Roman"/>
          <w:bCs/>
          <w:color w:val="000000"/>
          <w:szCs w:val="24"/>
        </w:rPr>
        <w:t xml:space="preserve"> </w:t>
      </w:r>
      <w:r w:rsidR="00AE5712" w:rsidRPr="000A0E30">
        <w:rPr>
          <w:rFonts w:ascii="Times New Roman" w:hAnsi="Times New Roman" w:cs="Times New Roman"/>
          <w:bCs/>
          <w:color w:val="000000"/>
          <w:szCs w:val="24"/>
        </w:rPr>
        <w:t>w </w:t>
      </w:r>
      <w:r w:rsidR="00B92E45" w:rsidRPr="000A0E30">
        <w:rPr>
          <w:rFonts w:ascii="Times New Roman" w:hAnsi="Times New Roman" w:cs="Times New Roman"/>
          <w:bCs/>
          <w:szCs w:val="24"/>
        </w:rPr>
        <w:t xml:space="preserve">województwie podkarpackim według stanu na </w:t>
      </w:r>
      <w:r w:rsidR="00B92E45" w:rsidRPr="000A0E30">
        <w:rPr>
          <w:rFonts w:ascii="Times New Roman" w:hAnsi="Times New Roman" w:cs="Times New Roman"/>
          <w:b/>
          <w:bCs/>
          <w:szCs w:val="24"/>
        </w:rPr>
        <w:t>31</w:t>
      </w:r>
      <w:r w:rsidR="000A0E30" w:rsidRPr="000A0E30">
        <w:rPr>
          <w:rFonts w:ascii="Times New Roman" w:hAnsi="Times New Roman" w:cs="Times New Roman"/>
          <w:b/>
          <w:bCs/>
          <w:szCs w:val="24"/>
        </w:rPr>
        <w:t xml:space="preserve"> XII ‘</w:t>
      </w:r>
      <w:r w:rsidR="00B92E45" w:rsidRPr="000A0E30">
        <w:rPr>
          <w:rFonts w:ascii="Times New Roman" w:hAnsi="Times New Roman" w:cs="Times New Roman"/>
          <w:b/>
          <w:bCs/>
          <w:szCs w:val="24"/>
        </w:rPr>
        <w:t>1</w:t>
      </w:r>
      <w:r w:rsidR="000A0E30" w:rsidRPr="000A0E30">
        <w:rPr>
          <w:rFonts w:ascii="Times New Roman" w:hAnsi="Times New Roman" w:cs="Times New Roman"/>
          <w:b/>
          <w:bCs/>
          <w:szCs w:val="24"/>
        </w:rPr>
        <w:t>5</w:t>
      </w:r>
      <w:r w:rsidR="00AE5712" w:rsidRPr="000A0E30">
        <w:rPr>
          <w:rFonts w:ascii="Times New Roman" w:hAnsi="Times New Roman" w:cs="Times New Roman"/>
          <w:b/>
          <w:bCs/>
          <w:szCs w:val="24"/>
        </w:rPr>
        <w:t> 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878"/>
        <w:gridCol w:w="1878"/>
        <w:gridCol w:w="1878"/>
        <w:gridCol w:w="1878"/>
      </w:tblGrid>
      <w:tr w:rsidR="00CF3C61" w:rsidRPr="00E613EA" w:rsidTr="00CF3C61">
        <w:trPr>
          <w:trHeight w:val="424"/>
        </w:trPr>
        <w:tc>
          <w:tcPr>
            <w:tcW w:w="1560" w:type="dxa"/>
            <w:vMerge w:val="restart"/>
            <w:shd w:val="clear" w:color="auto" w:fill="E5DFEC" w:themeFill="accent4" w:themeFillTint="33"/>
            <w:vAlign w:val="center"/>
          </w:tcPr>
          <w:p w:rsidR="00CF3C61" w:rsidRPr="000A0E30" w:rsidRDefault="00CF3C61" w:rsidP="00CF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ogółem</w:t>
            </w:r>
          </w:p>
        </w:tc>
        <w:tc>
          <w:tcPr>
            <w:tcW w:w="7512" w:type="dxa"/>
            <w:gridSpan w:val="4"/>
            <w:shd w:val="clear" w:color="auto" w:fill="E5DFEC" w:themeFill="accent4" w:themeFillTint="33"/>
            <w:vAlign w:val="center"/>
          </w:tcPr>
          <w:p w:rsidR="00CF3C61" w:rsidRPr="000A0E30" w:rsidRDefault="00CF3C61" w:rsidP="00235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podmioty o liczbie pracujących (%)</w:t>
            </w:r>
          </w:p>
        </w:tc>
      </w:tr>
      <w:tr w:rsidR="00CF3C61" w:rsidRPr="00E613EA" w:rsidTr="00CF3C61">
        <w:trPr>
          <w:trHeight w:val="53"/>
        </w:trPr>
        <w:tc>
          <w:tcPr>
            <w:tcW w:w="1560" w:type="dxa"/>
            <w:vMerge/>
            <w:shd w:val="clear" w:color="auto" w:fill="E5DFEC" w:themeFill="accent4" w:themeFillTint="33"/>
            <w:vAlign w:val="center"/>
          </w:tcPr>
          <w:p w:rsidR="00CF3C61" w:rsidRPr="000A0E30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0A0E30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9 i mniej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0A0E30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10-49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0A0E30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50-249</w:t>
            </w:r>
          </w:p>
        </w:tc>
        <w:tc>
          <w:tcPr>
            <w:tcW w:w="1878" w:type="dxa"/>
            <w:shd w:val="clear" w:color="auto" w:fill="E5DFEC" w:themeFill="accent4" w:themeFillTint="33"/>
            <w:vAlign w:val="center"/>
          </w:tcPr>
          <w:p w:rsidR="00CF3C61" w:rsidRPr="000A0E30" w:rsidRDefault="00CF3C61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0E30">
              <w:rPr>
                <w:rFonts w:ascii="Times New Roman" w:hAnsi="Times New Roman" w:cs="Times New Roman"/>
                <w:b/>
                <w:color w:val="000000"/>
              </w:rPr>
              <w:t>250 i więcej</w:t>
            </w:r>
          </w:p>
        </w:tc>
      </w:tr>
      <w:tr w:rsidR="00B92E45" w:rsidRPr="00E613EA" w:rsidTr="00CF3C61">
        <w:trPr>
          <w:trHeight w:val="90"/>
        </w:trPr>
        <w:tc>
          <w:tcPr>
            <w:tcW w:w="1560" w:type="dxa"/>
            <w:shd w:val="clear" w:color="auto" w:fill="FFFFFF" w:themeFill="background1"/>
            <w:vAlign w:val="center"/>
          </w:tcPr>
          <w:p w:rsidR="00B92E45" w:rsidRPr="000A0E30" w:rsidRDefault="00B92E45" w:rsidP="00CF3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0E3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100,0</w:t>
            </w:r>
            <w:r w:rsidR="00CF3C61" w:rsidRPr="000A0E30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%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0A0E30" w:rsidRDefault="000A0E30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0E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33,7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0A0E30" w:rsidRDefault="000A0E30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0E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21,2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0A0E30" w:rsidRDefault="000A0E30" w:rsidP="000A0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0E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20,9</w:t>
            </w:r>
          </w:p>
        </w:tc>
        <w:tc>
          <w:tcPr>
            <w:tcW w:w="1878" w:type="dxa"/>
            <w:shd w:val="clear" w:color="auto" w:fill="FFFFFF" w:themeFill="background1"/>
            <w:vAlign w:val="center"/>
          </w:tcPr>
          <w:p w:rsidR="00B92E45" w:rsidRPr="000A0E30" w:rsidRDefault="000A0E30" w:rsidP="009E3A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A0E3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24,2</w:t>
            </w:r>
          </w:p>
        </w:tc>
      </w:tr>
    </w:tbl>
    <w:p w:rsidR="00B92E45" w:rsidRPr="00E613EA" w:rsidRDefault="00B92E45" w:rsidP="00B92E45">
      <w:pPr>
        <w:pStyle w:val="Default"/>
        <w:rPr>
          <w:highlight w:val="yellow"/>
        </w:rPr>
      </w:pPr>
    </w:p>
    <w:p w:rsidR="00B92E45" w:rsidRPr="00490284" w:rsidRDefault="00D94BC3" w:rsidP="004C44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44AC">
        <w:rPr>
          <w:rFonts w:ascii="Times New Roman" w:hAnsi="Times New Roman" w:cs="Times New Roman"/>
          <w:sz w:val="24"/>
          <w:szCs w:val="24"/>
        </w:rPr>
        <w:t xml:space="preserve">W 2015 r. na terenie województwa podkarpackiego pracowało ogółem </w:t>
      </w:r>
      <w:r w:rsidRPr="00490284">
        <w:rPr>
          <w:rFonts w:ascii="Times New Roman" w:hAnsi="Times New Roman" w:cs="Times New Roman"/>
          <w:sz w:val="24"/>
          <w:szCs w:val="24"/>
        </w:rPr>
        <w:t>80</w:t>
      </w:r>
      <w:r w:rsidR="00490284" w:rsidRPr="00490284">
        <w:rPr>
          <w:rFonts w:ascii="Times New Roman" w:hAnsi="Times New Roman" w:cs="Times New Roman"/>
          <w:sz w:val="24"/>
          <w:szCs w:val="24"/>
        </w:rPr>
        <w:t>9</w:t>
      </w:r>
      <w:r w:rsidR="00490284">
        <w:rPr>
          <w:rFonts w:ascii="Times New Roman" w:hAnsi="Times New Roman" w:cs="Times New Roman"/>
          <w:sz w:val="24"/>
          <w:szCs w:val="24"/>
        </w:rPr>
        <w:t> </w:t>
      </w:r>
      <w:r w:rsidR="00490284" w:rsidRPr="00490284">
        <w:rPr>
          <w:rFonts w:ascii="Times New Roman" w:hAnsi="Times New Roman" w:cs="Times New Roman"/>
          <w:sz w:val="24"/>
          <w:szCs w:val="24"/>
        </w:rPr>
        <w:t>734</w:t>
      </w:r>
      <w:r w:rsidR="00490284">
        <w:rPr>
          <w:rFonts w:ascii="Times New Roman" w:hAnsi="Times New Roman" w:cs="Times New Roman"/>
          <w:sz w:val="24"/>
          <w:szCs w:val="24"/>
        </w:rPr>
        <w:t xml:space="preserve"> osób, </w:t>
      </w:r>
      <w:r w:rsidRPr="00490284">
        <w:rPr>
          <w:rFonts w:ascii="Times New Roman" w:hAnsi="Times New Roman" w:cs="Times New Roman"/>
          <w:sz w:val="24"/>
          <w:szCs w:val="24"/>
        </w:rPr>
        <w:t>5,6%</w:t>
      </w:r>
      <w:r w:rsidR="00490284">
        <w:rPr>
          <w:rFonts w:ascii="Times New Roman" w:hAnsi="Times New Roman" w:cs="Times New Roman"/>
          <w:sz w:val="24"/>
          <w:szCs w:val="24"/>
        </w:rPr>
        <w:t xml:space="preserve"> ogółu osób </w:t>
      </w:r>
      <w:r w:rsidRPr="004C44AC">
        <w:rPr>
          <w:rFonts w:ascii="Times New Roman" w:hAnsi="Times New Roman" w:cs="Times New Roman"/>
          <w:sz w:val="24"/>
          <w:szCs w:val="24"/>
        </w:rPr>
        <w:t xml:space="preserve">pracujących w Polsce </w:t>
      </w:r>
      <w:r w:rsidR="00490284">
        <w:rPr>
          <w:rFonts w:ascii="Times New Roman" w:hAnsi="Times New Roman" w:cs="Times New Roman"/>
          <w:sz w:val="24"/>
          <w:szCs w:val="24"/>
        </w:rPr>
        <w:t xml:space="preserve">(w 2014 r.–5,6%). </w:t>
      </w:r>
      <w:r w:rsidRPr="004C44AC">
        <w:rPr>
          <w:rFonts w:ascii="Times New Roman" w:hAnsi="Times New Roman" w:cs="Times New Roman"/>
          <w:sz w:val="24"/>
          <w:szCs w:val="24"/>
        </w:rPr>
        <w:t xml:space="preserve">W ogólnej grupie </w:t>
      </w:r>
      <w:r w:rsidRPr="00490284">
        <w:rPr>
          <w:rFonts w:ascii="Times New Roman" w:hAnsi="Times New Roman" w:cs="Times New Roman"/>
          <w:sz w:val="24"/>
          <w:szCs w:val="24"/>
        </w:rPr>
        <w:t>pracujących (</w:t>
      </w:r>
      <w:r w:rsidR="00490284" w:rsidRPr="00490284">
        <w:rPr>
          <w:rFonts w:ascii="Times New Roman" w:hAnsi="Times New Roman" w:cs="Times New Roman"/>
          <w:sz w:val="24"/>
          <w:szCs w:val="24"/>
        </w:rPr>
        <w:t xml:space="preserve">809,7 tys.) kobiety </w:t>
      </w:r>
      <w:r w:rsidRPr="00490284">
        <w:rPr>
          <w:rFonts w:ascii="Times New Roman" w:hAnsi="Times New Roman" w:cs="Times New Roman"/>
          <w:sz w:val="24"/>
          <w:szCs w:val="24"/>
        </w:rPr>
        <w:t>stanowiły 48,2%</w:t>
      </w:r>
      <w:r w:rsidR="00490284" w:rsidRPr="00490284">
        <w:rPr>
          <w:rFonts w:ascii="Times New Roman" w:hAnsi="Times New Roman" w:cs="Times New Roman"/>
          <w:sz w:val="24"/>
          <w:szCs w:val="24"/>
        </w:rPr>
        <w:t xml:space="preserve"> (w 2014 r.–48,2%)</w:t>
      </w:r>
      <w:r w:rsidRPr="00490284">
        <w:rPr>
          <w:rFonts w:ascii="Times New Roman" w:hAnsi="Times New Roman" w:cs="Times New Roman"/>
          <w:sz w:val="24"/>
          <w:szCs w:val="24"/>
        </w:rPr>
        <w:t>.</w:t>
      </w:r>
      <w:r w:rsidRPr="004C44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4C44AC" w:rsidRPr="004C44AC">
        <w:rPr>
          <w:rFonts w:ascii="Times New Roman" w:hAnsi="Times New Roman" w:cs="Times New Roman"/>
          <w:sz w:val="24"/>
          <w:szCs w:val="24"/>
        </w:rPr>
        <w:t>ogólnej liczby pracujących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0284">
        <w:rPr>
          <w:rFonts w:ascii="Times New Roman" w:hAnsi="Times New Roman" w:cs="Times New Roman"/>
          <w:sz w:val="24"/>
          <w:szCs w:val="24"/>
        </w:rPr>
        <w:t xml:space="preserve">(809,7 tys.): </w:t>
      </w:r>
      <w:r w:rsidR="004C44AC" w:rsidRPr="00490284">
        <w:rPr>
          <w:rFonts w:ascii="Times New Roman" w:hAnsi="Times New Roman" w:cs="Times New Roman"/>
          <w:sz w:val="24"/>
          <w:szCs w:val="24"/>
        </w:rPr>
        <w:t>w</w:t>
      </w:r>
      <w:r w:rsidRPr="00490284">
        <w:rPr>
          <w:rFonts w:ascii="Times New Roman" w:hAnsi="Times New Roman" w:cs="Times New Roman"/>
          <w:sz w:val="24"/>
          <w:szCs w:val="24"/>
        </w:rPr>
        <w:t xml:space="preserve"> </w:t>
      </w:r>
      <w:r w:rsidR="004C44AC" w:rsidRPr="00490284">
        <w:rPr>
          <w:rFonts w:ascii="Times New Roman" w:hAnsi="Times New Roman" w:cs="Times New Roman"/>
          <w:sz w:val="24"/>
          <w:szCs w:val="24"/>
        </w:rPr>
        <w:t>sektorze</w:t>
      </w:r>
      <w:r w:rsidRPr="00490284">
        <w:rPr>
          <w:rFonts w:ascii="Times New Roman" w:hAnsi="Times New Roman" w:cs="Times New Roman"/>
          <w:sz w:val="24"/>
          <w:szCs w:val="24"/>
        </w:rPr>
        <w:t xml:space="preserve"> </w:t>
      </w:r>
      <w:r w:rsidR="004C44AC" w:rsidRPr="00490284">
        <w:rPr>
          <w:rFonts w:ascii="Times New Roman" w:hAnsi="Times New Roman" w:cs="Times New Roman"/>
          <w:sz w:val="24"/>
          <w:szCs w:val="24"/>
        </w:rPr>
        <w:t>prywatnym zatrudnionych było 65</w:t>
      </w:r>
      <w:r w:rsidR="00490284" w:rsidRPr="00490284">
        <w:rPr>
          <w:rFonts w:ascii="Times New Roman" w:hAnsi="Times New Roman" w:cs="Times New Roman"/>
          <w:sz w:val="24"/>
          <w:szCs w:val="24"/>
        </w:rPr>
        <w:t>7</w:t>
      </w:r>
      <w:r w:rsidR="004C44AC" w:rsidRPr="00490284">
        <w:rPr>
          <w:rFonts w:ascii="Times New Roman" w:hAnsi="Times New Roman" w:cs="Times New Roman"/>
          <w:sz w:val="24"/>
          <w:szCs w:val="24"/>
        </w:rPr>
        <w:t> </w:t>
      </w:r>
      <w:r w:rsidR="00490284" w:rsidRPr="00490284">
        <w:rPr>
          <w:rFonts w:ascii="Times New Roman" w:hAnsi="Times New Roman" w:cs="Times New Roman"/>
          <w:sz w:val="24"/>
          <w:szCs w:val="24"/>
        </w:rPr>
        <w:t>281</w:t>
      </w:r>
      <w:r w:rsidR="004C44AC" w:rsidRPr="00490284">
        <w:rPr>
          <w:rFonts w:ascii="Times New Roman" w:hAnsi="Times New Roman" w:cs="Times New Roman"/>
          <w:sz w:val="24"/>
          <w:szCs w:val="24"/>
        </w:rPr>
        <w:t xml:space="preserve"> osób </w:t>
      </w:r>
      <w:r w:rsidR="00490284" w:rsidRPr="00490284">
        <w:rPr>
          <w:rFonts w:ascii="Times New Roman" w:hAnsi="Times New Roman" w:cs="Times New Roman"/>
          <w:sz w:val="24"/>
          <w:szCs w:val="24"/>
        </w:rPr>
        <w:t>(</w:t>
      </w:r>
      <w:r w:rsidR="004C44AC" w:rsidRPr="00490284">
        <w:rPr>
          <w:rFonts w:ascii="Times New Roman" w:hAnsi="Times New Roman" w:cs="Times New Roman"/>
          <w:sz w:val="24"/>
          <w:szCs w:val="24"/>
        </w:rPr>
        <w:t>8</w:t>
      </w:r>
      <w:r w:rsidR="00490284" w:rsidRPr="00490284">
        <w:rPr>
          <w:rFonts w:ascii="Times New Roman" w:hAnsi="Times New Roman" w:cs="Times New Roman"/>
          <w:sz w:val="24"/>
          <w:szCs w:val="24"/>
        </w:rPr>
        <w:t>1</w:t>
      </w:r>
      <w:r w:rsidR="004C44AC" w:rsidRPr="00490284">
        <w:rPr>
          <w:rFonts w:ascii="Times New Roman" w:hAnsi="Times New Roman" w:cs="Times New Roman"/>
          <w:sz w:val="24"/>
          <w:szCs w:val="24"/>
        </w:rPr>
        <w:t>,</w:t>
      </w:r>
      <w:r w:rsidR="00490284" w:rsidRPr="00490284">
        <w:rPr>
          <w:rFonts w:ascii="Times New Roman" w:hAnsi="Times New Roman" w:cs="Times New Roman"/>
          <w:sz w:val="24"/>
          <w:szCs w:val="24"/>
        </w:rPr>
        <w:t>2</w:t>
      </w:r>
      <w:r w:rsidR="004C44AC" w:rsidRPr="00490284">
        <w:rPr>
          <w:rFonts w:ascii="Times New Roman" w:hAnsi="Times New Roman" w:cs="Times New Roman"/>
          <w:sz w:val="24"/>
          <w:szCs w:val="24"/>
        </w:rPr>
        <w:t xml:space="preserve">% </w:t>
      </w:r>
      <w:r w:rsidR="00490284" w:rsidRPr="00490284">
        <w:rPr>
          <w:rFonts w:ascii="Times New Roman" w:hAnsi="Times New Roman" w:cs="Times New Roman"/>
          <w:sz w:val="24"/>
          <w:szCs w:val="24"/>
        </w:rPr>
        <w:t>ogółu pracujących), w</w:t>
      </w:r>
      <w:r w:rsidR="004C44AC" w:rsidRPr="00490284">
        <w:rPr>
          <w:rFonts w:ascii="Times New Roman" w:hAnsi="Times New Roman" w:cs="Times New Roman"/>
          <w:sz w:val="24"/>
          <w:szCs w:val="24"/>
        </w:rPr>
        <w:t> sektorze publicznym</w:t>
      </w:r>
      <w:r w:rsidR="00490284" w:rsidRPr="00490284">
        <w:rPr>
          <w:rFonts w:ascii="Times New Roman" w:hAnsi="Times New Roman" w:cs="Times New Roman"/>
          <w:sz w:val="24"/>
          <w:szCs w:val="24"/>
        </w:rPr>
        <w:t xml:space="preserve"> </w:t>
      </w:r>
      <w:r w:rsidR="004C44AC" w:rsidRPr="00490284">
        <w:rPr>
          <w:rFonts w:ascii="Times New Roman" w:hAnsi="Times New Roman" w:cs="Times New Roman"/>
          <w:sz w:val="24"/>
          <w:szCs w:val="24"/>
        </w:rPr>
        <w:t>15</w:t>
      </w:r>
      <w:r w:rsidR="00490284" w:rsidRPr="00490284">
        <w:rPr>
          <w:rFonts w:ascii="Times New Roman" w:hAnsi="Times New Roman" w:cs="Times New Roman"/>
          <w:sz w:val="24"/>
          <w:szCs w:val="24"/>
        </w:rPr>
        <w:t>2</w:t>
      </w:r>
      <w:r w:rsidR="004C44AC" w:rsidRPr="00490284">
        <w:rPr>
          <w:rFonts w:ascii="Times New Roman" w:hAnsi="Times New Roman" w:cs="Times New Roman"/>
          <w:sz w:val="24"/>
          <w:szCs w:val="24"/>
        </w:rPr>
        <w:t> 4</w:t>
      </w:r>
      <w:r w:rsidR="00490284" w:rsidRPr="00490284">
        <w:rPr>
          <w:rFonts w:ascii="Times New Roman" w:hAnsi="Times New Roman" w:cs="Times New Roman"/>
          <w:sz w:val="24"/>
          <w:szCs w:val="24"/>
        </w:rPr>
        <w:t>53</w:t>
      </w:r>
      <w:r w:rsidR="004C44AC" w:rsidRPr="00490284">
        <w:rPr>
          <w:rFonts w:ascii="Times New Roman" w:hAnsi="Times New Roman" w:cs="Times New Roman"/>
          <w:sz w:val="24"/>
          <w:szCs w:val="24"/>
        </w:rPr>
        <w:t xml:space="preserve"> pracujących (1</w:t>
      </w:r>
      <w:r w:rsidR="00490284" w:rsidRPr="00490284">
        <w:rPr>
          <w:rFonts w:ascii="Times New Roman" w:hAnsi="Times New Roman" w:cs="Times New Roman"/>
          <w:sz w:val="24"/>
          <w:szCs w:val="24"/>
        </w:rPr>
        <w:t>8</w:t>
      </w:r>
      <w:r w:rsidR="004C44AC" w:rsidRPr="00490284">
        <w:rPr>
          <w:rFonts w:ascii="Times New Roman" w:hAnsi="Times New Roman" w:cs="Times New Roman"/>
          <w:sz w:val="24"/>
          <w:szCs w:val="24"/>
        </w:rPr>
        <w:t>,</w:t>
      </w:r>
      <w:r w:rsidR="00490284" w:rsidRPr="00490284">
        <w:rPr>
          <w:rFonts w:ascii="Times New Roman" w:hAnsi="Times New Roman" w:cs="Times New Roman"/>
          <w:sz w:val="24"/>
          <w:szCs w:val="24"/>
        </w:rPr>
        <w:t>8</w:t>
      </w:r>
      <w:r w:rsidR="004C44AC" w:rsidRPr="00490284">
        <w:rPr>
          <w:rFonts w:ascii="Times New Roman" w:hAnsi="Times New Roman" w:cs="Times New Roman"/>
          <w:sz w:val="24"/>
          <w:szCs w:val="24"/>
        </w:rPr>
        <w:t xml:space="preserve">%). </w:t>
      </w:r>
      <w:r w:rsidR="00B92E45" w:rsidRPr="00490284">
        <w:rPr>
          <w:rFonts w:ascii="Times New Roman" w:hAnsi="Times New Roman" w:cs="Times New Roman"/>
          <w:sz w:val="24"/>
          <w:szCs w:val="24"/>
        </w:rPr>
        <w:t>Strukturę zatrudnienia wg sektorów</w:t>
      </w:r>
      <w:r w:rsidR="00490284">
        <w:rPr>
          <w:rFonts w:ascii="Times New Roman" w:hAnsi="Times New Roman" w:cs="Times New Roman"/>
          <w:sz w:val="24"/>
          <w:szCs w:val="24"/>
        </w:rPr>
        <w:t xml:space="preserve"> zawiera </w:t>
      </w:r>
      <w:r w:rsidR="00B92E45" w:rsidRPr="00490284">
        <w:rPr>
          <w:rFonts w:ascii="Times New Roman" w:hAnsi="Times New Roman" w:cs="Times New Roman"/>
          <w:sz w:val="24"/>
          <w:szCs w:val="24"/>
        </w:rPr>
        <w:t>tab</w:t>
      </w:r>
      <w:r w:rsidR="00490284">
        <w:rPr>
          <w:rFonts w:ascii="Times New Roman" w:hAnsi="Times New Roman" w:cs="Times New Roman"/>
          <w:sz w:val="24"/>
          <w:szCs w:val="24"/>
        </w:rPr>
        <w:t>.</w:t>
      </w:r>
      <w:r w:rsidR="00B92E45" w:rsidRPr="00490284">
        <w:rPr>
          <w:rFonts w:ascii="Times New Roman" w:hAnsi="Times New Roman" w:cs="Times New Roman"/>
          <w:sz w:val="24"/>
          <w:szCs w:val="24"/>
        </w:rPr>
        <w:t xml:space="preserve"> </w:t>
      </w:r>
      <w:r w:rsidR="00246BA9" w:rsidRPr="00490284">
        <w:rPr>
          <w:rFonts w:ascii="Times New Roman" w:hAnsi="Times New Roman" w:cs="Times New Roman"/>
          <w:sz w:val="24"/>
          <w:szCs w:val="24"/>
        </w:rPr>
        <w:t>11</w:t>
      </w:r>
      <w:r w:rsidR="00B92E45" w:rsidRPr="00490284">
        <w:rPr>
          <w:rFonts w:ascii="Times New Roman" w:hAnsi="Times New Roman" w:cs="Times New Roman"/>
          <w:sz w:val="24"/>
          <w:szCs w:val="24"/>
        </w:rPr>
        <w:t>.</w:t>
      </w:r>
    </w:p>
    <w:p w:rsidR="002E6B28" w:rsidRPr="00490284" w:rsidRDefault="002E6B28" w:rsidP="00BD0C81">
      <w:pPr>
        <w:pStyle w:val="Bezodstpw"/>
        <w:spacing w:line="180" w:lineRule="exact"/>
        <w:rPr>
          <w:rFonts w:ascii="Times New Roman" w:hAnsi="Times New Roman" w:cs="Times New Roman"/>
          <w:sz w:val="16"/>
          <w:szCs w:val="16"/>
        </w:rPr>
      </w:pPr>
    </w:p>
    <w:p w:rsidR="00B92E45" w:rsidRPr="00F11191" w:rsidRDefault="004C44AC" w:rsidP="00F0505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B92E45" w:rsidRPr="00F11191">
        <w:rPr>
          <w:rFonts w:ascii="Times New Roman" w:hAnsi="Times New Roman" w:cs="Times New Roman"/>
        </w:rPr>
        <w:t xml:space="preserve">Tabela </w:t>
      </w:r>
      <w:r w:rsidR="00F0505E" w:rsidRPr="00F11191">
        <w:rPr>
          <w:rFonts w:ascii="Times New Roman" w:hAnsi="Times New Roman" w:cs="Times New Roman"/>
        </w:rPr>
        <w:t>11</w:t>
      </w:r>
      <w:r w:rsidR="00B92E45" w:rsidRPr="00F11191">
        <w:rPr>
          <w:rFonts w:ascii="Times New Roman" w:hAnsi="Times New Roman" w:cs="Times New Roman"/>
        </w:rPr>
        <w:t xml:space="preserve">. </w:t>
      </w:r>
      <w:r w:rsidR="005C72B7" w:rsidRPr="00F11191">
        <w:rPr>
          <w:rFonts w:ascii="Times New Roman" w:hAnsi="Times New Roman" w:cs="Times New Roman"/>
        </w:rPr>
        <w:tab/>
      </w:r>
      <w:r w:rsidR="00B92E45" w:rsidRPr="00F11191">
        <w:rPr>
          <w:rFonts w:ascii="Times New Roman" w:hAnsi="Times New Roman" w:cs="Times New Roman"/>
        </w:rPr>
        <w:t>Pracujący</w:t>
      </w:r>
      <w:r w:rsidR="00AE5712" w:rsidRPr="00F11191">
        <w:rPr>
          <w:rFonts w:ascii="Times New Roman" w:hAnsi="Times New Roman" w:cs="Times New Roman"/>
        </w:rPr>
        <w:t xml:space="preserve"> w </w:t>
      </w:r>
      <w:r w:rsidR="00B92E45" w:rsidRPr="00F11191">
        <w:rPr>
          <w:rFonts w:ascii="Times New Roman" w:hAnsi="Times New Roman" w:cs="Times New Roman"/>
        </w:rPr>
        <w:t>województwie podkarpackim</w:t>
      </w:r>
      <w:r w:rsidR="00490284">
        <w:rPr>
          <w:rFonts w:ascii="Times New Roman" w:hAnsi="Times New Roman" w:cs="Times New Roman"/>
        </w:rPr>
        <w:t>, stan w dniu 31 XII ‘</w:t>
      </w:r>
      <w:r w:rsidR="00B92E45" w:rsidRPr="00F11191">
        <w:rPr>
          <w:rFonts w:ascii="Times New Roman" w:hAnsi="Times New Roman" w:cs="Times New Roman"/>
        </w:rPr>
        <w:t>1</w:t>
      </w:r>
      <w:r w:rsidR="00F11191">
        <w:rPr>
          <w:rFonts w:ascii="Times New Roman" w:hAnsi="Times New Roman" w:cs="Times New Roman"/>
        </w:rPr>
        <w:t>5</w:t>
      </w:r>
      <w:r w:rsidR="00AE5712" w:rsidRPr="00F11191">
        <w:rPr>
          <w:rFonts w:ascii="Times New Roman" w:hAnsi="Times New Roman" w:cs="Times New Roman"/>
        </w:rPr>
        <w:t> r.</w:t>
      </w:r>
    </w:p>
    <w:tbl>
      <w:tblPr>
        <w:tblStyle w:val="Tabela-Siatka"/>
        <w:tblW w:w="8666" w:type="dxa"/>
        <w:jc w:val="center"/>
        <w:tblLook w:val="04A0" w:firstRow="1" w:lastRow="0" w:firstColumn="1" w:lastColumn="0" w:noHBand="0" w:noVBand="1"/>
      </w:tblPr>
      <w:tblGrid>
        <w:gridCol w:w="5054"/>
        <w:gridCol w:w="1603"/>
        <w:gridCol w:w="2009"/>
      </w:tblGrid>
      <w:tr w:rsidR="00B92E45" w:rsidRPr="00E613EA" w:rsidTr="00F11191">
        <w:trPr>
          <w:jc w:val="center"/>
        </w:trPr>
        <w:tc>
          <w:tcPr>
            <w:tcW w:w="5054" w:type="dxa"/>
            <w:shd w:val="clear" w:color="auto" w:fill="E5DFEC" w:themeFill="accent4" w:themeFillTint="33"/>
            <w:vAlign w:val="center"/>
          </w:tcPr>
          <w:p w:rsidR="00B92E45" w:rsidRPr="00BE67A3" w:rsidRDefault="00807C86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</w:t>
            </w:r>
            <w:r w:rsidR="000F5A89" w:rsidRPr="00BE67A3">
              <w:rPr>
                <w:b/>
                <w:sz w:val="22"/>
                <w:szCs w:val="22"/>
              </w:rPr>
              <w:t>ektory</w:t>
            </w:r>
            <w:r w:rsidR="00A2160C" w:rsidRPr="00BE67A3">
              <w:rPr>
                <w:b/>
                <w:sz w:val="22"/>
                <w:szCs w:val="22"/>
              </w:rPr>
              <w:t xml:space="preserve"> PKD</w:t>
            </w:r>
          </w:p>
          <w:p w:rsidR="00A2160C" w:rsidRPr="00BE67A3" w:rsidRDefault="00A2160C" w:rsidP="00807C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E67A3">
              <w:rPr>
                <w:b/>
                <w:sz w:val="22"/>
                <w:szCs w:val="22"/>
              </w:rPr>
              <w:t xml:space="preserve">(Polskiej </w:t>
            </w:r>
            <w:r w:rsidR="00807C86">
              <w:rPr>
                <w:b/>
                <w:sz w:val="22"/>
                <w:szCs w:val="22"/>
              </w:rPr>
              <w:t>K</w:t>
            </w:r>
            <w:r w:rsidRPr="00BE67A3">
              <w:rPr>
                <w:b/>
                <w:sz w:val="22"/>
                <w:szCs w:val="22"/>
              </w:rPr>
              <w:t xml:space="preserve">lasyfikacji </w:t>
            </w:r>
            <w:r w:rsidR="00807C86">
              <w:rPr>
                <w:b/>
                <w:sz w:val="22"/>
                <w:szCs w:val="22"/>
              </w:rPr>
              <w:t>D</w:t>
            </w:r>
            <w:r w:rsidRPr="00BE67A3">
              <w:rPr>
                <w:b/>
                <w:sz w:val="22"/>
                <w:szCs w:val="22"/>
              </w:rPr>
              <w:t>ziałalności)</w:t>
            </w:r>
          </w:p>
        </w:tc>
        <w:tc>
          <w:tcPr>
            <w:tcW w:w="1603" w:type="dxa"/>
            <w:shd w:val="clear" w:color="auto" w:fill="E5DFEC" w:themeFill="accent4" w:themeFillTint="33"/>
            <w:vAlign w:val="center"/>
          </w:tcPr>
          <w:p w:rsidR="00B92E45" w:rsidRPr="00BE67A3" w:rsidRDefault="00807C86" w:rsidP="00807C86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</w:t>
            </w:r>
            <w:r w:rsidR="00B92E45" w:rsidRPr="00BE67A3">
              <w:rPr>
                <w:b/>
                <w:sz w:val="22"/>
                <w:szCs w:val="22"/>
              </w:rPr>
              <w:t>iczba pracujących</w:t>
            </w:r>
          </w:p>
        </w:tc>
        <w:tc>
          <w:tcPr>
            <w:tcW w:w="2009" w:type="dxa"/>
            <w:shd w:val="clear" w:color="auto" w:fill="E5DFEC" w:themeFill="accent4" w:themeFillTint="33"/>
            <w:vAlign w:val="center"/>
          </w:tcPr>
          <w:p w:rsidR="00B220FE" w:rsidRPr="00BE67A3" w:rsidRDefault="00807C86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="00B92E45" w:rsidRPr="00BE67A3">
              <w:rPr>
                <w:b/>
                <w:sz w:val="22"/>
                <w:szCs w:val="22"/>
              </w:rPr>
              <w:t>dsetek</w:t>
            </w:r>
          </w:p>
          <w:p w:rsidR="00B92E45" w:rsidRPr="00BE67A3" w:rsidRDefault="00B92E45" w:rsidP="00235A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E67A3">
              <w:rPr>
                <w:b/>
                <w:sz w:val="22"/>
                <w:szCs w:val="22"/>
              </w:rPr>
              <w:t>w ogólnej liczbie pracujących</w:t>
            </w:r>
          </w:p>
        </w:tc>
      </w:tr>
      <w:tr w:rsidR="00B92E45" w:rsidRPr="00E613EA" w:rsidTr="00A2160C">
        <w:trPr>
          <w:jc w:val="center"/>
        </w:trPr>
        <w:tc>
          <w:tcPr>
            <w:tcW w:w="505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92E45" w:rsidRPr="00BE67A3" w:rsidRDefault="00B92E45" w:rsidP="009E3AFD">
            <w:pPr>
              <w:pStyle w:val="Default"/>
              <w:jc w:val="right"/>
              <w:rPr>
                <w:b/>
                <w:sz w:val="22"/>
                <w:szCs w:val="22"/>
              </w:rPr>
            </w:pPr>
            <w:r w:rsidRPr="00BE67A3">
              <w:rPr>
                <w:b/>
                <w:sz w:val="22"/>
                <w:szCs w:val="22"/>
              </w:rPr>
              <w:t>Łącznie osób pracujących</w:t>
            </w:r>
            <w:r w:rsidR="00AE5712" w:rsidRPr="00BE67A3">
              <w:rPr>
                <w:b/>
                <w:sz w:val="22"/>
                <w:szCs w:val="22"/>
              </w:rPr>
              <w:t xml:space="preserve"> w </w:t>
            </w:r>
            <w:r w:rsidRPr="00BE67A3">
              <w:rPr>
                <w:b/>
                <w:sz w:val="22"/>
                <w:szCs w:val="22"/>
              </w:rPr>
              <w:t>województwie</w:t>
            </w:r>
            <w:r w:rsidRPr="00BE67A3">
              <w:rPr>
                <w:rStyle w:val="Odwoanieprzypisudolnego"/>
                <w:b/>
                <w:sz w:val="22"/>
                <w:szCs w:val="22"/>
              </w:rPr>
              <w:footnoteReference w:id="9"/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E45" w:rsidRPr="00BE67A3" w:rsidRDefault="00B92E45" w:rsidP="00A2160C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E67A3">
              <w:rPr>
                <w:b/>
                <w:sz w:val="22"/>
                <w:szCs w:val="22"/>
              </w:rPr>
              <w:t>80</w:t>
            </w:r>
            <w:r w:rsidR="00A2160C" w:rsidRPr="00BE67A3">
              <w:rPr>
                <w:b/>
                <w:sz w:val="22"/>
                <w:szCs w:val="22"/>
              </w:rPr>
              <w:t>9</w:t>
            </w:r>
            <w:r w:rsidRPr="00BE67A3">
              <w:rPr>
                <w:b/>
                <w:sz w:val="22"/>
                <w:szCs w:val="22"/>
              </w:rPr>
              <w:t xml:space="preserve"> </w:t>
            </w:r>
            <w:r w:rsidR="00A2160C" w:rsidRPr="00BE67A3">
              <w:rPr>
                <w:b/>
                <w:sz w:val="22"/>
                <w:szCs w:val="22"/>
              </w:rPr>
              <w:t>7</w:t>
            </w:r>
            <w:r w:rsidRPr="00BE67A3">
              <w:rPr>
                <w:b/>
                <w:sz w:val="22"/>
                <w:szCs w:val="22"/>
              </w:rPr>
              <w:t>3</w:t>
            </w:r>
            <w:r w:rsidR="00A2160C" w:rsidRPr="00BE67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0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B92E45" w:rsidRPr="00BE67A3" w:rsidRDefault="00B92E45" w:rsidP="00BE67A3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E67A3">
              <w:rPr>
                <w:b/>
                <w:sz w:val="22"/>
                <w:szCs w:val="22"/>
              </w:rPr>
              <w:t>100,0</w:t>
            </w:r>
          </w:p>
        </w:tc>
      </w:tr>
      <w:tr w:rsidR="00B46782" w:rsidRPr="00E613EA" w:rsidTr="00A2160C">
        <w:trPr>
          <w:jc w:val="center"/>
        </w:trPr>
        <w:tc>
          <w:tcPr>
            <w:tcW w:w="5054" w:type="dxa"/>
            <w:shd w:val="clear" w:color="auto" w:fill="E5DFEC" w:themeFill="accent4" w:themeFillTint="33"/>
          </w:tcPr>
          <w:p w:rsidR="00B46782" w:rsidRPr="00BE67A3" w:rsidRDefault="00B46782" w:rsidP="009E3AFD">
            <w:pPr>
              <w:pStyle w:val="Default"/>
              <w:jc w:val="both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sektorze </w:t>
            </w:r>
            <w:r w:rsidRPr="00BE67A3">
              <w:rPr>
                <w:b/>
                <w:sz w:val="18"/>
                <w:szCs w:val="18"/>
              </w:rPr>
              <w:t>rolnictwa</w:t>
            </w:r>
          </w:p>
        </w:tc>
        <w:tc>
          <w:tcPr>
            <w:tcW w:w="1603" w:type="dxa"/>
            <w:shd w:val="clear" w:color="auto" w:fill="E5DFEC" w:themeFill="accent4" w:themeFillTint="33"/>
            <w:vAlign w:val="center"/>
          </w:tcPr>
          <w:p w:rsidR="00B46782" w:rsidRPr="00BE67A3" w:rsidRDefault="00B46782" w:rsidP="00A2160C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259 739</w:t>
            </w:r>
          </w:p>
        </w:tc>
        <w:tc>
          <w:tcPr>
            <w:tcW w:w="2009" w:type="dxa"/>
            <w:shd w:val="clear" w:color="auto" w:fill="E5DFEC" w:themeFill="accent4" w:themeFillTint="33"/>
            <w:vAlign w:val="center"/>
          </w:tcPr>
          <w:p w:rsidR="00B46782" w:rsidRPr="00BE67A3" w:rsidRDefault="00B467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32,1</w:t>
            </w:r>
          </w:p>
        </w:tc>
      </w:tr>
      <w:tr w:rsidR="00B46782" w:rsidRPr="00E613EA" w:rsidTr="00A2160C">
        <w:trPr>
          <w:jc w:val="center"/>
        </w:trPr>
        <w:tc>
          <w:tcPr>
            <w:tcW w:w="5054" w:type="dxa"/>
            <w:shd w:val="clear" w:color="auto" w:fill="E5DFEC" w:themeFill="accent4" w:themeFillTint="33"/>
          </w:tcPr>
          <w:p w:rsidR="00B46782" w:rsidRPr="00BE67A3" w:rsidRDefault="00B46782" w:rsidP="009E3AFD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sektorze </w:t>
            </w:r>
            <w:r w:rsidRPr="00BE67A3">
              <w:rPr>
                <w:b/>
                <w:sz w:val="18"/>
                <w:szCs w:val="18"/>
              </w:rPr>
              <w:t>przemysłowym</w:t>
            </w:r>
          </w:p>
        </w:tc>
        <w:tc>
          <w:tcPr>
            <w:tcW w:w="1603" w:type="dxa"/>
            <w:shd w:val="clear" w:color="auto" w:fill="E5DFEC" w:themeFill="accent4" w:themeFillTint="33"/>
            <w:vAlign w:val="center"/>
          </w:tcPr>
          <w:p w:rsidR="00B46782" w:rsidRPr="00BE67A3" w:rsidRDefault="00B46782" w:rsidP="00B86A20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159 901</w:t>
            </w:r>
          </w:p>
        </w:tc>
        <w:tc>
          <w:tcPr>
            <w:tcW w:w="2009" w:type="dxa"/>
            <w:shd w:val="clear" w:color="auto" w:fill="E5DFEC" w:themeFill="accent4" w:themeFillTint="33"/>
            <w:vAlign w:val="center"/>
          </w:tcPr>
          <w:p w:rsidR="00B46782" w:rsidRPr="00BE67A3" w:rsidRDefault="00B467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19,7</w:t>
            </w:r>
          </w:p>
        </w:tc>
      </w:tr>
      <w:tr w:rsidR="00B46782" w:rsidRPr="00E613EA" w:rsidTr="00A2160C">
        <w:trPr>
          <w:jc w:val="center"/>
        </w:trPr>
        <w:tc>
          <w:tcPr>
            <w:tcW w:w="5054" w:type="dxa"/>
            <w:shd w:val="clear" w:color="auto" w:fill="E5DFEC" w:themeFill="accent4" w:themeFillTint="33"/>
          </w:tcPr>
          <w:p w:rsidR="00B46782" w:rsidRPr="00BE67A3" w:rsidRDefault="00B46782" w:rsidP="009E3AFD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sektorze </w:t>
            </w:r>
            <w:r w:rsidRPr="00BE67A3">
              <w:rPr>
                <w:b/>
                <w:sz w:val="18"/>
                <w:szCs w:val="18"/>
              </w:rPr>
              <w:t>budowlanym</w:t>
            </w:r>
          </w:p>
        </w:tc>
        <w:tc>
          <w:tcPr>
            <w:tcW w:w="1603" w:type="dxa"/>
            <w:shd w:val="clear" w:color="auto" w:fill="E5DFEC" w:themeFill="accent4" w:themeFillTint="33"/>
            <w:vAlign w:val="center"/>
          </w:tcPr>
          <w:p w:rsidR="00B46782" w:rsidRPr="00BE67A3" w:rsidRDefault="00B46782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37 935</w:t>
            </w:r>
          </w:p>
        </w:tc>
        <w:tc>
          <w:tcPr>
            <w:tcW w:w="2009" w:type="dxa"/>
            <w:shd w:val="clear" w:color="auto" w:fill="E5DFEC" w:themeFill="accent4" w:themeFillTint="33"/>
            <w:vAlign w:val="center"/>
          </w:tcPr>
          <w:p w:rsidR="00B46782" w:rsidRPr="00BE67A3" w:rsidRDefault="00B467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4,7</w:t>
            </w:r>
          </w:p>
        </w:tc>
      </w:tr>
      <w:tr w:rsidR="00B46782" w:rsidRPr="00E613EA" w:rsidTr="00A2160C">
        <w:trPr>
          <w:jc w:val="center"/>
        </w:trPr>
        <w:tc>
          <w:tcPr>
            <w:tcW w:w="5054" w:type="dxa"/>
            <w:shd w:val="clear" w:color="auto" w:fill="E5DFEC" w:themeFill="accent4" w:themeFillTint="33"/>
          </w:tcPr>
          <w:p w:rsidR="00B46782" w:rsidRPr="00BE67A3" w:rsidRDefault="00B46782" w:rsidP="009E3AFD">
            <w:pPr>
              <w:pStyle w:val="Default"/>
              <w:jc w:val="both"/>
              <w:rPr>
                <w:b/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sektorze </w:t>
            </w:r>
            <w:r w:rsidRPr="00BE67A3">
              <w:rPr>
                <w:b/>
                <w:sz w:val="18"/>
                <w:szCs w:val="18"/>
              </w:rPr>
              <w:t xml:space="preserve">usługowym </w:t>
            </w:r>
            <w:r w:rsidRPr="00BE67A3">
              <w:rPr>
                <w:sz w:val="18"/>
                <w:szCs w:val="18"/>
              </w:rPr>
              <w:t>– w tym:</w:t>
            </w:r>
          </w:p>
        </w:tc>
        <w:tc>
          <w:tcPr>
            <w:tcW w:w="1603" w:type="dxa"/>
            <w:shd w:val="clear" w:color="auto" w:fill="E5DFEC" w:themeFill="accent4" w:themeFillTint="33"/>
            <w:vAlign w:val="center"/>
          </w:tcPr>
          <w:p w:rsidR="00B46782" w:rsidRPr="00BE67A3" w:rsidRDefault="00B46782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352 159</w:t>
            </w:r>
          </w:p>
        </w:tc>
        <w:tc>
          <w:tcPr>
            <w:tcW w:w="2009" w:type="dxa"/>
            <w:shd w:val="clear" w:color="auto" w:fill="E5DFEC" w:themeFill="accent4" w:themeFillTint="33"/>
            <w:vAlign w:val="center"/>
          </w:tcPr>
          <w:p w:rsidR="00B46782" w:rsidRPr="00BE67A3" w:rsidRDefault="00B46782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43,5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2E0534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handlu (łącznie z naprawami pojazdów samochodowych) 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98 484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12,2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edukacji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57 800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7,1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opiece zdrowotnej i pomocy społecznej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48 238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6,0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2E0534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administracji publicznej</w:t>
            </w:r>
          </w:p>
          <w:p w:rsidR="00BE67A3" w:rsidRPr="00BE67A3" w:rsidRDefault="00BE67A3" w:rsidP="002E0534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(łącznie z prac. cywilnej obrony narodowej</w:t>
            </w:r>
          </w:p>
          <w:p w:rsidR="00BE67A3" w:rsidRPr="00BE67A3" w:rsidRDefault="00BE67A3" w:rsidP="002E0534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i obowiązkowych zabezpieczeń społ.)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32 631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4,0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transporcie i gospodarce magazynowej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27 899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3,4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956101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administrowaniu</w:t>
            </w:r>
          </w:p>
          <w:p w:rsidR="00BE67A3" w:rsidRPr="00BE67A3" w:rsidRDefault="00BE67A3" w:rsidP="00956101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i działalności wspierającej*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17 750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2,2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działalności profesjonalnej naukowej i technicznej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2E0534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16 811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2,1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2E0534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działalności finansowej i ubezpieczeniowej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95610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9 529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zakwaterowaniu i gastronomii 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9 483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informacji i komunikacji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8 694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1,1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 xml:space="preserve">w działalności związanej z kulturą, rozrywką i rekreacją 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6 624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obsłudze rynku nieruchomości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6 019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</w:t>
            </w:r>
          </w:p>
        </w:tc>
      </w:tr>
      <w:tr w:rsidR="00BE67A3" w:rsidRPr="00E613EA" w:rsidTr="00BE67A3">
        <w:trPr>
          <w:jc w:val="center"/>
        </w:trPr>
        <w:tc>
          <w:tcPr>
            <w:tcW w:w="5054" w:type="dxa"/>
            <w:shd w:val="clear" w:color="auto" w:fill="FFFFFF" w:themeFill="background1"/>
          </w:tcPr>
          <w:p w:rsidR="00BE67A3" w:rsidRPr="00BE67A3" w:rsidRDefault="00BE67A3" w:rsidP="000F5A89">
            <w:pPr>
              <w:pStyle w:val="Default"/>
              <w:ind w:left="340"/>
              <w:rPr>
                <w:sz w:val="18"/>
                <w:szCs w:val="18"/>
              </w:rPr>
            </w:pPr>
            <w:r w:rsidRPr="00BE67A3">
              <w:rPr>
                <w:sz w:val="18"/>
                <w:szCs w:val="18"/>
              </w:rPr>
              <w:t>w „pozostałej działalności usługowej”</w:t>
            </w:r>
          </w:p>
        </w:tc>
        <w:tc>
          <w:tcPr>
            <w:tcW w:w="1603" w:type="dxa"/>
            <w:shd w:val="clear" w:color="auto" w:fill="FFFFFF" w:themeFill="background1"/>
            <w:vAlign w:val="center"/>
          </w:tcPr>
          <w:p w:rsidR="00BE67A3" w:rsidRPr="00BE67A3" w:rsidRDefault="00BE67A3" w:rsidP="00620E71">
            <w:pPr>
              <w:pStyle w:val="Default"/>
              <w:jc w:val="center"/>
              <w:rPr>
                <w:sz w:val="18"/>
                <w:szCs w:val="18"/>
                <w:highlight w:val="yellow"/>
              </w:rPr>
            </w:pPr>
            <w:r w:rsidRPr="00BE67A3">
              <w:rPr>
                <w:sz w:val="18"/>
                <w:szCs w:val="18"/>
              </w:rPr>
              <w:t>12 197</w:t>
            </w:r>
          </w:p>
        </w:tc>
        <w:tc>
          <w:tcPr>
            <w:tcW w:w="2009" w:type="dxa"/>
            <w:shd w:val="clear" w:color="auto" w:fill="FFFFFF" w:themeFill="background1"/>
            <w:vAlign w:val="center"/>
          </w:tcPr>
          <w:p w:rsidR="00BE67A3" w:rsidRPr="00BE67A3" w:rsidRDefault="00BE67A3" w:rsidP="00BE67A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E67A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1,5</w:t>
            </w:r>
          </w:p>
        </w:tc>
      </w:tr>
    </w:tbl>
    <w:p w:rsidR="00956101" w:rsidRDefault="00956101" w:rsidP="00F11191">
      <w:pPr>
        <w:pStyle w:val="Default"/>
        <w:pBdr>
          <w:bottom w:val="single" w:sz="4" w:space="1" w:color="auto"/>
        </w:pBd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</w:t>
      </w:r>
      <w:r w:rsidRPr="00956101">
        <w:rPr>
          <w:bCs/>
          <w:sz w:val="16"/>
          <w:szCs w:val="16"/>
        </w:rPr>
        <w:t>* Dotyczy: wynajmu, dzierżawy, działalności turystycznej, detektywistycznej, ochroniarskiej, utrzymani</w:t>
      </w:r>
      <w:r w:rsidR="007F6C4B">
        <w:rPr>
          <w:bCs/>
          <w:sz w:val="16"/>
          <w:szCs w:val="16"/>
        </w:rPr>
        <w:t xml:space="preserve">u </w:t>
      </w:r>
      <w:r w:rsidRPr="00956101">
        <w:rPr>
          <w:bCs/>
          <w:sz w:val="16"/>
          <w:szCs w:val="16"/>
        </w:rPr>
        <w:t>porządku w budynkach,</w:t>
      </w:r>
    </w:p>
    <w:p w:rsidR="004C44AC" w:rsidRPr="00956101" w:rsidRDefault="00956101" w:rsidP="00F11191">
      <w:pPr>
        <w:pStyle w:val="Default"/>
        <w:pBdr>
          <w:bottom w:val="single" w:sz="4" w:space="1" w:color="auto"/>
        </w:pBd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</w:t>
      </w:r>
      <w:r w:rsidR="007F6C4B">
        <w:rPr>
          <w:bCs/>
          <w:sz w:val="16"/>
          <w:szCs w:val="16"/>
        </w:rPr>
        <w:t xml:space="preserve"> </w:t>
      </w:r>
      <w:r w:rsidRPr="00956101">
        <w:rPr>
          <w:bCs/>
          <w:sz w:val="16"/>
          <w:szCs w:val="16"/>
        </w:rPr>
        <w:t>administracyjnej obsłudze biura i pozostałych czynnoś</w:t>
      </w:r>
      <w:r w:rsidR="007F6C4B">
        <w:rPr>
          <w:bCs/>
          <w:sz w:val="16"/>
          <w:szCs w:val="16"/>
        </w:rPr>
        <w:t>ciach</w:t>
      </w:r>
      <w:r w:rsidRPr="00956101">
        <w:rPr>
          <w:bCs/>
          <w:sz w:val="16"/>
          <w:szCs w:val="16"/>
        </w:rPr>
        <w:t xml:space="preserve"> </w:t>
      </w:r>
      <w:r w:rsidR="007F6C4B">
        <w:rPr>
          <w:bCs/>
          <w:sz w:val="16"/>
          <w:szCs w:val="16"/>
        </w:rPr>
        <w:t xml:space="preserve">wspomagających </w:t>
      </w:r>
      <w:r w:rsidRPr="00956101">
        <w:rPr>
          <w:bCs/>
          <w:sz w:val="16"/>
          <w:szCs w:val="16"/>
        </w:rPr>
        <w:t xml:space="preserve">prowadzenie działalności gospodarczej. </w:t>
      </w:r>
    </w:p>
    <w:p w:rsidR="00B46782" w:rsidRPr="00956101" w:rsidRDefault="00B46782" w:rsidP="00F11191">
      <w:pPr>
        <w:pStyle w:val="Default"/>
        <w:pBdr>
          <w:bottom w:val="single" w:sz="4" w:space="1" w:color="auto"/>
        </w:pBdr>
        <w:jc w:val="both"/>
        <w:rPr>
          <w:bCs/>
          <w:sz w:val="16"/>
          <w:szCs w:val="16"/>
        </w:rPr>
      </w:pPr>
    </w:p>
    <w:p w:rsidR="00A93F05" w:rsidRPr="00F11191" w:rsidRDefault="00242C45" w:rsidP="00F11191">
      <w:pPr>
        <w:pStyle w:val="Default"/>
        <w:pBdr>
          <w:bottom w:val="single" w:sz="4" w:space="1" w:color="auto"/>
        </w:pBdr>
        <w:jc w:val="both"/>
        <w:rPr>
          <w:bCs/>
        </w:rPr>
      </w:pPr>
      <w:r w:rsidRPr="00F11191">
        <w:rPr>
          <w:bCs/>
        </w:rPr>
        <w:t>Wnioski</w:t>
      </w:r>
      <w:r w:rsidR="00A93F05" w:rsidRPr="00F11191">
        <w:rPr>
          <w:bCs/>
        </w:rPr>
        <w:t>:</w:t>
      </w:r>
    </w:p>
    <w:p w:rsidR="00242C45" w:rsidRPr="00F11191" w:rsidRDefault="00A93F05" w:rsidP="00242C45">
      <w:pPr>
        <w:pStyle w:val="Default"/>
        <w:spacing w:line="360" w:lineRule="auto"/>
        <w:jc w:val="both"/>
        <w:rPr>
          <w:bCs/>
          <w:sz w:val="18"/>
          <w:szCs w:val="18"/>
        </w:rPr>
      </w:pPr>
      <w:r w:rsidRPr="00F11191">
        <w:rPr>
          <w:bCs/>
          <w:sz w:val="18"/>
          <w:szCs w:val="18"/>
        </w:rPr>
        <w:t xml:space="preserve">(na podstawie </w:t>
      </w:r>
      <w:r w:rsidR="00807C86">
        <w:rPr>
          <w:bCs/>
          <w:sz w:val="18"/>
          <w:szCs w:val="18"/>
        </w:rPr>
        <w:t>t</w:t>
      </w:r>
      <w:r w:rsidRPr="00F11191">
        <w:rPr>
          <w:bCs/>
          <w:sz w:val="18"/>
          <w:szCs w:val="18"/>
        </w:rPr>
        <w:t xml:space="preserve">abeli </w:t>
      </w:r>
      <w:r w:rsidR="004C44AC">
        <w:rPr>
          <w:bCs/>
          <w:sz w:val="18"/>
          <w:szCs w:val="18"/>
        </w:rPr>
        <w:t xml:space="preserve">10 i </w:t>
      </w:r>
      <w:r w:rsidRPr="00F11191">
        <w:rPr>
          <w:bCs/>
          <w:sz w:val="18"/>
          <w:szCs w:val="18"/>
        </w:rPr>
        <w:t>11)</w:t>
      </w:r>
    </w:p>
    <w:p w:rsidR="001C3D03" w:rsidRPr="001C3D03" w:rsidRDefault="00242C45" w:rsidP="00160D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3D03">
        <w:rPr>
          <w:rFonts w:ascii="Times New Roman" w:hAnsi="Times New Roman" w:cs="Times New Roman"/>
          <w:bCs/>
          <w:sz w:val="24"/>
          <w:szCs w:val="24"/>
        </w:rPr>
        <w:t>Największą kategorię stanowią osoby pracujące</w:t>
      </w:r>
      <w:r w:rsidR="00AE5712" w:rsidRPr="001C3D03">
        <w:rPr>
          <w:rFonts w:ascii="Times New Roman" w:hAnsi="Times New Roman" w:cs="Times New Roman"/>
          <w:bCs/>
          <w:sz w:val="24"/>
          <w:szCs w:val="24"/>
        </w:rPr>
        <w:t xml:space="preserve"> w </w:t>
      </w:r>
      <w:r w:rsidR="00BD0C81" w:rsidRPr="001C3D03">
        <w:rPr>
          <w:rFonts w:ascii="Times New Roman" w:hAnsi="Times New Roman" w:cs="Times New Roman"/>
          <w:bCs/>
          <w:sz w:val="24"/>
          <w:szCs w:val="24"/>
        </w:rPr>
        <w:t xml:space="preserve">usługach (43,5%) i </w:t>
      </w:r>
      <w:r w:rsidR="00F43278" w:rsidRPr="001C3D03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Pr="001C3D03">
        <w:rPr>
          <w:rFonts w:ascii="Times New Roman" w:hAnsi="Times New Roman" w:cs="Times New Roman"/>
          <w:bCs/>
          <w:sz w:val="24"/>
          <w:szCs w:val="24"/>
        </w:rPr>
        <w:t xml:space="preserve">rolnictwie </w:t>
      </w:r>
      <w:r w:rsidR="00BD0C81" w:rsidRPr="001C3D03">
        <w:rPr>
          <w:rFonts w:ascii="Times New Roman" w:hAnsi="Times New Roman" w:cs="Times New Roman"/>
          <w:bCs/>
          <w:sz w:val="24"/>
          <w:szCs w:val="24"/>
        </w:rPr>
        <w:t>(32,1%)</w:t>
      </w:r>
      <w:r w:rsidR="00643D32">
        <w:rPr>
          <w:rFonts w:ascii="Times New Roman" w:hAnsi="Times New Roman" w:cs="Times New Roman"/>
          <w:bCs/>
          <w:sz w:val="24"/>
          <w:szCs w:val="24"/>
        </w:rPr>
        <w:t>,</w:t>
      </w:r>
    </w:p>
    <w:p w:rsidR="00242C45" w:rsidRPr="001C3D03" w:rsidRDefault="00242C45" w:rsidP="00160DB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3D03">
        <w:rPr>
          <w:rFonts w:ascii="Times New Roman" w:hAnsi="Times New Roman" w:cs="Times New Roman"/>
          <w:bCs/>
          <w:sz w:val="24"/>
          <w:szCs w:val="24"/>
        </w:rPr>
        <w:t>Sektory</w:t>
      </w:r>
      <w:r w:rsidR="000408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3D03">
        <w:rPr>
          <w:rFonts w:ascii="Times New Roman" w:hAnsi="Times New Roman" w:cs="Times New Roman"/>
          <w:bCs/>
          <w:sz w:val="24"/>
          <w:szCs w:val="24"/>
        </w:rPr>
        <w:t>przemysłowy</w:t>
      </w:r>
      <w:r w:rsidR="000408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712" w:rsidRPr="001C3D03">
        <w:rPr>
          <w:rFonts w:ascii="Times New Roman" w:hAnsi="Times New Roman" w:cs="Times New Roman"/>
          <w:bCs/>
          <w:sz w:val="24"/>
          <w:szCs w:val="24"/>
        </w:rPr>
        <w:t>i</w:t>
      </w:r>
      <w:r w:rsidR="000408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3D03">
        <w:rPr>
          <w:rFonts w:ascii="Times New Roman" w:hAnsi="Times New Roman" w:cs="Times New Roman"/>
          <w:bCs/>
          <w:sz w:val="24"/>
          <w:szCs w:val="24"/>
        </w:rPr>
        <w:t>budowlany</w:t>
      </w:r>
      <w:r w:rsidR="000408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C3D03">
        <w:rPr>
          <w:rFonts w:ascii="Times New Roman" w:hAnsi="Times New Roman" w:cs="Times New Roman"/>
          <w:bCs/>
          <w:sz w:val="24"/>
          <w:szCs w:val="24"/>
        </w:rPr>
        <w:t>skupiają łącznie blisko ¼ pracujących (w 201</w:t>
      </w:r>
      <w:r w:rsidR="001C3D03" w:rsidRPr="001C3D03">
        <w:rPr>
          <w:rFonts w:ascii="Times New Roman" w:hAnsi="Times New Roman" w:cs="Times New Roman"/>
          <w:bCs/>
          <w:sz w:val="24"/>
          <w:szCs w:val="24"/>
        </w:rPr>
        <w:t>5</w:t>
      </w:r>
      <w:r w:rsidR="00AE5712" w:rsidRPr="001C3D03">
        <w:rPr>
          <w:rFonts w:ascii="Times New Roman" w:hAnsi="Times New Roman" w:cs="Times New Roman"/>
          <w:bCs/>
          <w:sz w:val="24"/>
          <w:szCs w:val="24"/>
        </w:rPr>
        <w:t> r.</w:t>
      </w:r>
      <w:r w:rsidRPr="001C3D03">
        <w:rPr>
          <w:rFonts w:ascii="Times New Roman" w:hAnsi="Times New Roman" w:cs="Times New Roman"/>
          <w:bCs/>
          <w:sz w:val="24"/>
          <w:szCs w:val="24"/>
        </w:rPr>
        <w:t xml:space="preserve"> 24,</w:t>
      </w:r>
      <w:r w:rsidR="001C3D03" w:rsidRPr="001C3D03">
        <w:rPr>
          <w:rFonts w:ascii="Times New Roman" w:hAnsi="Times New Roman" w:cs="Times New Roman"/>
          <w:bCs/>
          <w:sz w:val="24"/>
          <w:szCs w:val="24"/>
        </w:rPr>
        <w:t>4</w:t>
      </w:r>
      <w:r w:rsidRPr="001C3D03">
        <w:rPr>
          <w:rFonts w:ascii="Times New Roman" w:hAnsi="Times New Roman" w:cs="Times New Roman"/>
          <w:bCs/>
          <w:sz w:val="24"/>
          <w:szCs w:val="24"/>
        </w:rPr>
        <w:t>% pracujących)</w:t>
      </w:r>
      <w:r w:rsidR="00643D32">
        <w:rPr>
          <w:rFonts w:ascii="Times New Roman" w:hAnsi="Times New Roman" w:cs="Times New Roman"/>
          <w:bCs/>
          <w:sz w:val="24"/>
          <w:szCs w:val="24"/>
        </w:rPr>
        <w:t>,</w:t>
      </w:r>
    </w:p>
    <w:p w:rsidR="00242C45" w:rsidRPr="000408F3" w:rsidRDefault="00BD2D95" w:rsidP="00160DBC">
      <w:pPr>
        <w:pStyle w:val="Bezodstpw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Niższy niż w kraju </w:t>
      </w:r>
      <w:r w:rsidR="00242C45" w:rsidRPr="000408F3">
        <w:rPr>
          <w:rFonts w:ascii="Times New Roman" w:hAnsi="Times New Roman" w:cs="Times New Roman"/>
          <w:sz w:val="24"/>
          <w:szCs w:val="24"/>
        </w:rPr>
        <w:t>udział zatrudnionych</w:t>
      </w:r>
      <w:r w:rsidR="00AE5712" w:rsidRPr="000408F3">
        <w:rPr>
          <w:rFonts w:ascii="Times New Roman" w:hAnsi="Times New Roman" w:cs="Times New Roman"/>
          <w:sz w:val="24"/>
          <w:szCs w:val="24"/>
        </w:rPr>
        <w:t xml:space="preserve"> w </w:t>
      </w:r>
      <w:r w:rsidR="00242C45" w:rsidRPr="000408F3">
        <w:rPr>
          <w:rFonts w:ascii="Times New Roman" w:hAnsi="Times New Roman" w:cs="Times New Roman"/>
          <w:sz w:val="24"/>
          <w:szCs w:val="24"/>
        </w:rPr>
        <w:t>usługach</w:t>
      </w:r>
      <w:r w:rsidR="000408F3" w:rsidRPr="000408F3">
        <w:rPr>
          <w:rFonts w:ascii="Times New Roman" w:hAnsi="Times New Roman" w:cs="Times New Roman"/>
          <w:sz w:val="24"/>
          <w:szCs w:val="24"/>
        </w:rPr>
        <w:t xml:space="preserve"> – </w:t>
      </w:r>
      <w:r w:rsidR="00242C45" w:rsidRPr="000408F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3,5</w:t>
      </w:r>
      <w:r w:rsidR="00242C45" w:rsidRPr="000408F3">
        <w:rPr>
          <w:rFonts w:ascii="Times New Roman" w:hAnsi="Times New Roman" w:cs="Times New Roman"/>
          <w:sz w:val="24"/>
          <w:szCs w:val="24"/>
        </w:rPr>
        <w:t xml:space="preserve">% </w:t>
      </w:r>
      <w:r>
        <w:rPr>
          <w:rFonts w:ascii="Times New Roman" w:hAnsi="Times New Roman" w:cs="Times New Roman"/>
          <w:sz w:val="24"/>
          <w:szCs w:val="24"/>
        </w:rPr>
        <w:t xml:space="preserve">ogółu </w:t>
      </w:r>
      <w:r w:rsidR="00242C45" w:rsidRPr="000408F3">
        <w:rPr>
          <w:rFonts w:ascii="Times New Roman" w:hAnsi="Times New Roman" w:cs="Times New Roman"/>
          <w:sz w:val="24"/>
          <w:szCs w:val="24"/>
        </w:rPr>
        <w:t>pracujących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295756">
        <w:rPr>
          <w:rFonts w:ascii="Times New Roman" w:hAnsi="Times New Roman" w:cs="Times New Roman"/>
          <w:sz w:val="24"/>
          <w:szCs w:val="24"/>
        </w:rPr>
        <w:t>Polska</w:t>
      </w:r>
      <w:r>
        <w:rPr>
          <w:rFonts w:ascii="Times New Roman" w:hAnsi="Times New Roman" w:cs="Times New Roman"/>
          <w:sz w:val="24"/>
          <w:szCs w:val="24"/>
        </w:rPr>
        <w:t xml:space="preserve"> – 57,1%)</w:t>
      </w:r>
      <w:r w:rsidR="00242C45" w:rsidRPr="000408F3">
        <w:rPr>
          <w:rFonts w:ascii="Times New Roman" w:hAnsi="Times New Roman" w:cs="Times New Roman"/>
          <w:sz w:val="24"/>
          <w:szCs w:val="24"/>
        </w:rPr>
        <w:t>.</w:t>
      </w:r>
    </w:p>
    <w:p w:rsidR="00B92E45" w:rsidRPr="00F11191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 w:rsidRPr="00F11191">
        <w:rPr>
          <w:rFonts w:ascii="Times New Roman" w:hAnsi="Times New Roman" w:cs="Times New Roman"/>
          <w:szCs w:val="24"/>
        </w:rPr>
        <w:lastRenderedPageBreak/>
        <w:t xml:space="preserve">Tabela </w:t>
      </w:r>
      <w:r w:rsidR="00B220FE" w:rsidRPr="00F11191">
        <w:rPr>
          <w:rFonts w:ascii="Times New Roman" w:hAnsi="Times New Roman" w:cs="Times New Roman"/>
          <w:szCs w:val="24"/>
        </w:rPr>
        <w:t>12</w:t>
      </w:r>
      <w:r w:rsidRPr="00F11191">
        <w:rPr>
          <w:rFonts w:ascii="Times New Roman" w:hAnsi="Times New Roman" w:cs="Times New Roman"/>
          <w:szCs w:val="24"/>
        </w:rPr>
        <w:t xml:space="preserve">. </w:t>
      </w:r>
      <w:r w:rsidR="005C72B7" w:rsidRPr="00F11191">
        <w:rPr>
          <w:rFonts w:ascii="Times New Roman" w:hAnsi="Times New Roman" w:cs="Times New Roman"/>
          <w:szCs w:val="24"/>
        </w:rPr>
        <w:tab/>
      </w:r>
      <w:r w:rsidRPr="00CF3C61">
        <w:rPr>
          <w:rFonts w:ascii="Times New Roman" w:hAnsi="Times New Roman" w:cs="Times New Roman"/>
          <w:b/>
          <w:szCs w:val="24"/>
        </w:rPr>
        <w:t>Podmioty gospodarki narodowej</w:t>
      </w:r>
      <w:r w:rsidR="00643D32">
        <w:rPr>
          <w:rFonts w:ascii="Times New Roman" w:hAnsi="Times New Roman" w:cs="Times New Roman"/>
          <w:b/>
          <w:szCs w:val="24"/>
        </w:rPr>
        <w:t xml:space="preserve"> </w:t>
      </w:r>
      <w:r w:rsidR="00AE5712" w:rsidRPr="00CF3C61">
        <w:rPr>
          <w:rFonts w:ascii="Times New Roman" w:hAnsi="Times New Roman" w:cs="Times New Roman"/>
          <w:b/>
          <w:szCs w:val="24"/>
        </w:rPr>
        <w:t>w</w:t>
      </w:r>
      <w:r w:rsidR="00643D32">
        <w:rPr>
          <w:rFonts w:ascii="Times New Roman" w:hAnsi="Times New Roman" w:cs="Times New Roman"/>
          <w:b/>
          <w:szCs w:val="24"/>
        </w:rPr>
        <w:t xml:space="preserve"> </w:t>
      </w:r>
      <w:r w:rsidRPr="00CF3C61">
        <w:rPr>
          <w:rFonts w:ascii="Times New Roman" w:hAnsi="Times New Roman" w:cs="Times New Roman"/>
          <w:b/>
          <w:szCs w:val="24"/>
        </w:rPr>
        <w:t>poszczególnych powiatach województwa podkarpackiego</w:t>
      </w:r>
      <w:r w:rsidRPr="00F11191">
        <w:rPr>
          <w:rFonts w:ascii="Times New Roman" w:hAnsi="Times New Roman" w:cs="Times New Roman"/>
          <w:szCs w:val="24"/>
        </w:rPr>
        <w:t xml:space="preserve"> (bez osób fizycznych prowadzących wyłącznie indywidualne gospodarstwa rolne)</w:t>
      </w:r>
    </w:p>
    <w:tbl>
      <w:tblPr>
        <w:tblStyle w:val="Tabela-Siatka"/>
        <w:tblW w:w="4687" w:type="pct"/>
        <w:jc w:val="center"/>
        <w:tblInd w:w="846" w:type="dxa"/>
        <w:tblLook w:val="04A0" w:firstRow="1" w:lastRow="0" w:firstColumn="1" w:lastColumn="0" w:noHBand="0" w:noVBand="1"/>
      </w:tblPr>
      <w:tblGrid>
        <w:gridCol w:w="2551"/>
        <w:gridCol w:w="2000"/>
        <w:gridCol w:w="1541"/>
        <w:gridCol w:w="1403"/>
        <w:gridCol w:w="1210"/>
      </w:tblGrid>
      <w:tr w:rsidR="000F6265" w:rsidRPr="00E613EA" w:rsidTr="005468E1">
        <w:trPr>
          <w:jc w:val="center"/>
        </w:trPr>
        <w:tc>
          <w:tcPr>
            <w:tcW w:w="1465" w:type="pct"/>
            <w:shd w:val="clear" w:color="auto" w:fill="E5DFEC" w:themeFill="accent4" w:themeFillTint="33"/>
            <w:vAlign w:val="center"/>
          </w:tcPr>
          <w:p w:rsidR="000F6265" w:rsidRPr="0010350D" w:rsidRDefault="0010350D" w:rsidP="00EC66B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</w:t>
            </w:r>
            <w:r w:rsidR="000F6265" w:rsidRPr="0010350D">
              <w:rPr>
                <w:rFonts w:ascii="Times New Roman" w:hAnsi="Times New Roman" w:cs="Times New Roman"/>
                <w:b/>
              </w:rPr>
              <w:t>owiat</w:t>
            </w:r>
          </w:p>
        </w:tc>
        <w:tc>
          <w:tcPr>
            <w:tcW w:w="1149" w:type="pct"/>
            <w:shd w:val="clear" w:color="auto" w:fill="E5DFEC" w:themeFill="accent4" w:themeFillTint="33"/>
            <w:vAlign w:val="center"/>
          </w:tcPr>
          <w:p w:rsidR="000F6265" w:rsidRPr="0010350D" w:rsidRDefault="000F6265" w:rsidP="000F626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NUTS III</w:t>
            </w:r>
          </w:p>
          <w:p w:rsidR="000F6265" w:rsidRPr="0010350D" w:rsidRDefault="000F6265" w:rsidP="00107D6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(Subregion)</w:t>
            </w:r>
          </w:p>
        </w:tc>
        <w:tc>
          <w:tcPr>
            <w:tcW w:w="885" w:type="pct"/>
            <w:shd w:val="clear" w:color="auto" w:fill="E5DFEC" w:themeFill="accent4" w:themeFillTint="33"/>
            <w:vAlign w:val="center"/>
          </w:tcPr>
          <w:p w:rsidR="000F6265" w:rsidRPr="0010350D" w:rsidRDefault="000F6265" w:rsidP="00AA0C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31 XII ‘15</w:t>
            </w:r>
          </w:p>
        </w:tc>
        <w:tc>
          <w:tcPr>
            <w:tcW w:w="806" w:type="pct"/>
            <w:shd w:val="clear" w:color="auto" w:fill="E5DFEC" w:themeFill="accent4" w:themeFillTint="33"/>
            <w:vAlign w:val="center"/>
          </w:tcPr>
          <w:p w:rsidR="000F6265" w:rsidRPr="0010350D" w:rsidRDefault="000F6265" w:rsidP="00AA0C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31 XII ‘16</w:t>
            </w:r>
          </w:p>
        </w:tc>
        <w:tc>
          <w:tcPr>
            <w:tcW w:w="695" w:type="pct"/>
            <w:shd w:val="clear" w:color="auto" w:fill="E5DFEC" w:themeFill="accent4" w:themeFillTint="33"/>
            <w:vAlign w:val="center"/>
          </w:tcPr>
          <w:p w:rsidR="000F6265" w:rsidRPr="0010350D" w:rsidRDefault="000F6265" w:rsidP="0094122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wzrost/ spadek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10350D" w:rsidRDefault="00197A36" w:rsidP="00295756">
            <w:pPr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woj. podkarpackie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10350D" w:rsidRDefault="00197A36" w:rsidP="00AA0C8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350D">
              <w:rPr>
                <w:rFonts w:ascii="Times New Roman" w:hAnsi="Times New Roman" w:cs="Times New Roman"/>
                <w:b/>
                <w:color w:val="000000"/>
              </w:rPr>
              <w:t>---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10350D" w:rsidRDefault="00197A36" w:rsidP="00AA0C8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350D">
              <w:rPr>
                <w:rFonts w:ascii="Times New Roman" w:hAnsi="Times New Roman" w:cs="Times New Roman"/>
                <w:b/>
                <w:color w:val="000000"/>
              </w:rPr>
              <w:t>165 155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10350D" w:rsidRDefault="00197A36" w:rsidP="00AA0C8D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350D">
              <w:rPr>
                <w:rFonts w:ascii="Times New Roman" w:hAnsi="Times New Roman" w:cs="Times New Roman"/>
                <w:b/>
                <w:color w:val="000000"/>
              </w:rPr>
              <w:t>167 749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0350D" w:rsidRDefault="00197A36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10350D">
              <w:rPr>
                <w:rFonts w:ascii="Times New Roman" w:hAnsi="Times New Roman" w:cs="Times New Roman"/>
                <w:b/>
                <w:color w:val="000000"/>
              </w:rPr>
              <w:t>2 594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bieszczadzki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2 149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brzozowski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3 779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828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dębicki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9 277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jarosławski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8 612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jasielski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7 983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kolbuszowski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3 622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krośnieński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7 616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leski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2 933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973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leżajski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4 267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lubaczowski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3 212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łańcucki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5 894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979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mielecki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10 643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939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niżański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4 145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przemyski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4 124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przeworski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4 608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707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ropczycko-sędziszowski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4 998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rzeszowski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11 675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907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sanocki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6 972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000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stalowowolski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8 926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916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strzyżowski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3 878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966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tarnobrzeski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3 381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Krosno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krośnieński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5 639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-24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Przemyśl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przemyski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6 262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Rzeszów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rzeszowski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25 648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841</w:t>
            </w:r>
          </w:p>
        </w:tc>
      </w:tr>
      <w:tr w:rsidR="00197A36" w:rsidRPr="00E613EA" w:rsidTr="007C037A">
        <w:trPr>
          <w:jc w:val="center"/>
        </w:trPr>
        <w:tc>
          <w:tcPr>
            <w:tcW w:w="1465" w:type="pct"/>
            <w:shd w:val="clear" w:color="auto" w:fill="FFFFFF" w:themeFill="background1"/>
          </w:tcPr>
          <w:p w:rsidR="00197A36" w:rsidRPr="00A11007" w:rsidRDefault="00197A36" w:rsidP="00A110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sz w:val="18"/>
                <w:szCs w:val="18"/>
              </w:rPr>
              <w:t>Tarnobrzeg</w:t>
            </w:r>
          </w:p>
        </w:tc>
        <w:tc>
          <w:tcPr>
            <w:tcW w:w="1149" w:type="pct"/>
            <w:shd w:val="clear" w:color="auto" w:fill="FFFFFF" w:themeFill="background1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tarnobrzeski</w:t>
            </w:r>
          </w:p>
        </w:tc>
        <w:tc>
          <w:tcPr>
            <w:tcW w:w="885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4 912</w:t>
            </w:r>
          </w:p>
        </w:tc>
        <w:tc>
          <w:tcPr>
            <w:tcW w:w="806" w:type="pct"/>
            <w:shd w:val="clear" w:color="auto" w:fill="FFFFFF" w:themeFill="background1"/>
            <w:vAlign w:val="bottom"/>
          </w:tcPr>
          <w:p w:rsidR="00197A36" w:rsidRPr="00A11007" w:rsidRDefault="00197A36" w:rsidP="00A1100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="004B70B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110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818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197A36" w:rsidRPr="00197A36" w:rsidRDefault="00197A3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97A3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-94</w:t>
            </w:r>
          </w:p>
        </w:tc>
      </w:tr>
    </w:tbl>
    <w:p w:rsidR="00E4437C" w:rsidRDefault="00E4437C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</w:p>
    <w:p w:rsidR="00B220FE" w:rsidRPr="00CF3C61" w:rsidRDefault="005635FA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762688" behindDoc="1" locked="0" layoutInCell="1" allowOverlap="1" wp14:anchorId="171ECBB8" wp14:editId="137A05B2">
            <wp:simplePos x="0" y="0"/>
            <wp:positionH relativeFrom="column">
              <wp:posOffset>0</wp:posOffset>
            </wp:positionH>
            <wp:positionV relativeFrom="paragraph">
              <wp:posOffset>451485</wp:posOffset>
            </wp:positionV>
            <wp:extent cx="5663565" cy="3425190"/>
            <wp:effectExtent l="0" t="0" r="0" b="0"/>
            <wp:wrapTight wrapText="bothSides">
              <wp:wrapPolygon edited="0">
                <wp:start x="12061" y="240"/>
                <wp:lineTo x="3996" y="1682"/>
                <wp:lineTo x="3996" y="2283"/>
                <wp:lineTo x="4287" y="2403"/>
                <wp:lineTo x="4287" y="4325"/>
                <wp:lineTo x="3560" y="4685"/>
                <wp:lineTo x="3487" y="7809"/>
                <wp:lineTo x="2252" y="8169"/>
                <wp:lineTo x="2107" y="8529"/>
                <wp:lineTo x="3996" y="10091"/>
                <wp:lineTo x="4359" y="12013"/>
                <wp:lineTo x="3851" y="12734"/>
                <wp:lineTo x="4287" y="13815"/>
                <wp:lineTo x="3633" y="13935"/>
                <wp:lineTo x="3633" y="15858"/>
                <wp:lineTo x="4287" y="16098"/>
                <wp:lineTo x="3923" y="17299"/>
                <wp:lineTo x="4505" y="17780"/>
                <wp:lineTo x="3705" y="18621"/>
                <wp:lineTo x="3851" y="19462"/>
                <wp:lineTo x="6539" y="20062"/>
                <wp:lineTo x="5667" y="20303"/>
                <wp:lineTo x="5740" y="20783"/>
                <wp:lineTo x="21288" y="20783"/>
                <wp:lineTo x="21433" y="20182"/>
                <wp:lineTo x="10680" y="19702"/>
                <wp:lineTo x="5740" y="17780"/>
                <wp:lineTo x="10680" y="15858"/>
                <wp:lineTo x="10680" y="13935"/>
                <wp:lineTo x="5812" y="12013"/>
                <wp:lineTo x="5667" y="10452"/>
                <wp:lineTo x="5449" y="10091"/>
                <wp:lineTo x="10680" y="8169"/>
                <wp:lineTo x="5812" y="6247"/>
                <wp:lineTo x="10680" y="4325"/>
                <wp:lineTo x="10753" y="2403"/>
                <wp:lineTo x="12642" y="2403"/>
                <wp:lineTo x="18018" y="961"/>
                <wp:lineTo x="17946" y="240"/>
                <wp:lineTo x="12061" y="240"/>
              </wp:wrapPolygon>
            </wp:wrapTight>
            <wp:docPr id="2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0FE" w:rsidRPr="00CF3C61">
        <w:rPr>
          <w:rFonts w:ascii="Times New Roman" w:hAnsi="Times New Roman" w:cs="Times New Roman"/>
          <w:szCs w:val="24"/>
        </w:rPr>
        <w:t xml:space="preserve">Wykres </w:t>
      </w:r>
      <w:r w:rsidR="00E10F11" w:rsidRPr="00CF3C61">
        <w:rPr>
          <w:rFonts w:ascii="Times New Roman" w:hAnsi="Times New Roman" w:cs="Times New Roman"/>
          <w:szCs w:val="24"/>
        </w:rPr>
        <w:t>9</w:t>
      </w:r>
      <w:r w:rsidR="00B220FE" w:rsidRPr="00CF3C61">
        <w:rPr>
          <w:rFonts w:ascii="Times New Roman" w:hAnsi="Times New Roman" w:cs="Times New Roman"/>
          <w:szCs w:val="24"/>
        </w:rPr>
        <w:t xml:space="preserve">. </w:t>
      </w:r>
      <w:r w:rsidR="005C72B7" w:rsidRPr="00CF3C61">
        <w:rPr>
          <w:rFonts w:ascii="Times New Roman" w:hAnsi="Times New Roman" w:cs="Times New Roman"/>
          <w:szCs w:val="24"/>
        </w:rPr>
        <w:tab/>
      </w:r>
      <w:r w:rsidR="00B220FE" w:rsidRPr="00CF3C61">
        <w:rPr>
          <w:rFonts w:ascii="Times New Roman" w:hAnsi="Times New Roman" w:cs="Times New Roman"/>
          <w:b/>
          <w:szCs w:val="24"/>
        </w:rPr>
        <w:t>Podmioty gospodarki narodowej</w:t>
      </w:r>
      <w:r w:rsidR="00AE5712" w:rsidRPr="00CF3C61">
        <w:rPr>
          <w:rFonts w:ascii="Times New Roman" w:hAnsi="Times New Roman" w:cs="Times New Roman"/>
          <w:b/>
          <w:szCs w:val="24"/>
        </w:rPr>
        <w:t xml:space="preserve"> w </w:t>
      </w:r>
      <w:r w:rsidR="00B220FE" w:rsidRPr="00CF3C61">
        <w:rPr>
          <w:rFonts w:ascii="Times New Roman" w:hAnsi="Times New Roman" w:cs="Times New Roman"/>
          <w:b/>
          <w:szCs w:val="24"/>
        </w:rPr>
        <w:t>poszczególnych powiatach województwa podkarpackiego</w:t>
      </w:r>
      <w:r w:rsidR="00B220FE" w:rsidRPr="00CF3C61">
        <w:rPr>
          <w:rFonts w:ascii="Times New Roman" w:hAnsi="Times New Roman" w:cs="Times New Roman"/>
          <w:szCs w:val="24"/>
        </w:rPr>
        <w:t xml:space="preserve"> (bez osób fizycznych prowadzących wyłącznie indywidualne gospodarstwa rolne)</w:t>
      </w:r>
    </w:p>
    <w:p w:rsidR="00B220FE" w:rsidRPr="00511568" w:rsidRDefault="00B220FE" w:rsidP="005635FA">
      <w:pPr>
        <w:pStyle w:val="Bezodstpw"/>
        <w:jc w:val="both"/>
        <w:rPr>
          <w:rFonts w:ascii="Times New Roman" w:hAnsi="Times New Roman" w:cs="Times New Roman"/>
        </w:rPr>
      </w:pPr>
    </w:p>
    <w:p w:rsidR="00B92E45" w:rsidRPr="00511568" w:rsidRDefault="00B92E45" w:rsidP="005635FA">
      <w:pPr>
        <w:rPr>
          <w:rFonts w:ascii="Times New Roman" w:hAnsi="Times New Roman" w:cs="Times New Roman"/>
          <w:highlight w:val="yellow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568" w:rsidRDefault="00511568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568" w:rsidRDefault="00511568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11568" w:rsidRPr="00511568" w:rsidRDefault="00511568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37C" w:rsidRPr="00511568" w:rsidRDefault="00E4437C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35FA" w:rsidRPr="00511568" w:rsidRDefault="005635FA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35FA" w:rsidRPr="00511568" w:rsidRDefault="005635FA" w:rsidP="005635F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635FA" w:rsidRDefault="005635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2C45" w:rsidRPr="00894482" w:rsidRDefault="00242C45" w:rsidP="00894482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4482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242C45" w:rsidRPr="00511568" w:rsidRDefault="00242C45" w:rsidP="00242C45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11568">
        <w:rPr>
          <w:rFonts w:ascii="Times New Roman" w:hAnsi="Times New Roman" w:cs="Times New Roman"/>
          <w:sz w:val="18"/>
          <w:szCs w:val="18"/>
        </w:rPr>
        <w:t>(na podstawie Tabeli 12 oraz Wykresu 8)</w:t>
      </w:r>
    </w:p>
    <w:p w:rsidR="00242C45" w:rsidRPr="00F11191" w:rsidRDefault="00242C45" w:rsidP="00160DB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1191">
        <w:rPr>
          <w:rFonts w:ascii="Times New Roman" w:hAnsi="Times New Roman" w:cs="Times New Roman"/>
          <w:sz w:val="24"/>
          <w:szCs w:val="24"/>
        </w:rPr>
        <w:t>Łącznie</w:t>
      </w:r>
      <w:r w:rsidR="00AE5712" w:rsidRPr="00F11191">
        <w:rPr>
          <w:rFonts w:ascii="Times New Roman" w:hAnsi="Times New Roman" w:cs="Times New Roman"/>
          <w:sz w:val="24"/>
          <w:szCs w:val="24"/>
        </w:rPr>
        <w:t xml:space="preserve"> w </w:t>
      </w:r>
      <w:r w:rsidRPr="00F11191">
        <w:rPr>
          <w:rFonts w:ascii="Times New Roman" w:hAnsi="Times New Roman" w:cs="Times New Roman"/>
          <w:sz w:val="24"/>
          <w:szCs w:val="24"/>
        </w:rPr>
        <w:t>podregionach (jednostki NUTS-3) zlokalizowanych jest:</w:t>
      </w:r>
    </w:p>
    <w:p w:rsidR="00242C45" w:rsidRPr="004B70B0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B0">
        <w:rPr>
          <w:rFonts w:ascii="Times New Roman" w:hAnsi="Times New Roman" w:cs="Times New Roman"/>
          <w:sz w:val="24"/>
          <w:szCs w:val="24"/>
        </w:rPr>
        <w:t>PL323 – Krośnieński: 37 </w:t>
      </w:r>
      <w:r w:rsidR="00DC0130" w:rsidRPr="004B70B0">
        <w:rPr>
          <w:rFonts w:ascii="Times New Roman" w:hAnsi="Times New Roman" w:cs="Times New Roman"/>
          <w:sz w:val="24"/>
          <w:szCs w:val="24"/>
        </w:rPr>
        <w:t>341</w:t>
      </w:r>
      <w:r w:rsidRPr="004B70B0">
        <w:rPr>
          <w:rFonts w:ascii="Times New Roman" w:hAnsi="Times New Roman" w:cs="Times New Roman"/>
          <w:sz w:val="24"/>
          <w:szCs w:val="24"/>
        </w:rPr>
        <w:t xml:space="preserve"> podmiotów</w:t>
      </w:r>
      <w:r w:rsidR="00DC0130" w:rsidRPr="004B70B0">
        <w:rPr>
          <w:rFonts w:ascii="Times New Roman" w:hAnsi="Times New Roman" w:cs="Times New Roman"/>
          <w:sz w:val="24"/>
          <w:szCs w:val="24"/>
        </w:rPr>
        <w:t xml:space="preserve"> (22,3% ogółu)</w:t>
      </w:r>
      <w:r w:rsidRPr="004B70B0">
        <w:rPr>
          <w:rFonts w:ascii="Times New Roman" w:hAnsi="Times New Roman" w:cs="Times New Roman"/>
          <w:sz w:val="24"/>
          <w:szCs w:val="24"/>
        </w:rPr>
        <w:t>;</w:t>
      </w:r>
    </w:p>
    <w:p w:rsidR="00242C45" w:rsidRPr="004B70B0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B0">
        <w:rPr>
          <w:rFonts w:ascii="Times New Roman" w:hAnsi="Times New Roman" w:cs="Times New Roman"/>
          <w:sz w:val="24"/>
          <w:szCs w:val="24"/>
        </w:rPr>
        <w:t>PL324 – Przemyski: 2</w:t>
      </w:r>
      <w:r w:rsidR="00DC0130" w:rsidRPr="004B70B0">
        <w:rPr>
          <w:rFonts w:ascii="Times New Roman" w:hAnsi="Times New Roman" w:cs="Times New Roman"/>
          <w:sz w:val="24"/>
          <w:szCs w:val="24"/>
        </w:rPr>
        <w:t>7</w:t>
      </w:r>
      <w:r w:rsidRPr="004B70B0">
        <w:rPr>
          <w:rFonts w:ascii="Times New Roman" w:hAnsi="Times New Roman" w:cs="Times New Roman"/>
          <w:sz w:val="24"/>
          <w:szCs w:val="24"/>
        </w:rPr>
        <w:t> </w:t>
      </w:r>
      <w:r w:rsidR="00DC0130" w:rsidRPr="004B70B0">
        <w:rPr>
          <w:rFonts w:ascii="Times New Roman" w:hAnsi="Times New Roman" w:cs="Times New Roman"/>
          <w:sz w:val="24"/>
          <w:szCs w:val="24"/>
        </w:rPr>
        <w:t>326</w:t>
      </w:r>
      <w:r w:rsidRPr="004B70B0">
        <w:rPr>
          <w:rFonts w:ascii="Times New Roman" w:hAnsi="Times New Roman" w:cs="Times New Roman"/>
          <w:sz w:val="24"/>
          <w:szCs w:val="24"/>
        </w:rPr>
        <w:t xml:space="preserve"> podmiotów</w:t>
      </w:r>
      <w:r w:rsidR="00DC0130" w:rsidRPr="004B70B0">
        <w:rPr>
          <w:rFonts w:ascii="Times New Roman" w:hAnsi="Times New Roman" w:cs="Times New Roman"/>
          <w:sz w:val="24"/>
          <w:szCs w:val="24"/>
        </w:rPr>
        <w:t xml:space="preserve"> (16,3%)</w:t>
      </w:r>
      <w:r w:rsidRPr="004B70B0">
        <w:rPr>
          <w:rFonts w:ascii="Times New Roman" w:hAnsi="Times New Roman" w:cs="Times New Roman"/>
          <w:sz w:val="24"/>
          <w:szCs w:val="24"/>
        </w:rPr>
        <w:t>;</w:t>
      </w:r>
    </w:p>
    <w:p w:rsidR="00242C45" w:rsidRPr="004B70B0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B0">
        <w:rPr>
          <w:rFonts w:ascii="Times New Roman" w:hAnsi="Times New Roman" w:cs="Times New Roman"/>
          <w:sz w:val="24"/>
          <w:szCs w:val="24"/>
        </w:rPr>
        <w:t>PL325 – Rzeszowski: 5</w:t>
      </w:r>
      <w:r w:rsidR="00DC0130" w:rsidRPr="004B70B0">
        <w:rPr>
          <w:rFonts w:ascii="Times New Roman" w:hAnsi="Times New Roman" w:cs="Times New Roman"/>
          <w:sz w:val="24"/>
          <w:szCs w:val="24"/>
        </w:rPr>
        <w:t>7</w:t>
      </w:r>
      <w:r w:rsidRPr="004B70B0">
        <w:rPr>
          <w:rFonts w:ascii="Times New Roman" w:hAnsi="Times New Roman" w:cs="Times New Roman"/>
          <w:sz w:val="24"/>
          <w:szCs w:val="24"/>
        </w:rPr>
        <w:t> </w:t>
      </w:r>
      <w:r w:rsidR="00DC0130" w:rsidRPr="004B70B0">
        <w:rPr>
          <w:rFonts w:ascii="Times New Roman" w:hAnsi="Times New Roman" w:cs="Times New Roman"/>
          <w:sz w:val="24"/>
          <w:szCs w:val="24"/>
        </w:rPr>
        <w:t>1</w:t>
      </w:r>
      <w:r w:rsidRPr="004B70B0">
        <w:rPr>
          <w:rFonts w:ascii="Times New Roman" w:hAnsi="Times New Roman" w:cs="Times New Roman"/>
          <w:sz w:val="24"/>
          <w:szCs w:val="24"/>
        </w:rPr>
        <w:t>5</w:t>
      </w:r>
      <w:r w:rsidR="00DC0130" w:rsidRPr="004B70B0">
        <w:rPr>
          <w:rFonts w:ascii="Times New Roman" w:hAnsi="Times New Roman" w:cs="Times New Roman"/>
          <w:sz w:val="24"/>
          <w:szCs w:val="24"/>
        </w:rPr>
        <w:t>9</w:t>
      </w:r>
      <w:r w:rsidRPr="004B70B0">
        <w:rPr>
          <w:rFonts w:ascii="Times New Roman" w:hAnsi="Times New Roman" w:cs="Times New Roman"/>
          <w:sz w:val="24"/>
          <w:szCs w:val="24"/>
        </w:rPr>
        <w:t xml:space="preserve"> podmiotów</w:t>
      </w:r>
      <w:r w:rsidR="00DC0130" w:rsidRPr="004B70B0">
        <w:rPr>
          <w:rFonts w:ascii="Times New Roman" w:hAnsi="Times New Roman" w:cs="Times New Roman"/>
          <w:sz w:val="24"/>
          <w:szCs w:val="24"/>
        </w:rPr>
        <w:t xml:space="preserve"> (</w:t>
      </w:r>
      <w:r w:rsidR="0027033D" w:rsidRPr="004B70B0">
        <w:rPr>
          <w:rFonts w:ascii="Times New Roman" w:hAnsi="Times New Roman" w:cs="Times New Roman"/>
          <w:sz w:val="24"/>
          <w:szCs w:val="24"/>
        </w:rPr>
        <w:t>34,1</w:t>
      </w:r>
      <w:r w:rsidR="00DC0130" w:rsidRPr="004B70B0">
        <w:rPr>
          <w:rFonts w:ascii="Times New Roman" w:hAnsi="Times New Roman" w:cs="Times New Roman"/>
          <w:sz w:val="24"/>
          <w:szCs w:val="24"/>
        </w:rPr>
        <w:t>)</w:t>
      </w:r>
      <w:r w:rsidRPr="004B70B0">
        <w:rPr>
          <w:rFonts w:ascii="Times New Roman" w:hAnsi="Times New Roman" w:cs="Times New Roman"/>
          <w:sz w:val="24"/>
          <w:szCs w:val="24"/>
        </w:rPr>
        <w:t>;</w:t>
      </w:r>
    </w:p>
    <w:p w:rsidR="00242C45" w:rsidRPr="004B70B0" w:rsidRDefault="00242C45" w:rsidP="00160DBC">
      <w:pPr>
        <w:pStyle w:val="Akapitzlist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B0">
        <w:rPr>
          <w:rFonts w:ascii="Times New Roman" w:hAnsi="Times New Roman" w:cs="Times New Roman"/>
          <w:sz w:val="24"/>
          <w:szCs w:val="24"/>
        </w:rPr>
        <w:t>PL326 – Tarnobrzeski: 45 </w:t>
      </w:r>
      <w:r w:rsidR="0027033D" w:rsidRPr="004B70B0">
        <w:rPr>
          <w:rFonts w:ascii="Times New Roman" w:hAnsi="Times New Roman" w:cs="Times New Roman"/>
          <w:sz w:val="24"/>
          <w:szCs w:val="24"/>
        </w:rPr>
        <w:t>923</w:t>
      </w:r>
      <w:r w:rsidRPr="004B70B0">
        <w:rPr>
          <w:rFonts w:ascii="Times New Roman" w:hAnsi="Times New Roman" w:cs="Times New Roman"/>
          <w:sz w:val="24"/>
          <w:szCs w:val="24"/>
        </w:rPr>
        <w:t xml:space="preserve"> podmiotów</w:t>
      </w:r>
      <w:r w:rsidR="00DC0130" w:rsidRPr="004B70B0">
        <w:rPr>
          <w:rFonts w:ascii="Times New Roman" w:hAnsi="Times New Roman" w:cs="Times New Roman"/>
          <w:sz w:val="24"/>
          <w:szCs w:val="24"/>
        </w:rPr>
        <w:t xml:space="preserve"> (</w:t>
      </w:r>
      <w:r w:rsidR="0027033D" w:rsidRPr="004B70B0">
        <w:rPr>
          <w:rFonts w:ascii="Times New Roman" w:hAnsi="Times New Roman" w:cs="Times New Roman"/>
          <w:sz w:val="24"/>
          <w:szCs w:val="24"/>
        </w:rPr>
        <w:t>27,4%</w:t>
      </w:r>
      <w:r w:rsidR="00DC0130" w:rsidRPr="004B70B0">
        <w:rPr>
          <w:rFonts w:ascii="Times New Roman" w:hAnsi="Times New Roman" w:cs="Times New Roman"/>
          <w:sz w:val="24"/>
          <w:szCs w:val="24"/>
        </w:rPr>
        <w:t>)</w:t>
      </w:r>
      <w:r w:rsidRPr="004B70B0">
        <w:rPr>
          <w:rFonts w:ascii="Times New Roman" w:hAnsi="Times New Roman" w:cs="Times New Roman"/>
          <w:sz w:val="24"/>
          <w:szCs w:val="24"/>
        </w:rPr>
        <w:t>.</w:t>
      </w:r>
    </w:p>
    <w:p w:rsidR="00242C45" w:rsidRPr="004B70B0" w:rsidRDefault="00242C45" w:rsidP="00160DBC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0B0">
        <w:rPr>
          <w:rFonts w:ascii="Times New Roman" w:hAnsi="Times New Roman" w:cs="Times New Roman"/>
          <w:sz w:val="24"/>
          <w:szCs w:val="24"/>
        </w:rPr>
        <w:t>Wyraźne skupienie podmiotów gospodarczych</w:t>
      </w:r>
      <w:r w:rsidR="0027033D" w:rsidRPr="004B70B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4B70B0">
        <w:rPr>
          <w:rFonts w:ascii="Times New Roman" w:hAnsi="Times New Roman" w:cs="Times New Roman"/>
          <w:sz w:val="24"/>
          <w:szCs w:val="24"/>
        </w:rPr>
        <w:t>w</w:t>
      </w:r>
      <w:r w:rsidR="0027033D" w:rsidRPr="004B70B0">
        <w:rPr>
          <w:rFonts w:ascii="Times New Roman" w:hAnsi="Times New Roman" w:cs="Times New Roman"/>
          <w:sz w:val="24"/>
          <w:szCs w:val="24"/>
        </w:rPr>
        <w:t xml:space="preserve"> </w:t>
      </w:r>
      <w:r w:rsidRPr="004B70B0">
        <w:rPr>
          <w:rFonts w:ascii="Times New Roman" w:hAnsi="Times New Roman" w:cs="Times New Roman"/>
          <w:sz w:val="24"/>
          <w:szCs w:val="24"/>
        </w:rPr>
        <w:t>podregionie</w:t>
      </w:r>
      <w:r w:rsidR="0027033D" w:rsidRPr="004B70B0">
        <w:rPr>
          <w:rFonts w:ascii="Times New Roman" w:hAnsi="Times New Roman" w:cs="Times New Roman"/>
          <w:sz w:val="24"/>
          <w:szCs w:val="24"/>
        </w:rPr>
        <w:t xml:space="preserve"> </w:t>
      </w:r>
      <w:r w:rsidRPr="004B70B0">
        <w:rPr>
          <w:rFonts w:ascii="Times New Roman" w:hAnsi="Times New Roman" w:cs="Times New Roman"/>
          <w:sz w:val="24"/>
          <w:szCs w:val="24"/>
        </w:rPr>
        <w:t>rzeszowsk</w:t>
      </w:r>
      <w:r w:rsidR="0027033D" w:rsidRPr="004B70B0">
        <w:rPr>
          <w:rFonts w:ascii="Times New Roman" w:hAnsi="Times New Roman" w:cs="Times New Roman"/>
          <w:sz w:val="24"/>
          <w:szCs w:val="24"/>
        </w:rPr>
        <w:t>im i t</w:t>
      </w:r>
      <w:r w:rsidRPr="004B70B0">
        <w:rPr>
          <w:rFonts w:ascii="Times New Roman" w:hAnsi="Times New Roman" w:cs="Times New Roman"/>
          <w:sz w:val="24"/>
          <w:szCs w:val="24"/>
        </w:rPr>
        <w:t>arnobrzeskim (łącznie 10</w:t>
      </w:r>
      <w:r w:rsidR="0027033D" w:rsidRPr="004B70B0">
        <w:rPr>
          <w:rFonts w:ascii="Times New Roman" w:hAnsi="Times New Roman" w:cs="Times New Roman"/>
          <w:sz w:val="24"/>
          <w:szCs w:val="24"/>
        </w:rPr>
        <w:t>3</w:t>
      </w:r>
      <w:r w:rsidRPr="004B70B0">
        <w:rPr>
          <w:rFonts w:ascii="Times New Roman" w:hAnsi="Times New Roman" w:cs="Times New Roman"/>
          <w:sz w:val="24"/>
          <w:szCs w:val="24"/>
        </w:rPr>
        <w:t> </w:t>
      </w:r>
      <w:r w:rsidR="0027033D" w:rsidRPr="004B70B0">
        <w:rPr>
          <w:rFonts w:ascii="Times New Roman" w:hAnsi="Times New Roman" w:cs="Times New Roman"/>
          <w:sz w:val="24"/>
          <w:szCs w:val="24"/>
        </w:rPr>
        <w:t>082</w:t>
      </w:r>
      <w:r w:rsidRPr="004B70B0">
        <w:rPr>
          <w:rFonts w:ascii="Times New Roman" w:hAnsi="Times New Roman" w:cs="Times New Roman"/>
          <w:sz w:val="24"/>
          <w:szCs w:val="24"/>
        </w:rPr>
        <w:t xml:space="preserve"> podmiotów, co stanowi 61,</w:t>
      </w:r>
      <w:r w:rsidR="0027033D" w:rsidRPr="004B70B0">
        <w:rPr>
          <w:rFonts w:ascii="Times New Roman" w:hAnsi="Times New Roman" w:cs="Times New Roman"/>
          <w:sz w:val="24"/>
          <w:szCs w:val="24"/>
        </w:rPr>
        <w:t>5</w:t>
      </w:r>
      <w:r w:rsidRPr="004B70B0">
        <w:rPr>
          <w:rFonts w:ascii="Times New Roman" w:hAnsi="Times New Roman" w:cs="Times New Roman"/>
          <w:sz w:val="24"/>
          <w:szCs w:val="24"/>
        </w:rPr>
        <w:t>% wszystkich podmiotów gospodarczych).</w:t>
      </w:r>
    </w:p>
    <w:p w:rsidR="00E4437C" w:rsidRPr="00E4437C" w:rsidRDefault="00E4437C" w:rsidP="009B291C">
      <w:pPr>
        <w:pStyle w:val="Bezodstpw"/>
        <w:ind w:left="1410" w:hanging="1410"/>
        <w:jc w:val="both"/>
        <w:rPr>
          <w:rFonts w:ascii="Times New Roman" w:hAnsi="Times New Roman" w:cs="Times New Roman"/>
          <w:sz w:val="16"/>
          <w:szCs w:val="16"/>
        </w:rPr>
      </w:pPr>
    </w:p>
    <w:p w:rsidR="00B220FE" w:rsidRPr="00E613EA" w:rsidRDefault="00B92E45" w:rsidP="009B291C">
      <w:pPr>
        <w:pStyle w:val="Bezodstpw"/>
        <w:ind w:left="1410" w:hanging="1410"/>
        <w:jc w:val="both"/>
        <w:rPr>
          <w:rFonts w:ascii="Times New Roman" w:hAnsi="Times New Roman" w:cs="Times New Roman"/>
          <w:b/>
          <w:szCs w:val="24"/>
          <w:highlight w:val="yellow"/>
        </w:rPr>
      </w:pPr>
      <w:r w:rsidRPr="00894482">
        <w:rPr>
          <w:rFonts w:ascii="Times New Roman" w:hAnsi="Times New Roman" w:cs="Times New Roman"/>
          <w:szCs w:val="24"/>
        </w:rPr>
        <w:t xml:space="preserve">Tabela </w:t>
      </w:r>
      <w:r w:rsidR="00B220FE" w:rsidRPr="00894482">
        <w:rPr>
          <w:rFonts w:ascii="Times New Roman" w:hAnsi="Times New Roman" w:cs="Times New Roman"/>
          <w:szCs w:val="24"/>
        </w:rPr>
        <w:t>13</w:t>
      </w:r>
      <w:r w:rsidRPr="00894482">
        <w:rPr>
          <w:rFonts w:ascii="Times New Roman" w:hAnsi="Times New Roman" w:cs="Times New Roman"/>
          <w:szCs w:val="24"/>
        </w:rPr>
        <w:t xml:space="preserve">. </w:t>
      </w:r>
      <w:r w:rsidR="005C72B7" w:rsidRPr="00894482">
        <w:rPr>
          <w:rFonts w:ascii="Times New Roman" w:hAnsi="Times New Roman" w:cs="Times New Roman"/>
          <w:szCs w:val="24"/>
        </w:rPr>
        <w:tab/>
      </w:r>
      <w:r w:rsidRPr="00894482">
        <w:rPr>
          <w:rFonts w:ascii="Times New Roman" w:hAnsi="Times New Roman" w:cs="Times New Roman"/>
          <w:szCs w:val="24"/>
        </w:rPr>
        <w:t>Podmioty gospodarki narodowej nowo zarejestrowane</w:t>
      </w:r>
      <w:r w:rsidR="00AE5712" w:rsidRPr="00894482">
        <w:rPr>
          <w:rFonts w:ascii="Times New Roman" w:hAnsi="Times New Roman" w:cs="Times New Roman"/>
          <w:szCs w:val="24"/>
        </w:rPr>
        <w:t xml:space="preserve"> i </w:t>
      </w:r>
      <w:r w:rsidRPr="00894482">
        <w:rPr>
          <w:rFonts w:ascii="Times New Roman" w:hAnsi="Times New Roman" w:cs="Times New Roman"/>
          <w:szCs w:val="24"/>
        </w:rPr>
        <w:t>wyrejestrowane</w:t>
      </w:r>
      <w:r w:rsidR="00AE5712" w:rsidRPr="00894482">
        <w:rPr>
          <w:rFonts w:ascii="Times New Roman" w:hAnsi="Times New Roman" w:cs="Times New Roman"/>
          <w:szCs w:val="24"/>
        </w:rPr>
        <w:t xml:space="preserve"> w </w:t>
      </w:r>
      <w:r w:rsidRPr="00894482">
        <w:rPr>
          <w:rFonts w:ascii="Times New Roman" w:hAnsi="Times New Roman" w:cs="Times New Roman"/>
          <w:szCs w:val="24"/>
        </w:rPr>
        <w:t>rejestrze REGON</w:t>
      </w:r>
      <w:r w:rsidR="00477EE1">
        <w:rPr>
          <w:rFonts w:ascii="Times New Roman" w:hAnsi="Times New Roman" w:cs="Times New Roman"/>
          <w:szCs w:val="24"/>
        </w:rPr>
        <w:t>,</w:t>
      </w:r>
      <w:r w:rsidR="00AE5712" w:rsidRPr="00894482">
        <w:rPr>
          <w:rFonts w:ascii="Times New Roman" w:hAnsi="Times New Roman" w:cs="Times New Roman"/>
          <w:szCs w:val="24"/>
        </w:rPr>
        <w:t xml:space="preserve"> </w:t>
      </w:r>
      <w:r w:rsidR="00477EE1">
        <w:rPr>
          <w:rFonts w:ascii="Times New Roman" w:hAnsi="Times New Roman" w:cs="Times New Roman"/>
          <w:szCs w:val="24"/>
        </w:rPr>
        <w:t>woj.</w:t>
      </w:r>
      <w:r w:rsidRPr="00894482">
        <w:rPr>
          <w:rFonts w:ascii="Times New Roman" w:hAnsi="Times New Roman" w:cs="Times New Roman"/>
          <w:szCs w:val="24"/>
        </w:rPr>
        <w:t xml:space="preserve"> podkarpacki</w:t>
      </w:r>
      <w:r w:rsidR="00477EE1">
        <w:rPr>
          <w:rFonts w:ascii="Times New Roman" w:hAnsi="Times New Roman" w:cs="Times New Roman"/>
          <w:szCs w:val="24"/>
        </w:rPr>
        <w:t>e</w:t>
      </w:r>
      <w:r w:rsidRPr="00894482">
        <w:rPr>
          <w:rFonts w:ascii="Times New Roman" w:hAnsi="Times New Roman" w:cs="Times New Roman"/>
          <w:szCs w:val="24"/>
        </w:rPr>
        <w:t xml:space="preserve"> (bez osób fizycznych prowadzących</w:t>
      </w:r>
      <w:r w:rsidR="009B291C">
        <w:rPr>
          <w:rFonts w:ascii="Times New Roman" w:hAnsi="Times New Roman" w:cs="Times New Roman"/>
          <w:szCs w:val="24"/>
        </w:rPr>
        <w:t xml:space="preserve"> </w:t>
      </w:r>
      <w:r w:rsidRPr="00894482">
        <w:rPr>
          <w:rFonts w:ascii="Times New Roman" w:hAnsi="Times New Roman" w:cs="Times New Roman"/>
          <w:szCs w:val="24"/>
        </w:rPr>
        <w:t>wyłącznie i</w:t>
      </w:r>
      <w:r w:rsidR="000F5A89" w:rsidRPr="00894482">
        <w:rPr>
          <w:rFonts w:ascii="Times New Roman" w:hAnsi="Times New Roman" w:cs="Times New Roman"/>
          <w:szCs w:val="24"/>
        </w:rPr>
        <w:t>ndywidualne gospodarstwa rolne)</w:t>
      </w:r>
    </w:p>
    <w:tbl>
      <w:tblPr>
        <w:tblStyle w:val="Tabela-Siatka"/>
        <w:tblW w:w="494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01"/>
        <w:gridCol w:w="2262"/>
        <w:gridCol w:w="1783"/>
        <w:gridCol w:w="1940"/>
        <w:gridCol w:w="1992"/>
      </w:tblGrid>
      <w:tr w:rsidR="00477EE1" w:rsidRPr="00E613EA" w:rsidTr="0010350D">
        <w:trPr>
          <w:trHeight w:val="285"/>
        </w:trPr>
        <w:tc>
          <w:tcPr>
            <w:tcW w:w="654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77EE1" w:rsidRPr="0010350D" w:rsidRDefault="0010350D" w:rsidP="000F5A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okres</w:t>
            </w:r>
          </w:p>
        </w:tc>
        <w:tc>
          <w:tcPr>
            <w:tcW w:w="1232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77EE1" w:rsidRDefault="003748F1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</w:t>
            </w:r>
            <w:r w:rsidR="00477EE1" w:rsidRPr="0010350D">
              <w:rPr>
                <w:rFonts w:ascii="Times New Roman" w:hAnsi="Times New Roman" w:cs="Times New Roman"/>
                <w:b/>
              </w:rPr>
              <w:t>owo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77EE1" w:rsidRPr="0010350D">
              <w:rPr>
                <w:rFonts w:ascii="Times New Roman" w:hAnsi="Times New Roman" w:cs="Times New Roman"/>
                <w:b/>
              </w:rPr>
              <w:t>zarejestrowane</w:t>
            </w:r>
          </w:p>
          <w:p w:rsidR="0010350D" w:rsidRPr="0010350D" w:rsidRDefault="0010350D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(w m-cu)</w:t>
            </w:r>
          </w:p>
        </w:tc>
        <w:tc>
          <w:tcPr>
            <w:tcW w:w="971" w:type="pct"/>
            <w:tcBorders>
              <w:bottom w:val="single" w:sz="4" w:space="0" w:color="auto"/>
            </w:tcBorders>
            <w:shd w:val="clear" w:color="auto" w:fill="E5DFEC" w:themeFill="accent4" w:themeFillTint="33"/>
            <w:noWrap/>
            <w:vAlign w:val="center"/>
            <w:hideMark/>
          </w:tcPr>
          <w:p w:rsidR="00477EE1" w:rsidRDefault="003748F1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</w:t>
            </w:r>
            <w:r w:rsidR="00477EE1" w:rsidRPr="0010350D">
              <w:rPr>
                <w:rFonts w:ascii="Times New Roman" w:hAnsi="Times New Roman" w:cs="Times New Roman"/>
                <w:b/>
              </w:rPr>
              <w:t>yrejestrowane</w:t>
            </w:r>
          </w:p>
          <w:p w:rsidR="0010350D" w:rsidRPr="0010350D" w:rsidRDefault="0010350D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(w m-cu)</w:t>
            </w:r>
          </w:p>
        </w:tc>
        <w:tc>
          <w:tcPr>
            <w:tcW w:w="1057" w:type="pct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477EE1" w:rsidRPr="0010350D" w:rsidRDefault="00477EE1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wzrost/spadek</w:t>
            </w:r>
          </w:p>
        </w:tc>
        <w:tc>
          <w:tcPr>
            <w:tcW w:w="1085" w:type="pct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477EE1" w:rsidRPr="0010350D" w:rsidRDefault="00477EE1" w:rsidP="001035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0350D">
              <w:rPr>
                <w:rFonts w:ascii="Times New Roman" w:hAnsi="Times New Roman" w:cs="Times New Roman"/>
                <w:b/>
              </w:rPr>
              <w:t>podmioty wg stanu na koniec m-ca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XII '15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1 254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1 405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E7C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165 155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1 195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974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221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165 315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II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981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873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165 395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III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1 175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977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198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165 572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IV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1 430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1 058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372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165 948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V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1 230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720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166 455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VI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1 255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1 520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E7C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265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166 131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VII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1 173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368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166 476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VIII ’16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1 084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812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272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166 731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IX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1 207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307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167 029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X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1 091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809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167 273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XI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1 016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952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167 288</w:t>
            </w:r>
          </w:p>
        </w:tc>
      </w:tr>
      <w:tr w:rsidR="00E7594F" w:rsidRPr="00E613EA" w:rsidTr="0010350D">
        <w:trPr>
          <w:trHeight w:val="285"/>
        </w:trPr>
        <w:tc>
          <w:tcPr>
            <w:tcW w:w="654" w:type="pct"/>
            <w:shd w:val="clear" w:color="auto" w:fill="FFFFFF" w:themeFill="background1"/>
            <w:noWrap/>
            <w:vAlign w:val="center"/>
            <w:hideMark/>
          </w:tcPr>
          <w:p w:rsidR="00E7594F" w:rsidRPr="00E7594F" w:rsidRDefault="00E7594F" w:rsidP="008E7C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XII ‘16</w:t>
            </w:r>
          </w:p>
        </w:tc>
        <w:tc>
          <w:tcPr>
            <w:tcW w:w="1232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1 493</w:t>
            </w:r>
          </w:p>
        </w:tc>
        <w:tc>
          <w:tcPr>
            <w:tcW w:w="971" w:type="pct"/>
            <w:shd w:val="clear" w:color="auto" w:fill="FFFFFF" w:themeFill="background1"/>
            <w:noWrap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978</w:t>
            </w:r>
          </w:p>
        </w:tc>
        <w:tc>
          <w:tcPr>
            <w:tcW w:w="1057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515</w:t>
            </w:r>
          </w:p>
        </w:tc>
        <w:tc>
          <w:tcPr>
            <w:tcW w:w="1085" w:type="pct"/>
            <w:shd w:val="clear" w:color="auto" w:fill="FFFFFF" w:themeFill="background1"/>
            <w:vAlign w:val="center"/>
          </w:tcPr>
          <w:p w:rsidR="00E7594F" w:rsidRPr="00E7594F" w:rsidRDefault="00E7594F" w:rsidP="00E7594F">
            <w:pPr>
              <w:spacing w:line="18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594F">
              <w:rPr>
                <w:rFonts w:ascii="Times New Roman" w:hAnsi="Times New Roman" w:cs="Times New Roman"/>
                <w:sz w:val="18"/>
                <w:szCs w:val="18"/>
              </w:rPr>
              <w:t>167 749</w:t>
            </w:r>
          </w:p>
        </w:tc>
      </w:tr>
    </w:tbl>
    <w:p w:rsidR="00B92E45" w:rsidRPr="00E613EA" w:rsidRDefault="00B92E45" w:rsidP="00B92E45">
      <w:pPr>
        <w:pStyle w:val="Bezodstpw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E086D" w:rsidRDefault="00B92E45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 w:rsidRPr="006A4151">
        <w:rPr>
          <w:rFonts w:ascii="Times New Roman" w:hAnsi="Times New Roman" w:cs="Times New Roman"/>
          <w:szCs w:val="24"/>
        </w:rPr>
        <w:t xml:space="preserve">Wykres </w:t>
      </w:r>
      <w:r w:rsidR="00E10F11">
        <w:rPr>
          <w:rFonts w:ascii="Times New Roman" w:hAnsi="Times New Roman" w:cs="Times New Roman"/>
          <w:szCs w:val="24"/>
        </w:rPr>
        <w:t>10</w:t>
      </w:r>
      <w:r w:rsidRPr="006A4151">
        <w:rPr>
          <w:rFonts w:ascii="Times New Roman" w:hAnsi="Times New Roman" w:cs="Times New Roman"/>
          <w:szCs w:val="24"/>
        </w:rPr>
        <w:t xml:space="preserve">. </w:t>
      </w:r>
      <w:r w:rsidR="008E086D">
        <w:rPr>
          <w:rFonts w:ascii="Times New Roman" w:hAnsi="Times New Roman" w:cs="Times New Roman"/>
          <w:szCs w:val="24"/>
        </w:rPr>
        <w:t xml:space="preserve">a, b   </w:t>
      </w:r>
      <w:r w:rsidRPr="006A4151">
        <w:rPr>
          <w:rFonts w:ascii="Times New Roman" w:hAnsi="Times New Roman" w:cs="Times New Roman"/>
          <w:szCs w:val="24"/>
        </w:rPr>
        <w:t>Podmioty gospodarki narodowej nowo zarejestrowane</w:t>
      </w:r>
      <w:r w:rsidR="00AE5712" w:rsidRPr="006A4151">
        <w:rPr>
          <w:rFonts w:ascii="Times New Roman" w:hAnsi="Times New Roman" w:cs="Times New Roman"/>
          <w:szCs w:val="24"/>
        </w:rPr>
        <w:t xml:space="preserve"> i </w:t>
      </w:r>
      <w:r w:rsidRPr="006A4151">
        <w:rPr>
          <w:rFonts w:ascii="Times New Roman" w:hAnsi="Times New Roman" w:cs="Times New Roman"/>
          <w:szCs w:val="24"/>
        </w:rPr>
        <w:t>wyrejestrowane</w:t>
      </w:r>
      <w:r w:rsidR="00AE5712" w:rsidRPr="006A4151">
        <w:rPr>
          <w:rFonts w:ascii="Times New Roman" w:hAnsi="Times New Roman" w:cs="Times New Roman"/>
          <w:szCs w:val="24"/>
        </w:rPr>
        <w:t xml:space="preserve"> w </w:t>
      </w:r>
      <w:r w:rsidRPr="006A4151">
        <w:rPr>
          <w:rFonts w:ascii="Times New Roman" w:hAnsi="Times New Roman" w:cs="Times New Roman"/>
          <w:szCs w:val="24"/>
        </w:rPr>
        <w:t>rejestrze</w:t>
      </w:r>
    </w:p>
    <w:p w:rsidR="008E086D" w:rsidRDefault="008E086D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</w:t>
      </w:r>
      <w:r w:rsidR="00B92E45" w:rsidRPr="006A4151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  </w:t>
      </w:r>
      <w:r w:rsidR="00B92E45" w:rsidRPr="006A4151">
        <w:rPr>
          <w:rFonts w:ascii="Times New Roman" w:hAnsi="Times New Roman" w:cs="Times New Roman"/>
          <w:szCs w:val="24"/>
        </w:rPr>
        <w:t>REGON</w:t>
      </w:r>
      <w:r w:rsidR="00AE5712" w:rsidRPr="006A4151">
        <w:rPr>
          <w:rFonts w:ascii="Times New Roman" w:hAnsi="Times New Roman" w:cs="Times New Roman"/>
          <w:szCs w:val="24"/>
        </w:rPr>
        <w:t xml:space="preserve"> w </w:t>
      </w:r>
      <w:r w:rsidR="00B92E45" w:rsidRPr="006A4151">
        <w:rPr>
          <w:rFonts w:ascii="Times New Roman" w:hAnsi="Times New Roman" w:cs="Times New Roman"/>
          <w:szCs w:val="24"/>
        </w:rPr>
        <w:t>województwie podkarpackim (bez osób fizycznych prowadzących</w:t>
      </w:r>
    </w:p>
    <w:p w:rsidR="00B92E45" w:rsidRDefault="008E086D" w:rsidP="005C72B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</w:t>
      </w:r>
      <w:r w:rsidR="00B92E45" w:rsidRPr="006A4151">
        <w:rPr>
          <w:rFonts w:ascii="Times New Roman" w:hAnsi="Times New Roman" w:cs="Times New Roman"/>
          <w:szCs w:val="24"/>
        </w:rPr>
        <w:t xml:space="preserve"> wyłącznie i</w:t>
      </w:r>
      <w:r w:rsidR="000F5A89" w:rsidRPr="006A4151">
        <w:rPr>
          <w:rFonts w:ascii="Times New Roman" w:hAnsi="Times New Roman" w:cs="Times New Roman"/>
          <w:szCs w:val="24"/>
        </w:rPr>
        <w:t>ndywidualne gospodarstwa rolne)</w:t>
      </w:r>
    </w:p>
    <w:p w:rsidR="00B220FE" w:rsidRPr="00E613EA" w:rsidRDefault="005A18D1" w:rsidP="00163087">
      <w:pPr>
        <w:pStyle w:val="Bezodstpw"/>
        <w:ind w:left="1410" w:hanging="1410"/>
        <w:jc w:val="both"/>
        <w:rPr>
          <w:rFonts w:ascii="Times New Roman" w:hAnsi="Times New Roman" w:cs="Times New Roman"/>
          <w:szCs w:val="24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6784" behindDoc="1" locked="0" layoutInCell="1" allowOverlap="1" wp14:anchorId="3EFE6B29" wp14:editId="4161E1C8">
            <wp:simplePos x="0" y="0"/>
            <wp:positionH relativeFrom="column">
              <wp:posOffset>1905</wp:posOffset>
            </wp:positionH>
            <wp:positionV relativeFrom="paragraph">
              <wp:posOffset>116840</wp:posOffset>
            </wp:positionV>
            <wp:extent cx="2695575" cy="1983105"/>
            <wp:effectExtent l="0" t="0" r="0" b="0"/>
            <wp:wrapTight wrapText="bothSides">
              <wp:wrapPolygon edited="0">
                <wp:start x="458" y="830"/>
                <wp:lineTo x="458" y="3527"/>
                <wp:lineTo x="3358" y="4565"/>
                <wp:lineTo x="611" y="4772"/>
                <wp:lineTo x="611" y="10997"/>
                <wp:lineTo x="1069" y="14524"/>
                <wp:lineTo x="10686" y="14524"/>
                <wp:lineTo x="1527" y="15562"/>
                <wp:lineTo x="916" y="15769"/>
                <wp:lineTo x="1069" y="17844"/>
                <wp:lineTo x="3206" y="20542"/>
                <wp:lineTo x="3358" y="20957"/>
                <wp:lineTo x="20455" y="20957"/>
                <wp:lineTo x="20760" y="18882"/>
                <wp:lineTo x="19539" y="18674"/>
                <wp:lineTo x="2748" y="17844"/>
                <wp:lineTo x="10533" y="14524"/>
                <wp:lineTo x="10686" y="4565"/>
                <wp:lineTo x="18471" y="4565"/>
                <wp:lineTo x="18165" y="2075"/>
                <wp:lineTo x="2748" y="830"/>
                <wp:lineTo x="458" y="830"/>
              </wp:wrapPolygon>
            </wp:wrapTight>
            <wp:docPr id="25" name="Wykres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04C">
        <w:rPr>
          <w:noProof/>
          <w:lang w:eastAsia="pl-PL"/>
        </w:rPr>
        <w:drawing>
          <wp:anchor distT="0" distB="0" distL="114300" distR="114300" simplePos="0" relativeHeight="251767808" behindDoc="1" locked="0" layoutInCell="1" allowOverlap="1" wp14:anchorId="631F7FFC" wp14:editId="4A7DC794">
            <wp:simplePos x="0" y="0"/>
            <wp:positionH relativeFrom="column">
              <wp:posOffset>2614295</wp:posOffset>
            </wp:positionH>
            <wp:positionV relativeFrom="paragraph">
              <wp:posOffset>116840</wp:posOffset>
            </wp:positionV>
            <wp:extent cx="3099435" cy="2125345"/>
            <wp:effectExtent l="0" t="0" r="0" b="0"/>
            <wp:wrapTight wrapText="bothSides">
              <wp:wrapPolygon edited="0">
                <wp:start x="797" y="581"/>
                <wp:lineTo x="929" y="9680"/>
                <wp:lineTo x="1195" y="16263"/>
                <wp:lineTo x="1859" y="16457"/>
                <wp:lineTo x="3053" y="16650"/>
                <wp:lineTo x="2921" y="18973"/>
                <wp:lineTo x="5841" y="19748"/>
                <wp:lineTo x="18188" y="19748"/>
                <wp:lineTo x="20711" y="19361"/>
                <wp:lineTo x="20445" y="16650"/>
                <wp:lineTo x="11948" y="16457"/>
                <wp:lineTo x="19250" y="13359"/>
                <wp:lineTo x="21242" y="11616"/>
                <wp:lineTo x="21242" y="9293"/>
                <wp:lineTo x="16462" y="8131"/>
                <wp:lineTo x="9824" y="7163"/>
                <wp:lineTo x="10488" y="7163"/>
                <wp:lineTo x="15267" y="4453"/>
                <wp:lineTo x="15267" y="4066"/>
                <wp:lineTo x="18321" y="3098"/>
                <wp:lineTo x="17923" y="1549"/>
                <wp:lineTo x="2788" y="581"/>
                <wp:lineTo x="797" y="581"/>
              </wp:wrapPolygon>
            </wp:wrapTight>
            <wp:docPr id="26" name="Wykres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033D" w:rsidRDefault="0027033D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0722BA" w:rsidRDefault="000722BA" w:rsidP="00470A4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70A44" w:rsidRDefault="00470A44" w:rsidP="00470A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42C45" w:rsidRPr="00B662EB" w:rsidRDefault="00242C45" w:rsidP="00B662EB">
      <w:pPr>
        <w:pStyle w:val="Bezodstpw"/>
        <w:pBdr>
          <w:bottom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  <w:r w:rsidRPr="00B662EB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242C45" w:rsidRPr="009B291C" w:rsidRDefault="00242C45" w:rsidP="00242C45">
      <w:pPr>
        <w:pStyle w:val="Bezodstpw"/>
        <w:spacing w:line="360" w:lineRule="auto"/>
        <w:rPr>
          <w:rFonts w:ascii="Times New Roman" w:hAnsi="Times New Roman" w:cs="Times New Roman"/>
          <w:sz w:val="18"/>
          <w:szCs w:val="18"/>
        </w:rPr>
      </w:pPr>
      <w:r w:rsidRPr="009B291C">
        <w:rPr>
          <w:rFonts w:ascii="Times New Roman" w:hAnsi="Times New Roman" w:cs="Times New Roman"/>
          <w:sz w:val="18"/>
          <w:szCs w:val="18"/>
        </w:rPr>
        <w:t xml:space="preserve">(na podstawie </w:t>
      </w:r>
      <w:r w:rsidR="009B291C" w:rsidRPr="009B291C">
        <w:rPr>
          <w:rFonts w:ascii="Times New Roman" w:hAnsi="Times New Roman" w:cs="Times New Roman"/>
          <w:sz w:val="18"/>
          <w:szCs w:val="18"/>
        </w:rPr>
        <w:t>t</w:t>
      </w:r>
      <w:r w:rsidRPr="009B291C">
        <w:rPr>
          <w:rFonts w:ascii="Times New Roman" w:hAnsi="Times New Roman" w:cs="Times New Roman"/>
          <w:sz w:val="18"/>
          <w:szCs w:val="18"/>
        </w:rPr>
        <w:t>ab</w:t>
      </w:r>
      <w:r w:rsidR="009B291C" w:rsidRPr="009B291C">
        <w:rPr>
          <w:rFonts w:ascii="Times New Roman" w:hAnsi="Times New Roman" w:cs="Times New Roman"/>
          <w:sz w:val="18"/>
          <w:szCs w:val="18"/>
        </w:rPr>
        <w:t>eli</w:t>
      </w:r>
      <w:r w:rsidRPr="009B291C">
        <w:rPr>
          <w:rFonts w:ascii="Times New Roman" w:hAnsi="Times New Roman" w:cs="Times New Roman"/>
          <w:sz w:val="18"/>
          <w:szCs w:val="18"/>
        </w:rPr>
        <w:t xml:space="preserve"> 1</w:t>
      </w:r>
      <w:r w:rsidR="009B291C" w:rsidRPr="009B291C">
        <w:rPr>
          <w:rFonts w:ascii="Times New Roman" w:hAnsi="Times New Roman" w:cs="Times New Roman"/>
          <w:sz w:val="18"/>
          <w:szCs w:val="18"/>
        </w:rPr>
        <w:t>3</w:t>
      </w:r>
      <w:r w:rsidRPr="009B291C">
        <w:rPr>
          <w:rFonts w:ascii="Times New Roman" w:hAnsi="Times New Roman" w:cs="Times New Roman"/>
          <w:sz w:val="18"/>
          <w:szCs w:val="18"/>
        </w:rPr>
        <w:t xml:space="preserve"> oraz </w:t>
      </w:r>
      <w:r w:rsidR="009B291C" w:rsidRPr="009B291C">
        <w:rPr>
          <w:rFonts w:ascii="Times New Roman" w:hAnsi="Times New Roman" w:cs="Times New Roman"/>
          <w:sz w:val="18"/>
          <w:szCs w:val="18"/>
        </w:rPr>
        <w:t>w</w:t>
      </w:r>
      <w:r w:rsidRPr="009B291C">
        <w:rPr>
          <w:rFonts w:ascii="Times New Roman" w:hAnsi="Times New Roman" w:cs="Times New Roman"/>
          <w:sz w:val="18"/>
          <w:szCs w:val="18"/>
        </w:rPr>
        <w:t>ykr</w:t>
      </w:r>
      <w:r w:rsidR="009B291C" w:rsidRPr="009B291C">
        <w:rPr>
          <w:rFonts w:ascii="Times New Roman" w:hAnsi="Times New Roman" w:cs="Times New Roman"/>
          <w:sz w:val="18"/>
          <w:szCs w:val="18"/>
        </w:rPr>
        <w:t>esu</w:t>
      </w:r>
      <w:r w:rsidRPr="009B291C">
        <w:rPr>
          <w:rFonts w:ascii="Times New Roman" w:hAnsi="Times New Roman" w:cs="Times New Roman"/>
          <w:sz w:val="18"/>
          <w:szCs w:val="18"/>
        </w:rPr>
        <w:t xml:space="preserve"> </w:t>
      </w:r>
      <w:r w:rsidR="0027033D">
        <w:rPr>
          <w:rFonts w:ascii="Times New Roman" w:hAnsi="Times New Roman" w:cs="Times New Roman"/>
          <w:sz w:val="18"/>
          <w:szCs w:val="18"/>
        </w:rPr>
        <w:t>10</w:t>
      </w:r>
      <w:r w:rsidRPr="009B291C">
        <w:rPr>
          <w:rFonts w:ascii="Times New Roman" w:hAnsi="Times New Roman" w:cs="Times New Roman"/>
          <w:sz w:val="18"/>
          <w:szCs w:val="18"/>
        </w:rPr>
        <w:t>)</w:t>
      </w:r>
    </w:p>
    <w:p w:rsidR="00C84613" w:rsidRDefault="00C84613" w:rsidP="009B291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ujęciu </w:t>
      </w:r>
      <w:r w:rsidR="00A60C15">
        <w:rPr>
          <w:rFonts w:ascii="Times New Roman" w:hAnsi="Times New Roman" w:cs="Times New Roman"/>
          <w:sz w:val="24"/>
          <w:szCs w:val="24"/>
        </w:rPr>
        <w:t xml:space="preserve">poszczególnych miesięcy 2016 r. (’15 r. por.) </w:t>
      </w:r>
      <w:r>
        <w:rPr>
          <w:rFonts w:ascii="Times New Roman" w:hAnsi="Times New Roman" w:cs="Times New Roman"/>
          <w:sz w:val="24"/>
          <w:szCs w:val="24"/>
        </w:rPr>
        <w:t>s</w:t>
      </w:r>
      <w:r w:rsidR="00C31034" w:rsidRPr="009B291C">
        <w:rPr>
          <w:rFonts w:ascii="Times New Roman" w:hAnsi="Times New Roman" w:cs="Times New Roman"/>
          <w:sz w:val="24"/>
          <w:szCs w:val="24"/>
        </w:rPr>
        <w:t>padek</w:t>
      </w:r>
      <w:r w:rsidR="00242C45" w:rsidRPr="009B291C">
        <w:rPr>
          <w:rFonts w:ascii="Times New Roman" w:hAnsi="Times New Roman" w:cs="Times New Roman"/>
          <w:sz w:val="24"/>
          <w:szCs w:val="24"/>
        </w:rPr>
        <w:t xml:space="preserve"> liczby podmiotów gospodarczych </w:t>
      </w:r>
      <w:r w:rsidR="00AD6076">
        <w:rPr>
          <w:rFonts w:ascii="Times New Roman" w:hAnsi="Times New Roman" w:cs="Times New Roman"/>
          <w:sz w:val="24"/>
          <w:szCs w:val="24"/>
        </w:rPr>
        <w:t>nastąpił</w:t>
      </w:r>
      <w:r w:rsidR="00242C45" w:rsidRPr="009B291C">
        <w:rPr>
          <w:rFonts w:ascii="Times New Roman" w:hAnsi="Times New Roman" w:cs="Times New Roman"/>
          <w:sz w:val="24"/>
          <w:szCs w:val="24"/>
        </w:rPr>
        <w:t xml:space="preserve"> </w:t>
      </w:r>
      <w:r w:rsidR="006A4151" w:rsidRPr="009B291C">
        <w:rPr>
          <w:rFonts w:ascii="Times New Roman" w:hAnsi="Times New Roman" w:cs="Times New Roman"/>
          <w:sz w:val="24"/>
          <w:szCs w:val="24"/>
        </w:rPr>
        <w:t xml:space="preserve">w </w:t>
      </w:r>
      <w:r w:rsidR="00E8208A">
        <w:rPr>
          <w:rFonts w:ascii="Times New Roman" w:hAnsi="Times New Roman" w:cs="Times New Roman"/>
          <w:sz w:val="24"/>
          <w:szCs w:val="24"/>
        </w:rPr>
        <w:t>201</w:t>
      </w:r>
      <w:r w:rsidR="00F36FA3" w:rsidRPr="009B291C">
        <w:rPr>
          <w:rFonts w:ascii="Times New Roman" w:hAnsi="Times New Roman" w:cs="Times New Roman"/>
          <w:sz w:val="24"/>
          <w:szCs w:val="24"/>
        </w:rPr>
        <w:t xml:space="preserve">6 </w:t>
      </w:r>
      <w:r w:rsidR="006A4151" w:rsidRPr="009B291C">
        <w:rPr>
          <w:rFonts w:ascii="Times New Roman" w:hAnsi="Times New Roman" w:cs="Times New Roman"/>
          <w:sz w:val="24"/>
          <w:szCs w:val="24"/>
        </w:rPr>
        <w:t>r</w:t>
      </w:r>
      <w:r w:rsidR="00F36FA3" w:rsidRPr="009B291C">
        <w:rPr>
          <w:rFonts w:ascii="Times New Roman" w:hAnsi="Times New Roman" w:cs="Times New Roman"/>
          <w:sz w:val="24"/>
          <w:szCs w:val="24"/>
        </w:rPr>
        <w:t>.</w:t>
      </w:r>
      <w:r w:rsidR="009B291C" w:rsidRPr="009B291C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36FA3" w:rsidRPr="009B291C">
        <w:rPr>
          <w:rFonts w:ascii="Times New Roman" w:hAnsi="Times New Roman" w:cs="Times New Roman"/>
          <w:sz w:val="24"/>
          <w:szCs w:val="24"/>
        </w:rPr>
        <w:t>czerwc</w:t>
      </w:r>
      <w:r w:rsidR="009B291C" w:rsidRPr="009B291C">
        <w:rPr>
          <w:rFonts w:ascii="Times New Roman" w:hAnsi="Times New Roman" w:cs="Times New Roman"/>
          <w:sz w:val="24"/>
          <w:szCs w:val="24"/>
        </w:rPr>
        <w:t>u</w:t>
      </w:r>
      <w:r w:rsidR="00837776">
        <w:rPr>
          <w:rFonts w:ascii="Times New Roman" w:hAnsi="Times New Roman" w:cs="Times New Roman"/>
          <w:sz w:val="24"/>
          <w:szCs w:val="24"/>
        </w:rPr>
        <w:t xml:space="preserve">, a </w:t>
      </w:r>
      <w:r w:rsidR="00E8208A">
        <w:rPr>
          <w:rFonts w:ascii="Times New Roman" w:hAnsi="Times New Roman" w:cs="Times New Roman"/>
          <w:sz w:val="24"/>
          <w:szCs w:val="24"/>
        </w:rPr>
        <w:t>w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 </w:t>
      </w:r>
      <w:r w:rsidR="00837776">
        <w:rPr>
          <w:rFonts w:ascii="Times New Roman" w:hAnsi="Times New Roman" w:cs="Times New Roman"/>
          <w:sz w:val="24"/>
          <w:szCs w:val="24"/>
        </w:rPr>
        <w:t>20</w:t>
      </w:r>
      <w:r w:rsidR="00477EE1" w:rsidRPr="009B291C">
        <w:rPr>
          <w:rFonts w:ascii="Times New Roman" w:hAnsi="Times New Roman" w:cs="Times New Roman"/>
          <w:sz w:val="24"/>
          <w:szCs w:val="24"/>
        </w:rPr>
        <w:t>15 r.</w:t>
      </w:r>
      <w:r w:rsidR="009B291C" w:rsidRPr="009B291C">
        <w:rPr>
          <w:rFonts w:ascii="Times New Roman" w:hAnsi="Times New Roman" w:cs="Times New Roman"/>
          <w:sz w:val="24"/>
          <w:szCs w:val="24"/>
        </w:rPr>
        <w:t xml:space="preserve"> – </w:t>
      </w:r>
      <w:r w:rsidR="00E8208A">
        <w:rPr>
          <w:rFonts w:ascii="Times New Roman" w:hAnsi="Times New Roman" w:cs="Times New Roman"/>
          <w:sz w:val="24"/>
          <w:szCs w:val="24"/>
        </w:rPr>
        <w:t>w</w:t>
      </w:r>
      <w:r w:rsidR="00AD6076">
        <w:rPr>
          <w:rFonts w:ascii="Times New Roman" w:hAnsi="Times New Roman" w:cs="Times New Roman"/>
          <w:sz w:val="24"/>
          <w:szCs w:val="24"/>
        </w:rPr>
        <w:t> </w:t>
      </w:r>
      <w:r w:rsidR="00477EE1" w:rsidRPr="009B291C">
        <w:rPr>
          <w:rFonts w:ascii="Times New Roman" w:hAnsi="Times New Roman" w:cs="Times New Roman"/>
          <w:sz w:val="24"/>
          <w:szCs w:val="24"/>
        </w:rPr>
        <w:t>listopad</w:t>
      </w:r>
      <w:r w:rsidR="00E8208A">
        <w:rPr>
          <w:rFonts w:ascii="Times New Roman" w:hAnsi="Times New Roman" w:cs="Times New Roman"/>
          <w:sz w:val="24"/>
          <w:szCs w:val="24"/>
        </w:rPr>
        <w:t>zie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 i grud</w:t>
      </w:r>
      <w:r w:rsidR="00E8208A">
        <w:rPr>
          <w:rFonts w:ascii="Times New Roman" w:hAnsi="Times New Roman" w:cs="Times New Roman"/>
          <w:sz w:val="24"/>
          <w:szCs w:val="24"/>
        </w:rPr>
        <w:t>niu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. Można się domyślać, że </w:t>
      </w:r>
      <w:r>
        <w:rPr>
          <w:rFonts w:ascii="Times New Roman" w:hAnsi="Times New Roman" w:cs="Times New Roman"/>
          <w:sz w:val="24"/>
          <w:szCs w:val="24"/>
        </w:rPr>
        <w:t xml:space="preserve">jedną z przyczyn </w:t>
      </w:r>
      <w:r w:rsidR="00837776">
        <w:rPr>
          <w:rFonts w:ascii="Times New Roman" w:hAnsi="Times New Roman" w:cs="Times New Roman"/>
          <w:sz w:val="24"/>
          <w:szCs w:val="24"/>
        </w:rPr>
        <w:t>wyrejestrowani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8377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firmy może być</w:t>
      </w:r>
      <w:r w:rsidR="00837776">
        <w:rPr>
          <w:rFonts w:ascii="Times New Roman" w:hAnsi="Times New Roman" w:cs="Times New Roman"/>
          <w:sz w:val="24"/>
          <w:szCs w:val="24"/>
        </w:rPr>
        <w:t xml:space="preserve"> </w:t>
      </w:r>
      <w:r w:rsidR="00242C45" w:rsidRPr="009B291C">
        <w:rPr>
          <w:rFonts w:ascii="Times New Roman" w:hAnsi="Times New Roman" w:cs="Times New Roman"/>
          <w:sz w:val="24"/>
          <w:szCs w:val="24"/>
        </w:rPr>
        <w:t>uniknięci</w:t>
      </w:r>
      <w:r w:rsidR="00837776">
        <w:rPr>
          <w:rFonts w:ascii="Times New Roman" w:hAnsi="Times New Roman" w:cs="Times New Roman"/>
          <w:sz w:val="24"/>
          <w:szCs w:val="24"/>
        </w:rPr>
        <w:t>e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 </w:t>
      </w:r>
      <w:r w:rsidR="00242C45" w:rsidRPr="009B291C">
        <w:rPr>
          <w:rFonts w:ascii="Times New Roman" w:hAnsi="Times New Roman" w:cs="Times New Roman"/>
          <w:sz w:val="24"/>
          <w:szCs w:val="24"/>
        </w:rPr>
        <w:t>zobowiązań</w:t>
      </w:r>
      <w:r w:rsidR="00E8208A">
        <w:rPr>
          <w:rFonts w:ascii="Times New Roman" w:hAnsi="Times New Roman" w:cs="Times New Roman"/>
          <w:sz w:val="24"/>
          <w:szCs w:val="24"/>
        </w:rPr>
        <w:t xml:space="preserve"> </w:t>
      </w:r>
      <w:r w:rsidR="00A503AF">
        <w:rPr>
          <w:rFonts w:ascii="Times New Roman" w:hAnsi="Times New Roman" w:cs="Times New Roman"/>
          <w:sz w:val="24"/>
          <w:szCs w:val="24"/>
        </w:rPr>
        <w:t>finansowych</w:t>
      </w:r>
      <w:r w:rsidR="00242C45" w:rsidRPr="009B291C">
        <w:rPr>
          <w:rFonts w:ascii="Times New Roman" w:hAnsi="Times New Roman" w:cs="Times New Roman"/>
          <w:sz w:val="24"/>
          <w:szCs w:val="24"/>
        </w:rPr>
        <w:t>.</w:t>
      </w:r>
    </w:p>
    <w:p w:rsidR="00C84613" w:rsidRDefault="00AA0FB6" w:rsidP="009B291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AD6076">
        <w:rPr>
          <w:rFonts w:ascii="Times New Roman" w:hAnsi="Times New Roman" w:cs="Times New Roman"/>
          <w:sz w:val="24"/>
          <w:szCs w:val="24"/>
        </w:rPr>
        <w:t xml:space="preserve">d </w:t>
      </w:r>
      <w:r w:rsidR="00D05734">
        <w:rPr>
          <w:rFonts w:ascii="Times New Roman" w:hAnsi="Times New Roman" w:cs="Times New Roman"/>
          <w:sz w:val="24"/>
          <w:szCs w:val="24"/>
        </w:rPr>
        <w:t>1 I ‘</w:t>
      </w:r>
      <w:r w:rsidR="00AD607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="00AD6076">
        <w:rPr>
          <w:rFonts w:ascii="Times New Roman" w:hAnsi="Times New Roman" w:cs="Times New Roman"/>
          <w:sz w:val="24"/>
          <w:szCs w:val="24"/>
        </w:rPr>
        <w:t xml:space="preserve"> r</w:t>
      </w:r>
      <w:r w:rsidR="00D05734">
        <w:rPr>
          <w:rFonts w:ascii="Times New Roman" w:hAnsi="Times New Roman" w:cs="Times New Roman"/>
          <w:sz w:val="24"/>
          <w:szCs w:val="24"/>
        </w:rPr>
        <w:t>.</w:t>
      </w:r>
      <w:r w:rsidR="00AD6076">
        <w:rPr>
          <w:rFonts w:ascii="Times New Roman" w:hAnsi="Times New Roman" w:cs="Times New Roman"/>
          <w:sz w:val="24"/>
          <w:szCs w:val="24"/>
        </w:rPr>
        <w:t xml:space="preserve"> 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tylko 3 razy odnotowano </w:t>
      </w:r>
      <w:r w:rsidR="00837776">
        <w:rPr>
          <w:rFonts w:ascii="Times New Roman" w:hAnsi="Times New Roman" w:cs="Times New Roman"/>
          <w:sz w:val="24"/>
          <w:szCs w:val="24"/>
        </w:rPr>
        <w:t>przewagę wyrejestrowań.</w:t>
      </w:r>
    </w:p>
    <w:p w:rsidR="00242C45" w:rsidRPr="009B291C" w:rsidRDefault="002D4EF1" w:rsidP="009B291C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37776">
        <w:rPr>
          <w:rFonts w:ascii="Times New Roman" w:hAnsi="Times New Roman" w:cs="Times New Roman"/>
          <w:sz w:val="24"/>
          <w:szCs w:val="24"/>
        </w:rPr>
        <w:t xml:space="preserve"> 2016 r</w:t>
      </w:r>
      <w:r w:rsidR="00595DDB">
        <w:rPr>
          <w:rFonts w:ascii="Times New Roman" w:hAnsi="Times New Roman" w:cs="Times New Roman"/>
          <w:sz w:val="24"/>
          <w:szCs w:val="24"/>
        </w:rPr>
        <w:t>.</w:t>
      </w:r>
      <w:r w:rsidR="00837776">
        <w:rPr>
          <w:rFonts w:ascii="Times New Roman" w:hAnsi="Times New Roman" w:cs="Times New Roman"/>
          <w:sz w:val="24"/>
          <w:szCs w:val="24"/>
        </w:rPr>
        <w:t xml:space="preserve"> </w:t>
      </w:r>
      <w:r w:rsidR="00686A57">
        <w:rPr>
          <w:rFonts w:ascii="Times New Roman" w:hAnsi="Times New Roman" w:cs="Times New Roman"/>
          <w:sz w:val="24"/>
          <w:szCs w:val="24"/>
        </w:rPr>
        <w:t xml:space="preserve">nastąpił </w:t>
      </w:r>
      <w:r w:rsidR="00477EE1" w:rsidRPr="009B291C">
        <w:rPr>
          <w:rFonts w:ascii="Times New Roman" w:hAnsi="Times New Roman" w:cs="Times New Roman"/>
          <w:sz w:val="24"/>
          <w:szCs w:val="24"/>
        </w:rPr>
        <w:t>wzr</w:t>
      </w:r>
      <w:r w:rsidR="00AD6076">
        <w:rPr>
          <w:rFonts w:ascii="Times New Roman" w:hAnsi="Times New Roman" w:cs="Times New Roman"/>
          <w:sz w:val="24"/>
          <w:szCs w:val="24"/>
        </w:rPr>
        <w:t>ost o 2 </w:t>
      </w:r>
      <w:r w:rsidR="00E7594F">
        <w:rPr>
          <w:rFonts w:ascii="Times New Roman" w:hAnsi="Times New Roman" w:cs="Times New Roman"/>
          <w:sz w:val="24"/>
          <w:szCs w:val="24"/>
        </w:rPr>
        <w:t>594</w:t>
      </w:r>
      <w:r w:rsidR="00477EE1" w:rsidRPr="009B291C">
        <w:rPr>
          <w:rFonts w:ascii="Times New Roman" w:hAnsi="Times New Roman" w:cs="Times New Roman"/>
          <w:sz w:val="24"/>
          <w:szCs w:val="24"/>
        </w:rPr>
        <w:t xml:space="preserve"> </w:t>
      </w:r>
      <w:r w:rsidR="00AD6076">
        <w:rPr>
          <w:rFonts w:ascii="Times New Roman" w:hAnsi="Times New Roman" w:cs="Times New Roman"/>
          <w:sz w:val="24"/>
          <w:szCs w:val="24"/>
        </w:rPr>
        <w:t>podmiotów</w:t>
      </w:r>
      <w:r w:rsidR="00477EE1" w:rsidRPr="009B291C">
        <w:rPr>
          <w:rFonts w:ascii="Times New Roman" w:hAnsi="Times New Roman" w:cs="Times New Roman"/>
          <w:sz w:val="24"/>
          <w:szCs w:val="24"/>
        </w:rPr>
        <w:t>.</w:t>
      </w:r>
    </w:p>
    <w:p w:rsidR="00AB5B84" w:rsidRDefault="00B92E45" w:rsidP="00AB5B84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2E6B28">
        <w:rPr>
          <w:rFonts w:ascii="Times New Roman" w:hAnsi="Times New Roman" w:cs="Times New Roman"/>
          <w:szCs w:val="24"/>
        </w:rPr>
        <w:t xml:space="preserve">Tabela </w:t>
      </w:r>
      <w:r w:rsidR="00B220FE" w:rsidRPr="002E6B28">
        <w:rPr>
          <w:rFonts w:ascii="Times New Roman" w:hAnsi="Times New Roman" w:cs="Times New Roman"/>
          <w:szCs w:val="24"/>
        </w:rPr>
        <w:t>14</w:t>
      </w:r>
      <w:r w:rsidRPr="002E6B28">
        <w:rPr>
          <w:rFonts w:ascii="Times New Roman" w:hAnsi="Times New Roman" w:cs="Times New Roman"/>
          <w:szCs w:val="24"/>
        </w:rPr>
        <w:t xml:space="preserve">. </w:t>
      </w:r>
      <w:r w:rsidR="00AB5B84">
        <w:rPr>
          <w:rFonts w:ascii="Times New Roman" w:hAnsi="Times New Roman" w:cs="Times New Roman"/>
          <w:szCs w:val="24"/>
        </w:rPr>
        <w:t xml:space="preserve">   </w:t>
      </w:r>
      <w:r w:rsidRPr="002E6B28">
        <w:rPr>
          <w:rFonts w:ascii="Times New Roman" w:hAnsi="Times New Roman" w:cs="Times New Roman"/>
          <w:szCs w:val="24"/>
        </w:rPr>
        <w:t>Podmioty gospodarki narodowej</w:t>
      </w:r>
      <w:r w:rsidR="00AE5712" w:rsidRPr="002E6B28">
        <w:rPr>
          <w:rFonts w:ascii="Times New Roman" w:hAnsi="Times New Roman" w:cs="Times New Roman"/>
          <w:szCs w:val="24"/>
        </w:rPr>
        <w:t xml:space="preserve"> w </w:t>
      </w:r>
      <w:r w:rsidRPr="002E6B28">
        <w:rPr>
          <w:rFonts w:ascii="Times New Roman" w:hAnsi="Times New Roman" w:cs="Times New Roman"/>
          <w:szCs w:val="24"/>
        </w:rPr>
        <w:t>województwie podkarpackim</w:t>
      </w:r>
      <w:r w:rsidR="00AE5712" w:rsidRPr="002E6B28">
        <w:rPr>
          <w:rFonts w:ascii="Times New Roman" w:hAnsi="Times New Roman" w:cs="Times New Roman"/>
          <w:szCs w:val="24"/>
        </w:rPr>
        <w:t xml:space="preserve"> w </w:t>
      </w:r>
      <w:r w:rsidRPr="002E6B28">
        <w:rPr>
          <w:rFonts w:ascii="Times New Roman" w:hAnsi="Times New Roman" w:cs="Times New Roman"/>
          <w:szCs w:val="24"/>
        </w:rPr>
        <w:t>201</w:t>
      </w:r>
      <w:r w:rsidR="002E6B28" w:rsidRPr="002E6B28">
        <w:rPr>
          <w:rFonts w:ascii="Times New Roman" w:hAnsi="Times New Roman" w:cs="Times New Roman"/>
          <w:szCs w:val="24"/>
        </w:rPr>
        <w:t>6</w:t>
      </w:r>
      <w:r w:rsidR="00AE5712" w:rsidRPr="002E6B28">
        <w:rPr>
          <w:rFonts w:ascii="Times New Roman" w:hAnsi="Times New Roman" w:cs="Times New Roman"/>
          <w:szCs w:val="24"/>
        </w:rPr>
        <w:t> r.</w:t>
      </w:r>
      <w:r w:rsidRPr="002E6B28">
        <w:rPr>
          <w:rFonts w:ascii="Times New Roman" w:hAnsi="Times New Roman" w:cs="Times New Roman"/>
          <w:szCs w:val="24"/>
        </w:rPr>
        <w:t xml:space="preserve"> wg sekcji</w:t>
      </w:r>
    </w:p>
    <w:p w:rsidR="00B220FE" w:rsidRPr="002E6B28" w:rsidRDefault="00AB5B84" w:rsidP="00AB5B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</w:t>
      </w:r>
      <w:r w:rsidR="00B92E45" w:rsidRPr="002E6B28">
        <w:rPr>
          <w:rFonts w:ascii="Times New Roman" w:hAnsi="Times New Roman" w:cs="Times New Roman"/>
          <w:szCs w:val="24"/>
        </w:rPr>
        <w:t>PKD (bez osób fizycznych prowadzących wył</w:t>
      </w:r>
      <w:r>
        <w:rPr>
          <w:rFonts w:ascii="Times New Roman" w:hAnsi="Times New Roman" w:cs="Times New Roman"/>
          <w:szCs w:val="24"/>
        </w:rPr>
        <w:t>.</w:t>
      </w:r>
      <w:r w:rsidR="00B92E45" w:rsidRPr="002E6B28">
        <w:rPr>
          <w:rFonts w:ascii="Times New Roman" w:hAnsi="Times New Roman" w:cs="Times New Roman"/>
          <w:szCs w:val="24"/>
        </w:rPr>
        <w:t xml:space="preserve"> indywidualne gospod</w:t>
      </w:r>
      <w:r w:rsidR="00AE2F19" w:rsidRPr="002E6B28">
        <w:rPr>
          <w:rFonts w:ascii="Times New Roman" w:hAnsi="Times New Roman" w:cs="Times New Roman"/>
          <w:szCs w:val="24"/>
        </w:rPr>
        <w:t>arstwa rolne)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43"/>
        <w:gridCol w:w="2588"/>
        <w:gridCol w:w="1378"/>
        <w:gridCol w:w="1490"/>
        <w:gridCol w:w="1693"/>
        <w:gridCol w:w="1494"/>
      </w:tblGrid>
      <w:tr w:rsidR="0070206D" w:rsidRPr="00E613EA" w:rsidTr="0070206D">
        <w:trPr>
          <w:jc w:val="center"/>
        </w:trPr>
        <w:tc>
          <w:tcPr>
            <w:tcW w:w="643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kod</w:t>
            </w:r>
          </w:p>
        </w:tc>
        <w:tc>
          <w:tcPr>
            <w:tcW w:w="2588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sekcja</w:t>
            </w:r>
          </w:p>
        </w:tc>
        <w:tc>
          <w:tcPr>
            <w:tcW w:w="1378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31 XII ‘15</w:t>
            </w:r>
          </w:p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=100%</w:t>
            </w:r>
          </w:p>
        </w:tc>
        <w:tc>
          <w:tcPr>
            <w:tcW w:w="1490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31 XII ‘16</w:t>
            </w:r>
          </w:p>
        </w:tc>
        <w:tc>
          <w:tcPr>
            <w:tcW w:w="1693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wzrost / spadek</w:t>
            </w:r>
          </w:p>
        </w:tc>
        <w:tc>
          <w:tcPr>
            <w:tcW w:w="1494" w:type="dxa"/>
            <w:shd w:val="clear" w:color="auto" w:fill="E5DFEC" w:themeFill="accent4" w:themeFillTint="33"/>
            <w:vAlign w:val="center"/>
          </w:tcPr>
          <w:p w:rsidR="0070206D" w:rsidRPr="00B21DA4" w:rsidRDefault="0070206D" w:rsidP="00B21DA4">
            <w:pPr>
              <w:pStyle w:val="Bezodstpw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21DA4">
              <w:rPr>
                <w:rFonts w:ascii="Times New Roman" w:hAnsi="Times New Roman" w:cs="Times New Roman"/>
                <w:b/>
                <w:color w:val="000000" w:themeColor="text1"/>
              </w:rPr>
              <w:t>%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rolnictwo, leśnictwo, łowiectwo i rybactwo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3159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3 153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-6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-0,2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górnictwo i wydobywanie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248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239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-9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-3,6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C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przetwórstwo przemysłowe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15941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16 102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161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1,0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wytwarzanie i zaopatrywanie w energię elektryczną, gaz, parę wodną, gorącą wodę i powietrze do układów klimatyzacyjnych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239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428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189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79,1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dostawa wody; gospodarowanie ściekami i odpadami oraz działalność związana z rekultywacją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482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490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1,7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F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budownictwo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20735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21 317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582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2,8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handel hurtowy i detaliczny; naprawa pojazdów samochodowych, włączając motocykle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43383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42 885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- 498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-1,1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H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transport i gospodarka magazynowa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10937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11 256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319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2,9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zakwaterowaniem i usługami gastronomicznymi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4648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4 630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-18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-0,4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J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informacja i komunikacja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4212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4 557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345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8,2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finansowa i ubezpieczeniowa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4172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4 061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- 111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-2,7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L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obsługą rynku nieruchomości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4563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4 717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154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3,4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M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profesjonalna, naukowa i techniczna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13744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14 292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4,0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w zakresie usług administrowania i działalność wspierając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4074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4 190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116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2,8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administracja publiczna i obrona narodowa; obowiązkowe zabezpieczenia społeczne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1917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1 922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0,3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edukacja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6960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6 988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0,4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Q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opieka zdrowotna i pomoc społeczna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9503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9 874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371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3,9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R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działalność związana z kulturą, rozrywką i rekreacją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3682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3 753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1,9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S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pozostała działalność usługowa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2E6B28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12418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12 643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225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1,8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T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gospodarstwa domowe zatrudniające pracowników; gospodarstwa domowe produkujące wyroby i świadczące usługi na własne potrzeby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---</w:t>
            </w:r>
          </w:p>
        </w:tc>
      </w:tr>
      <w:tr w:rsidR="0070206D" w:rsidRPr="00E613EA" w:rsidTr="0070206D">
        <w:trPr>
          <w:jc w:val="center"/>
        </w:trPr>
        <w:tc>
          <w:tcPr>
            <w:tcW w:w="643" w:type="dxa"/>
            <w:shd w:val="clear" w:color="auto" w:fill="FFFFFF" w:themeFill="background1"/>
            <w:vAlign w:val="center"/>
          </w:tcPr>
          <w:p w:rsidR="0070206D" w:rsidRPr="0070206D" w:rsidRDefault="0070206D" w:rsidP="00321388">
            <w:pPr>
              <w:pStyle w:val="Bezodstpw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U</w:t>
            </w:r>
          </w:p>
        </w:tc>
        <w:tc>
          <w:tcPr>
            <w:tcW w:w="2588" w:type="dxa"/>
            <w:shd w:val="clear" w:color="auto" w:fill="FFFFFF" w:themeFill="background1"/>
          </w:tcPr>
          <w:p w:rsidR="0070206D" w:rsidRPr="0070206D" w:rsidRDefault="0070206D" w:rsidP="009E3AFD">
            <w:pPr>
              <w:pStyle w:val="Bezodstpw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organizacje i zespoły eksterytorialne</w:t>
            </w:r>
          </w:p>
        </w:tc>
        <w:tc>
          <w:tcPr>
            <w:tcW w:w="1378" w:type="dxa"/>
            <w:shd w:val="clear" w:color="auto" w:fill="FFFFFF" w:themeFill="background1"/>
            <w:vAlign w:val="center"/>
          </w:tcPr>
          <w:p w:rsidR="0070206D" w:rsidRPr="0070206D" w:rsidRDefault="0070206D" w:rsidP="00055C65">
            <w:pPr>
              <w:pStyle w:val="Bezodstpw"/>
              <w:spacing w:line="220" w:lineRule="exac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90" w:type="dxa"/>
            <w:shd w:val="clear" w:color="auto" w:fill="FFFFFF" w:themeFill="background1"/>
            <w:vAlign w:val="center"/>
          </w:tcPr>
          <w:p w:rsidR="0070206D" w:rsidRPr="0070206D" w:rsidRDefault="0070206D" w:rsidP="00CD2CC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93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494" w:type="dxa"/>
            <w:shd w:val="clear" w:color="auto" w:fill="FFFFFF" w:themeFill="background1"/>
            <w:vAlign w:val="center"/>
          </w:tcPr>
          <w:p w:rsidR="0070206D" w:rsidRPr="0070206D" w:rsidRDefault="0070206D">
            <w:pPr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70206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0,0</w:t>
            </w:r>
          </w:p>
        </w:tc>
      </w:tr>
    </w:tbl>
    <w:p w:rsidR="00242C45" w:rsidRDefault="00242C45" w:rsidP="00242C4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0206D" w:rsidRDefault="0070206D" w:rsidP="00242C4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0206D" w:rsidRDefault="0070206D" w:rsidP="00242C4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0206D" w:rsidRPr="00AB5B84" w:rsidRDefault="0070206D" w:rsidP="00242C4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242C45" w:rsidRPr="00F11191" w:rsidRDefault="00242C45" w:rsidP="00F11191">
      <w:pPr>
        <w:pStyle w:val="Bezodstpw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F11191"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242C45" w:rsidRPr="00E4437C" w:rsidRDefault="00242C45" w:rsidP="00242C45">
      <w:pPr>
        <w:pStyle w:val="Bezodstpw"/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E4437C">
        <w:rPr>
          <w:rFonts w:ascii="Times New Roman" w:hAnsi="Times New Roman" w:cs="Times New Roman"/>
          <w:sz w:val="18"/>
          <w:szCs w:val="18"/>
        </w:rPr>
        <w:t>(na podstawie Tabeli 14)</w:t>
      </w:r>
    </w:p>
    <w:p w:rsidR="00242C45" w:rsidRPr="009108CE" w:rsidRDefault="00242C45" w:rsidP="00160DBC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Największy przyrost liczby podmiotów gospodarczych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w </w:t>
      </w:r>
      <w:r w:rsidRPr="009108CE">
        <w:rPr>
          <w:rFonts w:ascii="Times New Roman" w:hAnsi="Times New Roman" w:cs="Times New Roman"/>
          <w:sz w:val="24"/>
          <w:szCs w:val="24"/>
        </w:rPr>
        <w:t>201</w:t>
      </w:r>
      <w:r w:rsidR="009108CE" w:rsidRPr="009108CE">
        <w:rPr>
          <w:rFonts w:ascii="Times New Roman" w:hAnsi="Times New Roman" w:cs="Times New Roman"/>
          <w:sz w:val="24"/>
          <w:szCs w:val="24"/>
        </w:rPr>
        <w:t>6</w:t>
      </w:r>
      <w:r w:rsidR="00AE5712" w:rsidRPr="009108CE">
        <w:rPr>
          <w:rFonts w:ascii="Times New Roman" w:hAnsi="Times New Roman" w:cs="Times New Roman"/>
          <w:sz w:val="24"/>
          <w:szCs w:val="24"/>
        </w:rPr>
        <w:t> r.</w:t>
      </w:r>
      <w:r w:rsidRPr="009108CE">
        <w:rPr>
          <w:rFonts w:ascii="Times New Roman" w:hAnsi="Times New Roman" w:cs="Times New Roman"/>
          <w:sz w:val="24"/>
          <w:szCs w:val="24"/>
        </w:rPr>
        <w:t xml:space="preserve"> zauważyć można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w </w:t>
      </w:r>
      <w:r w:rsidRPr="009108CE">
        <w:rPr>
          <w:rFonts w:ascii="Times New Roman" w:hAnsi="Times New Roman" w:cs="Times New Roman"/>
          <w:sz w:val="24"/>
          <w:szCs w:val="24"/>
        </w:rPr>
        <w:t xml:space="preserve">sekcjach: </w:t>
      </w:r>
    </w:p>
    <w:p w:rsidR="00242C45" w:rsidRPr="009108C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budowlanej (</w:t>
      </w:r>
      <w:r w:rsidR="009108CE" w:rsidRPr="009108CE">
        <w:rPr>
          <w:rFonts w:ascii="Times New Roman" w:hAnsi="Times New Roman" w:cs="Times New Roman"/>
          <w:sz w:val="24"/>
          <w:szCs w:val="24"/>
        </w:rPr>
        <w:t>5</w:t>
      </w:r>
      <w:r w:rsidRPr="009108CE">
        <w:rPr>
          <w:rFonts w:ascii="Times New Roman" w:hAnsi="Times New Roman" w:cs="Times New Roman"/>
          <w:sz w:val="24"/>
          <w:szCs w:val="24"/>
        </w:rPr>
        <w:t>8</w:t>
      </w:r>
      <w:r w:rsidR="009108CE" w:rsidRPr="009108CE">
        <w:rPr>
          <w:rFonts w:ascii="Times New Roman" w:hAnsi="Times New Roman" w:cs="Times New Roman"/>
          <w:sz w:val="24"/>
          <w:szCs w:val="24"/>
        </w:rPr>
        <w:t>2</w:t>
      </w:r>
      <w:r w:rsidRPr="009108CE">
        <w:rPr>
          <w:rFonts w:ascii="Times New Roman" w:hAnsi="Times New Roman" w:cs="Times New Roman"/>
          <w:sz w:val="24"/>
          <w:szCs w:val="24"/>
        </w:rPr>
        <w:t xml:space="preserve"> podmiotów),</w:t>
      </w:r>
    </w:p>
    <w:p w:rsidR="00242C45" w:rsidRPr="009108C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działalności profesjonalnej, naukowej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i </w:t>
      </w:r>
      <w:r w:rsidRPr="009108CE">
        <w:rPr>
          <w:rFonts w:ascii="Times New Roman" w:hAnsi="Times New Roman" w:cs="Times New Roman"/>
          <w:sz w:val="24"/>
          <w:szCs w:val="24"/>
        </w:rPr>
        <w:t>technicznej (5</w:t>
      </w:r>
      <w:r w:rsidR="009108CE" w:rsidRPr="009108CE">
        <w:rPr>
          <w:rFonts w:ascii="Times New Roman" w:hAnsi="Times New Roman" w:cs="Times New Roman"/>
          <w:sz w:val="24"/>
          <w:szCs w:val="24"/>
        </w:rPr>
        <w:t>48</w:t>
      </w:r>
      <w:r w:rsidRPr="009108CE">
        <w:rPr>
          <w:rFonts w:ascii="Times New Roman" w:hAnsi="Times New Roman" w:cs="Times New Roman"/>
          <w:sz w:val="24"/>
          <w:szCs w:val="24"/>
        </w:rPr>
        <w:t>),</w:t>
      </w:r>
    </w:p>
    <w:p w:rsidR="00242C45" w:rsidRPr="009108C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opiece zdrowotnej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i </w:t>
      </w:r>
      <w:r w:rsidRPr="009108CE">
        <w:rPr>
          <w:rFonts w:ascii="Times New Roman" w:hAnsi="Times New Roman" w:cs="Times New Roman"/>
          <w:sz w:val="24"/>
          <w:szCs w:val="24"/>
        </w:rPr>
        <w:t>pomocy społecznej (3</w:t>
      </w:r>
      <w:r w:rsidR="009108CE" w:rsidRPr="009108CE">
        <w:rPr>
          <w:rFonts w:ascii="Times New Roman" w:hAnsi="Times New Roman" w:cs="Times New Roman"/>
          <w:sz w:val="24"/>
          <w:szCs w:val="24"/>
        </w:rPr>
        <w:t>71</w:t>
      </w:r>
      <w:r w:rsidRPr="009108CE">
        <w:rPr>
          <w:rFonts w:ascii="Times New Roman" w:hAnsi="Times New Roman" w:cs="Times New Roman"/>
          <w:sz w:val="24"/>
          <w:szCs w:val="24"/>
        </w:rPr>
        <w:t>),</w:t>
      </w:r>
    </w:p>
    <w:p w:rsidR="00242C45" w:rsidRPr="009108C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transporcie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i </w:t>
      </w:r>
      <w:r w:rsidRPr="009108CE">
        <w:rPr>
          <w:rFonts w:ascii="Times New Roman" w:hAnsi="Times New Roman" w:cs="Times New Roman"/>
          <w:sz w:val="24"/>
          <w:szCs w:val="24"/>
        </w:rPr>
        <w:t>gospodarce magazynowej (</w:t>
      </w:r>
      <w:r w:rsidR="009108CE" w:rsidRPr="009108CE">
        <w:rPr>
          <w:rFonts w:ascii="Times New Roman" w:hAnsi="Times New Roman" w:cs="Times New Roman"/>
          <w:sz w:val="24"/>
          <w:szCs w:val="24"/>
        </w:rPr>
        <w:t>319</w:t>
      </w:r>
      <w:r w:rsidRPr="009108CE">
        <w:rPr>
          <w:rFonts w:ascii="Times New Roman" w:hAnsi="Times New Roman" w:cs="Times New Roman"/>
          <w:sz w:val="24"/>
          <w:szCs w:val="24"/>
        </w:rPr>
        <w:t>),</w:t>
      </w:r>
    </w:p>
    <w:p w:rsidR="00242C45" w:rsidRPr="009108C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08CE">
        <w:rPr>
          <w:rFonts w:ascii="Times New Roman" w:hAnsi="Times New Roman" w:cs="Times New Roman"/>
          <w:sz w:val="24"/>
          <w:szCs w:val="24"/>
        </w:rPr>
        <w:t>informacji</w:t>
      </w:r>
      <w:r w:rsidR="00AE5712" w:rsidRPr="009108CE">
        <w:rPr>
          <w:rFonts w:ascii="Times New Roman" w:hAnsi="Times New Roman" w:cs="Times New Roman"/>
          <w:sz w:val="24"/>
          <w:szCs w:val="24"/>
        </w:rPr>
        <w:t xml:space="preserve"> i </w:t>
      </w:r>
      <w:r w:rsidRPr="009108CE">
        <w:rPr>
          <w:rFonts w:ascii="Times New Roman" w:hAnsi="Times New Roman" w:cs="Times New Roman"/>
          <w:sz w:val="24"/>
          <w:szCs w:val="24"/>
        </w:rPr>
        <w:t>komunikacji (3</w:t>
      </w:r>
      <w:r w:rsidR="009108CE" w:rsidRPr="009108CE">
        <w:rPr>
          <w:rFonts w:ascii="Times New Roman" w:hAnsi="Times New Roman" w:cs="Times New Roman"/>
          <w:sz w:val="24"/>
          <w:szCs w:val="24"/>
        </w:rPr>
        <w:t>45</w:t>
      </w:r>
      <w:r w:rsidRPr="009108CE">
        <w:rPr>
          <w:rFonts w:ascii="Times New Roman" w:hAnsi="Times New Roman" w:cs="Times New Roman"/>
          <w:sz w:val="24"/>
          <w:szCs w:val="24"/>
        </w:rPr>
        <w:t>),</w:t>
      </w:r>
    </w:p>
    <w:p w:rsidR="00242C45" w:rsidRPr="0024340E" w:rsidRDefault="00242C45" w:rsidP="00160DBC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40E">
        <w:rPr>
          <w:rFonts w:ascii="Times New Roman" w:hAnsi="Times New Roman" w:cs="Times New Roman"/>
          <w:sz w:val="24"/>
          <w:szCs w:val="24"/>
        </w:rPr>
        <w:t>działalności związanej</w:t>
      </w:r>
      <w:r w:rsidR="00AE5712" w:rsidRPr="0024340E">
        <w:rPr>
          <w:rFonts w:ascii="Times New Roman" w:hAnsi="Times New Roman" w:cs="Times New Roman"/>
          <w:sz w:val="24"/>
          <w:szCs w:val="24"/>
        </w:rPr>
        <w:t xml:space="preserve"> z </w:t>
      </w:r>
      <w:r w:rsidRPr="0024340E">
        <w:rPr>
          <w:rFonts w:ascii="Times New Roman" w:hAnsi="Times New Roman" w:cs="Times New Roman"/>
          <w:sz w:val="24"/>
          <w:szCs w:val="24"/>
        </w:rPr>
        <w:t>obsługą rynku nieruchomości (</w:t>
      </w:r>
      <w:r w:rsidR="0024340E" w:rsidRPr="0024340E">
        <w:rPr>
          <w:rFonts w:ascii="Times New Roman" w:hAnsi="Times New Roman" w:cs="Times New Roman"/>
          <w:sz w:val="24"/>
          <w:szCs w:val="24"/>
        </w:rPr>
        <w:t>154</w:t>
      </w:r>
      <w:r w:rsidR="0024340E">
        <w:rPr>
          <w:rFonts w:ascii="Times New Roman" w:hAnsi="Times New Roman" w:cs="Times New Roman"/>
          <w:sz w:val="24"/>
          <w:szCs w:val="24"/>
        </w:rPr>
        <w:t>)</w:t>
      </w:r>
      <w:r w:rsidRPr="0024340E">
        <w:rPr>
          <w:rFonts w:ascii="Times New Roman" w:hAnsi="Times New Roman" w:cs="Times New Roman"/>
          <w:sz w:val="24"/>
          <w:szCs w:val="24"/>
        </w:rPr>
        <w:t>.</w:t>
      </w:r>
    </w:p>
    <w:p w:rsidR="0070206D" w:rsidRPr="0070206D" w:rsidRDefault="00885A41" w:rsidP="00AB5B84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Trzycyfrowy s</w:t>
      </w:r>
      <w:r w:rsidR="00C31034" w:rsidRPr="00BE5974">
        <w:rPr>
          <w:rFonts w:ascii="Times New Roman" w:hAnsi="Times New Roman" w:cs="Times New Roman"/>
          <w:sz w:val="24"/>
          <w:szCs w:val="24"/>
        </w:rPr>
        <w:t xml:space="preserve">padek </w:t>
      </w:r>
      <w:r w:rsidR="00242C45" w:rsidRPr="00BE5974">
        <w:rPr>
          <w:rFonts w:ascii="Times New Roman" w:hAnsi="Times New Roman" w:cs="Times New Roman"/>
          <w:sz w:val="24"/>
          <w:szCs w:val="24"/>
        </w:rPr>
        <w:t>liczby podmiotów gospodarczych</w:t>
      </w:r>
      <w:r w:rsidR="00AE5712" w:rsidRPr="00BE5974">
        <w:rPr>
          <w:rFonts w:ascii="Times New Roman" w:hAnsi="Times New Roman" w:cs="Times New Roman"/>
          <w:sz w:val="24"/>
          <w:szCs w:val="24"/>
        </w:rPr>
        <w:t xml:space="preserve"> w </w:t>
      </w:r>
      <w:r w:rsidR="00242C45" w:rsidRPr="00BE5974">
        <w:rPr>
          <w:rFonts w:ascii="Times New Roman" w:hAnsi="Times New Roman" w:cs="Times New Roman"/>
          <w:sz w:val="24"/>
          <w:szCs w:val="24"/>
        </w:rPr>
        <w:t>201</w:t>
      </w:r>
      <w:r w:rsidR="00BE5974" w:rsidRPr="00BE5974">
        <w:rPr>
          <w:rFonts w:ascii="Times New Roman" w:hAnsi="Times New Roman" w:cs="Times New Roman"/>
          <w:sz w:val="24"/>
          <w:szCs w:val="24"/>
        </w:rPr>
        <w:t>6</w:t>
      </w:r>
      <w:r w:rsidR="00AE5712" w:rsidRPr="00BE5974">
        <w:rPr>
          <w:rFonts w:ascii="Times New Roman" w:hAnsi="Times New Roman" w:cs="Times New Roman"/>
          <w:sz w:val="24"/>
          <w:szCs w:val="24"/>
        </w:rPr>
        <w:t> r.</w:t>
      </w:r>
      <w:r w:rsidR="00242C45" w:rsidRPr="00BE5974">
        <w:rPr>
          <w:rFonts w:ascii="Times New Roman" w:hAnsi="Times New Roman" w:cs="Times New Roman"/>
          <w:sz w:val="24"/>
          <w:szCs w:val="24"/>
        </w:rPr>
        <w:t xml:space="preserve"> zauważyć można</w:t>
      </w:r>
      <w:r w:rsidR="00AE5712" w:rsidRPr="00BE5974">
        <w:rPr>
          <w:rFonts w:ascii="Times New Roman" w:hAnsi="Times New Roman" w:cs="Times New Roman"/>
          <w:sz w:val="24"/>
          <w:szCs w:val="24"/>
        </w:rPr>
        <w:t xml:space="preserve"> w </w:t>
      </w:r>
      <w:r w:rsidR="00242C45" w:rsidRPr="00BE5974">
        <w:rPr>
          <w:rFonts w:ascii="Times New Roman" w:hAnsi="Times New Roman" w:cs="Times New Roman"/>
          <w:sz w:val="24"/>
          <w:szCs w:val="24"/>
        </w:rPr>
        <w:t>sekcji handlu hurtowego</w:t>
      </w:r>
      <w:r w:rsidR="00AE5712" w:rsidRPr="00BE5974">
        <w:rPr>
          <w:rFonts w:ascii="Times New Roman" w:hAnsi="Times New Roman" w:cs="Times New Roman"/>
          <w:sz w:val="24"/>
          <w:szCs w:val="24"/>
        </w:rPr>
        <w:t xml:space="preserve"> i </w:t>
      </w:r>
      <w:r w:rsidR="00242C45" w:rsidRPr="00BE5974">
        <w:rPr>
          <w:rFonts w:ascii="Times New Roman" w:hAnsi="Times New Roman" w:cs="Times New Roman"/>
          <w:sz w:val="24"/>
          <w:szCs w:val="24"/>
        </w:rPr>
        <w:t xml:space="preserve">detalicznego </w:t>
      </w:r>
      <w:r w:rsidR="00BE5974" w:rsidRPr="00BE5974">
        <w:rPr>
          <w:rFonts w:ascii="Times New Roman" w:hAnsi="Times New Roman" w:cs="Times New Roman"/>
          <w:sz w:val="24"/>
          <w:szCs w:val="24"/>
        </w:rPr>
        <w:t>(</w:t>
      </w:r>
      <w:r w:rsidR="00242C45" w:rsidRPr="00BE5974">
        <w:rPr>
          <w:rFonts w:ascii="Times New Roman" w:hAnsi="Times New Roman" w:cs="Times New Roman"/>
          <w:sz w:val="24"/>
          <w:szCs w:val="24"/>
        </w:rPr>
        <w:t>wraz</w:t>
      </w:r>
      <w:r w:rsidR="00AE5712" w:rsidRPr="00BE5974">
        <w:rPr>
          <w:rFonts w:ascii="Times New Roman" w:hAnsi="Times New Roman" w:cs="Times New Roman"/>
          <w:sz w:val="24"/>
          <w:szCs w:val="24"/>
        </w:rPr>
        <w:t xml:space="preserve"> z </w:t>
      </w:r>
      <w:r w:rsidR="00242C45" w:rsidRPr="00BE5974">
        <w:rPr>
          <w:rFonts w:ascii="Times New Roman" w:hAnsi="Times New Roman" w:cs="Times New Roman"/>
          <w:sz w:val="24"/>
          <w:szCs w:val="24"/>
        </w:rPr>
        <w:t xml:space="preserve">naprawą pojazdów samochodowych </w:t>
      </w:r>
      <w:r w:rsidR="00B92A5D">
        <w:rPr>
          <w:rFonts w:ascii="Times New Roman" w:hAnsi="Times New Roman" w:cs="Times New Roman"/>
          <w:sz w:val="24"/>
          <w:szCs w:val="24"/>
        </w:rPr>
        <w:t>i </w:t>
      </w:r>
      <w:r w:rsidR="00242C45" w:rsidRPr="00BE5974">
        <w:rPr>
          <w:rFonts w:ascii="Times New Roman" w:hAnsi="Times New Roman" w:cs="Times New Roman"/>
          <w:sz w:val="24"/>
          <w:szCs w:val="24"/>
        </w:rPr>
        <w:t>motocykl</w:t>
      </w:r>
      <w:r w:rsidR="00B92A5D">
        <w:rPr>
          <w:rFonts w:ascii="Times New Roman" w:hAnsi="Times New Roman" w:cs="Times New Roman"/>
          <w:sz w:val="24"/>
          <w:szCs w:val="24"/>
        </w:rPr>
        <w:t>i</w:t>
      </w:r>
      <w:r w:rsidR="00242C45" w:rsidRPr="00BE5974">
        <w:rPr>
          <w:rFonts w:ascii="Times New Roman" w:hAnsi="Times New Roman" w:cs="Times New Roman"/>
          <w:sz w:val="24"/>
          <w:szCs w:val="24"/>
        </w:rPr>
        <w:t>) –</w:t>
      </w:r>
      <w:r w:rsidR="00AE5712" w:rsidRPr="00BE5974">
        <w:rPr>
          <w:rFonts w:ascii="Times New Roman" w:hAnsi="Times New Roman" w:cs="Times New Roman"/>
          <w:sz w:val="24"/>
          <w:szCs w:val="24"/>
        </w:rPr>
        <w:t xml:space="preserve"> o </w:t>
      </w:r>
      <w:r w:rsidR="00BE5974" w:rsidRPr="00BE5974">
        <w:rPr>
          <w:rFonts w:ascii="Times New Roman" w:hAnsi="Times New Roman" w:cs="Times New Roman"/>
          <w:sz w:val="24"/>
          <w:szCs w:val="24"/>
        </w:rPr>
        <w:t>498</w:t>
      </w:r>
      <w:r w:rsidR="00242C45" w:rsidRPr="00BE5974">
        <w:rPr>
          <w:rFonts w:ascii="Times New Roman" w:hAnsi="Times New Roman" w:cs="Times New Roman"/>
          <w:sz w:val="24"/>
          <w:szCs w:val="24"/>
        </w:rPr>
        <w:t xml:space="preserve"> podmiotów</w:t>
      </w:r>
      <w:r>
        <w:rPr>
          <w:rFonts w:ascii="Times New Roman" w:hAnsi="Times New Roman" w:cs="Times New Roman"/>
          <w:sz w:val="24"/>
          <w:szCs w:val="24"/>
        </w:rPr>
        <w:t xml:space="preserve"> oraz w sekcji działalność finansowa i ubezpieczeniowa</w:t>
      </w:r>
      <w:r w:rsidR="00B92A5D">
        <w:rPr>
          <w:rFonts w:ascii="Times New Roman" w:hAnsi="Times New Roman" w:cs="Times New Roman"/>
          <w:sz w:val="24"/>
          <w:szCs w:val="24"/>
        </w:rPr>
        <w:t xml:space="preserve"> (o 111 podmiotów)</w:t>
      </w:r>
      <w:r w:rsidR="00242C45" w:rsidRPr="00BE59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Jednakże dla </w:t>
      </w:r>
      <w:r w:rsidR="00B92A5D">
        <w:rPr>
          <w:rFonts w:ascii="Times New Roman" w:hAnsi="Times New Roman" w:cs="Times New Roman"/>
          <w:sz w:val="24"/>
          <w:szCs w:val="24"/>
        </w:rPr>
        <w:t xml:space="preserve">całej </w:t>
      </w:r>
      <w:r>
        <w:rPr>
          <w:rFonts w:ascii="Times New Roman" w:hAnsi="Times New Roman" w:cs="Times New Roman"/>
          <w:sz w:val="24"/>
          <w:szCs w:val="24"/>
        </w:rPr>
        <w:t>masy podmiotów zarejestrowanych w tych sekcjach jest on i tak nieistotny</w:t>
      </w:r>
      <w:r w:rsidR="0068415A">
        <w:rPr>
          <w:rFonts w:ascii="Times New Roman" w:hAnsi="Times New Roman" w:cs="Times New Roman"/>
          <w:sz w:val="24"/>
          <w:szCs w:val="24"/>
        </w:rPr>
        <w:t>. S</w:t>
      </w:r>
      <w:r>
        <w:rPr>
          <w:rFonts w:ascii="Times New Roman" w:hAnsi="Times New Roman" w:cs="Times New Roman"/>
          <w:sz w:val="24"/>
          <w:szCs w:val="24"/>
        </w:rPr>
        <w:t>tanowi odpowiednio 1,1% i 2,7%.</w:t>
      </w:r>
    </w:p>
    <w:p w:rsidR="00220855" w:rsidRPr="00BE5974" w:rsidRDefault="0070206D" w:rsidP="00AB5B84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Znaczny wzrost odnotowano w sektorze energetycznym (głównie wytwarzanie i sprzedaż energii elektrycznej oraz gazowej) – wzrost o 79,1%.</w:t>
      </w:r>
      <w:r w:rsidR="00885A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2DCC" w:rsidRPr="00100704" w:rsidRDefault="00322DCC">
      <w:pPr>
        <w:rPr>
          <w:rFonts w:ascii="Times New Roman" w:hAnsi="Times New Roman" w:cs="Times New Roman"/>
          <w:b/>
          <w:bCs/>
          <w:color w:val="000000"/>
          <w:sz w:val="16"/>
          <w:szCs w:val="16"/>
          <w:highlight w:val="yellow"/>
        </w:rPr>
      </w:pPr>
    </w:p>
    <w:p w:rsidR="002B3633" w:rsidRPr="0022721B" w:rsidRDefault="00AD036F" w:rsidP="00AE5712">
      <w:pPr>
        <w:pStyle w:val="Default"/>
        <w:spacing w:line="360" w:lineRule="auto"/>
        <w:jc w:val="both"/>
        <w:outlineLvl w:val="0"/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8" w:name="_Toc477160353"/>
      <w:r w:rsidRPr="0022721B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Podkarpacki rynek pracy w 201</w:t>
      </w:r>
      <w:r w:rsidR="00F11191" w:rsidRPr="0022721B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6</w:t>
      </w:r>
      <w:r w:rsidRPr="0022721B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r.</w:t>
      </w:r>
      <w:bookmarkEnd w:id="8"/>
    </w:p>
    <w:p w:rsidR="009A1F42" w:rsidRPr="0022721B" w:rsidRDefault="00AD036F" w:rsidP="00AD036F">
      <w:pPr>
        <w:pStyle w:val="Default"/>
        <w:spacing w:line="360" w:lineRule="auto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9" w:name="_Toc477160354"/>
      <w:r w:rsidRPr="002272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na rynku pracy</w:t>
      </w:r>
      <w:bookmarkEnd w:id="9"/>
    </w:p>
    <w:p w:rsidR="001773BA" w:rsidRPr="007C037A" w:rsidRDefault="00F61179" w:rsidP="00006E96">
      <w:pPr>
        <w:pStyle w:val="Default"/>
        <w:spacing w:line="360" w:lineRule="auto"/>
        <w:ind w:firstLine="709"/>
        <w:jc w:val="both"/>
        <w:rPr>
          <w:bCs/>
        </w:rPr>
      </w:pPr>
      <w:r w:rsidRPr="007926C1">
        <w:rPr>
          <w:bCs/>
        </w:rPr>
        <w:t>W województwie podkarpackim n</w:t>
      </w:r>
      <w:r w:rsidR="001773BA" w:rsidRPr="007926C1">
        <w:rPr>
          <w:bCs/>
        </w:rPr>
        <w:t>a dzień 31</w:t>
      </w:r>
      <w:r w:rsidR="00006E96" w:rsidRPr="007926C1">
        <w:rPr>
          <w:bCs/>
        </w:rPr>
        <w:t xml:space="preserve"> XII ‘</w:t>
      </w:r>
      <w:r w:rsidR="001773BA" w:rsidRPr="007926C1">
        <w:rPr>
          <w:bCs/>
        </w:rPr>
        <w:t>1</w:t>
      </w:r>
      <w:r w:rsidR="00006E96" w:rsidRPr="007926C1">
        <w:rPr>
          <w:bCs/>
        </w:rPr>
        <w:t>6</w:t>
      </w:r>
      <w:r w:rsidR="001773BA" w:rsidRPr="007926C1">
        <w:rPr>
          <w:bCs/>
        </w:rPr>
        <w:t xml:space="preserve"> roku</w:t>
      </w:r>
      <w:r w:rsidR="00AE5712" w:rsidRPr="007926C1">
        <w:rPr>
          <w:bCs/>
        </w:rPr>
        <w:t xml:space="preserve"> w </w:t>
      </w:r>
      <w:r w:rsidRPr="007926C1">
        <w:rPr>
          <w:bCs/>
        </w:rPr>
        <w:t>stosunku do 31</w:t>
      </w:r>
      <w:r w:rsidR="00006E96" w:rsidRPr="007926C1">
        <w:rPr>
          <w:bCs/>
        </w:rPr>
        <w:t xml:space="preserve"> XII ‘</w:t>
      </w:r>
      <w:r w:rsidRPr="007926C1">
        <w:rPr>
          <w:bCs/>
        </w:rPr>
        <w:t>1</w:t>
      </w:r>
      <w:r w:rsidR="00006E96" w:rsidRPr="007926C1">
        <w:rPr>
          <w:bCs/>
        </w:rPr>
        <w:t>5</w:t>
      </w:r>
      <w:r w:rsidRPr="007926C1">
        <w:rPr>
          <w:bCs/>
        </w:rPr>
        <w:t xml:space="preserve"> roku </w:t>
      </w:r>
      <w:r w:rsidR="001773BA" w:rsidRPr="007926C1">
        <w:rPr>
          <w:bCs/>
        </w:rPr>
        <w:t xml:space="preserve">odnotowano </w:t>
      </w:r>
      <w:r w:rsidR="001773BA" w:rsidRPr="007926C1">
        <w:rPr>
          <w:b/>
          <w:bCs/>
          <w:u w:val="single"/>
        </w:rPr>
        <w:t>spadek</w:t>
      </w:r>
      <w:r w:rsidR="001773BA" w:rsidRPr="007926C1">
        <w:rPr>
          <w:bCs/>
          <w:u w:val="single"/>
        </w:rPr>
        <w:t xml:space="preserve"> liczby osób bezrobotnych</w:t>
      </w:r>
      <w:r w:rsidR="00AE5712" w:rsidRPr="007926C1">
        <w:rPr>
          <w:bCs/>
          <w:u w:val="single"/>
        </w:rPr>
        <w:t xml:space="preserve"> o </w:t>
      </w:r>
      <w:r w:rsidRPr="007C037A">
        <w:rPr>
          <w:b/>
          <w:bCs/>
          <w:u w:val="single"/>
        </w:rPr>
        <w:t>1</w:t>
      </w:r>
      <w:r w:rsidR="007C037A" w:rsidRPr="007C037A">
        <w:rPr>
          <w:b/>
          <w:bCs/>
          <w:u w:val="single"/>
        </w:rPr>
        <w:t>5</w:t>
      </w:r>
      <w:r w:rsidRPr="007C037A">
        <w:rPr>
          <w:b/>
          <w:bCs/>
          <w:u w:val="single"/>
        </w:rPr>
        <w:t> </w:t>
      </w:r>
      <w:r w:rsidR="007C037A" w:rsidRPr="007C037A">
        <w:rPr>
          <w:b/>
          <w:bCs/>
          <w:u w:val="single"/>
        </w:rPr>
        <w:t>947</w:t>
      </w:r>
      <w:r w:rsidRPr="007C037A">
        <w:rPr>
          <w:b/>
          <w:bCs/>
          <w:u w:val="single"/>
        </w:rPr>
        <w:t xml:space="preserve"> osób</w:t>
      </w:r>
      <w:r w:rsidR="00AE5712" w:rsidRPr="007C037A">
        <w:rPr>
          <w:bCs/>
          <w:u w:val="single"/>
        </w:rPr>
        <w:t xml:space="preserve"> a </w:t>
      </w:r>
      <w:r w:rsidRPr="007C037A">
        <w:rPr>
          <w:bCs/>
          <w:u w:val="single"/>
        </w:rPr>
        <w:t>stopy bezrobocia</w:t>
      </w:r>
      <w:r w:rsidR="00AE5712" w:rsidRPr="007C037A">
        <w:rPr>
          <w:bCs/>
          <w:u w:val="single"/>
        </w:rPr>
        <w:t xml:space="preserve"> o </w:t>
      </w:r>
      <w:r w:rsidRPr="007C037A">
        <w:rPr>
          <w:b/>
          <w:bCs/>
          <w:u w:val="single"/>
        </w:rPr>
        <w:t>1,</w:t>
      </w:r>
      <w:r w:rsidR="007C037A">
        <w:rPr>
          <w:b/>
          <w:bCs/>
          <w:u w:val="single"/>
        </w:rPr>
        <w:t>6 pkt. proc</w:t>
      </w:r>
      <w:r w:rsidRPr="007C037A">
        <w:rPr>
          <w:b/>
          <w:bCs/>
          <w:u w:val="single"/>
        </w:rPr>
        <w:t>.</w:t>
      </w:r>
    </w:p>
    <w:p w:rsidR="001773BA" w:rsidRPr="00006E96" w:rsidRDefault="001773BA" w:rsidP="00006E96">
      <w:pPr>
        <w:pStyle w:val="Default"/>
        <w:jc w:val="both"/>
        <w:rPr>
          <w:bCs/>
          <w:sz w:val="16"/>
          <w:szCs w:val="16"/>
          <w:highlight w:val="yellow"/>
        </w:rPr>
      </w:pPr>
    </w:p>
    <w:p w:rsidR="007C037A" w:rsidRDefault="007C037A" w:rsidP="004B48C5">
      <w:pPr>
        <w:pStyle w:val="Bezodstpw"/>
        <w:ind w:left="1410" w:hanging="1410"/>
        <w:jc w:val="center"/>
        <w:rPr>
          <w:rFonts w:ascii="Times New Roman" w:hAnsi="Times New Roman" w:cs="Times New Roman"/>
          <w:highlight w:val="yellow"/>
        </w:rPr>
      </w:pPr>
      <w:r w:rsidRPr="007C037A">
        <w:rPr>
          <w:noProof/>
          <w:lang w:eastAsia="pl-PL"/>
        </w:rPr>
        <w:drawing>
          <wp:inline distT="0" distB="0" distL="0" distR="0" wp14:anchorId="5AF94852" wp14:editId="285857EB">
            <wp:extent cx="5340892" cy="2381534"/>
            <wp:effectExtent l="0" t="0" r="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027" cy="238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0C0B" w:rsidRPr="00E613EA" w:rsidRDefault="00350C0B" w:rsidP="00350C0B">
      <w:pPr>
        <w:pStyle w:val="Bezodstpw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1200"/>
        <w:gridCol w:w="1080"/>
        <w:gridCol w:w="1420"/>
        <w:gridCol w:w="1160"/>
        <w:gridCol w:w="1020"/>
        <w:gridCol w:w="1480"/>
      </w:tblGrid>
      <w:tr w:rsidR="007C037A" w:rsidRPr="007C037A" w:rsidTr="007C037A">
        <w:trPr>
          <w:trHeight w:val="300"/>
        </w:trPr>
        <w:tc>
          <w:tcPr>
            <w:tcW w:w="81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Tabela II.     BEZROBOTNI W PUP ORAZ STOPA BEZROBOCIA WG POWIATÓW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C037A" w:rsidRPr="007C037A" w:rsidTr="007C037A">
        <w:trPr>
          <w:trHeight w:val="30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B2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</w:t>
            </w:r>
            <w:r w:rsid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Stan w końcu okresu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7C037A" w:rsidRPr="007C037A" w:rsidTr="00B21DA4">
        <w:trPr>
          <w:trHeight w:val="356"/>
        </w:trPr>
        <w:tc>
          <w:tcPr>
            <w:tcW w:w="2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4DFEC"/>
            <w:noWrap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powiaty</w:t>
            </w:r>
          </w:p>
        </w:tc>
        <w:tc>
          <w:tcPr>
            <w:tcW w:w="370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 BEZROBOTNYCH</w:t>
            </w:r>
          </w:p>
        </w:tc>
        <w:tc>
          <w:tcPr>
            <w:tcW w:w="36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E4DFEC"/>
            <w:noWrap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STOPA BEZROBOCIA</w:t>
            </w:r>
          </w:p>
        </w:tc>
      </w:tr>
      <w:tr w:rsidR="007C037A" w:rsidRPr="007C037A" w:rsidTr="00B21DA4">
        <w:trPr>
          <w:trHeight w:val="365"/>
        </w:trPr>
        <w:tc>
          <w:tcPr>
            <w:tcW w:w="2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 (liczba)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'15*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XII '16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7C037A" w:rsidRPr="00B21DA4" w:rsidRDefault="007C037A" w:rsidP="00B21D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21DA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wzrost/spadek (pkt. proc.)</w:t>
            </w:r>
          </w:p>
        </w:tc>
      </w:tr>
      <w:tr w:rsidR="007C037A" w:rsidRPr="007C037A" w:rsidTr="007C037A">
        <w:trPr>
          <w:trHeight w:val="570"/>
        </w:trPr>
        <w:tc>
          <w:tcPr>
            <w:tcW w:w="2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województwo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123 514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107 567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- 15 947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13,2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11,6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100704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</w:pPr>
            <w:r w:rsidRPr="00100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pl-PL"/>
              </w:rPr>
              <w:t>-1,6</w:t>
            </w:r>
          </w:p>
        </w:tc>
      </w:tr>
      <w:tr w:rsidR="007C037A" w:rsidRPr="007C037A" w:rsidTr="007C037A">
        <w:trPr>
          <w:trHeight w:val="33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bieszczadzki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1 569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-2,3</w:t>
            </w:r>
          </w:p>
        </w:tc>
      </w:tr>
      <w:tr w:rsidR="007C037A" w:rsidRPr="007C037A" w:rsidTr="007C037A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6 032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595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20,7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-1,8</w:t>
            </w:r>
          </w:p>
        </w:tc>
      </w:tr>
      <w:tr w:rsidR="007C037A" w:rsidRPr="007C037A" w:rsidTr="007C037A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dębicki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6 587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5 589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998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11,0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-1,6</w:t>
            </w:r>
          </w:p>
        </w:tc>
      </w:tr>
      <w:tr w:rsidR="007C037A" w:rsidRPr="007C037A" w:rsidTr="007C037A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jarosławski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8 315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7 748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567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15,7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-1,0</w:t>
            </w:r>
          </w:p>
        </w:tc>
      </w:tr>
      <w:tr w:rsidR="007C037A" w:rsidRPr="007C037A" w:rsidTr="007C037A">
        <w:trPr>
          <w:trHeight w:val="33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jasielski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8 091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1 047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15,2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-1,8</w:t>
            </w:r>
          </w:p>
        </w:tc>
      </w:tr>
      <w:tr w:rsidR="007C037A" w:rsidRPr="007C037A" w:rsidTr="007C037A">
        <w:trPr>
          <w:trHeight w:val="315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kolbuszowski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3 175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2 754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13,3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-1,7</w:t>
            </w:r>
          </w:p>
        </w:tc>
      </w:tr>
      <w:tr w:rsidR="007C037A" w:rsidRPr="007C037A" w:rsidTr="007C037A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krośnieński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5 041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1 389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13,8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-3,5</w:t>
            </w:r>
          </w:p>
        </w:tc>
      </w:tr>
      <w:tr w:rsidR="007C037A" w:rsidRPr="007C037A" w:rsidTr="007C037A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2 486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20,9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-0,6</w:t>
            </w:r>
          </w:p>
        </w:tc>
      </w:tr>
      <w:tr w:rsidR="007C037A" w:rsidRPr="007C037A" w:rsidTr="007C037A">
        <w:trPr>
          <w:trHeight w:val="33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leżajski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4 809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4 276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533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17,4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-1,7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lubaczowski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3 360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472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13,8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-1,8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łańcucki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4 691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4 561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-0,5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mielecki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7 114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4 793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2 321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-3,4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niżański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4 603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4 484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-0,5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4 663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-1,2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przeworski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5 675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5 286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-1,1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ropczycko-sędziszowski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4 882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3 695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1 187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-3,7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8 878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7 596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1 282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-1,8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sanocki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4 036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3 712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-0,8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stalowowolski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4 215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3 082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1 133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-2,5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strzyżowski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5 448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4 746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702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-2,2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tarnobrzeski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2 542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2 331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-0,9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Krosno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1 796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1 415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-1,2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Przemyśl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3 866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-0,9</w:t>
            </w:r>
          </w:p>
        </w:tc>
      </w:tr>
      <w:tr w:rsidR="007C037A" w:rsidRPr="007C037A" w:rsidTr="00BD01C4">
        <w:trPr>
          <w:trHeight w:val="300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Rzeszów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8 463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7 884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-0,5</w:t>
            </w:r>
          </w:p>
        </w:tc>
      </w:tr>
      <w:tr w:rsidR="007C037A" w:rsidRPr="007C037A" w:rsidTr="00BD01C4">
        <w:trPr>
          <w:trHeight w:val="315"/>
        </w:trPr>
        <w:tc>
          <w:tcPr>
            <w:tcW w:w="23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Tarnobrzeg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2 351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2 083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268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C037A" w:rsidRPr="007C037A" w:rsidRDefault="007C037A" w:rsidP="007C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-1,5</w:t>
            </w:r>
          </w:p>
        </w:tc>
      </w:tr>
      <w:tr w:rsidR="007C037A" w:rsidRPr="007C037A" w:rsidTr="007C037A">
        <w:trPr>
          <w:trHeight w:val="30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*Bank Danych Loka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</w:t>
            </w:r>
            <w:r w:rsidRPr="007C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nych www.stat.gov.pl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C037A" w:rsidRPr="007C037A" w:rsidRDefault="007C037A" w:rsidP="007C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7C037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</w:tbl>
    <w:p w:rsidR="00350C0B" w:rsidRPr="00E613EA" w:rsidRDefault="00350C0B" w:rsidP="00350C0B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9A1F42" w:rsidRPr="00F11191" w:rsidRDefault="00350C0B" w:rsidP="00F11191">
      <w:pPr>
        <w:pStyle w:val="Default"/>
        <w:pBdr>
          <w:bottom w:val="single" w:sz="4" w:space="1" w:color="auto"/>
        </w:pBdr>
        <w:jc w:val="both"/>
      </w:pPr>
      <w:r w:rsidRPr="00F11191">
        <w:t>Wnioski:</w:t>
      </w:r>
    </w:p>
    <w:p w:rsidR="008A2874" w:rsidRPr="007C037A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7C037A">
        <w:rPr>
          <w:rFonts w:ascii="Times New Roman" w:hAnsi="Times New Roman" w:cs="Times New Roman"/>
          <w:szCs w:val="24"/>
        </w:rPr>
        <w:t>(na podstawie danych</w:t>
      </w:r>
      <w:r w:rsidR="00AE5712" w:rsidRPr="007C037A">
        <w:rPr>
          <w:rFonts w:ascii="Times New Roman" w:hAnsi="Times New Roman" w:cs="Times New Roman"/>
          <w:szCs w:val="24"/>
        </w:rPr>
        <w:t xml:space="preserve"> z </w:t>
      </w:r>
      <w:r w:rsidRPr="007C037A">
        <w:rPr>
          <w:rFonts w:ascii="Times New Roman" w:hAnsi="Times New Roman" w:cs="Times New Roman"/>
          <w:szCs w:val="24"/>
        </w:rPr>
        <w:t>Tabel</w:t>
      </w:r>
      <w:r w:rsidR="00350C0B" w:rsidRPr="007C037A">
        <w:rPr>
          <w:rFonts w:ascii="Times New Roman" w:hAnsi="Times New Roman" w:cs="Times New Roman"/>
          <w:szCs w:val="24"/>
        </w:rPr>
        <w:t xml:space="preserve">i </w:t>
      </w:r>
      <w:r w:rsidR="007C037A" w:rsidRPr="007C037A">
        <w:rPr>
          <w:rFonts w:ascii="Times New Roman" w:hAnsi="Times New Roman" w:cs="Times New Roman"/>
          <w:szCs w:val="24"/>
        </w:rPr>
        <w:t>I</w:t>
      </w:r>
      <w:r w:rsidR="00AE5712" w:rsidRPr="007C037A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AE5712" w:rsidRPr="007C037A">
        <w:rPr>
          <w:rFonts w:ascii="Times New Roman" w:hAnsi="Times New Roman" w:cs="Times New Roman"/>
          <w:szCs w:val="24"/>
        </w:rPr>
        <w:t>i</w:t>
      </w:r>
      <w:proofErr w:type="spellEnd"/>
      <w:r w:rsidR="00AE5712" w:rsidRPr="007C037A">
        <w:rPr>
          <w:rFonts w:ascii="Times New Roman" w:hAnsi="Times New Roman" w:cs="Times New Roman"/>
          <w:szCs w:val="24"/>
        </w:rPr>
        <w:t> </w:t>
      </w:r>
      <w:r w:rsidRPr="007C037A">
        <w:rPr>
          <w:rFonts w:ascii="Times New Roman" w:hAnsi="Times New Roman" w:cs="Times New Roman"/>
          <w:szCs w:val="24"/>
        </w:rPr>
        <w:t xml:space="preserve">Tabeli </w:t>
      </w:r>
      <w:r w:rsidR="007C037A" w:rsidRPr="007C037A">
        <w:rPr>
          <w:rFonts w:ascii="Times New Roman" w:hAnsi="Times New Roman" w:cs="Times New Roman"/>
          <w:szCs w:val="24"/>
        </w:rPr>
        <w:t>II</w:t>
      </w:r>
      <w:r w:rsidRPr="007C037A">
        <w:rPr>
          <w:rFonts w:ascii="Times New Roman" w:hAnsi="Times New Roman" w:cs="Times New Roman"/>
          <w:szCs w:val="24"/>
        </w:rPr>
        <w:t>)</w:t>
      </w:r>
    </w:p>
    <w:p w:rsidR="009A1F42" w:rsidRPr="007C037A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C037A">
        <w:t>N</w:t>
      </w:r>
      <w:r w:rsidR="009A1F42" w:rsidRPr="007C037A">
        <w:t xml:space="preserve">ajwiększy </w:t>
      </w:r>
      <w:r w:rsidR="002B03E5" w:rsidRPr="007C037A">
        <w:t xml:space="preserve">procentowy </w:t>
      </w:r>
      <w:r w:rsidR="009A1F42" w:rsidRPr="007C037A">
        <w:t>spadek bezrobotnych odnotowano</w:t>
      </w:r>
      <w:r w:rsidR="00AE5712" w:rsidRPr="007C037A">
        <w:t xml:space="preserve"> w </w:t>
      </w:r>
      <w:r w:rsidR="009A1F42" w:rsidRPr="007C037A">
        <w:t>grupie osób dotychczas nie pracujących</w:t>
      </w:r>
      <w:r w:rsidR="002B03E5" w:rsidRPr="007C037A">
        <w:t xml:space="preserve"> (</w:t>
      </w:r>
      <w:r w:rsidR="007C037A" w:rsidRPr="007C037A">
        <w:t>23</w:t>
      </w:r>
      <w:r w:rsidR="009A1F42" w:rsidRPr="007C037A">
        <w:t>,</w:t>
      </w:r>
      <w:r w:rsidR="007C037A" w:rsidRPr="007C037A">
        <w:t>8</w:t>
      </w:r>
      <w:r w:rsidR="009A1F42" w:rsidRPr="007C037A">
        <w:t>%</w:t>
      </w:r>
      <w:r w:rsidR="002B03E5" w:rsidRPr="007C037A">
        <w:t>)</w:t>
      </w:r>
      <w:r w:rsidR="00AD036F" w:rsidRPr="007C037A">
        <w:t xml:space="preserve"> </w:t>
      </w:r>
      <w:r w:rsidR="00C168FD" w:rsidRPr="007C037A">
        <w:t xml:space="preserve">– </w:t>
      </w:r>
      <w:r w:rsidR="009A1F42" w:rsidRPr="007C037A">
        <w:t>powodów znaczącego zmniejszenia się tej liczby upatruje się we wzroście wyrejestrowań</w:t>
      </w:r>
      <w:r w:rsidR="00AE5712" w:rsidRPr="007C037A">
        <w:t xml:space="preserve"> z </w:t>
      </w:r>
      <w:r w:rsidR="009A1F42" w:rsidRPr="007C037A">
        <w:t>tytułu podjęcia pracy,</w:t>
      </w:r>
      <w:r w:rsidR="00AE5712" w:rsidRPr="007C037A">
        <w:t xml:space="preserve"> a </w:t>
      </w:r>
      <w:r w:rsidR="009A1F42" w:rsidRPr="007C037A">
        <w:t>jednocześnie</w:t>
      </w:r>
      <w:r w:rsidR="00AE5712" w:rsidRPr="007C037A">
        <w:t xml:space="preserve"> w </w:t>
      </w:r>
      <w:r w:rsidR="009A1F42" w:rsidRPr="007C037A">
        <w:t>fakcie rzadszego rejestrowania się absolwentów</w:t>
      </w:r>
      <w:r w:rsidR="00AE5712" w:rsidRPr="007C037A">
        <w:t xml:space="preserve"> w </w:t>
      </w:r>
      <w:r w:rsidR="009A1F42" w:rsidRPr="007C037A">
        <w:t>powiatowych urzędach pracy (podejmują zatrudnienie po zakończeniu nauki lub jeszcze</w:t>
      </w:r>
      <w:r w:rsidR="00AE5712" w:rsidRPr="007C037A">
        <w:t xml:space="preserve"> w </w:t>
      </w:r>
      <w:r w:rsidR="009A1F42" w:rsidRPr="007C037A">
        <w:t xml:space="preserve">jej trakcie, wyjeżdżają do pracy </w:t>
      </w:r>
      <w:r w:rsidR="007C037A">
        <w:t xml:space="preserve">w kraju lub </w:t>
      </w:r>
      <w:r w:rsidR="009A1F42" w:rsidRPr="007C037A">
        <w:t>za granicę</w:t>
      </w:r>
      <w:r w:rsidR="007C037A">
        <w:t xml:space="preserve"> albo </w:t>
      </w:r>
      <w:r w:rsidR="002B03E5" w:rsidRPr="007C037A">
        <w:t>podejmują pracę w tzw. „szarej strefie”</w:t>
      </w:r>
      <w:r w:rsidR="009A1F42" w:rsidRPr="007C037A">
        <w:t>)</w:t>
      </w:r>
      <w:r w:rsidRPr="007C037A">
        <w:t>.</w:t>
      </w:r>
    </w:p>
    <w:p w:rsidR="00206376" w:rsidRPr="007C037A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C037A">
        <w:lastRenderedPageBreak/>
        <w:t>W</w:t>
      </w:r>
      <w:r w:rsidR="00206376" w:rsidRPr="007C037A">
        <w:t xml:space="preserve"> skali ostatniego roku z</w:t>
      </w:r>
      <w:r w:rsidR="00E47177" w:rsidRPr="007C037A">
        <w:t xml:space="preserve">mniejszenie się liczby </w:t>
      </w:r>
      <w:r w:rsidR="00B532D0" w:rsidRPr="007C037A">
        <w:t xml:space="preserve">osób </w:t>
      </w:r>
      <w:r w:rsidR="00E47177" w:rsidRPr="007C037A">
        <w:t>bezrobotnych odnotowano</w:t>
      </w:r>
      <w:r w:rsidR="00AE5712" w:rsidRPr="007C037A">
        <w:t xml:space="preserve"> w </w:t>
      </w:r>
      <w:r w:rsidR="00E47177" w:rsidRPr="007C037A">
        <w:t>każdym</w:t>
      </w:r>
      <w:r w:rsidR="00AE5712" w:rsidRPr="007C037A">
        <w:t xml:space="preserve"> z </w:t>
      </w:r>
      <w:r w:rsidR="00206376" w:rsidRPr="007C037A">
        <w:t xml:space="preserve">21 </w:t>
      </w:r>
      <w:r w:rsidR="00E47177" w:rsidRPr="007C037A">
        <w:t>powiatów województwa</w:t>
      </w:r>
      <w:r w:rsidR="00AE5712" w:rsidRPr="007C037A">
        <w:t xml:space="preserve"> i w </w:t>
      </w:r>
      <w:r w:rsidR="008349F4" w:rsidRPr="007C037A">
        <w:t>4 miast</w:t>
      </w:r>
      <w:r w:rsidR="00206376" w:rsidRPr="007C037A">
        <w:t>ach</w:t>
      </w:r>
      <w:r w:rsidR="008349F4" w:rsidRPr="007C037A">
        <w:t xml:space="preserve"> na prawach powiatu</w:t>
      </w:r>
      <w:r w:rsidRPr="007C037A">
        <w:t>.</w:t>
      </w:r>
    </w:p>
    <w:p w:rsidR="00C168FD" w:rsidRPr="00C72652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C72652">
        <w:t>N</w:t>
      </w:r>
      <w:r w:rsidR="008349F4" w:rsidRPr="00C72652">
        <w:t xml:space="preserve">ajwiększy spadek liczby </w:t>
      </w:r>
      <w:r w:rsidR="00B532D0" w:rsidRPr="00C72652">
        <w:t xml:space="preserve">osób </w:t>
      </w:r>
      <w:r w:rsidR="008349F4" w:rsidRPr="00C72652">
        <w:t>bezrobotnych</w:t>
      </w:r>
      <w:r w:rsidR="00206376" w:rsidRPr="00C72652">
        <w:t xml:space="preserve"> </w:t>
      </w:r>
      <w:r w:rsidR="001773BA" w:rsidRPr="00C72652">
        <w:t>nastąpił</w:t>
      </w:r>
      <w:r w:rsidR="00AE5712" w:rsidRPr="00C72652">
        <w:t xml:space="preserve"> w </w:t>
      </w:r>
      <w:r w:rsidR="001773BA" w:rsidRPr="00C72652">
        <w:t>powi</w:t>
      </w:r>
      <w:r w:rsidR="00C168FD" w:rsidRPr="00C72652">
        <w:t>atach:</w:t>
      </w:r>
      <w:r w:rsidR="001773BA" w:rsidRPr="00C72652">
        <w:t xml:space="preserve"> </w:t>
      </w:r>
      <w:r w:rsidR="00206E94" w:rsidRPr="00C72652">
        <w:t>mieleckim</w:t>
      </w:r>
      <w:r w:rsidR="00E14AA5" w:rsidRPr="00C72652">
        <w:t xml:space="preserve"> – </w:t>
      </w:r>
      <w:r w:rsidR="00206E94" w:rsidRPr="00C72652">
        <w:t>2 321</w:t>
      </w:r>
      <w:r w:rsidR="00E14AA5" w:rsidRPr="00C72652">
        <w:t xml:space="preserve"> </w:t>
      </w:r>
      <w:r w:rsidR="00206E94" w:rsidRPr="00C72652">
        <w:t xml:space="preserve">krośnieńskim </w:t>
      </w:r>
      <w:r w:rsidR="00E14AA5" w:rsidRPr="00C72652">
        <w:t xml:space="preserve">– </w:t>
      </w:r>
      <w:r w:rsidR="00206E94" w:rsidRPr="00C72652">
        <w:t>1 389</w:t>
      </w:r>
      <w:r w:rsidR="00FC77E9" w:rsidRPr="00C72652">
        <w:t xml:space="preserve">, </w:t>
      </w:r>
      <w:r w:rsidR="00206E94" w:rsidRPr="00C72652">
        <w:t>rzeszowskim</w:t>
      </w:r>
      <w:r w:rsidR="003A540B" w:rsidRPr="00C72652">
        <w:t xml:space="preserve"> </w:t>
      </w:r>
      <w:r w:rsidR="001773BA" w:rsidRPr="00C72652">
        <w:t>–</w:t>
      </w:r>
      <w:r w:rsidR="008349F4" w:rsidRPr="00C72652">
        <w:t xml:space="preserve"> 1 </w:t>
      </w:r>
      <w:r w:rsidR="003A540B" w:rsidRPr="00C72652">
        <w:t>2</w:t>
      </w:r>
      <w:r w:rsidR="00206E94" w:rsidRPr="00C72652">
        <w:t>82</w:t>
      </w:r>
      <w:r w:rsidR="00FC77E9" w:rsidRPr="00C72652">
        <w:t xml:space="preserve">, </w:t>
      </w:r>
      <w:r w:rsidR="00206E94" w:rsidRPr="00C72652">
        <w:t>ropczycko – sędziszowskim</w:t>
      </w:r>
      <w:r w:rsidR="003A540B" w:rsidRPr="00C72652">
        <w:t xml:space="preserve"> </w:t>
      </w:r>
      <w:r w:rsidR="001773BA" w:rsidRPr="00C72652">
        <w:t xml:space="preserve">– </w:t>
      </w:r>
      <w:r w:rsidR="008349F4" w:rsidRPr="00C72652">
        <w:t>1</w:t>
      </w:r>
      <w:r w:rsidR="001773BA" w:rsidRPr="00C72652">
        <w:t> </w:t>
      </w:r>
      <w:r w:rsidR="003A540B" w:rsidRPr="00C72652">
        <w:t>1</w:t>
      </w:r>
      <w:r w:rsidR="00206E94" w:rsidRPr="00C72652">
        <w:t>87</w:t>
      </w:r>
      <w:r w:rsidR="00C168FD" w:rsidRPr="00C72652">
        <w:t>,</w:t>
      </w:r>
      <w:r w:rsidR="00206E94" w:rsidRPr="00C72652">
        <w:t xml:space="preserve"> stalowowolskim – 1</w:t>
      </w:r>
      <w:r w:rsidR="00C72652" w:rsidRPr="00C72652">
        <w:t> </w:t>
      </w:r>
      <w:r w:rsidR="00206E94" w:rsidRPr="00C72652">
        <w:t>133</w:t>
      </w:r>
      <w:r w:rsidR="00C72652" w:rsidRPr="00C72652">
        <w:t xml:space="preserve"> i </w:t>
      </w:r>
      <w:r w:rsidR="00206E94" w:rsidRPr="00C72652">
        <w:t>jasielskim</w:t>
      </w:r>
      <w:r w:rsidR="00E14AA5" w:rsidRPr="00C72652">
        <w:t xml:space="preserve"> – </w:t>
      </w:r>
      <w:r w:rsidR="00206E94" w:rsidRPr="00C72652">
        <w:t>1 047</w:t>
      </w:r>
      <w:r w:rsidRPr="00C72652">
        <w:t>.</w:t>
      </w:r>
    </w:p>
    <w:p w:rsidR="004860F2" w:rsidRPr="00C72652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C72652">
        <w:t>N</w:t>
      </w:r>
      <w:r w:rsidR="001773BA" w:rsidRPr="00C72652">
        <w:t xml:space="preserve">ajmniejszy spadek liczby </w:t>
      </w:r>
      <w:r w:rsidR="00B532D0" w:rsidRPr="00C72652">
        <w:t xml:space="preserve">osób </w:t>
      </w:r>
      <w:r w:rsidR="001773BA" w:rsidRPr="00C72652">
        <w:t xml:space="preserve">bezrobotnych </w:t>
      </w:r>
      <w:r w:rsidR="00FC77E9" w:rsidRPr="00C72652">
        <w:t>odnotowano</w:t>
      </w:r>
      <w:r w:rsidR="00AE5712" w:rsidRPr="00C72652">
        <w:t xml:space="preserve"> w </w:t>
      </w:r>
      <w:r w:rsidR="00C72652" w:rsidRPr="00C72652">
        <w:t>powiecie leskim</w:t>
      </w:r>
      <w:r w:rsidR="00E14AA5" w:rsidRPr="00C72652">
        <w:t xml:space="preserve"> – </w:t>
      </w:r>
      <w:r w:rsidR="00C72652" w:rsidRPr="00C72652">
        <w:t>73</w:t>
      </w:r>
      <w:r w:rsidR="00C168FD" w:rsidRPr="00C72652">
        <w:t xml:space="preserve"> oraz</w:t>
      </w:r>
      <w:r w:rsidR="00AE5712" w:rsidRPr="00C72652">
        <w:t xml:space="preserve"> w </w:t>
      </w:r>
      <w:r w:rsidR="00C72652" w:rsidRPr="00C72652">
        <w:t>niżańskim</w:t>
      </w:r>
      <w:r w:rsidR="001773BA" w:rsidRPr="00C72652">
        <w:t xml:space="preserve"> – </w:t>
      </w:r>
      <w:r w:rsidR="00C72652" w:rsidRPr="00C72652">
        <w:t>119</w:t>
      </w:r>
      <w:r w:rsidRPr="00C72652">
        <w:t>.</w:t>
      </w:r>
    </w:p>
    <w:p w:rsidR="00C168FD" w:rsidRPr="00770F96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770F96">
        <w:t>N</w:t>
      </w:r>
      <w:r w:rsidR="00FC77E9" w:rsidRPr="00770F96">
        <w:t xml:space="preserve">ajwyższą </w:t>
      </w:r>
      <w:r w:rsidR="00C72652" w:rsidRPr="00770F96">
        <w:t xml:space="preserve">wartość </w:t>
      </w:r>
      <w:r w:rsidR="00FC77E9" w:rsidRPr="00770F96">
        <w:t>stop</w:t>
      </w:r>
      <w:r w:rsidR="00C72652" w:rsidRPr="00770F96">
        <w:t>y</w:t>
      </w:r>
      <w:r w:rsidR="00FC77E9" w:rsidRPr="00770F96">
        <w:t xml:space="preserve"> bezrobocia </w:t>
      </w:r>
      <w:r w:rsidR="00C168FD" w:rsidRPr="00770F96">
        <w:t>na dzień 31</w:t>
      </w:r>
      <w:r w:rsidR="007C037A" w:rsidRPr="00770F96">
        <w:t xml:space="preserve"> XII ‘</w:t>
      </w:r>
      <w:r w:rsidR="00C168FD" w:rsidRPr="00770F96">
        <w:t>1</w:t>
      </w:r>
      <w:r w:rsidR="007C037A" w:rsidRPr="00770F96">
        <w:t>6</w:t>
      </w:r>
      <w:r w:rsidR="00AE5712" w:rsidRPr="00770F96">
        <w:t> r.</w:t>
      </w:r>
      <w:r w:rsidR="00FC77E9" w:rsidRPr="00770F96">
        <w:t xml:space="preserve"> odnotowano</w:t>
      </w:r>
      <w:r w:rsidR="00AE5712" w:rsidRPr="00770F96">
        <w:t xml:space="preserve"> w </w:t>
      </w:r>
      <w:r w:rsidR="00FC77E9" w:rsidRPr="00770F96">
        <w:t>powiatach: leskim (20,</w:t>
      </w:r>
      <w:r w:rsidR="00C2104D" w:rsidRPr="00770F96">
        <w:t>9</w:t>
      </w:r>
      <w:r w:rsidR="00FC77E9" w:rsidRPr="00770F96">
        <w:t xml:space="preserve">%), brzozowskim (20,7%), </w:t>
      </w:r>
      <w:r w:rsidR="00124E6A" w:rsidRPr="00770F96">
        <w:t>bieszczadzkim</w:t>
      </w:r>
      <w:r w:rsidR="00FC77E9" w:rsidRPr="00770F96">
        <w:t xml:space="preserve"> (20,</w:t>
      </w:r>
      <w:r w:rsidR="00124E6A" w:rsidRPr="00770F96">
        <w:t>5</w:t>
      </w:r>
      <w:r w:rsidR="00FC77E9" w:rsidRPr="00770F96">
        <w:t xml:space="preserve">%), </w:t>
      </w:r>
      <w:r w:rsidR="00124E6A" w:rsidRPr="00770F96">
        <w:t xml:space="preserve">strzyżowskim </w:t>
      </w:r>
      <w:r w:rsidR="00FC77E9" w:rsidRPr="00770F96">
        <w:t>(20,</w:t>
      </w:r>
      <w:r w:rsidR="00124E6A" w:rsidRPr="00770F96">
        <w:t>2</w:t>
      </w:r>
      <w:r w:rsidR="00FC77E9" w:rsidRPr="00770F96">
        <w:t>%)</w:t>
      </w:r>
      <w:r w:rsidR="00AE5712" w:rsidRPr="00770F96">
        <w:t xml:space="preserve"> i </w:t>
      </w:r>
      <w:r w:rsidR="00770F96" w:rsidRPr="00770F96">
        <w:t>niżańskim</w:t>
      </w:r>
      <w:r w:rsidR="00FC77E9" w:rsidRPr="00770F96">
        <w:t xml:space="preserve"> (19,</w:t>
      </w:r>
      <w:r w:rsidR="00770F96" w:rsidRPr="00770F96">
        <w:t>8</w:t>
      </w:r>
      <w:r w:rsidR="00FC77E9" w:rsidRPr="00770F96">
        <w:t>%)</w:t>
      </w:r>
      <w:r w:rsidRPr="00770F96">
        <w:t>.</w:t>
      </w:r>
    </w:p>
    <w:p w:rsidR="00C168FD" w:rsidRPr="004D27F2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4D27F2">
        <w:t>N</w:t>
      </w:r>
      <w:r w:rsidR="00FC77E9" w:rsidRPr="004D27F2">
        <w:t xml:space="preserve">ajniższą </w:t>
      </w:r>
      <w:r w:rsidR="00C168FD" w:rsidRPr="004D27F2">
        <w:t>stopę bezrobocia na dzień 31</w:t>
      </w:r>
      <w:r w:rsidR="007C037A" w:rsidRPr="004D27F2">
        <w:t xml:space="preserve"> XII ‘</w:t>
      </w:r>
      <w:r w:rsidR="00C168FD" w:rsidRPr="004D27F2">
        <w:t>1</w:t>
      </w:r>
      <w:r w:rsidR="007C037A" w:rsidRPr="004D27F2">
        <w:t>6</w:t>
      </w:r>
      <w:r w:rsidR="00AE5712" w:rsidRPr="004D27F2">
        <w:t> r.</w:t>
      </w:r>
      <w:r w:rsidR="00C168FD" w:rsidRPr="004D27F2">
        <w:t xml:space="preserve"> odnotowano</w:t>
      </w:r>
      <w:r w:rsidR="00FC77E9" w:rsidRPr="004D27F2">
        <w:t xml:space="preserve"> w: Krośnie (</w:t>
      </w:r>
      <w:r w:rsidR="004D27F2" w:rsidRPr="004D27F2">
        <w:t>4</w:t>
      </w:r>
      <w:r w:rsidR="00FC77E9" w:rsidRPr="004D27F2">
        <w:t>,</w:t>
      </w:r>
      <w:r w:rsidR="004D27F2" w:rsidRPr="004D27F2">
        <w:t>7</w:t>
      </w:r>
      <w:r w:rsidR="00FC77E9" w:rsidRPr="004D27F2">
        <w:t>%)</w:t>
      </w:r>
      <w:r w:rsidR="00AE5712" w:rsidRPr="004D27F2">
        <w:t xml:space="preserve"> i </w:t>
      </w:r>
      <w:r w:rsidR="00FC77E9" w:rsidRPr="004D27F2">
        <w:t>Rzeszowie (</w:t>
      </w:r>
      <w:r w:rsidR="004D27F2" w:rsidRPr="004D27F2">
        <w:t>6</w:t>
      </w:r>
      <w:r w:rsidR="00FC77E9" w:rsidRPr="004D27F2">
        <w:t>,</w:t>
      </w:r>
      <w:r w:rsidR="004D27F2" w:rsidRPr="004D27F2">
        <w:t>8</w:t>
      </w:r>
      <w:r w:rsidR="00FC77E9" w:rsidRPr="004D27F2">
        <w:t>%) oraz</w:t>
      </w:r>
      <w:r w:rsidR="00AE5712" w:rsidRPr="004D27F2">
        <w:t xml:space="preserve"> w </w:t>
      </w:r>
      <w:r w:rsidR="00FC77E9" w:rsidRPr="004D27F2">
        <w:t>powiatach: stalowowolskim (</w:t>
      </w:r>
      <w:r w:rsidR="004D27F2" w:rsidRPr="004D27F2">
        <w:t>7,1</w:t>
      </w:r>
      <w:r w:rsidR="00FC77E9" w:rsidRPr="004D27F2">
        <w:t xml:space="preserve">%), </w:t>
      </w:r>
      <w:r w:rsidR="004D27F2" w:rsidRPr="004D27F2">
        <w:t>mieleckim (7,6%) i </w:t>
      </w:r>
      <w:r w:rsidR="00FC77E9" w:rsidRPr="004D27F2">
        <w:t>sanockim (</w:t>
      </w:r>
      <w:r w:rsidR="004D27F2" w:rsidRPr="004D27F2">
        <w:t>9,1</w:t>
      </w:r>
      <w:r w:rsidR="00FC77E9" w:rsidRPr="004D27F2">
        <w:t>%)</w:t>
      </w:r>
      <w:r w:rsidRPr="004D27F2">
        <w:t>.</w:t>
      </w:r>
    </w:p>
    <w:p w:rsidR="00C168FD" w:rsidRPr="004D27F2" w:rsidRDefault="00796F6E" w:rsidP="00160DBC">
      <w:pPr>
        <w:pStyle w:val="Default"/>
        <w:numPr>
          <w:ilvl w:val="0"/>
          <w:numId w:val="3"/>
        </w:numPr>
        <w:spacing w:line="360" w:lineRule="auto"/>
        <w:jc w:val="both"/>
      </w:pPr>
      <w:r w:rsidRPr="004D27F2">
        <w:t>S</w:t>
      </w:r>
      <w:r w:rsidR="00FC77E9" w:rsidRPr="004D27F2">
        <w:t>topę bezrobocia wyższą od średniej</w:t>
      </w:r>
      <w:r w:rsidR="00AE5712" w:rsidRPr="004D27F2">
        <w:t xml:space="preserve"> w </w:t>
      </w:r>
      <w:r w:rsidR="00FC77E9" w:rsidRPr="004D27F2">
        <w:t>województwie odnotowano</w:t>
      </w:r>
      <w:r w:rsidR="00AE5712" w:rsidRPr="004D27F2">
        <w:t xml:space="preserve"> </w:t>
      </w:r>
      <w:r w:rsidR="004D27F2">
        <w:t xml:space="preserve">aż </w:t>
      </w:r>
      <w:r w:rsidR="00AE5712" w:rsidRPr="004D27F2">
        <w:t>w </w:t>
      </w:r>
      <w:r w:rsidR="00FC77E9" w:rsidRPr="004D27F2">
        <w:t>1</w:t>
      </w:r>
      <w:r w:rsidR="004D27F2">
        <w:t>3</w:t>
      </w:r>
      <w:r w:rsidR="00FC77E9" w:rsidRPr="004D27F2">
        <w:t xml:space="preserve"> powiatach</w:t>
      </w:r>
      <w:r w:rsidR="00AE5712" w:rsidRPr="004D27F2">
        <w:t xml:space="preserve"> i w </w:t>
      </w:r>
      <w:r w:rsidR="004D27F2">
        <w:t>2</w:t>
      </w:r>
      <w:r w:rsidR="00FC77E9" w:rsidRPr="004D27F2">
        <w:t xml:space="preserve"> mi</w:t>
      </w:r>
      <w:r w:rsidR="004D27F2">
        <w:t>astach</w:t>
      </w:r>
      <w:r w:rsidR="00FC77E9" w:rsidRPr="004D27F2">
        <w:t xml:space="preserve"> na prawach powiatu</w:t>
      </w:r>
      <w:r w:rsidRPr="004D27F2">
        <w:t>.</w:t>
      </w:r>
    </w:p>
    <w:p w:rsidR="004F38D2" w:rsidRPr="004F38D2" w:rsidRDefault="004F38D2" w:rsidP="004F38D2">
      <w:pPr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385582" w:rsidRPr="002D4EF1" w:rsidRDefault="0060344D" w:rsidP="002D4EF1">
      <w:pPr>
        <w:pStyle w:val="Default"/>
        <w:spacing w:line="360" w:lineRule="auto"/>
        <w:jc w:val="both"/>
        <w:outlineLvl w:val="1"/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0" w:name="_Toc477160355"/>
      <w:r w:rsidRPr="002D4EF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</w:t>
      </w:r>
      <w:r w:rsidR="008349F4" w:rsidRPr="002D4EF1">
        <w:rPr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łynność bezrobocia</w:t>
      </w:r>
      <w:bookmarkEnd w:id="10"/>
    </w:p>
    <w:p w:rsidR="00726DAB" w:rsidRPr="002D4EF1" w:rsidRDefault="00726DAB" w:rsidP="002D4EF1">
      <w:pPr>
        <w:pStyle w:val="Default"/>
        <w:spacing w:line="360" w:lineRule="auto"/>
        <w:jc w:val="both"/>
        <w:outlineLvl w:val="2"/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1" w:name="_Toc477160356"/>
      <w:r w:rsidRPr="002D4EF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„Napływ bezrobotnych”</w:t>
      </w:r>
      <w:bookmarkEnd w:id="11"/>
    </w:p>
    <w:p w:rsidR="00726DAB" w:rsidRPr="004B48C5" w:rsidRDefault="00726DAB" w:rsidP="004B48C5">
      <w:pPr>
        <w:pStyle w:val="Default"/>
        <w:jc w:val="both"/>
        <w:rPr>
          <w:sz w:val="16"/>
          <w:szCs w:val="16"/>
          <w:highlight w:val="yellow"/>
        </w:rPr>
      </w:pPr>
    </w:p>
    <w:p w:rsidR="0060344D" w:rsidRPr="004056ED" w:rsidRDefault="002B3633" w:rsidP="00CE70F1">
      <w:pPr>
        <w:pStyle w:val="Default"/>
        <w:spacing w:line="360" w:lineRule="auto"/>
        <w:ind w:firstLine="708"/>
        <w:jc w:val="both"/>
      </w:pPr>
      <w:r w:rsidRPr="007C037A">
        <w:t xml:space="preserve">Analizując </w:t>
      </w:r>
      <w:r w:rsidR="00AC38FF" w:rsidRPr="007C037A">
        <w:t>zjawisko fluktuacji</w:t>
      </w:r>
      <w:r w:rsidR="00385582" w:rsidRPr="007C037A">
        <w:t>,</w:t>
      </w:r>
      <w:r w:rsidR="00AC38FF" w:rsidRPr="007C037A">
        <w:t xml:space="preserve"> tj. </w:t>
      </w:r>
      <w:r w:rsidRPr="007C037A">
        <w:t>„napływ”</w:t>
      </w:r>
      <w:r w:rsidR="00AE5712" w:rsidRPr="007C037A">
        <w:t xml:space="preserve"> i </w:t>
      </w:r>
      <w:r w:rsidRPr="007C037A">
        <w:t>„odpływ” osób bezrobotnych zarejestrowanych</w:t>
      </w:r>
      <w:r w:rsidR="00AE5712" w:rsidRPr="007C037A">
        <w:t xml:space="preserve"> w </w:t>
      </w:r>
      <w:r w:rsidRPr="007C037A">
        <w:t>powiatowych urzędach pracy należy stwierdzić, ż</w:t>
      </w:r>
      <w:r w:rsidR="00AC38FF" w:rsidRPr="007C037A">
        <w:t>e</w:t>
      </w:r>
      <w:r w:rsidR="00AE5712" w:rsidRPr="007C037A">
        <w:t xml:space="preserve"> w </w:t>
      </w:r>
      <w:r w:rsidRPr="007C037A">
        <w:t xml:space="preserve">okresie 12 miesięcy </w:t>
      </w:r>
      <w:r w:rsidR="007C037A" w:rsidRPr="007C037A">
        <w:t>‘</w:t>
      </w:r>
      <w:r w:rsidRPr="007C037A">
        <w:t>1</w:t>
      </w:r>
      <w:r w:rsidR="007C037A" w:rsidRPr="007C037A">
        <w:t>6</w:t>
      </w:r>
      <w:r w:rsidRPr="007C037A">
        <w:t xml:space="preserve"> r</w:t>
      </w:r>
      <w:r w:rsidR="007C037A" w:rsidRPr="007C037A">
        <w:t>.</w:t>
      </w:r>
      <w:r w:rsidR="00AE5712" w:rsidRPr="007C037A">
        <w:t xml:space="preserve"> w </w:t>
      </w:r>
      <w:r w:rsidR="009D2364" w:rsidRPr="007C037A">
        <w:t xml:space="preserve">województwie podkarpackim </w:t>
      </w:r>
      <w:r w:rsidRPr="007C037A">
        <w:t xml:space="preserve">zarejestrowało się ogółem </w:t>
      </w:r>
      <w:r w:rsidRPr="004056ED">
        <w:t>1</w:t>
      </w:r>
      <w:r w:rsidR="004056ED" w:rsidRPr="004056ED">
        <w:t>49</w:t>
      </w:r>
      <w:r w:rsidR="00796F6E" w:rsidRPr="004056ED">
        <w:t> </w:t>
      </w:r>
      <w:r w:rsidR="004056ED" w:rsidRPr="004056ED">
        <w:t>405</w:t>
      </w:r>
      <w:r w:rsidRPr="004056ED">
        <w:t xml:space="preserve"> bezrobotnych</w:t>
      </w:r>
      <w:r w:rsidR="00AE5712" w:rsidRPr="004056ED">
        <w:t xml:space="preserve"> </w:t>
      </w:r>
      <w:r w:rsidR="007C037A" w:rsidRPr="004056ED">
        <w:t>(</w:t>
      </w:r>
      <w:r w:rsidR="00AE5712" w:rsidRPr="004056ED">
        <w:t>w </w:t>
      </w:r>
      <w:r w:rsidR="007C037A" w:rsidRPr="004056ED">
        <w:t>’</w:t>
      </w:r>
      <w:r w:rsidRPr="004056ED">
        <w:t>1</w:t>
      </w:r>
      <w:r w:rsidR="007C037A" w:rsidRPr="004056ED">
        <w:t>5 r.</w:t>
      </w:r>
      <w:r w:rsidRPr="004056ED">
        <w:t xml:space="preserve"> </w:t>
      </w:r>
      <w:r w:rsidR="0060344D" w:rsidRPr="004056ED">
        <w:t>grupa ta stanowiła 1</w:t>
      </w:r>
      <w:r w:rsidR="004056ED" w:rsidRPr="004056ED">
        <w:t>58</w:t>
      </w:r>
      <w:r w:rsidR="0060344D" w:rsidRPr="004056ED">
        <w:t> 0</w:t>
      </w:r>
      <w:r w:rsidR="004056ED" w:rsidRPr="004056ED">
        <w:t>25</w:t>
      </w:r>
      <w:r w:rsidR="0060344D" w:rsidRPr="004056ED">
        <w:t xml:space="preserve"> osób</w:t>
      </w:r>
      <w:r w:rsidR="007C037A" w:rsidRPr="004056ED">
        <w:t>)</w:t>
      </w:r>
      <w:r w:rsidR="0060344D" w:rsidRPr="004056ED">
        <w:t>.</w:t>
      </w:r>
    </w:p>
    <w:p w:rsidR="0081673A" w:rsidRPr="00E613EA" w:rsidRDefault="007C037A" w:rsidP="00EB483E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7C037A">
        <w:rPr>
          <w:noProof/>
          <w:lang w:eastAsia="pl-PL"/>
        </w:rPr>
        <w:drawing>
          <wp:inline distT="0" distB="0" distL="0" distR="0" wp14:anchorId="60319BF3" wp14:editId="6A38A15A">
            <wp:extent cx="5759532" cy="2790701"/>
            <wp:effectExtent l="0" t="0" r="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790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73A" w:rsidRPr="00E613EA" w:rsidRDefault="00150999" w:rsidP="00150999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150999">
        <w:rPr>
          <w:noProof/>
          <w:lang w:eastAsia="pl-PL"/>
        </w:rPr>
        <w:lastRenderedPageBreak/>
        <w:drawing>
          <wp:inline distT="0" distB="0" distL="0" distR="0" wp14:anchorId="1992DF00" wp14:editId="3281CCA8">
            <wp:extent cx="4360460" cy="5970896"/>
            <wp:effectExtent l="0" t="0" r="254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545" cy="5971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673A" w:rsidRPr="004B48C5" w:rsidRDefault="0081673A" w:rsidP="009A1F42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8A2874" w:rsidRPr="009F4374" w:rsidRDefault="0081673A" w:rsidP="00150999">
      <w:pPr>
        <w:pStyle w:val="Default"/>
        <w:pBdr>
          <w:bottom w:val="single" w:sz="4" w:space="1" w:color="auto"/>
        </w:pBdr>
        <w:jc w:val="both"/>
      </w:pPr>
      <w:r w:rsidRPr="009F4374">
        <w:t>Wnioski</w:t>
      </w:r>
      <w:r w:rsidR="00A93F05" w:rsidRPr="009F4374">
        <w:t>:</w:t>
      </w:r>
    </w:p>
    <w:p w:rsidR="008A2874" w:rsidRPr="009F4374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9F4374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9F4374">
        <w:rPr>
          <w:rFonts w:ascii="Times New Roman" w:hAnsi="Times New Roman" w:cs="Times New Roman"/>
          <w:sz w:val="18"/>
          <w:szCs w:val="18"/>
        </w:rPr>
        <w:t xml:space="preserve"> z </w:t>
      </w:r>
      <w:r w:rsidRPr="009F4374">
        <w:rPr>
          <w:rFonts w:ascii="Times New Roman" w:hAnsi="Times New Roman" w:cs="Times New Roman"/>
          <w:sz w:val="18"/>
          <w:szCs w:val="18"/>
        </w:rPr>
        <w:t xml:space="preserve">Tabeli </w:t>
      </w:r>
      <w:r w:rsidR="009F4374" w:rsidRPr="009F4374">
        <w:rPr>
          <w:rFonts w:ascii="Times New Roman" w:hAnsi="Times New Roman" w:cs="Times New Roman"/>
          <w:sz w:val="18"/>
          <w:szCs w:val="18"/>
        </w:rPr>
        <w:t>III</w:t>
      </w:r>
      <w:r w:rsidR="00AE5712" w:rsidRPr="009F4374">
        <w:rPr>
          <w:rFonts w:ascii="Times New Roman" w:hAnsi="Times New Roman" w:cs="Times New Roman"/>
          <w:sz w:val="18"/>
          <w:szCs w:val="18"/>
        </w:rPr>
        <w:t xml:space="preserve"> i </w:t>
      </w:r>
      <w:r w:rsidRPr="009F4374">
        <w:rPr>
          <w:rFonts w:ascii="Times New Roman" w:hAnsi="Times New Roman" w:cs="Times New Roman"/>
          <w:sz w:val="18"/>
          <w:szCs w:val="18"/>
        </w:rPr>
        <w:t xml:space="preserve">Tabeli </w:t>
      </w:r>
      <w:r w:rsidR="009F4374" w:rsidRPr="009F4374">
        <w:rPr>
          <w:rFonts w:ascii="Times New Roman" w:hAnsi="Times New Roman" w:cs="Times New Roman"/>
          <w:sz w:val="18"/>
          <w:szCs w:val="18"/>
        </w:rPr>
        <w:t>IV</w:t>
      </w:r>
      <w:r w:rsidR="0081673A" w:rsidRPr="009F4374">
        <w:rPr>
          <w:rFonts w:ascii="Times New Roman" w:hAnsi="Times New Roman" w:cs="Times New Roman"/>
          <w:sz w:val="18"/>
          <w:szCs w:val="18"/>
        </w:rPr>
        <w:t>)</w:t>
      </w:r>
    </w:p>
    <w:p w:rsidR="009D2364" w:rsidRPr="004056ED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056ED">
        <w:t>Z</w:t>
      </w:r>
      <w:r w:rsidR="009D2364" w:rsidRPr="004056ED">
        <w:t>arejestrowan</w:t>
      </w:r>
      <w:r w:rsidR="004F0AE9" w:rsidRPr="004056ED">
        <w:t>o</w:t>
      </w:r>
      <w:r w:rsidR="009D2364" w:rsidRPr="004056ED">
        <w:t xml:space="preserve"> po raz pierwszy 2</w:t>
      </w:r>
      <w:r w:rsidR="004056ED" w:rsidRPr="004056ED">
        <w:t>4</w:t>
      </w:r>
      <w:r w:rsidR="009D2364" w:rsidRPr="004056ED">
        <w:t> </w:t>
      </w:r>
      <w:r w:rsidR="004056ED" w:rsidRPr="004056ED">
        <w:t>377</w:t>
      </w:r>
      <w:r w:rsidR="009D2364" w:rsidRPr="004056ED">
        <w:t xml:space="preserve"> osób (16,</w:t>
      </w:r>
      <w:r w:rsidR="004056ED" w:rsidRPr="004056ED">
        <w:t>3</w:t>
      </w:r>
      <w:r w:rsidR="009D2364" w:rsidRPr="004056ED">
        <w:t>%</w:t>
      </w:r>
      <w:r w:rsidR="004F0AE9" w:rsidRPr="004056ED">
        <w:t xml:space="preserve"> ogółu bezrobotnych</w:t>
      </w:r>
      <w:r w:rsidR="009D2364" w:rsidRPr="004056ED">
        <w:t>)</w:t>
      </w:r>
      <w:r w:rsidRPr="004056ED">
        <w:t>.</w:t>
      </w:r>
    </w:p>
    <w:p w:rsidR="009D2364" w:rsidRPr="004056ED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056ED">
        <w:t>W</w:t>
      </w:r>
      <w:r w:rsidR="009D2364" w:rsidRPr="004056ED">
        <w:t>iększość zarejestrowanych</w:t>
      </w:r>
      <w:r w:rsidR="00AE5712" w:rsidRPr="004056ED">
        <w:t xml:space="preserve"> w </w:t>
      </w:r>
      <w:r w:rsidR="009D2364" w:rsidRPr="004056ED">
        <w:t>PUP stanowiły osoby powracające do ewidencji po raz kolejny – 1</w:t>
      </w:r>
      <w:r w:rsidR="004056ED" w:rsidRPr="004056ED">
        <w:t>25</w:t>
      </w:r>
      <w:r w:rsidR="009D2364" w:rsidRPr="004056ED">
        <w:t xml:space="preserve"> </w:t>
      </w:r>
      <w:r w:rsidR="004056ED" w:rsidRPr="004056ED">
        <w:t>028</w:t>
      </w:r>
      <w:r w:rsidR="009D2364" w:rsidRPr="004056ED">
        <w:t xml:space="preserve"> osób (83,</w:t>
      </w:r>
      <w:r w:rsidR="004056ED" w:rsidRPr="004056ED">
        <w:t>7</w:t>
      </w:r>
      <w:r w:rsidR="009D2364" w:rsidRPr="004056ED">
        <w:t>%)</w:t>
      </w:r>
      <w:r w:rsidRPr="004056ED">
        <w:t>.</w:t>
      </w:r>
    </w:p>
    <w:p w:rsidR="009D2364" w:rsidRPr="004056ED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056ED">
        <w:t>P</w:t>
      </w:r>
      <w:r w:rsidR="009D2364" w:rsidRPr="004056ED">
        <w:t xml:space="preserve">owtórne rejestracje dotyczyły głównie tych osób, które po okresie krótkotrwałego zatrudnienia (w tym także subsydiowanego ze środków Funduszu Pracy) powracały do ewidencji urzędów pracy, gdyż pracodawcy nie dysponowali miejscami </w:t>
      </w:r>
      <w:r w:rsidR="004056ED">
        <w:t xml:space="preserve">stałego </w:t>
      </w:r>
      <w:r w:rsidR="009D2364" w:rsidRPr="004056ED">
        <w:t>zatrudnienia</w:t>
      </w:r>
      <w:r w:rsidRPr="004056ED">
        <w:t>.</w:t>
      </w:r>
    </w:p>
    <w:p w:rsidR="009D2364" w:rsidRPr="004056ED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056ED">
        <w:t>B</w:t>
      </w:r>
      <w:r w:rsidR="009D2364" w:rsidRPr="004056ED">
        <w:t>ezrobotni włączani do ewidencji po okresie aktywizacji</w:t>
      </w:r>
      <w:r w:rsidR="00AE5712" w:rsidRPr="004056ED">
        <w:t xml:space="preserve"> w </w:t>
      </w:r>
      <w:r w:rsidR="009D2364" w:rsidRPr="004056ED">
        <w:t xml:space="preserve">ramach form subsydiowanych stanowili </w:t>
      </w:r>
      <w:r w:rsidR="004056ED" w:rsidRPr="004056ED">
        <w:t>18</w:t>
      </w:r>
      <w:r w:rsidR="009D2364" w:rsidRPr="004056ED">
        <w:t> </w:t>
      </w:r>
      <w:r w:rsidR="004056ED" w:rsidRPr="004056ED">
        <w:t>456</w:t>
      </w:r>
      <w:r w:rsidR="009D2364" w:rsidRPr="004056ED">
        <w:t xml:space="preserve"> osób (12,</w:t>
      </w:r>
      <w:r w:rsidR="004056ED" w:rsidRPr="004056ED">
        <w:t>4</w:t>
      </w:r>
      <w:r w:rsidR="009D2364" w:rsidRPr="004056ED">
        <w:t>%)</w:t>
      </w:r>
      <w:r w:rsidRPr="004056ED">
        <w:t>.</w:t>
      </w:r>
    </w:p>
    <w:p w:rsidR="000566C4" w:rsidRPr="00065741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65741">
        <w:lastRenderedPageBreak/>
        <w:t>N</w:t>
      </w:r>
      <w:r w:rsidR="000566C4" w:rsidRPr="00065741">
        <w:t xml:space="preserve">ajwięcej </w:t>
      </w:r>
      <w:r w:rsidRPr="00065741">
        <w:t xml:space="preserve">osób </w:t>
      </w:r>
      <w:r w:rsidR="000566C4" w:rsidRPr="00065741">
        <w:t xml:space="preserve">bezrobotnych zarejestrowało się w: powiecie </w:t>
      </w:r>
      <w:r w:rsidR="004056ED" w:rsidRPr="00065741">
        <w:t>jarosławskim</w:t>
      </w:r>
      <w:r w:rsidR="000566C4" w:rsidRPr="00065741">
        <w:t xml:space="preserve"> (9 </w:t>
      </w:r>
      <w:r w:rsidR="004056ED" w:rsidRPr="00065741">
        <w:t>626</w:t>
      </w:r>
      <w:r w:rsidR="000566C4" w:rsidRPr="00065741">
        <w:t xml:space="preserve">), powiecie mieleckim (9 </w:t>
      </w:r>
      <w:r w:rsidR="004056ED" w:rsidRPr="00065741">
        <w:t>218</w:t>
      </w:r>
      <w:r w:rsidR="000566C4" w:rsidRPr="00065741">
        <w:t>), Rzeszowie (</w:t>
      </w:r>
      <w:r w:rsidR="004056ED" w:rsidRPr="00065741">
        <w:t>8</w:t>
      </w:r>
      <w:r w:rsidR="000566C4" w:rsidRPr="00065741">
        <w:t xml:space="preserve"> </w:t>
      </w:r>
      <w:r w:rsidR="004056ED" w:rsidRPr="00065741">
        <w:t>770</w:t>
      </w:r>
      <w:r w:rsidR="000566C4" w:rsidRPr="00065741">
        <w:t xml:space="preserve">), powiecie </w:t>
      </w:r>
      <w:r w:rsidR="004056ED" w:rsidRPr="00065741">
        <w:t>rzeszowskim</w:t>
      </w:r>
      <w:r w:rsidR="000566C4" w:rsidRPr="00065741">
        <w:t xml:space="preserve"> (</w:t>
      </w:r>
      <w:r w:rsidR="004056ED" w:rsidRPr="00065741">
        <w:t>8</w:t>
      </w:r>
      <w:r w:rsidR="000566C4" w:rsidRPr="00065741">
        <w:t> 7</w:t>
      </w:r>
      <w:r w:rsidR="004056ED" w:rsidRPr="00065741">
        <w:t>23</w:t>
      </w:r>
      <w:r w:rsidR="000566C4" w:rsidRPr="00065741">
        <w:t xml:space="preserve">), powiecie </w:t>
      </w:r>
      <w:r w:rsidR="00065741" w:rsidRPr="00065741">
        <w:t>jasielskim</w:t>
      </w:r>
      <w:r w:rsidR="000566C4" w:rsidRPr="00065741">
        <w:t xml:space="preserve"> (</w:t>
      </w:r>
      <w:r w:rsidR="00065741" w:rsidRPr="00065741">
        <w:t>8</w:t>
      </w:r>
      <w:r w:rsidR="000566C4" w:rsidRPr="00065741">
        <w:t xml:space="preserve"> </w:t>
      </w:r>
      <w:r w:rsidR="00065741" w:rsidRPr="00065741">
        <w:t>634</w:t>
      </w:r>
      <w:r w:rsidR="000566C4" w:rsidRPr="00065741">
        <w:t>),</w:t>
      </w:r>
      <w:r w:rsidR="00726DAB" w:rsidRPr="00065741">
        <w:t xml:space="preserve"> powi</w:t>
      </w:r>
      <w:r w:rsidR="00442A65" w:rsidRPr="00065741">
        <w:t>e</w:t>
      </w:r>
      <w:r w:rsidR="00726DAB" w:rsidRPr="00065741">
        <w:t xml:space="preserve">cie </w:t>
      </w:r>
      <w:r w:rsidR="000566C4" w:rsidRPr="00065741">
        <w:t>dębickim (</w:t>
      </w:r>
      <w:r w:rsidR="00065741" w:rsidRPr="00065741">
        <w:t>7 733</w:t>
      </w:r>
      <w:r w:rsidR="00726DAB" w:rsidRPr="00065741">
        <w:t>)</w:t>
      </w:r>
      <w:r w:rsidR="00065741" w:rsidRPr="00065741">
        <w:t>.</w:t>
      </w:r>
    </w:p>
    <w:p w:rsidR="00726DAB" w:rsidRPr="00065741" w:rsidRDefault="0081673A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065741">
        <w:t>N</w:t>
      </w:r>
      <w:r w:rsidR="00726DAB" w:rsidRPr="00065741">
        <w:t xml:space="preserve">ajmniej </w:t>
      </w:r>
      <w:r w:rsidRPr="00065741">
        <w:t xml:space="preserve">osób </w:t>
      </w:r>
      <w:r w:rsidR="00726DAB" w:rsidRPr="00065741">
        <w:t xml:space="preserve">bezrobotnych zarejestrowało się w: </w:t>
      </w:r>
      <w:r w:rsidR="00065741" w:rsidRPr="00065741">
        <w:t>powiecie bieszczadzkim (1</w:t>
      </w:r>
      <w:r w:rsidR="00065741">
        <w:t> </w:t>
      </w:r>
      <w:r w:rsidR="00065741" w:rsidRPr="00065741">
        <w:t xml:space="preserve">969), </w:t>
      </w:r>
      <w:r w:rsidR="00726DAB" w:rsidRPr="00065741">
        <w:t>Krośnie</w:t>
      </w:r>
      <w:r w:rsidR="00065741" w:rsidRPr="00065741">
        <w:t xml:space="preserve"> </w:t>
      </w:r>
      <w:r w:rsidR="00726DAB" w:rsidRPr="00065741">
        <w:t xml:space="preserve">(2 </w:t>
      </w:r>
      <w:r w:rsidR="00065741" w:rsidRPr="00065741">
        <w:t>582</w:t>
      </w:r>
      <w:r w:rsidR="00726DAB" w:rsidRPr="00065741">
        <w:t xml:space="preserve">), powiecie leskim (2 </w:t>
      </w:r>
      <w:r w:rsidR="00065741" w:rsidRPr="00065741">
        <w:t>888</w:t>
      </w:r>
      <w:r w:rsidR="00726DAB" w:rsidRPr="00065741">
        <w:t>), Tarnobrzegu (3 3</w:t>
      </w:r>
      <w:r w:rsidR="00065741" w:rsidRPr="00065741">
        <w:t>25</w:t>
      </w:r>
      <w:r w:rsidR="00726DAB" w:rsidRPr="00065741">
        <w:t>), powiecie tarnobrzeskim (3 </w:t>
      </w:r>
      <w:r w:rsidR="00065741" w:rsidRPr="00065741">
        <w:t>523</w:t>
      </w:r>
      <w:r w:rsidR="00726DAB" w:rsidRPr="00065741">
        <w:t>)</w:t>
      </w:r>
      <w:r w:rsidRPr="00065741">
        <w:t>.</w:t>
      </w:r>
    </w:p>
    <w:p w:rsidR="00726DAB" w:rsidRPr="001C4344" w:rsidRDefault="00F3345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1C4344">
        <w:t>W grupie osób rejestrujących się po raz pierwszy nastąpił spadek</w:t>
      </w:r>
      <w:r w:rsidR="00AE5712" w:rsidRPr="001C4344">
        <w:t xml:space="preserve"> o </w:t>
      </w:r>
      <w:r w:rsidRPr="001C4344">
        <w:t>2 3</w:t>
      </w:r>
      <w:r w:rsidR="001C4344" w:rsidRPr="001C4344">
        <w:t>43</w:t>
      </w:r>
      <w:r w:rsidRPr="001C4344">
        <w:t xml:space="preserve"> osoby (</w:t>
      </w:r>
      <w:r w:rsidR="001C4344" w:rsidRPr="001C4344">
        <w:t>8</w:t>
      </w:r>
      <w:r w:rsidRPr="001C4344">
        <w:t>,</w:t>
      </w:r>
      <w:r w:rsidR="001C4344" w:rsidRPr="001C4344">
        <w:t>8</w:t>
      </w:r>
      <w:r w:rsidRPr="001C4344">
        <w:t>%</w:t>
      </w:r>
      <w:r w:rsidR="00AE5712" w:rsidRPr="001C4344">
        <w:t xml:space="preserve"> w </w:t>
      </w:r>
      <w:r w:rsidRPr="001C4344">
        <w:t>odniesieniu do roku 201</w:t>
      </w:r>
      <w:r w:rsidR="001C4344">
        <w:t>5</w:t>
      </w:r>
      <w:r w:rsidRPr="001C4344">
        <w:t>).</w:t>
      </w:r>
    </w:p>
    <w:p w:rsidR="00F33452" w:rsidRPr="001C4344" w:rsidRDefault="00F3345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1C4344">
        <w:t>Zauważalny spadek liczby osób powracających do rejestracji po poszczególnych formach aktywizacji związany jest ze spadkiem ogólnej liczby osób bezrobotnych.</w:t>
      </w:r>
    </w:p>
    <w:p w:rsidR="002B3633" w:rsidRPr="004B48C5" w:rsidRDefault="002B3633" w:rsidP="004B48C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726DAB" w:rsidRPr="002D4EF1" w:rsidRDefault="00726DAB" w:rsidP="002D4EF1">
      <w:pPr>
        <w:pStyle w:val="Default"/>
        <w:jc w:val="both"/>
        <w:outlineLvl w:val="2"/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2" w:name="_Toc477160357"/>
      <w:r w:rsidRPr="002D4EF1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„Odpływ bezrobotnych”</w:t>
      </w:r>
      <w:bookmarkEnd w:id="12"/>
    </w:p>
    <w:p w:rsidR="00726DAB" w:rsidRPr="004B48C5" w:rsidRDefault="00726DAB" w:rsidP="00CE70F1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7036E5" w:rsidRDefault="007036E5" w:rsidP="00CE70F1">
      <w:pPr>
        <w:pStyle w:val="Default"/>
        <w:spacing w:line="360" w:lineRule="auto"/>
        <w:ind w:firstLine="708"/>
        <w:jc w:val="both"/>
      </w:pPr>
      <w:r w:rsidRPr="00373E8B">
        <w:t>„Odpływ” osób</w:t>
      </w:r>
      <w:r w:rsidR="00AE5712" w:rsidRPr="00373E8B">
        <w:t xml:space="preserve"> z </w:t>
      </w:r>
      <w:r w:rsidRPr="00373E8B">
        <w:t xml:space="preserve">rejestrów </w:t>
      </w:r>
      <w:r w:rsidR="00CE70F1" w:rsidRPr="00373E8B">
        <w:t>powiatowych urzędów pracy</w:t>
      </w:r>
      <w:r w:rsidRPr="00373E8B">
        <w:t xml:space="preserve"> może wiązać się</w:t>
      </w:r>
      <w:r w:rsidR="00AE5712" w:rsidRPr="00373E8B">
        <w:t xml:space="preserve"> z </w:t>
      </w:r>
      <w:r w:rsidRPr="00373E8B">
        <w:t>całkowitym wyrejestrowaniem (z utratą statusu osoby bezrobotnej –</w:t>
      </w:r>
      <w:r w:rsidR="00AE5712" w:rsidRPr="00373E8B">
        <w:t xml:space="preserve"> z </w:t>
      </w:r>
      <w:r w:rsidRPr="00373E8B">
        <w:t xml:space="preserve">powodu podjęcia pracy lub innego powodu niż podjęcie </w:t>
      </w:r>
      <w:r w:rsidR="00373E8B" w:rsidRPr="00373E8B">
        <w:t>zatrudnienia</w:t>
      </w:r>
      <w:r w:rsidRPr="00373E8B">
        <w:t>)</w:t>
      </w:r>
      <w:r w:rsidR="00373E8B">
        <w:t xml:space="preserve">, </w:t>
      </w:r>
      <w:r w:rsidRPr="00CE022F">
        <w:t>bądź</w:t>
      </w:r>
      <w:r w:rsidR="00AE5712" w:rsidRPr="00CE022F">
        <w:t xml:space="preserve"> z </w:t>
      </w:r>
      <w:r w:rsidRPr="00CE022F">
        <w:t>wyłączeniem</w:t>
      </w:r>
      <w:r w:rsidR="00AE5712" w:rsidRPr="00CE022F">
        <w:t xml:space="preserve"> z </w:t>
      </w:r>
      <w:r w:rsidRPr="00CE022F">
        <w:t>rejestru (z</w:t>
      </w:r>
      <w:r w:rsidR="00373E8B" w:rsidRPr="00CE022F">
        <w:t> </w:t>
      </w:r>
      <w:r w:rsidRPr="00CE022F">
        <w:t>powodu udziału</w:t>
      </w:r>
      <w:r w:rsidR="00AE5712" w:rsidRPr="00CE022F">
        <w:t xml:space="preserve"> w </w:t>
      </w:r>
      <w:r w:rsidRPr="00CE022F">
        <w:t>formach aktywizacji zawodowej, które nie powodują utraty statusu osoby bezrobotnej).</w:t>
      </w:r>
      <w:r w:rsidR="00AD036F" w:rsidRPr="00CE022F">
        <w:t xml:space="preserve"> </w:t>
      </w:r>
      <w:r w:rsidR="00C31034" w:rsidRPr="00CE022F">
        <w:t>W</w:t>
      </w:r>
      <w:r w:rsidR="00AE5712" w:rsidRPr="00CE022F">
        <w:t> </w:t>
      </w:r>
      <w:r w:rsidRPr="00CE022F">
        <w:t>okresie 12 miesięcy 201</w:t>
      </w:r>
      <w:r w:rsidR="00CE022F" w:rsidRPr="00CE022F">
        <w:t>6</w:t>
      </w:r>
      <w:r w:rsidRPr="00CE022F">
        <w:t xml:space="preserve"> r</w:t>
      </w:r>
      <w:r w:rsidR="00CE022F">
        <w:t>.</w:t>
      </w:r>
      <w:r w:rsidR="00AE5712" w:rsidRPr="00CE022F">
        <w:t xml:space="preserve"> w </w:t>
      </w:r>
      <w:r w:rsidRPr="00CE022F">
        <w:t>województwie podkarpackim nastąpił „odpływ” 1</w:t>
      </w:r>
      <w:r w:rsidR="00CE022F" w:rsidRPr="00CE022F">
        <w:t>65</w:t>
      </w:r>
      <w:r w:rsidRPr="00CE022F">
        <w:t xml:space="preserve"> 3</w:t>
      </w:r>
      <w:r w:rsidR="00CE022F" w:rsidRPr="00CE022F">
        <w:t>52</w:t>
      </w:r>
      <w:r w:rsidRPr="00CE022F">
        <w:t xml:space="preserve"> bezrobotnych</w:t>
      </w:r>
      <w:r w:rsidR="008A2874" w:rsidRPr="00CE022F">
        <w:t>.</w:t>
      </w:r>
      <w:r w:rsidR="00AE5712" w:rsidRPr="00CE022F">
        <w:t xml:space="preserve"> </w:t>
      </w:r>
      <w:r w:rsidR="00C31034" w:rsidRPr="00CE022F">
        <w:t>W</w:t>
      </w:r>
      <w:r w:rsidR="00AE5712" w:rsidRPr="00CE022F">
        <w:t> </w:t>
      </w:r>
      <w:r w:rsidRPr="00CE022F">
        <w:t>roku 201</w:t>
      </w:r>
      <w:r w:rsidR="00CE022F" w:rsidRPr="00CE022F">
        <w:t>5</w:t>
      </w:r>
      <w:r w:rsidRPr="00CE022F">
        <w:t xml:space="preserve"> grupa ta stanowiła 17</w:t>
      </w:r>
      <w:r w:rsidR="00CE022F" w:rsidRPr="00CE022F">
        <w:t>2</w:t>
      </w:r>
      <w:r w:rsidRPr="00CE022F">
        <w:t xml:space="preserve"> </w:t>
      </w:r>
      <w:r w:rsidR="00CE022F" w:rsidRPr="00CE022F">
        <w:t>443</w:t>
      </w:r>
      <w:r w:rsidRPr="00CE022F">
        <w:t xml:space="preserve"> os</w:t>
      </w:r>
      <w:r w:rsidR="00CE022F" w:rsidRPr="00CE022F">
        <w:t>o</w:t>
      </w:r>
      <w:r w:rsidRPr="00CE022F">
        <w:t>b</w:t>
      </w:r>
      <w:r w:rsidR="00CE022F" w:rsidRPr="00CE022F">
        <w:t>y</w:t>
      </w:r>
      <w:r w:rsidRPr="00CE022F">
        <w:t>.</w:t>
      </w:r>
    </w:p>
    <w:p w:rsidR="004B48C5" w:rsidRPr="004B48C5" w:rsidRDefault="004B48C5" w:rsidP="004B48C5">
      <w:pPr>
        <w:pStyle w:val="Default"/>
        <w:jc w:val="both"/>
        <w:rPr>
          <w:sz w:val="16"/>
          <w:szCs w:val="16"/>
        </w:rPr>
      </w:pPr>
    </w:p>
    <w:p w:rsidR="008233CF" w:rsidRPr="00E613EA" w:rsidRDefault="004B48C5" w:rsidP="004B48C5">
      <w:pPr>
        <w:pStyle w:val="Bezodstpw"/>
        <w:jc w:val="center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4B48C5">
        <w:rPr>
          <w:noProof/>
          <w:lang w:eastAsia="pl-PL"/>
        </w:rPr>
        <w:drawing>
          <wp:inline distT="0" distB="0" distL="0" distR="0" wp14:anchorId="389511B6" wp14:editId="49D5544D">
            <wp:extent cx="5254387" cy="3814549"/>
            <wp:effectExtent l="0" t="0" r="3810" b="0"/>
            <wp:docPr id="683" name="Obraz 6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474" cy="3814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33CF" w:rsidRPr="00E613EA">
        <w:rPr>
          <w:highlight w:val="yellow"/>
        </w:rPr>
        <w:br w:type="page"/>
      </w:r>
    </w:p>
    <w:p w:rsidR="004B48C5" w:rsidRDefault="000C656E" w:rsidP="004B48C5">
      <w:pPr>
        <w:pStyle w:val="Bezodstpw"/>
      </w:pPr>
      <w:r w:rsidRPr="000C656E">
        <w:rPr>
          <w:noProof/>
          <w:lang w:eastAsia="pl-PL"/>
        </w:rPr>
        <w:lastRenderedPageBreak/>
        <w:drawing>
          <wp:inline distT="0" distB="0" distL="0" distR="0" wp14:anchorId="180FD801" wp14:editId="32DE6386">
            <wp:extent cx="5759450" cy="740722"/>
            <wp:effectExtent l="0" t="0" r="0" b="2540"/>
            <wp:docPr id="685" name="Obraz 6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0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656E">
        <w:rPr>
          <w:noProof/>
          <w:lang w:eastAsia="pl-PL"/>
        </w:rPr>
        <w:drawing>
          <wp:inline distT="0" distB="0" distL="0" distR="0" wp14:anchorId="189CD842" wp14:editId="542127E1">
            <wp:extent cx="5759450" cy="7820285"/>
            <wp:effectExtent l="0" t="0" r="0" b="9525"/>
            <wp:docPr id="684" name="Obraz 6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82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8C5" w:rsidRDefault="004B48C5" w:rsidP="004B48C5">
      <w:pPr>
        <w:pStyle w:val="Bezodstpw"/>
      </w:pPr>
    </w:p>
    <w:p w:rsidR="008233CF" w:rsidRPr="00E613EA" w:rsidRDefault="00CE022F" w:rsidP="00CE022F">
      <w:pPr>
        <w:pStyle w:val="Bezodstpw"/>
        <w:jc w:val="center"/>
        <w:rPr>
          <w:highlight w:val="yellow"/>
        </w:rPr>
      </w:pPr>
      <w:r w:rsidRPr="00CE022F">
        <w:rPr>
          <w:noProof/>
          <w:lang w:eastAsia="pl-PL"/>
        </w:rPr>
        <w:lastRenderedPageBreak/>
        <w:drawing>
          <wp:inline distT="0" distB="0" distL="0" distR="0" wp14:anchorId="1703BCA8" wp14:editId="05692B50">
            <wp:extent cx="4660711" cy="2944507"/>
            <wp:effectExtent l="0" t="0" r="6985" b="8255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672" cy="294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22F" w:rsidRDefault="00CE022F" w:rsidP="008233CF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CE022F" w:rsidRDefault="00CE022F" w:rsidP="008233CF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CE022F">
        <w:rPr>
          <w:noProof/>
          <w:lang w:eastAsia="pl-PL"/>
        </w:rPr>
        <w:drawing>
          <wp:inline distT="0" distB="0" distL="0" distR="0" wp14:anchorId="2EAF4AF8" wp14:editId="15DBDAB2">
            <wp:extent cx="5759450" cy="5262459"/>
            <wp:effectExtent l="0" t="0" r="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26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022F" w:rsidRDefault="00CE022F" w:rsidP="008233CF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0C656E" w:rsidRDefault="000C656E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br w:type="page"/>
      </w:r>
    </w:p>
    <w:p w:rsidR="00726DAB" w:rsidRPr="009F4374" w:rsidRDefault="008233CF" w:rsidP="00CE022F">
      <w:pPr>
        <w:pStyle w:val="Default"/>
        <w:pBdr>
          <w:bottom w:val="single" w:sz="4" w:space="1" w:color="auto"/>
        </w:pBdr>
        <w:jc w:val="both"/>
      </w:pPr>
      <w:r w:rsidRPr="009F4374">
        <w:lastRenderedPageBreak/>
        <w:t>Wnioski</w:t>
      </w:r>
      <w:r w:rsidR="00726DAB" w:rsidRPr="009F4374">
        <w:t>:</w:t>
      </w:r>
    </w:p>
    <w:p w:rsidR="008A2874" w:rsidRPr="000A7638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0A7638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0A7638">
        <w:rPr>
          <w:rFonts w:ascii="Times New Roman" w:hAnsi="Times New Roman" w:cs="Times New Roman"/>
          <w:sz w:val="18"/>
          <w:szCs w:val="18"/>
        </w:rPr>
        <w:t xml:space="preserve"> z </w:t>
      </w:r>
      <w:r w:rsidR="000A7638" w:rsidRPr="000A7638">
        <w:rPr>
          <w:rFonts w:ascii="Times New Roman" w:hAnsi="Times New Roman" w:cs="Times New Roman"/>
          <w:sz w:val="18"/>
          <w:szCs w:val="18"/>
        </w:rPr>
        <w:t>t</w:t>
      </w:r>
      <w:r w:rsidRPr="000A7638">
        <w:rPr>
          <w:rFonts w:ascii="Times New Roman" w:hAnsi="Times New Roman" w:cs="Times New Roman"/>
          <w:sz w:val="18"/>
          <w:szCs w:val="18"/>
        </w:rPr>
        <w:t xml:space="preserve">abel </w:t>
      </w:r>
      <w:r w:rsidR="000A7638" w:rsidRPr="000A7638">
        <w:rPr>
          <w:rFonts w:ascii="Times New Roman" w:hAnsi="Times New Roman" w:cs="Times New Roman"/>
          <w:sz w:val="18"/>
          <w:szCs w:val="18"/>
        </w:rPr>
        <w:t>V, VI, VII</w:t>
      </w:r>
      <w:r w:rsidR="008233CF" w:rsidRPr="000A7638">
        <w:rPr>
          <w:rFonts w:ascii="Times New Roman" w:hAnsi="Times New Roman" w:cs="Times New Roman"/>
          <w:sz w:val="18"/>
          <w:szCs w:val="18"/>
        </w:rPr>
        <w:t>)</w:t>
      </w:r>
    </w:p>
    <w:p w:rsidR="00CE022F" w:rsidRPr="00CE022F" w:rsidRDefault="00CE022F" w:rsidP="00CE022F">
      <w:pPr>
        <w:pStyle w:val="Default"/>
        <w:spacing w:line="360" w:lineRule="auto"/>
        <w:jc w:val="both"/>
        <w:rPr>
          <w:sz w:val="16"/>
          <w:szCs w:val="16"/>
          <w:highlight w:val="yellow"/>
          <w:u w:val="single"/>
        </w:rPr>
      </w:pPr>
    </w:p>
    <w:p w:rsidR="00E14AA5" w:rsidRPr="00B9690D" w:rsidRDefault="00E14AA5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B9690D">
        <w:rPr>
          <w:u w:val="single"/>
        </w:rPr>
        <w:t>85 </w:t>
      </w:r>
      <w:r w:rsidR="00B9690D" w:rsidRPr="00B9690D">
        <w:rPr>
          <w:u w:val="single"/>
        </w:rPr>
        <w:t>617</w:t>
      </w:r>
      <w:r w:rsidRPr="00B9690D">
        <w:rPr>
          <w:u w:val="single"/>
        </w:rPr>
        <w:t xml:space="preserve"> (</w:t>
      </w:r>
      <w:r w:rsidR="00B9690D" w:rsidRPr="00B9690D">
        <w:rPr>
          <w:u w:val="single"/>
        </w:rPr>
        <w:t>51</w:t>
      </w:r>
      <w:r w:rsidRPr="00B9690D">
        <w:rPr>
          <w:u w:val="single"/>
        </w:rPr>
        <w:t>,</w:t>
      </w:r>
      <w:r w:rsidR="00B9690D" w:rsidRPr="00B9690D">
        <w:rPr>
          <w:u w:val="single"/>
        </w:rPr>
        <w:t>8</w:t>
      </w:r>
      <w:r w:rsidRPr="00B9690D">
        <w:rPr>
          <w:u w:val="single"/>
        </w:rPr>
        <w:t>%) osób wyrejestrowało się</w:t>
      </w:r>
      <w:r w:rsidR="00AE5712" w:rsidRPr="00B9690D">
        <w:rPr>
          <w:u w:val="single"/>
        </w:rPr>
        <w:t xml:space="preserve"> z </w:t>
      </w:r>
      <w:r w:rsidRPr="00B9690D">
        <w:rPr>
          <w:u w:val="single"/>
        </w:rPr>
        <w:t>powodu podjęcia pracy</w:t>
      </w:r>
      <w:r w:rsidR="001F1808">
        <w:rPr>
          <w:u w:val="single"/>
        </w:rPr>
        <w:t>, a w tym 66 233 osoby podjęło pracę niesubsydiowaną),</w:t>
      </w:r>
    </w:p>
    <w:p w:rsidR="00EC00EE" w:rsidRPr="00B9690D" w:rsidRDefault="001F1808" w:rsidP="00160DBC">
      <w:pPr>
        <w:pStyle w:val="Default"/>
        <w:numPr>
          <w:ilvl w:val="0"/>
          <w:numId w:val="1"/>
        </w:numPr>
        <w:spacing w:line="360" w:lineRule="auto"/>
        <w:jc w:val="both"/>
      </w:pPr>
      <w:r>
        <w:t>w</w:t>
      </w:r>
      <w:r w:rsidR="00EC00EE" w:rsidRPr="00B9690D">
        <w:t xml:space="preserve"> grupie osób, które </w:t>
      </w:r>
      <w:r w:rsidR="001A2394" w:rsidRPr="00B9690D">
        <w:t>wyrejestrowały się</w:t>
      </w:r>
      <w:r w:rsidR="00AE5712" w:rsidRPr="00B9690D">
        <w:t xml:space="preserve"> z </w:t>
      </w:r>
      <w:r w:rsidR="001A2394" w:rsidRPr="00B9690D">
        <w:t xml:space="preserve">powodu podjęcia pracy </w:t>
      </w:r>
      <w:r w:rsidR="00605366">
        <w:t>przeważali mężczyźni.</w:t>
      </w:r>
      <w:r w:rsidR="005E606A" w:rsidRPr="00B9690D">
        <w:t xml:space="preserve"> </w:t>
      </w:r>
      <w:r w:rsidR="00605366">
        <w:t xml:space="preserve">Kobiety </w:t>
      </w:r>
      <w:r w:rsidR="005E606A" w:rsidRPr="00B9690D">
        <w:t xml:space="preserve">stanowiły większość </w:t>
      </w:r>
      <w:r w:rsidR="00EC00EE" w:rsidRPr="00B9690D">
        <w:t>w</w:t>
      </w:r>
      <w:r>
        <w:t>śród</w:t>
      </w:r>
      <w:r w:rsidR="00EC00EE" w:rsidRPr="00B9690D">
        <w:t xml:space="preserve"> bezrobotnych ogółem</w:t>
      </w:r>
      <w:r w:rsidR="00605366">
        <w:t xml:space="preserve"> (52,4%) i </w:t>
      </w:r>
      <w:r w:rsidR="00EC00EE" w:rsidRPr="00B9690D">
        <w:t>statystycznie rzadziej podejmowały zatrudnienie.</w:t>
      </w:r>
    </w:p>
    <w:p w:rsidR="00AC0B8B" w:rsidRPr="008902A1" w:rsidRDefault="00AC0B8B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8902A1">
        <w:t>W grupie osób, które wyrejestrowały się</w:t>
      </w:r>
      <w:r w:rsidR="00AE5712" w:rsidRPr="008902A1">
        <w:t xml:space="preserve"> z </w:t>
      </w:r>
      <w:r w:rsidRPr="008902A1">
        <w:t>powodu podjęcia pracy</w:t>
      </w:r>
      <w:r w:rsidR="008B7684">
        <w:t xml:space="preserve"> – </w:t>
      </w:r>
      <w:r w:rsidRPr="008902A1">
        <w:t xml:space="preserve">większość stanowiły osoby </w:t>
      </w:r>
      <w:r w:rsidR="00BD2900" w:rsidRPr="008902A1">
        <w:t xml:space="preserve">już </w:t>
      </w:r>
      <w:r w:rsidRPr="008902A1">
        <w:t>poprzednio pracujące</w:t>
      </w:r>
      <w:r w:rsidR="00BD2900" w:rsidRPr="008902A1">
        <w:t>.</w:t>
      </w:r>
      <w:r w:rsidR="00B6403E">
        <w:t xml:space="preserve"> </w:t>
      </w:r>
      <w:r w:rsidR="00BD2900" w:rsidRPr="008902A1">
        <w:t>Wśród d</w:t>
      </w:r>
      <w:r w:rsidRPr="008902A1">
        <w:t xml:space="preserve">otychczas niepracujących nastąpił spadek </w:t>
      </w:r>
      <w:r w:rsidR="00BD2900" w:rsidRPr="008902A1">
        <w:t xml:space="preserve">podejmujących </w:t>
      </w:r>
      <w:r w:rsidRPr="008902A1">
        <w:t>zatrudnienie</w:t>
      </w:r>
      <w:r w:rsidR="00BD2900" w:rsidRPr="008902A1">
        <w:t xml:space="preserve"> (w stos. do stanu na 31. XII. ’15 r.)</w:t>
      </w:r>
      <w:r w:rsidR="00AF0320">
        <w:t>.</w:t>
      </w:r>
      <w:r w:rsidR="008B7684">
        <w:t xml:space="preserve"> </w:t>
      </w:r>
      <w:r w:rsidR="00555152">
        <w:t>Procentowy w</w:t>
      </w:r>
      <w:r w:rsidR="008B7684">
        <w:t xml:space="preserve">zrost podejmujących pracę i jednocześnie </w:t>
      </w:r>
      <w:r w:rsidR="00555152">
        <w:t xml:space="preserve">przed zarejestrowaniem się w pośredniaku będących </w:t>
      </w:r>
      <w:r w:rsidR="00AF0320">
        <w:t>uprzednio osobami</w:t>
      </w:r>
      <w:r w:rsidR="00555152">
        <w:t xml:space="preserve"> pracującymi </w:t>
      </w:r>
      <w:r w:rsidR="00AF0320">
        <w:t xml:space="preserve">tj. zatrudnionymi </w:t>
      </w:r>
      <w:r w:rsidR="00555152">
        <w:t xml:space="preserve">– </w:t>
      </w:r>
      <w:r w:rsidR="008B7684">
        <w:t xml:space="preserve">jest </w:t>
      </w:r>
      <w:r w:rsidR="00D0507E">
        <w:t xml:space="preserve">bardziej </w:t>
      </w:r>
      <w:r w:rsidR="00B6403E">
        <w:t>widoczny</w:t>
      </w:r>
      <w:r w:rsidR="00555152">
        <w:t xml:space="preserve"> podczas </w:t>
      </w:r>
      <w:r w:rsidRPr="008902A1">
        <w:t>spadk</w:t>
      </w:r>
      <w:r w:rsidR="00555152">
        <w:t>u</w:t>
      </w:r>
      <w:r w:rsidRPr="008902A1">
        <w:t xml:space="preserve"> </w:t>
      </w:r>
      <w:r w:rsidR="00AF0320">
        <w:t xml:space="preserve">ogólnego </w:t>
      </w:r>
      <w:r w:rsidR="00555152">
        <w:t xml:space="preserve">poziomu bezrobocia, ponieważ jest obliczany </w:t>
      </w:r>
      <w:r w:rsidR="007F6629">
        <w:t xml:space="preserve">właśnie </w:t>
      </w:r>
      <w:r w:rsidR="00555152">
        <w:t xml:space="preserve">do </w:t>
      </w:r>
      <w:r w:rsidR="00AF0320">
        <w:t>liczby bezrobotnych ogółem</w:t>
      </w:r>
      <w:r w:rsidRPr="008902A1">
        <w:t>.</w:t>
      </w:r>
    </w:p>
    <w:p w:rsidR="00AC0B8B" w:rsidRPr="002D1381" w:rsidRDefault="002D1381" w:rsidP="00A91771">
      <w:pPr>
        <w:pStyle w:val="Default"/>
        <w:numPr>
          <w:ilvl w:val="0"/>
          <w:numId w:val="1"/>
        </w:numPr>
        <w:spacing w:line="360" w:lineRule="auto"/>
        <w:jc w:val="both"/>
      </w:pPr>
      <w:r>
        <w:t>Warto odnotować, że s</w:t>
      </w:r>
      <w:r w:rsidR="00AC0B8B" w:rsidRPr="002D1381">
        <w:t xml:space="preserve">padła liczba osób, które podjęły </w:t>
      </w:r>
      <w:r w:rsidR="007F6CDD">
        <w:t>pracę</w:t>
      </w:r>
      <w:r w:rsidR="00AC0B8B" w:rsidRPr="002D1381">
        <w:t xml:space="preserve"> po uprzedniej utracie </w:t>
      </w:r>
      <w:r w:rsidR="00A91771">
        <w:t xml:space="preserve">zatrudnienia </w:t>
      </w:r>
      <w:r w:rsidR="00AE5712" w:rsidRPr="002D1381">
        <w:t>z </w:t>
      </w:r>
      <w:r w:rsidR="00AC0B8B" w:rsidRPr="002D1381">
        <w:t>przyczyn zakładu pracy</w:t>
      </w:r>
      <w:r>
        <w:t>.</w:t>
      </w:r>
      <w:r w:rsidR="00AC0B8B" w:rsidRPr="002D1381">
        <w:t xml:space="preserve"> </w:t>
      </w:r>
      <w:r>
        <w:t>J</w:t>
      </w:r>
      <w:r w:rsidR="0077672C" w:rsidRPr="002D1381">
        <w:t xml:space="preserve">ednocześnie </w:t>
      </w:r>
      <w:r w:rsidR="00AC0B8B" w:rsidRPr="002D1381">
        <w:t>spadła ogółem liczba osób</w:t>
      </w:r>
      <w:r w:rsidR="00AE5712" w:rsidRPr="002D1381">
        <w:t xml:space="preserve"> w </w:t>
      </w:r>
      <w:r w:rsidR="0077672C" w:rsidRPr="002D1381">
        <w:t xml:space="preserve">tej kategorii </w:t>
      </w:r>
      <w:r w:rsidR="00AC0B8B" w:rsidRPr="002D1381">
        <w:t>(na dzień 31</w:t>
      </w:r>
      <w:r w:rsidRPr="002D1381">
        <w:t xml:space="preserve"> XII ‘</w:t>
      </w:r>
      <w:r w:rsidR="00AC0B8B" w:rsidRPr="002D1381">
        <w:t>1</w:t>
      </w:r>
      <w:r w:rsidRPr="002D1381">
        <w:t>5</w:t>
      </w:r>
      <w:r w:rsidR="00AC0B8B" w:rsidRPr="002D1381">
        <w:t xml:space="preserve"> było zarejestrowanych 5 3</w:t>
      </w:r>
      <w:r w:rsidRPr="002D1381">
        <w:t>27</w:t>
      </w:r>
      <w:r w:rsidR="00AC0B8B" w:rsidRPr="002D1381">
        <w:t xml:space="preserve"> </w:t>
      </w:r>
      <w:r>
        <w:t>bezrobotnych zwolnionych z</w:t>
      </w:r>
      <w:r w:rsidR="007F6CDD">
        <w:t> </w:t>
      </w:r>
      <w:r>
        <w:t>przyczyn zakładu pracy</w:t>
      </w:r>
      <w:r w:rsidR="00AC0B8B" w:rsidRPr="002D1381">
        <w:t>, natomiast 31</w:t>
      </w:r>
      <w:r w:rsidRPr="002D1381">
        <w:t xml:space="preserve"> XII ‘</w:t>
      </w:r>
      <w:r w:rsidR="00AC0B8B" w:rsidRPr="002D1381">
        <w:t>1</w:t>
      </w:r>
      <w:r w:rsidRPr="002D1381">
        <w:t>6</w:t>
      </w:r>
      <w:r w:rsidR="00AC0B8B" w:rsidRPr="002D1381">
        <w:t xml:space="preserve"> – </w:t>
      </w:r>
      <w:r w:rsidRPr="002D1381">
        <w:t>4</w:t>
      </w:r>
      <w:r w:rsidR="00AC0B8B" w:rsidRPr="002D1381">
        <w:t> 2</w:t>
      </w:r>
      <w:r w:rsidRPr="002D1381">
        <w:t>7</w:t>
      </w:r>
      <w:r w:rsidR="00AC0B8B" w:rsidRPr="002D1381">
        <w:t>7)</w:t>
      </w:r>
      <w:r w:rsidR="00A91771">
        <w:t>.</w:t>
      </w:r>
      <w:r w:rsidR="00AC0B8B" w:rsidRPr="002D1381">
        <w:t xml:space="preserve"> </w:t>
      </w:r>
      <w:r w:rsidR="00A91771">
        <w:t>O</w:t>
      </w:r>
      <w:r w:rsidR="0077672C" w:rsidRPr="002D1381">
        <w:t>znacza</w:t>
      </w:r>
      <w:r w:rsidR="00A91771">
        <w:t xml:space="preserve"> to</w:t>
      </w:r>
      <w:r w:rsidR="00AC0B8B" w:rsidRPr="002D1381">
        <w:t>, że</w:t>
      </w:r>
      <w:r w:rsidR="00AE5712" w:rsidRPr="002D1381">
        <w:t xml:space="preserve"> w </w:t>
      </w:r>
      <w:r w:rsidR="00AC0B8B" w:rsidRPr="002D1381">
        <w:t>201</w:t>
      </w:r>
      <w:r w:rsidRPr="002D1381">
        <w:t>6</w:t>
      </w:r>
      <w:r>
        <w:t xml:space="preserve"> r.</w:t>
      </w:r>
      <w:r w:rsidR="00AC0B8B" w:rsidRPr="002D1381">
        <w:t xml:space="preserve"> </w:t>
      </w:r>
      <w:r w:rsidR="00A91771">
        <w:t xml:space="preserve">wśród bezrobotnych podejmujących pracę mniej było osób zwolnionych </w:t>
      </w:r>
      <w:r>
        <w:t>z</w:t>
      </w:r>
      <w:r w:rsidR="00A91771">
        <w:t> </w:t>
      </w:r>
      <w:r>
        <w:t>przyczyn dotyczących pracodawcy</w:t>
      </w:r>
      <w:r w:rsidR="00A91771">
        <w:t xml:space="preserve">, a więcej poprzednio pracujących – niezwolnionych z </w:t>
      </w:r>
      <w:r w:rsidR="007F6CDD">
        <w:t xml:space="preserve">tej </w:t>
      </w:r>
      <w:r w:rsidR="00A91771">
        <w:t>przyczyn</w:t>
      </w:r>
      <w:r w:rsidR="007F6CDD">
        <w:t>y</w:t>
      </w:r>
      <w:r w:rsidR="00AC0B8B" w:rsidRPr="002D1381">
        <w:t>.</w:t>
      </w:r>
    </w:p>
    <w:p w:rsidR="00E14AA5" w:rsidRPr="00B224AD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B224AD">
        <w:t>Z</w:t>
      </w:r>
      <w:r w:rsidR="00E14AA5" w:rsidRPr="00B224AD">
        <w:t xml:space="preserve"> ogólnej liczby podjęć pracy</w:t>
      </w:r>
      <w:r w:rsidR="00C31034" w:rsidRPr="00B224AD">
        <w:t xml:space="preserve"> –</w:t>
      </w:r>
      <w:r w:rsidR="00E14AA5" w:rsidRPr="00B224AD">
        <w:t xml:space="preserve"> </w:t>
      </w:r>
      <w:r w:rsidR="00B224AD" w:rsidRPr="00B224AD">
        <w:t>mniejszość tj. 11,7% (</w:t>
      </w:r>
      <w:r w:rsidR="00E14AA5" w:rsidRPr="00B224AD">
        <w:t>1</w:t>
      </w:r>
      <w:r w:rsidR="00B224AD" w:rsidRPr="00B224AD">
        <w:t>9 384 bezrobotnych)</w:t>
      </w:r>
      <w:r w:rsidR="00AB63E5" w:rsidRPr="00B224AD">
        <w:t xml:space="preserve"> </w:t>
      </w:r>
      <w:r w:rsidR="00E14AA5" w:rsidRPr="00B224AD">
        <w:t>stanowiło zatrudnienie</w:t>
      </w:r>
      <w:r w:rsidR="00AE5712" w:rsidRPr="00B224AD">
        <w:t xml:space="preserve"> w </w:t>
      </w:r>
      <w:r w:rsidR="00E14AA5" w:rsidRPr="00B224AD">
        <w:t>ramach miejsc pracy subsydiowanej</w:t>
      </w:r>
      <w:r w:rsidR="00B224AD" w:rsidRPr="00B224AD">
        <w:t xml:space="preserve"> – </w:t>
      </w:r>
      <w:r w:rsidR="00E14AA5" w:rsidRPr="00B224AD">
        <w:t>ze środków publicznych</w:t>
      </w:r>
      <w:r w:rsidR="001F1808">
        <w:t xml:space="preserve">. </w:t>
      </w:r>
    </w:p>
    <w:p w:rsidR="00AB63E5" w:rsidRDefault="007D7E92" w:rsidP="00B224AD">
      <w:pPr>
        <w:pStyle w:val="Default"/>
        <w:numPr>
          <w:ilvl w:val="0"/>
          <w:numId w:val="1"/>
        </w:numPr>
        <w:spacing w:line="360" w:lineRule="auto"/>
        <w:jc w:val="both"/>
      </w:pPr>
      <w:r w:rsidRPr="00B224AD">
        <w:t>N</w:t>
      </w:r>
      <w:r w:rsidR="00AB63E5" w:rsidRPr="00B224AD">
        <w:t xml:space="preserve">ajwyższą liczbę </w:t>
      </w:r>
      <w:r w:rsidR="00796F6E" w:rsidRPr="00B224AD">
        <w:t>s</w:t>
      </w:r>
      <w:r w:rsidR="00AB63E5" w:rsidRPr="00B224AD">
        <w:t xml:space="preserve">pośród zatrudnienia subsydiowanego stanowiły: </w:t>
      </w:r>
      <w:r w:rsidR="00B224AD" w:rsidRPr="00B224AD">
        <w:t xml:space="preserve">podjęcia pracy </w:t>
      </w:r>
      <w:r w:rsidR="00B224AD">
        <w:t xml:space="preserve">osób bezrobotnych firmach </w:t>
      </w:r>
      <w:r w:rsidR="00B224AD" w:rsidRPr="00B224AD">
        <w:t xml:space="preserve">w ramach refundacji kosztów zatrudnienia bezrobotnego (3 892), </w:t>
      </w:r>
      <w:r w:rsidR="00AB63E5" w:rsidRPr="00B224AD">
        <w:t>prace interwencyjne (</w:t>
      </w:r>
      <w:r w:rsidR="00B224AD" w:rsidRPr="00B224AD">
        <w:t>3</w:t>
      </w:r>
      <w:r w:rsidR="00D443BB" w:rsidRPr="00B224AD">
        <w:t> </w:t>
      </w:r>
      <w:r w:rsidR="00AB63E5" w:rsidRPr="00B224AD">
        <w:t>8</w:t>
      </w:r>
      <w:r w:rsidR="00B224AD" w:rsidRPr="00B224AD">
        <w:t>79</w:t>
      </w:r>
      <w:r w:rsidR="00AB63E5" w:rsidRPr="00B224AD">
        <w:t xml:space="preserve">), </w:t>
      </w:r>
      <w:r w:rsidR="00B224AD" w:rsidRPr="00B224AD">
        <w:t>otrzymania dotacji na uruchomienie działalności gospodarczej</w:t>
      </w:r>
      <w:r w:rsidR="00AB63E5" w:rsidRPr="00B224AD">
        <w:t xml:space="preserve"> (</w:t>
      </w:r>
      <w:r w:rsidR="00B224AD" w:rsidRPr="00B224AD">
        <w:t>2</w:t>
      </w:r>
      <w:r w:rsidR="00AB63E5" w:rsidRPr="00B224AD">
        <w:t xml:space="preserve"> </w:t>
      </w:r>
      <w:r w:rsidR="00B224AD" w:rsidRPr="00B224AD">
        <w:t>992</w:t>
      </w:r>
      <w:r w:rsidR="00AB63E5" w:rsidRPr="00B224AD">
        <w:t>)</w:t>
      </w:r>
      <w:r w:rsidR="00B224AD">
        <w:t xml:space="preserve"> </w:t>
      </w:r>
      <w:r w:rsidR="00B224AD" w:rsidRPr="00B224AD">
        <w:t>i</w:t>
      </w:r>
      <w:r w:rsidR="00B224AD">
        <w:t xml:space="preserve"> </w:t>
      </w:r>
      <w:r w:rsidR="00B224AD" w:rsidRPr="00B224AD">
        <w:t xml:space="preserve">realizacji </w:t>
      </w:r>
      <w:r w:rsidR="00B224AD">
        <w:t>r</w:t>
      </w:r>
      <w:r w:rsidR="00AB63E5" w:rsidRPr="00B224AD">
        <w:t>ob</w:t>
      </w:r>
      <w:r w:rsidR="00B224AD" w:rsidRPr="00B224AD">
        <w:t>ó</w:t>
      </w:r>
      <w:r w:rsidR="00AB63E5" w:rsidRPr="00B224AD">
        <w:t>t publiczn</w:t>
      </w:r>
      <w:r w:rsidR="00B224AD" w:rsidRPr="00B224AD">
        <w:t xml:space="preserve">ych </w:t>
      </w:r>
      <w:r w:rsidR="00AB63E5" w:rsidRPr="00B224AD">
        <w:t>(2 </w:t>
      </w:r>
      <w:r w:rsidR="00B224AD" w:rsidRPr="00B224AD">
        <w:t>670</w:t>
      </w:r>
      <w:r w:rsidR="00AB63E5" w:rsidRPr="00B224AD">
        <w:t>)</w:t>
      </w:r>
      <w:r w:rsidRPr="00B224AD">
        <w:t>.</w:t>
      </w:r>
    </w:p>
    <w:p w:rsidR="001F1808" w:rsidRDefault="001F1808" w:rsidP="00B224AD">
      <w:pPr>
        <w:pStyle w:val="Default"/>
        <w:numPr>
          <w:ilvl w:val="0"/>
          <w:numId w:val="1"/>
        </w:numPr>
        <w:spacing w:line="360" w:lineRule="auto"/>
        <w:jc w:val="both"/>
      </w:pPr>
      <w:r>
        <w:t>4 636 bezrobotnych (2,8%</w:t>
      </w:r>
      <w:r w:rsidR="00963A5C">
        <w:t xml:space="preserve"> ogółu bezrobotnych</w:t>
      </w:r>
      <w:r>
        <w:t xml:space="preserve">) wyrejestrowanych zostało z innych </w:t>
      </w:r>
      <w:r w:rsidR="00963A5C">
        <w:t xml:space="preserve">niż powyżej wymienione </w:t>
      </w:r>
      <w:r>
        <w:t xml:space="preserve">podjęć pracy subsydiowanej. </w:t>
      </w:r>
    </w:p>
    <w:p w:rsidR="00AB63E5" w:rsidRPr="001F1808" w:rsidRDefault="001F180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>
        <w:rPr>
          <w:u w:val="single"/>
        </w:rPr>
        <w:t xml:space="preserve">aż </w:t>
      </w:r>
      <w:r w:rsidRPr="001F1808">
        <w:rPr>
          <w:u w:val="single"/>
        </w:rPr>
        <w:t>59</w:t>
      </w:r>
      <w:r w:rsidR="00D443BB" w:rsidRPr="001F1808">
        <w:rPr>
          <w:u w:val="single"/>
        </w:rPr>
        <w:t> </w:t>
      </w:r>
      <w:r w:rsidRPr="001F1808">
        <w:rPr>
          <w:u w:val="single"/>
        </w:rPr>
        <w:t>120</w:t>
      </w:r>
      <w:r w:rsidR="00D443BB" w:rsidRPr="001F1808">
        <w:rPr>
          <w:u w:val="single"/>
        </w:rPr>
        <w:t xml:space="preserve"> </w:t>
      </w:r>
      <w:r w:rsidR="00963A5C">
        <w:rPr>
          <w:u w:val="single"/>
        </w:rPr>
        <w:t xml:space="preserve">osób </w:t>
      </w:r>
      <w:r w:rsidR="00D443BB" w:rsidRPr="001F1808">
        <w:rPr>
          <w:u w:val="single"/>
        </w:rPr>
        <w:t>(</w:t>
      </w:r>
      <w:r w:rsidR="007D7E92" w:rsidRPr="001F1808">
        <w:rPr>
          <w:u w:val="single"/>
        </w:rPr>
        <w:t>3</w:t>
      </w:r>
      <w:r w:rsidRPr="001F1808">
        <w:rPr>
          <w:u w:val="single"/>
        </w:rPr>
        <w:t>5</w:t>
      </w:r>
      <w:r w:rsidR="007D7E92" w:rsidRPr="001F1808">
        <w:rPr>
          <w:u w:val="single"/>
        </w:rPr>
        <w:t>,</w:t>
      </w:r>
      <w:r w:rsidRPr="001F1808">
        <w:rPr>
          <w:u w:val="single"/>
        </w:rPr>
        <w:t>8</w:t>
      </w:r>
      <w:r w:rsidR="00D443BB" w:rsidRPr="001F1808">
        <w:rPr>
          <w:u w:val="single"/>
        </w:rPr>
        <w:t>%</w:t>
      </w:r>
      <w:r>
        <w:rPr>
          <w:u w:val="single"/>
        </w:rPr>
        <w:t xml:space="preserve"> ogółu bezrobotnych</w:t>
      </w:r>
      <w:r w:rsidR="00D443BB" w:rsidRPr="001F1808">
        <w:rPr>
          <w:u w:val="single"/>
        </w:rPr>
        <w:t>) wyrejestrowało się</w:t>
      </w:r>
      <w:r w:rsidR="00AE5712" w:rsidRPr="001F1808">
        <w:rPr>
          <w:u w:val="single"/>
        </w:rPr>
        <w:t xml:space="preserve"> z </w:t>
      </w:r>
      <w:r w:rsidR="00D443BB" w:rsidRPr="001F1808">
        <w:rPr>
          <w:u w:val="single"/>
        </w:rPr>
        <w:t xml:space="preserve">innego powodu </w:t>
      </w:r>
      <w:r>
        <w:rPr>
          <w:u w:val="single"/>
        </w:rPr>
        <w:t>jak</w:t>
      </w:r>
      <w:r w:rsidR="00D443BB" w:rsidRPr="001F1808">
        <w:rPr>
          <w:u w:val="single"/>
        </w:rPr>
        <w:t xml:space="preserve"> podjęcie pracy</w:t>
      </w:r>
      <w:r w:rsidR="007D7E92" w:rsidRPr="001F1808">
        <w:rPr>
          <w:u w:val="single"/>
        </w:rPr>
        <w:t>.</w:t>
      </w:r>
    </w:p>
    <w:p w:rsidR="00D443BB" w:rsidRPr="00F72A23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F72A23">
        <w:t>W</w:t>
      </w:r>
      <w:r w:rsidR="00D443BB" w:rsidRPr="00F72A23">
        <w:t>śród innych powodów wyrejestrowań najczęstszym był</w:t>
      </w:r>
      <w:r w:rsidR="002E2123" w:rsidRPr="00F72A23">
        <w:t>y:</w:t>
      </w:r>
      <w:r w:rsidR="00D443BB" w:rsidRPr="00F72A23">
        <w:t xml:space="preserve"> niepotwierdzenie przez bezrobotnych gotowości do podjęcia pracy</w:t>
      </w:r>
      <w:r w:rsidR="002E2123" w:rsidRPr="00F72A23">
        <w:t xml:space="preserve"> (</w:t>
      </w:r>
      <w:r w:rsidR="00D443BB" w:rsidRPr="00F72A23">
        <w:t>3</w:t>
      </w:r>
      <w:r w:rsidR="00F72A23" w:rsidRPr="00F72A23">
        <w:t xml:space="preserve">2 937 </w:t>
      </w:r>
      <w:r w:rsidR="00D443BB" w:rsidRPr="00F72A23">
        <w:t>osób)</w:t>
      </w:r>
      <w:r w:rsidR="002E2123" w:rsidRPr="00F72A23">
        <w:t xml:space="preserve">, dobrowolna rezygnacja </w:t>
      </w:r>
      <w:r w:rsidRPr="00F72A23">
        <w:t>ze statusu bezrobotnego (</w:t>
      </w:r>
      <w:r w:rsidR="00F72A23" w:rsidRPr="00F72A23">
        <w:t>11</w:t>
      </w:r>
      <w:r w:rsidRPr="00F72A23">
        <w:t> </w:t>
      </w:r>
      <w:r w:rsidR="00F72A23" w:rsidRPr="00F72A23">
        <w:t>104</w:t>
      </w:r>
      <w:r w:rsidRPr="00F72A23">
        <w:t>).</w:t>
      </w:r>
    </w:p>
    <w:p w:rsidR="00D443BB" w:rsidRPr="006A3B2F" w:rsidRDefault="00221BB6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6A3B2F">
        <w:rPr>
          <w:u w:val="single"/>
        </w:rPr>
        <w:lastRenderedPageBreak/>
        <w:t>2</w:t>
      </w:r>
      <w:r w:rsidR="006A3B2F" w:rsidRPr="006A3B2F">
        <w:rPr>
          <w:u w:val="single"/>
        </w:rPr>
        <w:t>1</w:t>
      </w:r>
      <w:r w:rsidRPr="006A3B2F">
        <w:rPr>
          <w:u w:val="single"/>
        </w:rPr>
        <w:t> 2</w:t>
      </w:r>
      <w:r w:rsidR="006A3B2F" w:rsidRPr="006A3B2F">
        <w:rPr>
          <w:u w:val="single"/>
        </w:rPr>
        <w:t>87</w:t>
      </w:r>
      <w:r w:rsidRPr="006A3B2F">
        <w:rPr>
          <w:u w:val="single"/>
        </w:rPr>
        <w:t xml:space="preserve"> (</w:t>
      </w:r>
      <w:r w:rsidR="007D7E92" w:rsidRPr="006A3B2F">
        <w:rPr>
          <w:u w:val="single"/>
        </w:rPr>
        <w:t>1</w:t>
      </w:r>
      <w:r w:rsidR="006A3B2F" w:rsidRPr="006A3B2F">
        <w:rPr>
          <w:u w:val="single"/>
        </w:rPr>
        <w:t>2</w:t>
      </w:r>
      <w:r w:rsidR="007D7E92" w:rsidRPr="006A3B2F">
        <w:rPr>
          <w:u w:val="single"/>
        </w:rPr>
        <w:t>,</w:t>
      </w:r>
      <w:r w:rsidR="006A3B2F" w:rsidRPr="006A3B2F">
        <w:rPr>
          <w:u w:val="single"/>
        </w:rPr>
        <w:t>9</w:t>
      </w:r>
      <w:r w:rsidRPr="006A3B2F">
        <w:rPr>
          <w:u w:val="single"/>
        </w:rPr>
        <w:t xml:space="preserve">%) </w:t>
      </w:r>
      <w:r w:rsidR="006A3B2F">
        <w:rPr>
          <w:u w:val="single"/>
        </w:rPr>
        <w:t>osób</w:t>
      </w:r>
      <w:r w:rsidRPr="006A3B2F">
        <w:rPr>
          <w:u w:val="single"/>
        </w:rPr>
        <w:t xml:space="preserve"> zostało wyłączonych</w:t>
      </w:r>
      <w:r w:rsidR="006A3B2F" w:rsidRPr="006A3B2F">
        <w:rPr>
          <w:u w:val="single"/>
        </w:rPr>
        <w:t xml:space="preserve"> </w:t>
      </w:r>
      <w:r w:rsidR="00AE5712" w:rsidRPr="006A3B2F">
        <w:rPr>
          <w:u w:val="single"/>
        </w:rPr>
        <w:t>z</w:t>
      </w:r>
      <w:r w:rsidR="006A3B2F" w:rsidRPr="006A3B2F">
        <w:rPr>
          <w:u w:val="single"/>
        </w:rPr>
        <w:t xml:space="preserve"> </w:t>
      </w:r>
      <w:r w:rsidRPr="006A3B2F">
        <w:rPr>
          <w:u w:val="single"/>
        </w:rPr>
        <w:t>ewidencji</w:t>
      </w:r>
      <w:r w:rsidR="006A3B2F" w:rsidRPr="006A3B2F">
        <w:rPr>
          <w:u w:val="single"/>
        </w:rPr>
        <w:t xml:space="preserve"> </w:t>
      </w:r>
      <w:r w:rsidR="00AE5712" w:rsidRPr="006A3B2F">
        <w:rPr>
          <w:u w:val="single"/>
        </w:rPr>
        <w:t>z</w:t>
      </w:r>
      <w:r w:rsidR="006A3B2F" w:rsidRPr="006A3B2F">
        <w:rPr>
          <w:u w:val="single"/>
        </w:rPr>
        <w:t xml:space="preserve"> </w:t>
      </w:r>
      <w:r w:rsidRPr="006A3B2F">
        <w:rPr>
          <w:u w:val="single"/>
        </w:rPr>
        <w:t>powodu udziału</w:t>
      </w:r>
      <w:r w:rsidR="00AE5712" w:rsidRPr="006A3B2F">
        <w:rPr>
          <w:u w:val="single"/>
        </w:rPr>
        <w:t xml:space="preserve"> w </w:t>
      </w:r>
      <w:r w:rsidRPr="006A3B2F">
        <w:rPr>
          <w:u w:val="single"/>
        </w:rPr>
        <w:t>formach aktywizacji zawodowej nie powodujących utraty statusu bezrobotnych</w:t>
      </w:r>
      <w:r w:rsidR="007D7E92" w:rsidRPr="006A3B2F">
        <w:rPr>
          <w:u w:val="single"/>
        </w:rPr>
        <w:t>.</w:t>
      </w:r>
    </w:p>
    <w:p w:rsidR="00221BB6" w:rsidRPr="006A3B2F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6A3B2F">
        <w:t>W</w:t>
      </w:r>
      <w:r w:rsidR="00221BB6" w:rsidRPr="006A3B2F">
        <w:t>śród powodów wyłączeń (bez utraty statusu) najczęstsze były: staże (1</w:t>
      </w:r>
      <w:r w:rsidR="006A3B2F" w:rsidRPr="006A3B2F">
        <w:t>4</w:t>
      </w:r>
      <w:r w:rsidR="00221BB6" w:rsidRPr="006A3B2F">
        <w:t> </w:t>
      </w:r>
      <w:r w:rsidR="006A3B2F" w:rsidRPr="006A3B2F">
        <w:t>194</w:t>
      </w:r>
      <w:r w:rsidR="00221BB6" w:rsidRPr="006A3B2F">
        <w:t>), szkolenia (</w:t>
      </w:r>
      <w:r w:rsidR="006A3B2F" w:rsidRPr="006A3B2F">
        <w:t>3</w:t>
      </w:r>
      <w:r w:rsidR="00221BB6" w:rsidRPr="006A3B2F">
        <w:t> </w:t>
      </w:r>
      <w:r w:rsidR="006A3B2F" w:rsidRPr="006A3B2F">
        <w:t>112</w:t>
      </w:r>
      <w:r w:rsidR="00221BB6" w:rsidRPr="006A3B2F">
        <w:t>), skierowania do agencji zatrudnienia</w:t>
      </w:r>
      <w:r w:rsidR="00AE5712" w:rsidRPr="006A3B2F">
        <w:t xml:space="preserve"> w </w:t>
      </w:r>
      <w:r w:rsidR="00221BB6" w:rsidRPr="006A3B2F">
        <w:t>ramach zlecania działań aktywizacyjnych (2 </w:t>
      </w:r>
      <w:r w:rsidR="006A3B2F" w:rsidRPr="006A3B2F">
        <w:t>110</w:t>
      </w:r>
      <w:r w:rsidR="00221BB6" w:rsidRPr="006A3B2F">
        <w:t>)</w:t>
      </w:r>
      <w:r w:rsidRPr="006A3B2F">
        <w:t>.</w:t>
      </w:r>
    </w:p>
    <w:p w:rsidR="00E14AA5" w:rsidRPr="004F79BE" w:rsidRDefault="007D7E92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4F79BE">
        <w:t>N</w:t>
      </w:r>
      <w:r w:rsidR="00E14AA5" w:rsidRPr="004F79BE">
        <w:t>ajwiększ</w:t>
      </w:r>
      <w:r w:rsidR="00AB63E5" w:rsidRPr="004F79BE">
        <w:t xml:space="preserve">y „odpływ” </w:t>
      </w:r>
      <w:r w:rsidR="00815964" w:rsidRPr="004F79BE">
        <w:t xml:space="preserve">osób </w:t>
      </w:r>
      <w:r w:rsidR="00AB63E5" w:rsidRPr="004F79BE">
        <w:t xml:space="preserve">bezrobotnych </w:t>
      </w:r>
      <w:r w:rsidR="00E14AA5" w:rsidRPr="004F79BE">
        <w:t>odnotowano w</w:t>
      </w:r>
      <w:r w:rsidR="00AB63E5" w:rsidRPr="004F79BE">
        <w:t xml:space="preserve">: powiecie </w:t>
      </w:r>
      <w:r w:rsidR="00747C84" w:rsidRPr="004F79BE">
        <w:t>mieleckim</w:t>
      </w:r>
      <w:r w:rsidR="00E14AA5" w:rsidRPr="004F79BE">
        <w:t xml:space="preserve"> (1</w:t>
      </w:r>
      <w:r w:rsidR="00747C84" w:rsidRPr="004F79BE">
        <w:t>1 </w:t>
      </w:r>
      <w:r w:rsidR="00E14AA5" w:rsidRPr="004F79BE">
        <w:t>5</w:t>
      </w:r>
      <w:r w:rsidR="00747C84" w:rsidRPr="004F79BE">
        <w:t>39</w:t>
      </w:r>
      <w:r w:rsidR="00E14AA5" w:rsidRPr="004F79BE">
        <w:t xml:space="preserve">), </w:t>
      </w:r>
      <w:r w:rsidR="009776FC" w:rsidRPr="004F79BE">
        <w:t xml:space="preserve">jarosławskim </w:t>
      </w:r>
      <w:r w:rsidR="00E14AA5" w:rsidRPr="004F79BE">
        <w:t xml:space="preserve">(10 </w:t>
      </w:r>
      <w:r w:rsidR="009776FC" w:rsidRPr="004F79BE">
        <w:t>193</w:t>
      </w:r>
      <w:r w:rsidR="00E14AA5" w:rsidRPr="004F79BE">
        <w:t>),</w:t>
      </w:r>
      <w:r w:rsidR="00AB63E5" w:rsidRPr="004F79BE">
        <w:t xml:space="preserve"> </w:t>
      </w:r>
      <w:r w:rsidR="009776FC" w:rsidRPr="004F79BE">
        <w:t xml:space="preserve">rzeszowskim </w:t>
      </w:r>
      <w:r w:rsidR="00E14AA5" w:rsidRPr="004F79BE">
        <w:t>(10</w:t>
      </w:r>
      <w:r w:rsidR="009776FC" w:rsidRPr="004F79BE">
        <w:t> 005</w:t>
      </w:r>
      <w:r w:rsidR="00E14AA5" w:rsidRPr="004F79BE">
        <w:t>),</w:t>
      </w:r>
      <w:r w:rsidR="009776FC" w:rsidRPr="004F79BE">
        <w:t xml:space="preserve"> </w:t>
      </w:r>
      <w:r w:rsidR="005102E9" w:rsidRPr="004F79BE">
        <w:t>jasielskim</w:t>
      </w:r>
      <w:r w:rsidR="00E14AA5" w:rsidRPr="004F79BE">
        <w:t xml:space="preserve"> (</w:t>
      </w:r>
      <w:r w:rsidR="005102E9" w:rsidRPr="004F79BE">
        <w:t>9</w:t>
      </w:r>
      <w:r w:rsidR="00E14AA5" w:rsidRPr="004F79BE">
        <w:t xml:space="preserve"> 6</w:t>
      </w:r>
      <w:r w:rsidR="005102E9" w:rsidRPr="004F79BE">
        <w:t>81</w:t>
      </w:r>
      <w:r w:rsidR="00E14AA5" w:rsidRPr="004F79BE">
        <w:t xml:space="preserve">), </w:t>
      </w:r>
      <w:r w:rsidR="004F79BE" w:rsidRPr="004F79BE">
        <w:t>m. Rzeszowie</w:t>
      </w:r>
      <w:r w:rsidR="00E14AA5" w:rsidRPr="004F79BE">
        <w:t xml:space="preserve"> (</w:t>
      </w:r>
      <w:r w:rsidR="004F79BE" w:rsidRPr="004F79BE">
        <w:t>9</w:t>
      </w:r>
      <w:r w:rsidR="00E14AA5" w:rsidRPr="004F79BE">
        <w:t xml:space="preserve"> </w:t>
      </w:r>
      <w:r w:rsidR="004F79BE" w:rsidRPr="004F79BE">
        <w:t>349</w:t>
      </w:r>
      <w:r w:rsidR="00E14AA5" w:rsidRPr="004F79BE">
        <w:t>)</w:t>
      </w:r>
      <w:r w:rsidR="004F79BE" w:rsidRPr="004F79BE">
        <w:t xml:space="preserve"> i </w:t>
      </w:r>
      <w:r w:rsidR="00AB63E5" w:rsidRPr="004F79BE">
        <w:t xml:space="preserve">powiecie </w:t>
      </w:r>
      <w:r w:rsidR="00E14AA5" w:rsidRPr="004F79BE">
        <w:t>dębickim (</w:t>
      </w:r>
      <w:r w:rsidR="004F79BE" w:rsidRPr="004F79BE">
        <w:t>8</w:t>
      </w:r>
      <w:r w:rsidR="00AB63E5" w:rsidRPr="004F79BE">
        <w:t> </w:t>
      </w:r>
      <w:r w:rsidR="00E14AA5" w:rsidRPr="004F79BE">
        <w:t>7</w:t>
      </w:r>
      <w:r w:rsidR="004F79BE" w:rsidRPr="004F79BE">
        <w:t>31</w:t>
      </w:r>
      <w:r w:rsidR="00E14AA5" w:rsidRPr="004F79BE">
        <w:t>)</w:t>
      </w:r>
      <w:r w:rsidRPr="004F79BE">
        <w:t>.</w:t>
      </w:r>
    </w:p>
    <w:p w:rsidR="00E14AA5" w:rsidRDefault="00815964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B371E0">
        <w:t>N</w:t>
      </w:r>
      <w:r w:rsidR="00E14AA5" w:rsidRPr="00B371E0">
        <w:t>ajmniej</w:t>
      </w:r>
      <w:r w:rsidR="00AB63E5" w:rsidRPr="00B371E0">
        <w:t xml:space="preserve">szy „odpływ” </w:t>
      </w:r>
      <w:r w:rsidRPr="00B371E0">
        <w:t xml:space="preserve">osób bezrobotnych </w:t>
      </w:r>
      <w:r w:rsidR="00AB63E5" w:rsidRPr="00B371E0">
        <w:t>nastąpił w</w:t>
      </w:r>
      <w:r w:rsidR="00E14AA5" w:rsidRPr="00B371E0">
        <w:t>:</w:t>
      </w:r>
      <w:r w:rsidR="00AB63E5" w:rsidRPr="00B371E0">
        <w:t xml:space="preserve"> powiecie </w:t>
      </w:r>
      <w:r w:rsidR="00E14AA5" w:rsidRPr="00B371E0">
        <w:t>bieszczadzkim (</w:t>
      </w:r>
      <w:r w:rsidR="00B371E0" w:rsidRPr="00B371E0">
        <w:t>2</w:t>
      </w:r>
      <w:r w:rsidR="00E14AA5" w:rsidRPr="00B371E0">
        <w:t xml:space="preserve"> 1</w:t>
      </w:r>
      <w:r w:rsidR="00B371E0" w:rsidRPr="00B371E0">
        <w:t>88</w:t>
      </w:r>
      <w:r w:rsidR="00E14AA5" w:rsidRPr="00B371E0">
        <w:t xml:space="preserve"> osoby), </w:t>
      </w:r>
      <w:r w:rsidR="00B371E0" w:rsidRPr="00B371E0">
        <w:t xml:space="preserve">powiecie leskim (2 961), </w:t>
      </w:r>
      <w:r w:rsidR="00AB63E5" w:rsidRPr="00B371E0">
        <w:t>m</w:t>
      </w:r>
      <w:r w:rsidR="00B371E0" w:rsidRPr="00B371E0">
        <w:t>.</w:t>
      </w:r>
      <w:r w:rsidR="00AB63E5" w:rsidRPr="00B371E0">
        <w:t xml:space="preserve"> </w:t>
      </w:r>
      <w:r w:rsidR="00B53778" w:rsidRPr="00B371E0">
        <w:t>Krośnie (</w:t>
      </w:r>
      <w:r w:rsidR="00B371E0" w:rsidRPr="00B371E0">
        <w:t>2</w:t>
      </w:r>
      <w:r w:rsidR="00B53778" w:rsidRPr="00B371E0">
        <w:t> </w:t>
      </w:r>
      <w:r w:rsidR="00B371E0" w:rsidRPr="00B371E0">
        <w:t>963</w:t>
      </w:r>
      <w:r w:rsidR="00E14AA5" w:rsidRPr="00B371E0">
        <w:t>),</w:t>
      </w:r>
      <w:r w:rsidR="00B371E0" w:rsidRPr="00B371E0">
        <w:t xml:space="preserve"> </w:t>
      </w:r>
      <w:r w:rsidR="00AB63E5" w:rsidRPr="00B371E0">
        <w:t>m</w:t>
      </w:r>
      <w:r w:rsidR="00B371E0" w:rsidRPr="00B371E0">
        <w:t>.</w:t>
      </w:r>
      <w:r w:rsidR="00AB63E5" w:rsidRPr="00B371E0">
        <w:t xml:space="preserve"> </w:t>
      </w:r>
      <w:r w:rsidR="00E14AA5" w:rsidRPr="00B371E0">
        <w:t xml:space="preserve">Tarnobrzegu (3 </w:t>
      </w:r>
      <w:r w:rsidR="00B371E0" w:rsidRPr="00B371E0">
        <w:t>593</w:t>
      </w:r>
      <w:r w:rsidR="00E14AA5" w:rsidRPr="00B371E0">
        <w:t>)</w:t>
      </w:r>
      <w:r w:rsidR="00B371E0" w:rsidRPr="00B371E0">
        <w:t xml:space="preserve"> i</w:t>
      </w:r>
      <w:r w:rsidR="00E14AA5" w:rsidRPr="00B371E0">
        <w:t xml:space="preserve"> </w:t>
      </w:r>
      <w:r w:rsidR="00AB63E5" w:rsidRPr="00B371E0">
        <w:t xml:space="preserve">powiecie </w:t>
      </w:r>
      <w:r w:rsidR="00E14AA5" w:rsidRPr="00B371E0">
        <w:t>tarnobrzeskim (</w:t>
      </w:r>
      <w:r w:rsidR="00B371E0" w:rsidRPr="00B371E0">
        <w:t>3</w:t>
      </w:r>
      <w:r w:rsidR="00221BB6" w:rsidRPr="00B371E0">
        <w:t> </w:t>
      </w:r>
      <w:r w:rsidR="00B371E0" w:rsidRPr="00B371E0">
        <w:t>734</w:t>
      </w:r>
      <w:r w:rsidR="00AB63E5" w:rsidRPr="00B371E0">
        <w:t>)</w:t>
      </w:r>
      <w:r w:rsidRPr="00B371E0">
        <w:t>.</w:t>
      </w:r>
    </w:p>
    <w:p w:rsidR="00B371E0" w:rsidRPr="00B371E0" w:rsidRDefault="003E139B" w:rsidP="00160DBC">
      <w:pPr>
        <w:pStyle w:val="Default"/>
        <w:numPr>
          <w:ilvl w:val="0"/>
          <w:numId w:val="1"/>
        </w:numPr>
        <w:spacing w:line="360" w:lineRule="auto"/>
        <w:jc w:val="both"/>
      </w:pPr>
      <w:r>
        <w:t>Wysoki „napływ” jest związany z wysokim „odpływem”</w:t>
      </w:r>
      <w:r w:rsidR="00164835">
        <w:t>, a niski „napływ” z niskim „odpływem”</w:t>
      </w:r>
      <w:r>
        <w:t>.</w:t>
      </w:r>
    </w:p>
    <w:p w:rsidR="00164835" w:rsidRPr="00164835" w:rsidRDefault="00164835" w:rsidP="009A1F42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0A2DBD" w:rsidRPr="000A7638" w:rsidRDefault="000A2DBD" w:rsidP="001759E1">
      <w:pPr>
        <w:pStyle w:val="Default"/>
        <w:spacing w:line="360" w:lineRule="auto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3" w:name="_Toc477160358"/>
      <w:r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</w:t>
      </w:r>
      <w:r w:rsidR="00AE5712"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0A7638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prawem do zasiłku</w:t>
      </w:r>
      <w:bookmarkEnd w:id="13"/>
    </w:p>
    <w:p w:rsidR="00164835" w:rsidRDefault="00164835" w:rsidP="00164835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0258C5" w:rsidRDefault="00587A87" w:rsidP="006A3B2F">
      <w:pPr>
        <w:pStyle w:val="Default"/>
        <w:spacing w:line="360" w:lineRule="auto"/>
        <w:ind w:firstLine="709"/>
        <w:jc w:val="both"/>
      </w:pPr>
      <w:r w:rsidRPr="006A3B2F">
        <w:t>W</w:t>
      </w:r>
      <w:r w:rsidR="00A65AF3" w:rsidRPr="006A3B2F">
        <w:t>śród ogółu bezrobotnych</w:t>
      </w:r>
      <w:r w:rsidR="00AE5712" w:rsidRPr="006A3B2F">
        <w:t xml:space="preserve"> w </w:t>
      </w:r>
      <w:r w:rsidR="000258C5" w:rsidRPr="006A3B2F">
        <w:t xml:space="preserve">województwie </w:t>
      </w:r>
      <w:r w:rsidR="000258C5" w:rsidRPr="00FE08D7">
        <w:t xml:space="preserve">podkarpackim </w:t>
      </w:r>
      <w:r w:rsidR="00273E11" w:rsidRPr="00FE08D7">
        <w:t xml:space="preserve">prawo do </w:t>
      </w:r>
      <w:r w:rsidR="00A65AF3" w:rsidRPr="00FE08D7">
        <w:t xml:space="preserve">pobierania </w:t>
      </w:r>
      <w:r w:rsidR="00273E11" w:rsidRPr="00FE08D7">
        <w:t xml:space="preserve">zasiłku dla bezrobotnych </w:t>
      </w:r>
      <w:r w:rsidR="000258C5" w:rsidRPr="00FE08D7">
        <w:t>na dzień 31</w:t>
      </w:r>
      <w:r w:rsidR="006A3B2F" w:rsidRPr="00FE08D7">
        <w:t xml:space="preserve"> XII ‘</w:t>
      </w:r>
      <w:r w:rsidR="000258C5" w:rsidRPr="00FE08D7">
        <w:t>1</w:t>
      </w:r>
      <w:r w:rsidR="006A3B2F" w:rsidRPr="00FE08D7">
        <w:t>6</w:t>
      </w:r>
      <w:r w:rsidR="00AE5712" w:rsidRPr="00FE08D7">
        <w:t> r.</w:t>
      </w:r>
      <w:r w:rsidR="000258C5" w:rsidRPr="00FE08D7">
        <w:t xml:space="preserve"> </w:t>
      </w:r>
      <w:r w:rsidR="00A65AF3" w:rsidRPr="00FE08D7">
        <w:t>posiadało</w:t>
      </w:r>
      <w:r w:rsidR="00273E11" w:rsidRPr="00FE08D7">
        <w:t xml:space="preserve"> </w:t>
      </w:r>
      <w:r w:rsidR="00E17ECC" w:rsidRPr="00FE08D7">
        <w:t>1</w:t>
      </w:r>
      <w:r w:rsidR="00FE08D7" w:rsidRPr="00FE08D7">
        <w:t>3</w:t>
      </w:r>
      <w:r w:rsidR="00E17ECC" w:rsidRPr="00FE08D7">
        <w:t xml:space="preserve"> </w:t>
      </w:r>
      <w:r w:rsidR="00FE08D7" w:rsidRPr="00FE08D7">
        <w:t>581</w:t>
      </w:r>
      <w:r w:rsidR="00E17ECC" w:rsidRPr="00FE08D7">
        <w:t xml:space="preserve"> </w:t>
      </w:r>
      <w:r w:rsidR="00273E11" w:rsidRPr="00FE08D7">
        <w:t>osób</w:t>
      </w:r>
      <w:r w:rsidR="00636188" w:rsidRPr="00FE08D7">
        <w:t>.</w:t>
      </w:r>
    </w:p>
    <w:p w:rsidR="00DD4FBC" w:rsidRDefault="00DD4FBC" w:rsidP="000C656E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  <w:r w:rsidRPr="00DD4FBC">
        <w:rPr>
          <w:noProof/>
          <w:lang w:eastAsia="pl-PL"/>
        </w:rPr>
        <w:drawing>
          <wp:inline distT="0" distB="0" distL="0" distR="0" wp14:anchorId="2E61A6E5" wp14:editId="734C7CED">
            <wp:extent cx="5759450" cy="2289456"/>
            <wp:effectExtent l="0" t="0" r="0" b="0"/>
            <wp:docPr id="686" name="Obraz 6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8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4FBC">
        <w:rPr>
          <w:noProof/>
          <w:lang w:eastAsia="pl-PL"/>
        </w:rPr>
        <w:drawing>
          <wp:inline distT="0" distB="0" distL="0" distR="0" wp14:anchorId="586172DA" wp14:editId="2D7FFE79">
            <wp:extent cx="5759450" cy="1128613"/>
            <wp:effectExtent l="0" t="0" r="0" b="0"/>
            <wp:docPr id="688" name="Obraz 6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128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BC" w:rsidRDefault="00DD4FBC" w:rsidP="000C656E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DD4FBC" w:rsidRDefault="00DD4FBC">
      <w:pPr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  <w:br w:type="page"/>
      </w:r>
    </w:p>
    <w:p w:rsidR="00452A1B" w:rsidRDefault="00DD4FBC" w:rsidP="00636188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DD4FBC">
        <w:rPr>
          <w:noProof/>
          <w:lang w:eastAsia="pl-PL"/>
        </w:rPr>
        <w:lastRenderedPageBreak/>
        <w:drawing>
          <wp:inline distT="0" distB="0" distL="0" distR="0" wp14:anchorId="2252234D" wp14:editId="4421156B">
            <wp:extent cx="5759450" cy="1032523"/>
            <wp:effectExtent l="0" t="0" r="0" b="0"/>
            <wp:docPr id="689" name="Obraz 6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032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BC" w:rsidRDefault="00DD4FBC" w:rsidP="00636188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DD4FBC">
        <w:rPr>
          <w:noProof/>
          <w:lang w:eastAsia="pl-PL"/>
        </w:rPr>
        <w:drawing>
          <wp:inline distT="0" distB="0" distL="0" distR="0" wp14:anchorId="443F788C" wp14:editId="5200620F">
            <wp:extent cx="5759450" cy="3777960"/>
            <wp:effectExtent l="0" t="0" r="0" b="0"/>
            <wp:docPr id="691" name="Obraz 6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77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BC" w:rsidRPr="00DD4FBC" w:rsidRDefault="00DD4FBC" w:rsidP="007C226D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0258C5" w:rsidRPr="00452A1B" w:rsidRDefault="00636188" w:rsidP="00452A1B">
      <w:pPr>
        <w:pStyle w:val="Default"/>
        <w:pBdr>
          <w:bottom w:val="single" w:sz="4" w:space="1" w:color="auto"/>
        </w:pBdr>
        <w:jc w:val="both"/>
      </w:pPr>
      <w:r w:rsidRPr="00452A1B">
        <w:t>Wnioski:</w:t>
      </w:r>
    </w:p>
    <w:p w:rsidR="008A2874" w:rsidRPr="00BE156B" w:rsidRDefault="008A2874" w:rsidP="00452A1B">
      <w:pPr>
        <w:pStyle w:val="Tekstpodstawowywcity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 w:rsidRPr="00BE156B">
        <w:rPr>
          <w:rFonts w:ascii="Times New Roman" w:hAnsi="Times New Roman" w:cs="Times New Roman"/>
          <w:sz w:val="18"/>
          <w:szCs w:val="18"/>
        </w:rPr>
        <w:t>(na podstawie danych</w:t>
      </w:r>
      <w:r w:rsidR="00AE5712" w:rsidRPr="00BE156B">
        <w:rPr>
          <w:rFonts w:ascii="Times New Roman" w:hAnsi="Times New Roman" w:cs="Times New Roman"/>
          <w:sz w:val="18"/>
          <w:szCs w:val="18"/>
        </w:rPr>
        <w:t xml:space="preserve"> z </w:t>
      </w:r>
      <w:r w:rsidR="00452A1B" w:rsidRPr="00BE156B">
        <w:rPr>
          <w:rFonts w:ascii="Times New Roman" w:hAnsi="Times New Roman" w:cs="Times New Roman"/>
          <w:sz w:val="18"/>
          <w:szCs w:val="18"/>
        </w:rPr>
        <w:t>t</w:t>
      </w:r>
      <w:r w:rsidRPr="00BE156B">
        <w:rPr>
          <w:rFonts w:ascii="Times New Roman" w:hAnsi="Times New Roman" w:cs="Times New Roman"/>
          <w:sz w:val="18"/>
          <w:szCs w:val="18"/>
        </w:rPr>
        <w:t xml:space="preserve">abeli </w:t>
      </w:r>
      <w:r w:rsidR="00452A1B" w:rsidRPr="00BE156B">
        <w:rPr>
          <w:rFonts w:ascii="Times New Roman" w:hAnsi="Times New Roman" w:cs="Times New Roman"/>
          <w:sz w:val="18"/>
          <w:szCs w:val="18"/>
        </w:rPr>
        <w:t>VIII</w:t>
      </w:r>
      <w:r w:rsidR="00636188" w:rsidRPr="00BE156B">
        <w:rPr>
          <w:rFonts w:ascii="Times New Roman" w:hAnsi="Times New Roman" w:cs="Times New Roman"/>
          <w:sz w:val="18"/>
          <w:szCs w:val="18"/>
        </w:rPr>
        <w:t>)</w:t>
      </w:r>
    </w:p>
    <w:p w:rsidR="00DD4FBC" w:rsidRPr="00FE08D7" w:rsidRDefault="00DD4FBC" w:rsidP="00452A1B">
      <w:pPr>
        <w:pStyle w:val="Default"/>
        <w:spacing w:line="360" w:lineRule="auto"/>
        <w:jc w:val="both"/>
        <w:rPr>
          <w:sz w:val="16"/>
          <w:szCs w:val="16"/>
          <w:highlight w:val="yellow"/>
          <w:u w:val="single"/>
        </w:rPr>
      </w:pPr>
    </w:p>
    <w:p w:rsidR="000258C5" w:rsidRPr="00FE08D7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FE08D7">
        <w:t>W</w:t>
      </w:r>
      <w:r w:rsidR="000258C5" w:rsidRPr="00FE08D7">
        <w:t> porównaniu do stanu</w:t>
      </w:r>
      <w:r w:rsidR="00AE5712" w:rsidRPr="00FE08D7">
        <w:t xml:space="preserve"> z </w:t>
      </w:r>
      <w:r w:rsidR="00FE08D7" w:rsidRPr="00FE08D7">
        <w:t>31 XII ‘</w:t>
      </w:r>
      <w:r w:rsidR="000258C5" w:rsidRPr="00FE08D7">
        <w:t>1</w:t>
      </w:r>
      <w:r w:rsidR="00FE08D7" w:rsidRPr="00FE08D7">
        <w:t>5</w:t>
      </w:r>
      <w:r w:rsidR="00AE5712" w:rsidRPr="00FE08D7">
        <w:t> r.</w:t>
      </w:r>
      <w:r w:rsidR="000258C5" w:rsidRPr="00FE08D7">
        <w:t xml:space="preserve"> (1</w:t>
      </w:r>
      <w:r w:rsidR="00FE08D7" w:rsidRPr="00FE08D7">
        <w:t>4</w:t>
      </w:r>
      <w:r w:rsidR="000258C5" w:rsidRPr="00FE08D7">
        <w:t> </w:t>
      </w:r>
      <w:r w:rsidR="00FE08D7" w:rsidRPr="00FE08D7">
        <w:t>417</w:t>
      </w:r>
      <w:r w:rsidR="000258C5" w:rsidRPr="00FE08D7">
        <w:t>) liczba zasiłkobiorców zmniejszyła się</w:t>
      </w:r>
      <w:r w:rsidR="00AE5712" w:rsidRPr="00FE08D7">
        <w:t xml:space="preserve"> o </w:t>
      </w:r>
      <w:r w:rsidR="00FE08D7" w:rsidRPr="00FE08D7">
        <w:t>836</w:t>
      </w:r>
      <w:r w:rsidR="000258C5" w:rsidRPr="00FE08D7">
        <w:t xml:space="preserve"> os</w:t>
      </w:r>
      <w:r w:rsidR="00FE08D7" w:rsidRPr="00FE08D7">
        <w:t>ó</w:t>
      </w:r>
      <w:r w:rsidR="000258C5" w:rsidRPr="00FE08D7">
        <w:t>b</w:t>
      </w:r>
      <w:r w:rsidR="001278BA" w:rsidRPr="00FE08D7">
        <w:t xml:space="preserve"> (</w:t>
      </w:r>
      <w:r w:rsidR="00FE08D7" w:rsidRPr="00FE08D7">
        <w:t>5,8</w:t>
      </w:r>
      <w:r w:rsidR="001278BA" w:rsidRPr="00FE08D7">
        <w:t>%)</w:t>
      </w:r>
      <w:r w:rsidRPr="00FE08D7">
        <w:t>.</w:t>
      </w:r>
    </w:p>
    <w:p w:rsidR="000258C5" w:rsidRPr="00FE08D7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  <w:rPr>
          <w:u w:val="single"/>
        </w:rPr>
      </w:pPr>
      <w:r w:rsidRPr="00FE08D7">
        <w:t>W</w:t>
      </w:r>
      <w:r w:rsidR="000258C5" w:rsidRPr="00FE08D7">
        <w:t xml:space="preserve"> ogólnej grupie zasiłkobiorców </w:t>
      </w:r>
      <w:r w:rsidR="00037BD8" w:rsidRPr="00FE08D7">
        <w:t xml:space="preserve">liczbę </w:t>
      </w:r>
      <w:r w:rsidR="00FE08D7" w:rsidRPr="00FE08D7">
        <w:t>1</w:t>
      </w:r>
      <w:r w:rsidR="00037BD8" w:rsidRPr="00FE08D7">
        <w:t xml:space="preserve"> </w:t>
      </w:r>
      <w:r w:rsidR="00FE08D7" w:rsidRPr="00FE08D7">
        <w:t>930</w:t>
      </w:r>
      <w:r w:rsidR="00037BD8" w:rsidRPr="00FE08D7">
        <w:t xml:space="preserve"> stanowiły osoby zwolnione</w:t>
      </w:r>
      <w:r w:rsidR="00AE5712" w:rsidRPr="00FE08D7">
        <w:t xml:space="preserve"> z </w:t>
      </w:r>
      <w:r w:rsidR="00037BD8" w:rsidRPr="00FE08D7">
        <w:t>przyczyn dotyczących zakładu pracy</w:t>
      </w:r>
      <w:r w:rsidRPr="00FE08D7">
        <w:t>.</w:t>
      </w:r>
    </w:p>
    <w:p w:rsidR="000258C5" w:rsidRPr="00BE156B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BE156B">
        <w:t>W</w:t>
      </w:r>
      <w:r w:rsidR="00EB7938" w:rsidRPr="00BE156B">
        <w:t>zrost odsetka</w:t>
      </w:r>
      <w:r w:rsidR="001278BA" w:rsidRPr="00BE156B">
        <w:t xml:space="preserve"> zasiłkobiorców </w:t>
      </w:r>
      <w:r w:rsidR="00A01CA1">
        <w:t xml:space="preserve">(w%) </w:t>
      </w:r>
      <w:r w:rsidR="001278BA" w:rsidRPr="00BE156B">
        <w:t>odnotowano</w:t>
      </w:r>
      <w:r w:rsidR="00AE5712" w:rsidRPr="00BE156B">
        <w:t xml:space="preserve"> w </w:t>
      </w:r>
      <w:r w:rsidR="00BE156B" w:rsidRPr="00BE156B">
        <w:t>5</w:t>
      </w:r>
      <w:r w:rsidR="00EB7938" w:rsidRPr="00BE156B">
        <w:t xml:space="preserve"> powiatach: </w:t>
      </w:r>
      <w:r w:rsidR="00BE156B" w:rsidRPr="00BE156B">
        <w:t xml:space="preserve">jarosławskim </w:t>
      </w:r>
      <w:r w:rsidR="00EB7938" w:rsidRPr="00BE156B">
        <w:t>(</w:t>
      </w:r>
      <w:r w:rsidR="00BE156B" w:rsidRPr="00BE156B">
        <w:t>100,0</w:t>
      </w:r>
      <w:r w:rsidR="00EB7938" w:rsidRPr="00BE156B">
        <w:t xml:space="preserve">), </w:t>
      </w:r>
      <w:r w:rsidR="00BE156B" w:rsidRPr="00BE156B">
        <w:t>leżajskim (80,1), przeworskim</w:t>
      </w:r>
      <w:r w:rsidR="00EB7938" w:rsidRPr="00BE156B">
        <w:t xml:space="preserve"> (</w:t>
      </w:r>
      <w:r w:rsidR="00BE156B" w:rsidRPr="00BE156B">
        <w:t>53,6</w:t>
      </w:r>
      <w:r w:rsidR="00EB7938" w:rsidRPr="00BE156B">
        <w:t xml:space="preserve">), </w:t>
      </w:r>
      <w:r w:rsidR="00BE156B" w:rsidRPr="00BE156B">
        <w:t>leskim</w:t>
      </w:r>
      <w:r w:rsidR="00EB7938" w:rsidRPr="00BE156B">
        <w:t xml:space="preserve"> (</w:t>
      </w:r>
      <w:r w:rsidR="00BE156B" w:rsidRPr="00BE156B">
        <w:t>21</w:t>
      </w:r>
      <w:r w:rsidR="00EB7938" w:rsidRPr="00BE156B">
        <w:t>,</w:t>
      </w:r>
      <w:r w:rsidR="00BE156B" w:rsidRPr="00BE156B">
        <w:t>5</w:t>
      </w:r>
      <w:r w:rsidR="00EB7938" w:rsidRPr="00BE156B">
        <w:t>)</w:t>
      </w:r>
      <w:r w:rsidR="00A01CA1">
        <w:t xml:space="preserve"> i</w:t>
      </w:r>
      <w:r w:rsidR="00BE156B" w:rsidRPr="00BE156B">
        <w:t xml:space="preserve"> łańcuckim (1,6).</w:t>
      </w:r>
    </w:p>
    <w:p w:rsidR="00EB7938" w:rsidRPr="005D109C" w:rsidRDefault="00636188" w:rsidP="00160DBC">
      <w:pPr>
        <w:pStyle w:val="Default"/>
        <w:numPr>
          <w:ilvl w:val="0"/>
          <w:numId w:val="1"/>
        </w:numPr>
        <w:spacing w:line="360" w:lineRule="auto"/>
        <w:jc w:val="both"/>
      </w:pPr>
      <w:r w:rsidRPr="005D109C">
        <w:t>S</w:t>
      </w:r>
      <w:r w:rsidR="00EB7938" w:rsidRPr="005D109C">
        <w:t xml:space="preserve">padek </w:t>
      </w:r>
      <w:r w:rsidR="00A01CA1">
        <w:t>z</w:t>
      </w:r>
      <w:r w:rsidR="00EB7938" w:rsidRPr="005D109C">
        <w:t>asiłkobiorców</w:t>
      </w:r>
      <w:r w:rsidR="00A01CA1">
        <w:t xml:space="preserve"> (w%)</w:t>
      </w:r>
      <w:r w:rsidR="00EB7938" w:rsidRPr="005D109C">
        <w:t xml:space="preserve"> odnotowano we wszystkich pozostałych powiatach</w:t>
      </w:r>
      <w:r w:rsidR="00AE5712" w:rsidRPr="005D109C">
        <w:t xml:space="preserve"> i </w:t>
      </w:r>
      <w:r w:rsidR="00EB7938" w:rsidRPr="005D109C">
        <w:t>miastach na prawach powiatu</w:t>
      </w:r>
      <w:r w:rsidR="00BE156B" w:rsidRPr="005D109C">
        <w:t xml:space="preserve"> (20). N</w:t>
      </w:r>
      <w:r w:rsidR="00EB7938" w:rsidRPr="005D109C">
        <w:t>ajwiększy w</w:t>
      </w:r>
      <w:r w:rsidR="00BE156B" w:rsidRPr="005D109C">
        <w:t xml:space="preserve"> następujących</w:t>
      </w:r>
      <w:r w:rsidR="00EB7938" w:rsidRPr="005D109C">
        <w:t xml:space="preserve">: powiecie </w:t>
      </w:r>
      <w:r w:rsidR="00BE156B" w:rsidRPr="005D109C">
        <w:t>mieleckim</w:t>
      </w:r>
      <w:r w:rsidR="00B7165C" w:rsidRPr="005D109C">
        <w:t xml:space="preserve"> (</w:t>
      </w:r>
      <w:r w:rsidR="00BE156B" w:rsidRPr="005D109C">
        <w:t>40</w:t>
      </w:r>
      <w:r w:rsidR="00B7165C" w:rsidRPr="005D109C">
        <w:t>,</w:t>
      </w:r>
      <w:r w:rsidR="00BE156B" w:rsidRPr="005D109C">
        <w:t>9</w:t>
      </w:r>
      <w:r w:rsidR="00B7165C" w:rsidRPr="005D109C">
        <w:t xml:space="preserve">), </w:t>
      </w:r>
      <w:r w:rsidR="00BE156B" w:rsidRPr="005D109C">
        <w:t xml:space="preserve">m. Przemyślu </w:t>
      </w:r>
      <w:r w:rsidR="00B7165C" w:rsidRPr="005D109C">
        <w:t>(</w:t>
      </w:r>
      <w:r w:rsidR="00BE156B" w:rsidRPr="005D109C">
        <w:t>31</w:t>
      </w:r>
      <w:r w:rsidR="00B7165C" w:rsidRPr="005D109C">
        <w:t>,</w:t>
      </w:r>
      <w:r w:rsidR="00BE156B" w:rsidRPr="005D109C">
        <w:t>3</w:t>
      </w:r>
      <w:r w:rsidR="00B7165C" w:rsidRPr="005D109C">
        <w:t xml:space="preserve">), </w:t>
      </w:r>
      <w:r w:rsidR="00BE156B" w:rsidRPr="005D109C">
        <w:t xml:space="preserve">m. Krośnie </w:t>
      </w:r>
      <w:r w:rsidR="00B7165C" w:rsidRPr="005D109C">
        <w:t>(2</w:t>
      </w:r>
      <w:r w:rsidR="00BE156B" w:rsidRPr="005D109C">
        <w:t>5</w:t>
      </w:r>
      <w:r w:rsidR="00B7165C" w:rsidRPr="005D109C">
        <w:t>,</w:t>
      </w:r>
      <w:r w:rsidR="00BE156B" w:rsidRPr="005D109C">
        <w:t>6</w:t>
      </w:r>
      <w:r w:rsidR="00B7165C" w:rsidRPr="005D109C">
        <w:t>)</w:t>
      </w:r>
      <w:r w:rsidR="00BE156B" w:rsidRPr="005D109C">
        <w:t xml:space="preserve"> i powiecie krośnieńskim (23,8)</w:t>
      </w:r>
      <w:r w:rsidR="00C31034" w:rsidRPr="005D109C">
        <w:t>.</w:t>
      </w:r>
    </w:p>
    <w:p w:rsidR="005D109C" w:rsidRDefault="005D109C" w:rsidP="005D109C">
      <w:pPr>
        <w:spacing w:after="0" w:line="240" w:lineRule="auto"/>
      </w:pPr>
    </w:p>
    <w:p w:rsidR="00DD4FBC" w:rsidRDefault="00DD4FBC">
      <w:r>
        <w:br w:type="page"/>
      </w:r>
    </w:p>
    <w:p w:rsidR="008A2874" w:rsidRPr="002D4EF1" w:rsidRDefault="003950BA" w:rsidP="005D109C">
      <w:pPr>
        <w:pStyle w:val="Nagwek2"/>
        <w:spacing w:before="0" w:line="240" w:lineRule="auto"/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4" w:name="_Toc477160359"/>
      <w:r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</w:t>
      </w:r>
      <w:r w:rsidR="00985C67"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G</w:t>
      </w:r>
      <w:r w:rsidRPr="002D4EF1">
        <w:rPr>
          <w:rFonts w:ascii="Times New Roman" w:hAnsi="Times New Roman" w:cs="Times New Roman"/>
          <w:bCs w:val="0"/>
          <w:caps/>
          <w:color w:val="auto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wieku</w:t>
      </w:r>
      <w:bookmarkEnd w:id="14"/>
    </w:p>
    <w:p w:rsidR="00452A1B" w:rsidRDefault="00452A1B" w:rsidP="00FC27CE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637246" w:rsidRPr="00E613EA" w:rsidRDefault="00FE08D7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73BEB310" wp14:editId="75E84FF1">
            <wp:extent cx="4960961" cy="2395182"/>
            <wp:effectExtent l="0" t="0" r="0" b="5715"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1152" cy="239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7246" w:rsidRPr="00E613EA" w:rsidRDefault="00637246" w:rsidP="00FC27CE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8A2874" w:rsidRPr="00FE08D7" w:rsidRDefault="00637246" w:rsidP="00FE08D7">
      <w:pPr>
        <w:pStyle w:val="Tekstpodstawowywcity"/>
        <w:pBdr>
          <w:bottom w:val="single" w:sz="4" w:space="1" w:color="auto"/>
        </w:pBdr>
        <w:shd w:val="clear" w:color="auto" w:fill="FFFFFF" w:themeFill="background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E08D7">
        <w:rPr>
          <w:rFonts w:ascii="Times New Roman" w:hAnsi="Times New Roman" w:cs="Times New Roman"/>
          <w:sz w:val="24"/>
          <w:szCs w:val="24"/>
        </w:rPr>
        <w:t>Wnioski:</w:t>
      </w:r>
    </w:p>
    <w:p w:rsidR="008A2874" w:rsidRPr="00FE08D7" w:rsidRDefault="008A2874" w:rsidP="008A2874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FE08D7">
        <w:rPr>
          <w:rFonts w:ascii="Times New Roman" w:hAnsi="Times New Roman" w:cs="Times New Roman"/>
          <w:szCs w:val="24"/>
        </w:rPr>
        <w:t>(na podstawie danych</w:t>
      </w:r>
      <w:r w:rsidR="00AE5712" w:rsidRPr="00FE08D7">
        <w:rPr>
          <w:rFonts w:ascii="Times New Roman" w:hAnsi="Times New Roman" w:cs="Times New Roman"/>
          <w:szCs w:val="24"/>
        </w:rPr>
        <w:t xml:space="preserve"> z </w:t>
      </w:r>
      <w:r w:rsidRPr="00FE08D7">
        <w:rPr>
          <w:rFonts w:ascii="Times New Roman" w:hAnsi="Times New Roman" w:cs="Times New Roman"/>
          <w:szCs w:val="24"/>
        </w:rPr>
        <w:t xml:space="preserve">Tabeli </w:t>
      </w:r>
      <w:r w:rsidR="00FE08D7" w:rsidRPr="00FE08D7">
        <w:rPr>
          <w:rFonts w:ascii="Times New Roman" w:hAnsi="Times New Roman" w:cs="Times New Roman"/>
          <w:szCs w:val="24"/>
        </w:rPr>
        <w:t>IX</w:t>
      </w:r>
      <w:r w:rsidR="00010B3D">
        <w:rPr>
          <w:rFonts w:ascii="Times New Roman" w:hAnsi="Times New Roman" w:cs="Times New Roman"/>
          <w:szCs w:val="24"/>
        </w:rPr>
        <w:t>, XII, XIII i XIV a</w:t>
      </w:r>
      <w:r w:rsidRPr="00FE08D7">
        <w:rPr>
          <w:rFonts w:ascii="Times New Roman" w:hAnsi="Times New Roman" w:cs="Times New Roman"/>
          <w:szCs w:val="24"/>
        </w:rPr>
        <w:t>)</w:t>
      </w:r>
    </w:p>
    <w:p w:rsidR="001B2026" w:rsidRPr="006C3BA3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BA3">
        <w:rPr>
          <w:rFonts w:ascii="Times New Roman" w:hAnsi="Times New Roman" w:cs="Times New Roman"/>
          <w:sz w:val="24"/>
          <w:szCs w:val="24"/>
        </w:rPr>
        <w:t>N</w:t>
      </w:r>
      <w:r w:rsidR="008A2874" w:rsidRPr="006C3BA3">
        <w:rPr>
          <w:rFonts w:ascii="Times New Roman" w:hAnsi="Times New Roman" w:cs="Times New Roman"/>
          <w:sz w:val="24"/>
          <w:szCs w:val="24"/>
        </w:rPr>
        <w:t>ajliczniejszą grupę wśród bezrobotnych stanowiły osoby</w:t>
      </w:r>
      <w:r w:rsidR="00AE5712" w:rsidRPr="006C3BA3">
        <w:rPr>
          <w:rFonts w:ascii="Times New Roman" w:hAnsi="Times New Roman" w:cs="Times New Roman"/>
          <w:sz w:val="24"/>
          <w:szCs w:val="24"/>
        </w:rPr>
        <w:t xml:space="preserve"> w </w:t>
      </w:r>
      <w:r w:rsidR="008A2874" w:rsidRPr="006C3BA3">
        <w:rPr>
          <w:rFonts w:ascii="Times New Roman" w:hAnsi="Times New Roman" w:cs="Times New Roman"/>
          <w:sz w:val="24"/>
          <w:szCs w:val="24"/>
        </w:rPr>
        <w:t xml:space="preserve">wieku od 25 do 34 lat </w:t>
      </w:r>
      <w:r w:rsidR="001B2026" w:rsidRPr="006C3BA3">
        <w:rPr>
          <w:rFonts w:ascii="Times New Roman" w:hAnsi="Times New Roman" w:cs="Times New Roman"/>
          <w:sz w:val="24"/>
          <w:szCs w:val="24"/>
        </w:rPr>
        <w:t>(</w:t>
      </w:r>
      <w:r w:rsidR="008A2874" w:rsidRPr="006C3BA3">
        <w:rPr>
          <w:rFonts w:ascii="Times New Roman" w:hAnsi="Times New Roman" w:cs="Times New Roman"/>
          <w:sz w:val="24"/>
          <w:szCs w:val="24"/>
        </w:rPr>
        <w:t>30,</w:t>
      </w:r>
      <w:r w:rsidR="006C3BA3" w:rsidRPr="006C3BA3">
        <w:rPr>
          <w:rFonts w:ascii="Times New Roman" w:hAnsi="Times New Roman" w:cs="Times New Roman"/>
          <w:sz w:val="24"/>
          <w:szCs w:val="24"/>
        </w:rPr>
        <w:t>6</w:t>
      </w:r>
      <w:r w:rsidR="008A2874" w:rsidRPr="006C3BA3">
        <w:rPr>
          <w:rFonts w:ascii="Times New Roman" w:hAnsi="Times New Roman" w:cs="Times New Roman"/>
          <w:sz w:val="24"/>
          <w:szCs w:val="24"/>
        </w:rPr>
        <w:t>%</w:t>
      </w:r>
      <w:r w:rsidR="001B2026" w:rsidRPr="006C3BA3">
        <w:rPr>
          <w:rFonts w:ascii="Times New Roman" w:hAnsi="Times New Roman" w:cs="Times New Roman"/>
          <w:sz w:val="24"/>
          <w:szCs w:val="24"/>
        </w:rPr>
        <w:t>), co</w:t>
      </w:r>
      <w:r w:rsidR="00AE5712" w:rsidRPr="006C3BA3">
        <w:rPr>
          <w:rFonts w:ascii="Times New Roman" w:hAnsi="Times New Roman" w:cs="Times New Roman"/>
          <w:sz w:val="24"/>
          <w:szCs w:val="24"/>
        </w:rPr>
        <w:t xml:space="preserve"> w </w:t>
      </w:r>
      <w:r w:rsidR="001B2026" w:rsidRPr="006C3BA3">
        <w:rPr>
          <w:rFonts w:ascii="Times New Roman" w:hAnsi="Times New Roman" w:cs="Times New Roman"/>
          <w:sz w:val="24"/>
          <w:szCs w:val="24"/>
        </w:rPr>
        <w:t>połączeniu</w:t>
      </w:r>
      <w:r w:rsidR="00AE5712" w:rsidRPr="006C3BA3">
        <w:rPr>
          <w:rFonts w:ascii="Times New Roman" w:hAnsi="Times New Roman" w:cs="Times New Roman"/>
          <w:sz w:val="24"/>
          <w:szCs w:val="24"/>
        </w:rPr>
        <w:t xml:space="preserve"> z </w:t>
      </w:r>
      <w:r w:rsidR="001B2026" w:rsidRPr="006C3BA3">
        <w:rPr>
          <w:rFonts w:ascii="Times New Roman" w:hAnsi="Times New Roman" w:cs="Times New Roman"/>
          <w:sz w:val="24"/>
          <w:szCs w:val="24"/>
        </w:rPr>
        <w:t>grupą osób</w:t>
      </w:r>
      <w:r w:rsidR="00AE5712" w:rsidRPr="006C3BA3">
        <w:rPr>
          <w:rFonts w:ascii="Times New Roman" w:hAnsi="Times New Roman" w:cs="Times New Roman"/>
          <w:sz w:val="24"/>
          <w:szCs w:val="24"/>
        </w:rPr>
        <w:t xml:space="preserve"> w </w:t>
      </w:r>
      <w:r w:rsidR="001B2026" w:rsidRPr="006C3BA3">
        <w:rPr>
          <w:rFonts w:ascii="Times New Roman" w:hAnsi="Times New Roman" w:cs="Times New Roman"/>
          <w:sz w:val="24"/>
          <w:szCs w:val="24"/>
        </w:rPr>
        <w:t>wieku od 18 do 24 roku życia (1</w:t>
      </w:r>
      <w:r w:rsidR="006C3BA3" w:rsidRPr="006C3BA3">
        <w:rPr>
          <w:rFonts w:ascii="Times New Roman" w:hAnsi="Times New Roman" w:cs="Times New Roman"/>
          <w:sz w:val="24"/>
          <w:szCs w:val="24"/>
        </w:rPr>
        <w:t>5</w:t>
      </w:r>
      <w:r w:rsidR="001B2026" w:rsidRPr="006C3BA3">
        <w:rPr>
          <w:rFonts w:ascii="Times New Roman" w:hAnsi="Times New Roman" w:cs="Times New Roman"/>
          <w:sz w:val="24"/>
          <w:szCs w:val="24"/>
        </w:rPr>
        <w:t>,</w:t>
      </w:r>
      <w:r w:rsidR="006C3BA3" w:rsidRPr="006C3BA3">
        <w:rPr>
          <w:rFonts w:ascii="Times New Roman" w:hAnsi="Times New Roman" w:cs="Times New Roman"/>
          <w:sz w:val="24"/>
          <w:szCs w:val="24"/>
        </w:rPr>
        <w:t>1</w:t>
      </w:r>
      <w:r w:rsidR="001B2026" w:rsidRPr="006C3BA3">
        <w:rPr>
          <w:rFonts w:ascii="Times New Roman" w:hAnsi="Times New Roman" w:cs="Times New Roman"/>
          <w:sz w:val="24"/>
          <w:szCs w:val="24"/>
        </w:rPr>
        <w:t>%) daje 4</w:t>
      </w:r>
      <w:r w:rsidR="006C3BA3" w:rsidRPr="006C3BA3">
        <w:rPr>
          <w:rFonts w:ascii="Times New Roman" w:hAnsi="Times New Roman" w:cs="Times New Roman"/>
          <w:sz w:val="24"/>
          <w:szCs w:val="24"/>
        </w:rPr>
        <w:t>5</w:t>
      </w:r>
      <w:r w:rsidR="001B2026" w:rsidRPr="006C3BA3">
        <w:rPr>
          <w:rFonts w:ascii="Times New Roman" w:hAnsi="Times New Roman" w:cs="Times New Roman"/>
          <w:sz w:val="24"/>
          <w:szCs w:val="24"/>
        </w:rPr>
        <w:t>,</w:t>
      </w:r>
      <w:r w:rsidR="006C3BA3" w:rsidRPr="006C3BA3">
        <w:rPr>
          <w:rFonts w:ascii="Times New Roman" w:hAnsi="Times New Roman" w:cs="Times New Roman"/>
          <w:sz w:val="24"/>
          <w:szCs w:val="24"/>
        </w:rPr>
        <w:t>7</w:t>
      </w:r>
      <w:r w:rsidR="001B2026" w:rsidRPr="006C3BA3">
        <w:rPr>
          <w:rFonts w:ascii="Times New Roman" w:hAnsi="Times New Roman" w:cs="Times New Roman"/>
          <w:sz w:val="24"/>
          <w:szCs w:val="24"/>
        </w:rPr>
        <w:t xml:space="preserve">% ogółu – osoby młode stanowią zatem prawie </w:t>
      </w:r>
      <w:r w:rsidR="006C3BA3">
        <w:rPr>
          <w:rFonts w:ascii="Times New Roman" w:hAnsi="Times New Roman" w:cs="Times New Roman"/>
          <w:sz w:val="24"/>
          <w:szCs w:val="24"/>
        </w:rPr>
        <w:t xml:space="preserve">½ ogółu osób </w:t>
      </w:r>
      <w:r w:rsidR="001B2026" w:rsidRPr="006C3BA3">
        <w:rPr>
          <w:rFonts w:ascii="Times New Roman" w:hAnsi="Times New Roman" w:cs="Times New Roman"/>
          <w:sz w:val="24"/>
          <w:szCs w:val="24"/>
        </w:rPr>
        <w:t>bezrobotnych</w:t>
      </w:r>
      <w:r w:rsidRPr="006C3BA3">
        <w:rPr>
          <w:rFonts w:ascii="Times New Roman" w:hAnsi="Times New Roman" w:cs="Times New Roman"/>
          <w:sz w:val="24"/>
          <w:szCs w:val="24"/>
        </w:rPr>
        <w:t>.</w:t>
      </w:r>
    </w:p>
    <w:p w:rsidR="001B2026" w:rsidRPr="00A51FE0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BA3">
        <w:rPr>
          <w:rFonts w:ascii="Times New Roman" w:hAnsi="Times New Roman" w:cs="Times New Roman"/>
          <w:sz w:val="24"/>
          <w:szCs w:val="24"/>
        </w:rPr>
        <w:t>Z</w:t>
      </w:r>
      <w:r w:rsidR="001B2026" w:rsidRPr="006C3BA3">
        <w:rPr>
          <w:rFonts w:ascii="Times New Roman" w:hAnsi="Times New Roman" w:cs="Times New Roman"/>
          <w:sz w:val="24"/>
          <w:szCs w:val="24"/>
        </w:rPr>
        <w:t xml:space="preserve"> porównania udziału osób</w:t>
      </w:r>
      <w:r w:rsidR="00A51FE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6C3BA3">
        <w:rPr>
          <w:rFonts w:ascii="Times New Roman" w:hAnsi="Times New Roman" w:cs="Times New Roman"/>
          <w:sz w:val="24"/>
          <w:szCs w:val="24"/>
        </w:rPr>
        <w:t>z</w:t>
      </w:r>
      <w:r w:rsidR="00A51FE0">
        <w:rPr>
          <w:rFonts w:ascii="Times New Roman" w:hAnsi="Times New Roman" w:cs="Times New Roman"/>
          <w:sz w:val="24"/>
          <w:szCs w:val="24"/>
        </w:rPr>
        <w:t xml:space="preserve"> </w:t>
      </w:r>
      <w:r w:rsidR="001B2026" w:rsidRPr="006C3BA3">
        <w:rPr>
          <w:rFonts w:ascii="Times New Roman" w:hAnsi="Times New Roman" w:cs="Times New Roman"/>
          <w:sz w:val="24"/>
          <w:szCs w:val="24"/>
        </w:rPr>
        <w:t>poszczególnych kategorii wiekowych</w:t>
      </w:r>
      <w:r w:rsidR="006C3BA3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A51FE0">
        <w:rPr>
          <w:rFonts w:ascii="Times New Roman" w:hAnsi="Times New Roman" w:cs="Times New Roman"/>
          <w:sz w:val="24"/>
          <w:szCs w:val="24"/>
        </w:rPr>
        <w:t>w</w:t>
      </w:r>
      <w:r w:rsidR="006C3BA3" w:rsidRPr="00A51FE0">
        <w:rPr>
          <w:rFonts w:ascii="Times New Roman" w:hAnsi="Times New Roman" w:cs="Times New Roman"/>
          <w:sz w:val="24"/>
          <w:szCs w:val="24"/>
        </w:rPr>
        <w:t xml:space="preserve"> </w:t>
      </w:r>
      <w:r w:rsidR="001B2026" w:rsidRPr="00A51FE0">
        <w:rPr>
          <w:rFonts w:ascii="Times New Roman" w:hAnsi="Times New Roman" w:cs="Times New Roman"/>
          <w:sz w:val="24"/>
          <w:szCs w:val="24"/>
        </w:rPr>
        <w:t>ogólnej grupie bezrobotnych</w:t>
      </w:r>
      <w:r w:rsidR="00AE5712" w:rsidRPr="00A51FE0">
        <w:rPr>
          <w:rFonts w:ascii="Times New Roman" w:hAnsi="Times New Roman" w:cs="Times New Roman"/>
          <w:sz w:val="24"/>
          <w:szCs w:val="24"/>
        </w:rPr>
        <w:t xml:space="preserve"> w </w:t>
      </w:r>
      <w:r w:rsidR="001B2026" w:rsidRPr="00A51FE0">
        <w:rPr>
          <w:rFonts w:ascii="Times New Roman" w:hAnsi="Times New Roman" w:cs="Times New Roman"/>
          <w:sz w:val="24"/>
          <w:szCs w:val="24"/>
        </w:rPr>
        <w:t xml:space="preserve">latach </w:t>
      </w:r>
      <w:r w:rsidR="00A51FE0" w:rsidRPr="00A51FE0">
        <w:rPr>
          <w:rFonts w:ascii="Times New Roman" w:hAnsi="Times New Roman" w:cs="Times New Roman"/>
          <w:sz w:val="24"/>
          <w:szCs w:val="24"/>
        </w:rPr>
        <w:t xml:space="preserve">’15 </w:t>
      </w:r>
      <w:r w:rsidR="00AE5712" w:rsidRPr="00A51FE0">
        <w:rPr>
          <w:rFonts w:ascii="Times New Roman" w:hAnsi="Times New Roman" w:cs="Times New Roman"/>
          <w:sz w:val="24"/>
          <w:szCs w:val="24"/>
        </w:rPr>
        <w:t>i </w:t>
      </w:r>
      <w:r w:rsidR="00A51FE0" w:rsidRPr="00A51FE0">
        <w:rPr>
          <w:rFonts w:ascii="Times New Roman" w:hAnsi="Times New Roman" w:cs="Times New Roman"/>
          <w:sz w:val="24"/>
          <w:szCs w:val="24"/>
        </w:rPr>
        <w:t>‘16</w:t>
      </w:r>
      <w:r w:rsidR="001B2026" w:rsidRPr="00A51FE0">
        <w:rPr>
          <w:rFonts w:ascii="Times New Roman" w:hAnsi="Times New Roman" w:cs="Times New Roman"/>
          <w:sz w:val="24"/>
          <w:szCs w:val="24"/>
        </w:rPr>
        <w:t xml:space="preserve"> wynika</w:t>
      </w:r>
      <w:r w:rsidR="00A51FE0">
        <w:rPr>
          <w:rFonts w:ascii="Times New Roman" w:hAnsi="Times New Roman" w:cs="Times New Roman"/>
          <w:sz w:val="24"/>
          <w:szCs w:val="24"/>
        </w:rPr>
        <w:t xml:space="preserve"> </w:t>
      </w:r>
      <w:r w:rsidR="001B2026" w:rsidRPr="00A51FE0">
        <w:rPr>
          <w:rFonts w:ascii="Times New Roman" w:hAnsi="Times New Roman" w:cs="Times New Roman"/>
          <w:sz w:val="24"/>
          <w:szCs w:val="24"/>
        </w:rPr>
        <w:t>względnie stały poziom</w:t>
      </w:r>
      <w:r w:rsidRPr="00A51FE0">
        <w:rPr>
          <w:rFonts w:ascii="Times New Roman" w:hAnsi="Times New Roman" w:cs="Times New Roman"/>
          <w:sz w:val="24"/>
          <w:szCs w:val="24"/>
        </w:rPr>
        <w:t>.</w:t>
      </w:r>
    </w:p>
    <w:p w:rsidR="003E7943" w:rsidRPr="00095CCA" w:rsidRDefault="00637246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CCA">
        <w:rPr>
          <w:rFonts w:ascii="Times New Roman" w:hAnsi="Times New Roman" w:cs="Times New Roman"/>
          <w:sz w:val="24"/>
          <w:szCs w:val="24"/>
        </w:rPr>
        <w:t>O</w:t>
      </w:r>
      <w:r w:rsidR="000246BF" w:rsidRPr="00095CCA">
        <w:rPr>
          <w:rFonts w:ascii="Times New Roman" w:hAnsi="Times New Roman" w:cs="Times New Roman"/>
          <w:sz w:val="24"/>
          <w:szCs w:val="24"/>
        </w:rPr>
        <w:t>s</w:t>
      </w:r>
      <w:r w:rsidR="003E7943" w:rsidRPr="00095CCA">
        <w:rPr>
          <w:rFonts w:ascii="Times New Roman" w:hAnsi="Times New Roman" w:cs="Times New Roman"/>
          <w:sz w:val="24"/>
          <w:szCs w:val="24"/>
        </w:rPr>
        <w:t>o</w:t>
      </w:r>
      <w:r w:rsidR="000246BF" w:rsidRPr="00095CCA">
        <w:rPr>
          <w:rFonts w:ascii="Times New Roman" w:hAnsi="Times New Roman" w:cs="Times New Roman"/>
          <w:sz w:val="24"/>
          <w:szCs w:val="24"/>
        </w:rPr>
        <w:t>b</w:t>
      </w:r>
      <w:r w:rsidR="003E7943" w:rsidRPr="00095CCA">
        <w:rPr>
          <w:rFonts w:ascii="Times New Roman" w:hAnsi="Times New Roman" w:cs="Times New Roman"/>
          <w:sz w:val="24"/>
          <w:szCs w:val="24"/>
        </w:rPr>
        <w:t>y</w:t>
      </w:r>
      <w:r w:rsidR="000246BF" w:rsidRPr="00095CCA">
        <w:rPr>
          <w:rFonts w:ascii="Times New Roman" w:hAnsi="Times New Roman" w:cs="Times New Roman"/>
          <w:sz w:val="24"/>
          <w:szCs w:val="24"/>
        </w:rPr>
        <w:t xml:space="preserve"> młod</w:t>
      </w:r>
      <w:r w:rsidR="003E7943" w:rsidRPr="00095CCA">
        <w:rPr>
          <w:rFonts w:ascii="Times New Roman" w:hAnsi="Times New Roman" w:cs="Times New Roman"/>
          <w:sz w:val="24"/>
          <w:szCs w:val="24"/>
        </w:rPr>
        <w:t>e</w:t>
      </w:r>
      <w:r w:rsidR="00AE5712" w:rsidRPr="00095CCA">
        <w:rPr>
          <w:rFonts w:ascii="Times New Roman" w:hAnsi="Times New Roman" w:cs="Times New Roman"/>
          <w:sz w:val="24"/>
          <w:szCs w:val="24"/>
        </w:rPr>
        <w:t xml:space="preserve"> w </w:t>
      </w:r>
      <w:r w:rsidR="000246BF" w:rsidRPr="00095CCA">
        <w:rPr>
          <w:rFonts w:ascii="Times New Roman" w:hAnsi="Times New Roman" w:cs="Times New Roman"/>
          <w:sz w:val="24"/>
          <w:szCs w:val="24"/>
        </w:rPr>
        <w:t xml:space="preserve">wieku od 18 do 34 roku życia </w:t>
      </w:r>
      <w:r w:rsidR="003E7943" w:rsidRPr="00095CCA">
        <w:rPr>
          <w:rFonts w:ascii="Times New Roman" w:hAnsi="Times New Roman" w:cs="Times New Roman"/>
          <w:sz w:val="24"/>
          <w:szCs w:val="24"/>
        </w:rPr>
        <w:t>najczęściej</w:t>
      </w:r>
      <w:r w:rsidR="000246BF" w:rsidRPr="00095CCA">
        <w:rPr>
          <w:rFonts w:ascii="Times New Roman" w:hAnsi="Times New Roman" w:cs="Times New Roman"/>
          <w:sz w:val="24"/>
          <w:szCs w:val="24"/>
        </w:rPr>
        <w:t xml:space="preserve"> pozostają bez pracy 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przez okres </w:t>
      </w:r>
      <w:r w:rsidR="000246BF" w:rsidRPr="00095CCA">
        <w:rPr>
          <w:rFonts w:ascii="Times New Roman" w:hAnsi="Times New Roman" w:cs="Times New Roman"/>
          <w:sz w:val="24"/>
          <w:szCs w:val="24"/>
        </w:rPr>
        <w:t>od 1 do 3</w:t>
      </w:r>
      <w:r w:rsidR="00AD036F" w:rsidRPr="00095CCA">
        <w:rPr>
          <w:rFonts w:ascii="Times New Roman" w:hAnsi="Times New Roman" w:cs="Times New Roman"/>
          <w:sz w:val="24"/>
          <w:szCs w:val="24"/>
        </w:rPr>
        <w:t xml:space="preserve"> </w:t>
      </w:r>
      <w:r w:rsidR="000246BF" w:rsidRPr="00095CCA">
        <w:rPr>
          <w:rFonts w:ascii="Times New Roman" w:hAnsi="Times New Roman" w:cs="Times New Roman"/>
          <w:sz w:val="24"/>
          <w:szCs w:val="24"/>
        </w:rPr>
        <w:t>miesięcy (</w:t>
      </w:r>
      <w:r w:rsidR="00E81DDB" w:rsidRPr="00095CCA">
        <w:rPr>
          <w:rFonts w:ascii="Times New Roman" w:hAnsi="Times New Roman" w:cs="Times New Roman"/>
          <w:sz w:val="24"/>
          <w:szCs w:val="24"/>
        </w:rPr>
        <w:t>11</w:t>
      </w:r>
      <w:r w:rsidR="003E7943" w:rsidRPr="00095CCA">
        <w:rPr>
          <w:rFonts w:ascii="Times New Roman" w:hAnsi="Times New Roman" w:cs="Times New Roman"/>
          <w:sz w:val="24"/>
          <w:szCs w:val="24"/>
        </w:rPr>
        <w:t> </w:t>
      </w:r>
      <w:r w:rsidR="00E81DDB" w:rsidRPr="00095CCA">
        <w:rPr>
          <w:rFonts w:ascii="Times New Roman" w:hAnsi="Times New Roman" w:cs="Times New Roman"/>
          <w:sz w:val="24"/>
          <w:szCs w:val="24"/>
        </w:rPr>
        <w:t>042</w:t>
      </w:r>
      <w:r w:rsidR="000246BF" w:rsidRPr="00095CCA">
        <w:rPr>
          <w:rFonts w:ascii="Times New Roman" w:hAnsi="Times New Roman" w:cs="Times New Roman"/>
          <w:sz w:val="24"/>
          <w:szCs w:val="24"/>
        </w:rPr>
        <w:t>)</w:t>
      </w:r>
      <w:r w:rsidR="00095CCA">
        <w:rPr>
          <w:rFonts w:ascii="Times New Roman" w:hAnsi="Times New Roman" w:cs="Times New Roman"/>
          <w:sz w:val="24"/>
          <w:szCs w:val="24"/>
        </w:rPr>
        <w:t xml:space="preserve"> oraz powyżej 24 m-cy (8 864)</w:t>
      </w:r>
      <w:r w:rsidR="00E81DDB" w:rsidRPr="00095CCA">
        <w:rPr>
          <w:rFonts w:ascii="Times New Roman" w:hAnsi="Times New Roman" w:cs="Times New Roman"/>
          <w:sz w:val="24"/>
          <w:szCs w:val="24"/>
        </w:rPr>
        <w:t>.</w:t>
      </w:r>
    </w:p>
    <w:p w:rsidR="008A2874" w:rsidRPr="00095CCA" w:rsidRDefault="00095CCA" w:rsidP="00160DBC">
      <w:pPr>
        <w:pStyle w:val="Tekstpodstawowywcity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CCA">
        <w:rPr>
          <w:rFonts w:ascii="Times New Roman" w:hAnsi="Times New Roman" w:cs="Times New Roman"/>
          <w:sz w:val="24"/>
          <w:szCs w:val="24"/>
        </w:rPr>
        <w:t xml:space="preserve">W grupie osób </w:t>
      </w:r>
      <w:r w:rsidR="003E7943" w:rsidRPr="00095CCA">
        <w:rPr>
          <w:rFonts w:ascii="Times New Roman" w:hAnsi="Times New Roman" w:cs="Times New Roman"/>
          <w:sz w:val="24"/>
          <w:szCs w:val="24"/>
        </w:rPr>
        <w:t>pozostających bez pracy powyżej 24 miesięcy (długotrwale bezrobotnych) przeważają osoby</w:t>
      </w:r>
      <w:r w:rsidR="00AE5712" w:rsidRPr="00095CCA">
        <w:rPr>
          <w:rFonts w:ascii="Times New Roman" w:hAnsi="Times New Roman" w:cs="Times New Roman"/>
          <w:sz w:val="24"/>
          <w:szCs w:val="24"/>
        </w:rPr>
        <w:t xml:space="preserve"> w </w:t>
      </w:r>
      <w:r w:rsidR="003E7943" w:rsidRPr="00095CCA">
        <w:rPr>
          <w:rFonts w:ascii="Times New Roman" w:hAnsi="Times New Roman" w:cs="Times New Roman"/>
          <w:sz w:val="24"/>
          <w:szCs w:val="24"/>
        </w:rPr>
        <w:t>wieku</w:t>
      </w:r>
      <w:r w:rsidRPr="00095CCA">
        <w:rPr>
          <w:rFonts w:ascii="Times New Roman" w:hAnsi="Times New Roman" w:cs="Times New Roman"/>
          <w:sz w:val="24"/>
          <w:szCs w:val="24"/>
        </w:rPr>
        <w:t>: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 35</w:t>
      </w:r>
      <w:r w:rsidRPr="00095CCA">
        <w:rPr>
          <w:rFonts w:ascii="Times New Roman" w:hAnsi="Times New Roman" w:cs="Times New Roman"/>
          <w:sz w:val="24"/>
          <w:szCs w:val="24"/>
        </w:rPr>
        <w:t>–</w:t>
      </w:r>
      <w:r w:rsidR="003E7943" w:rsidRPr="00095CCA">
        <w:rPr>
          <w:rFonts w:ascii="Times New Roman" w:hAnsi="Times New Roman" w:cs="Times New Roman"/>
          <w:sz w:val="24"/>
          <w:szCs w:val="24"/>
        </w:rPr>
        <w:t>44 lat (</w:t>
      </w:r>
      <w:r w:rsidRPr="00095CCA">
        <w:rPr>
          <w:rFonts w:ascii="Times New Roman" w:hAnsi="Times New Roman" w:cs="Times New Roman"/>
          <w:sz w:val="24"/>
          <w:szCs w:val="24"/>
        </w:rPr>
        <w:t>8</w:t>
      </w:r>
      <w:r w:rsidR="003E7943" w:rsidRPr="00095CCA">
        <w:rPr>
          <w:rFonts w:ascii="Times New Roman" w:hAnsi="Times New Roman" w:cs="Times New Roman"/>
          <w:sz w:val="24"/>
          <w:szCs w:val="24"/>
        </w:rPr>
        <w:t> </w:t>
      </w:r>
      <w:r w:rsidRPr="00095CCA">
        <w:rPr>
          <w:rFonts w:ascii="Times New Roman" w:hAnsi="Times New Roman" w:cs="Times New Roman"/>
          <w:sz w:val="24"/>
          <w:szCs w:val="24"/>
        </w:rPr>
        <w:t>371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), </w:t>
      </w:r>
      <w:r w:rsidRPr="00095CCA">
        <w:rPr>
          <w:rFonts w:ascii="Times New Roman" w:hAnsi="Times New Roman" w:cs="Times New Roman"/>
          <w:sz w:val="24"/>
          <w:szCs w:val="24"/>
        </w:rPr>
        <w:t>45–51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 lat (</w:t>
      </w:r>
      <w:r w:rsidRPr="00095CCA">
        <w:rPr>
          <w:rFonts w:ascii="Times New Roman" w:hAnsi="Times New Roman" w:cs="Times New Roman"/>
          <w:sz w:val="24"/>
          <w:szCs w:val="24"/>
        </w:rPr>
        <w:t>7</w:t>
      </w:r>
      <w:r w:rsidR="003E7943" w:rsidRPr="00095CCA">
        <w:rPr>
          <w:rFonts w:ascii="Times New Roman" w:hAnsi="Times New Roman" w:cs="Times New Roman"/>
          <w:sz w:val="24"/>
          <w:szCs w:val="24"/>
        </w:rPr>
        <w:t> </w:t>
      </w:r>
      <w:r w:rsidRPr="00095CCA">
        <w:rPr>
          <w:rFonts w:ascii="Times New Roman" w:hAnsi="Times New Roman" w:cs="Times New Roman"/>
          <w:sz w:val="24"/>
          <w:szCs w:val="24"/>
        </w:rPr>
        <w:t>670</w:t>
      </w:r>
      <w:r w:rsidR="003E7943" w:rsidRPr="00095CCA">
        <w:rPr>
          <w:rFonts w:ascii="Times New Roman" w:hAnsi="Times New Roman" w:cs="Times New Roman"/>
          <w:sz w:val="24"/>
          <w:szCs w:val="24"/>
        </w:rPr>
        <w:t>)</w:t>
      </w:r>
      <w:r w:rsidRPr="00095CCA">
        <w:rPr>
          <w:rFonts w:ascii="Times New Roman" w:hAnsi="Times New Roman" w:cs="Times New Roman"/>
          <w:sz w:val="24"/>
          <w:szCs w:val="24"/>
        </w:rPr>
        <w:t xml:space="preserve"> oraz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 </w:t>
      </w:r>
      <w:r w:rsidRPr="00095CCA">
        <w:rPr>
          <w:rFonts w:ascii="Times New Roman" w:hAnsi="Times New Roman" w:cs="Times New Roman"/>
          <w:sz w:val="24"/>
          <w:szCs w:val="24"/>
        </w:rPr>
        <w:t>25–34</w:t>
      </w:r>
      <w:r w:rsidR="003E7943" w:rsidRPr="00095CCA">
        <w:rPr>
          <w:rFonts w:ascii="Times New Roman" w:hAnsi="Times New Roman" w:cs="Times New Roman"/>
          <w:sz w:val="24"/>
          <w:szCs w:val="24"/>
        </w:rPr>
        <w:t xml:space="preserve"> lat (</w:t>
      </w:r>
      <w:r w:rsidRPr="00095CCA">
        <w:rPr>
          <w:rFonts w:ascii="Times New Roman" w:hAnsi="Times New Roman" w:cs="Times New Roman"/>
          <w:sz w:val="24"/>
          <w:szCs w:val="24"/>
        </w:rPr>
        <w:t>7</w:t>
      </w:r>
      <w:r w:rsidR="003E7943" w:rsidRPr="00095CCA">
        <w:rPr>
          <w:rFonts w:ascii="Times New Roman" w:hAnsi="Times New Roman" w:cs="Times New Roman"/>
          <w:sz w:val="24"/>
          <w:szCs w:val="24"/>
        </w:rPr>
        <w:t> </w:t>
      </w:r>
      <w:r w:rsidRPr="00095CCA">
        <w:rPr>
          <w:rFonts w:ascii="Times New Roman" w:hAnsi="Times New Roman" w:cs="Times New Roman"/>
          <w:sz w:val="24"/>
          <w:szCs w:val="24"/>
        </w:rPr>
        <w:t>610</w:t>
      </w:r>
      <w:r w:rsidR="003E7943" w:rsidRPr="00095CCA">
        <w:rPr>
          <w:rFonts w:ascii="Times New Roman" w:hAnsi="Times New Roman" w:cs="Times New Roman"/>
          <w:sz w:val="24"/>
          <w:szCs w:val="24"/>
        </w:rPr>
        <w:t>)</w:t>
      </w:r>
      <w:r w:rsidR="00637246" w:rsidRPr="00095CCA">
        <w:rPr>
          <w:rFonts w:ascii="Times New Roman" w:hAnsi="Times New Roman" w:cs="Times New Roman"/>
          <w:sz w:val="24"/>
          <w:szCs w:val="24"/>
        </w:rPr>
        <w:t>.</w:t>
      </w:r>
    </w:p>
    <w:p w:rsidR="00010B3D" w:rsidRPr="00DD4FBC" w:rsidRDefault="00010B3D" w:rsidP="001759E1">
      <w:pPr>
        <w:pStyle w:val="Default"/>
        <w:jc w:val="both"/>
        <w:outlineLvl w:val="1"/>
        <w:rPr>
          <w:b/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2026" w:rsidRPr="00452A1B" w:rsidRDefault="001B2026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5" w:name="_Toc477160360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wg poziomu wykształcenia</w:t>
      </w:r>
      <w:bookmarkEnd w:id="15"/>
    </w:p>
    <w:p w:rsidR="001B2026" w:rsidRPr="00E613EA" w:rsidRDefault="001B2026" w:rsidP="001B2026">
      <w:pPr>
        <w:pStyle w:val="Default"/>
        <w:jc w:val="both"/>
        <w:rPr>
          <w:highlight w:val="yellow"/>
        </w:rPr>
      </w:pPr>
    </w:p>
    <w:p w:rsidR="00AE2F19" w:rsidRPr="00E613EA" w:rsidRDefault="00FE08D7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6C4FB660" wp14:editId="49147B62">
            <wp:extent cx="5022369" cy="2442949"/>
            <wp:effectExtent l="0" t="0" r="6985" b="0"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569" cy="2443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F19" w:rsidRPr="00FE08D7" w:rsidRDefault="00637246" w:rsidP="00452A1B">
      <w:pPr>
        <w:pStyle w:val="Default"/>
        <w:pBdr>
          <w:bottom w:val="single" w:sz="4" w:space="1" w:color="auto"/>
        </w:pBdr>
        <w:jc w:val="both"/>
      </w:pPr>
      <w:r w:rsidRPr="00FE08D7">
        <w:lastRenderedPageBreak/>
        <w:t>Wnioski:</w:t>
      </w:r>
    </w:p>
    <w:p w:rsidR="00046F19" w:rsidRPr="00FE08D7" w:rsidRDefault="00046F19" w:rsidP="00046F19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FE08D7">
        <w:rPr>
          <w:rFonts w:ascii="Times New Roman" w:hAnsi="Times New Roman" w:cs="Times New Roman"/>
          <w:szCs w:val="24"/>
        </w:rPr>
        <w:t>(na podstawie danych</w:t>
      </w:r>
      <w:r w:rsidR="00AE5712" w:rsidRPr="00FE08D7">
        <w:rPr>
          <w:rFonts w:ascii="Times New Roman" w:hAnsi="Times New Roman" w:cs="Times New Roman"/>
          <w:szCs w:val="24"/>
        </w:rPr>
        <w:t xml:space="preserve"> z </w:t>
      </w:r>
      <w:r w:rsidR="00FE08D7" w:rsidRPr="00FE08D7">
        <w:rPr>
          <w:rFonts w:ascii="Times New Roman" w:hAnsi="Times New Roman" w:cs="Times New Roman"/>
          <w:szCs w:val="24"/>
        </w:rPr>
        <w:t>t</w:t>
      </w:r>
      <w:r w:rsidRPr="00FE08D7">
        <w:rPr>
          <w:rFonts w:ascii="Times New Roman" w:hAnsi="Times New Roman" w:cs="Times New Roman"/>
          <w:szCs w:val="24"/>
        </w:rPr>
        <w:t xml:space="preserve">abeli </w:t>
      </w:r>
      <w:r w:rsidR="00FE08D7" w:rsidRPr="00FE08D7">
        <w:rPr>
          <w:rFonts w:ascii="Times New Roman" w:hAnsi="Times New Roman" w:cs="Times New Roman"/>
          <w:szCs w:val="24"/>
        </w:rPr>
        <w:t>X</w:t>
      </w:r>
      <w:r w:rsidR="00095CCA">
        <w:rPr>
          <w:rFonts w:ascii="Times New Roman" w:hAnsi="Times New Roman" w:cs="Times New Roman"/>
          <w:szCs w:val="24"/>
        </w:rPr>
        <w:t>, XII, XIII i XIV b</w:t>
      </w:r>
      <w:r w:rsidRPr="00FE08D7">
        <w:rPr>
          <w:rFonts w:ascii="Times New Roman" w:hAnsi="Times New Roman" w:cs="Times New Roman"/>
          <w:szCs w:val="24"/>
        </w:rPr>
        <w:t>)</w:t>
      </w:r>
    </w:p>
    <w:p w:rsidR="00252290" w:rsidRPr="002767B7" w:rsidRDefault="00183AB1" w:rsidP="00160DBC">
      <w:pPr>
        <w:pStyle w:val="Default"/>
        <w:numPr>
          <w:ilvl w:val="0"/>
          <w:numId w:val="5"/>
        </w:numPr>
        <w:spacing w:line="360" w:lineRule="auto"/>
        <w:jc w:val="both"/>
      </w:pPr>
      <w:r w:rsidRPr="002767B7">
        <w:t>N</w:t>
      </w:r>
      <w:r w:rsidR="001B2026" w:rsidRPr="002767B7">
        <w:t xml:space="preserve">ajliczniejszy udział </w:t>
      </w:r>
      <w:r w:rsidR="00046F19" w:rsidRPr="002767B7">
        <w:t xml:space="preserve">wśród osób bezrobotnych </w:t>
      </w:r>
      <w:r w:rsidR="001B2026" w:rsidRPr="002767B7">
        <w:t>stanowiły osoby posiadające wykształcenie zasadnicze zawodowe (29,</w:t>
      </w:r>
      <w:r w:rsidR="002767B7" w:rsidRPr="002767B7">
        <w:t>2</w:t>
      </w:r>
      <w:r w:rsidR="001B2026" w:rsidRPr="002767B7">
        <w:t>%)</w:t>
      </w:r>
      <w:r w:rsidRPr="002767B7">
        <w:t>,</w:t>
      </w:r>
      <w:r w:rsidR="001B2026" w:rsidRPr="002767B7">
        <w:t xml:space="preserve"> policealne</w:t>
      </w:r>
      <w:r w:rsidR="00AE5712" w:rsidRPr="002767B7">
        <w:t xml:space="preserve"> i </w:t>
      </w:r>
      <w:r w:rsidR="001B2026" w:rsidRPr="002767B7">
        <w:t>średnie zawodowe (25,</w:t>
      </w:r>
      <w:r w:rsidR="002767B7" w:rsidRPr="002767B7">
        <w:t>4</w:t>
      </w:r>
      <w:r w:rsidR="001B2026" w:rsidRPr="002767B7">
        <w:t>%)</w:t>
      </w:r>
      <w:r w:rsidRPr="002767B7">
        <w:t xml:space="preserve"> oraz gimnazjalne</w:t>
      </w:r>
      <w:r w:rsidR="00AE5712" w:rsidRPr="002767B7">
        <w:t xml:space="preserve"> i </w:t>
      </w:r>
      <w:r w:rsidRPr="002767B7">
        <w:t>niższe (20,1%) – szacuje się, że to właśnie</w:t>
      </w:r>
      <w:r w:rsidR="00AE5712" w:rsidRPr="002767B7">
        <w:t xml:space="preserve"> w </w:t>
      </w:r>
      <w:r w:rsidRPr="002767B7">
        <w:t>tych trzech wskazanych grupach duży odsetek stanowią osoby pracujące</w:t>
      </w:r>
      <w:r w:rsidR="00AE5712" w:rsidRPr="002767B7">
        <w:t xml:space="preserve"> w </w:t>
      </w:r>
      <w:r w:rsidRPr="002767B7">
        <w:t>„szarej strefie”.</w:t>
      </w:r>
    </w:p>
    <w:p w:rsidR="00591D4B" w:rsidRPr="002767B7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</w:pPr>
      <w:r w:rsidRPr="002767B7">
        <w:t>N</w:t>
      </w:r>
      <w:r w:rsidR="00591D4B" w:rsidRPr="002767B7">
        <w:t>ajmniejszy udział odnotowuje się</w:t>
      </w:r>
      <w:r w:rsidR="00AE5712" w:rsidRPr="002767B7">
        <w:t xml:space="preserve"> w </w:t>
      </w:r>
      <w:r w:rsidR="00591D4B" w:rsidRPr="002767B7">
        <w:t>grupie osób</w:t>
      </w:r>
      <w:r w:rsidR="00AE5712" w:rsidRPr="002767B7">
        <w:t xml:space="preserve"> z </w:t>
      </w:r>
      <w:r w:rsidR="00591D4B" w:rsidRPr="002767B7">
        <w:t>wykształceniem średnim ogólnokształcącym (10,4%) – powodem może być fakt, że osoby kończące licea ogólnokształcące najczęściej kontynuują kształcenie na poziomie wyższym</w:t>
      </w:r>
      <w:r w:rsidR="00AE5712" w:rsidRPr="002767B7">
        <w:t xml:space="preserve"> </w:t>
      </w:r>
      <w:r w:rsidR="00787764">
        <w:t>(</w:t>
      </w:r>
      <w:r w:rsidR="00AE5712" w:rsidRPr="002767B7">
        <w:t>w </w:t>
      </w:r>
      <w:r w:rsidR="00591D4B" w:rsidRPr="002767B7">
        <w:t xml:space="preserve">trybie dziennym </w:t>
      </w:r>
      <w:r w:rsidR="00787764">
        <w:t xml:space="preserve">lub </w:t>
      </w:r>
      <w:r w:rsidR="00591D4B" w:rsidRPr="002767B7">
        <w:t>zaocznym</w:t>
      </w:r>
      <w:r w:rsidR="00787764">
        <w:t>)</w:t>
      </w:r>
      <w:r w:rsidR="002767B7" w:rsidRPr="002767B7">
        <w:t xml:space="preserve"> podejmując </w:t>
      </w:r>
      <w:r w:rsidR="00591D4B" w:rsidRPr="002767B7">
        <w:t>jednoc</w:t>
      </w:r>
      <w:r w:rsidR="002767B7" w:rsidRPr="002767B7">
        <w:t xml:space="preserve">ześnie </w:t>
      </w:r>
      <w:r w:rsidR="00591D4B" w:rsidRPr="002767B7">
        <w:t>pracę</w:t>
      </w:r>
      <w:r w:rsidR="002767B7" w:rsidRPr="002767B7">
        <w:t>,</w:t>
      </w:r>
      <w:r w:rsidR="00591D4B" w:rsidRPr="002767B7">
        <w:t xml:space="preserve"> </w:t>
      </w:r>
      <w:r w:rsidR="002767B7" w:rsidRPr="002767B7">
        <w:t>d</w:t>
      </w:r>
      <w:r w:rsidR="00591D4B" w:rsidRPr="002767B7">
        <w:t>latego nie rejestrują się</w:t>
      </w:r>
      <w:r w:rsidR="00AE5712" w:rsidRPr="002767B7">
        <w:t xml:space="preserve"> w </w:t>
      </w:r>
      <w:r w:rsidR="00591D4B" w:rsidRPr="002767B7">
        <w:t>PUP</w:t>
      </w:r>
      <w:r w:rsidRPr="002767B7">
        <w:t>.</w:t>
      </w:r>
    </w:p>
    <w:p w:rsidR="00591D4B" w:rsidRPr="00143419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2767B7">
        <w:t>G</w:t>
      </w:r>
      <w:r w:rsidR="001B2026" w:rsidRPr="002767B7">
        <w:t>rupa bezrobotnych</w:t>
      </w:r>
      <w:r w:rsidR="00AE5712" w:rsidRPr="002767B7">
        <w:t xml:space="preserve"> z </w:t>
      </w:r>
      <w:r w:rsidR="001B2026" w:rsidRPr="002767B7">
        <w:t xml:space="preserve">wykształceniem </w:t>
      </w:r>
      <w:r w:rsidR="001B2026" w:rsidRPr="00143419">
        <w:t>wyższym t</w:t>
      </w:r>
      <w:r w:rsidR="00591D4B" w:rsidRPr="00143419">
        <w:t>o</w:t>
      </w:r>
      <w:r w:rsidR="001B2026" w:rsidRPr="00143419">
        <w:t xml:space="preserve"> 1</w:t>
      </w:r>
      <w:r w:rsidR="00143419" w:rsidRPr="00143419">
        <w:t>5</w:t>
      </w:r>
      <w:r w:rsidR="001B2026" w:rsidRPr="00143419">
        <w:t>,</w:t>
      </w:r>
      <w:r w:rsidR="00143419" w:rsidRPr="00143419">
        <w:t>0</w:t>
      </w:r>
      <w:r w:rsidR="001B2026" w:rsidRPr="00143419">
        <w:t>% ogółu</w:t>
      </w:r>
      <w:r w:rsidR="00591D4B" w:rsidRPr="00143419">
        <w:t xml:space="preserve"> – </w:t>
      </w:r>
      <w:r w:rsidR="00183AB1" w:rsidRPr="00143419">
        <w:t>p</w:t>
      </w:r>
      <w:r w:rsidR="001B2026" w:rsidRPr="00143419">
        <w:t xml:space="preserve">odkreślić należy, że już od kilku lat </w:t>
      </w:r>
      <w:r w:rsidR="00183AB1" w:rsidRPr="00143419">
        <w:t>rośnie odsetek osób</w:t>
      </w:r>
      <w:r w:rsidR="00AE5712" w:rsidRPr="00143419">
        <w:t xml:space="preserve"> z </w:t>
      </w:r>
      <w:r w:rsidR="00183AB1" w:rsidRPr="00143419">
        <w:t xml:space="preserve">wykształceniem wyższym wśród osób </w:t>
      </w:r>
      <w:r w:rsidR="001B2026" w:rsidRPr="00143419">
        <w:t>bezrobotnych (</w:t>
      </w:r>
      <w:r w:rsidR="00143419">
        <w:t>‘</w:t>
      </w:r>
      <w:r w:rsidR="001B2026" w:rsidRPr="00143419">
        <w:t>04</w:t>
      </w:r>
      <w:r w:rsidR="00AE5712" w:rsidRPr="00143419">
        <w:t> r.</w:t>
      </w:r>
      <w:r w:rsidR="00591D4B" w:rsidRPr="00143419">
        <w:t>–</w:t>
      </w:r>
      <w:r w:rsidR="001B2026" w:rsidRPr="00143419">
        <w:t>5,5%,</w:t>
      </w:r>
      <w:r w:rsidR="00AD036F" w:rsidRPr="00143419">
        <w:t xml:space="preserve"> </w:t>
      </w:r>
      <w:r w:rsidR="00143419">
        <w:t>‘</w:t>
      </w:r>
      <w:r w:rsidR="001B2026" w:rsidRPr="00143419">
        <w:t>06</w:t>
      </w:r>
      <w:r w:rsidR="00AE5712" w:rsidRPr="00143419">
        <w:t> r.</w:t>
      </w:r>
      <w:r w:rsidR="00591D4B" w:rsidRPr="00143419">
        <w:t>–6,9%</w:t>
      </w:r>
      <w:r w:rsidR="001B2026" w:rsidRPr="00143419">
        <w:t xml:space="preserve">, </w:t>
      </w:r>
      <w:r w:rsidR="00143419">
        <w:t>‘</w:t>
      </w:r>
      <w:r w:rsidR="001B2026" w:rsidRPr="00143419">
        <w:t>08</w:t>
      </w:r>
      <w:r w:rsidR="00AE5712" w:rsidRPr="00143419">
        <w:t> r.</w:t>
      </w:r>
      <w:r w:rsidR="00591D4B" w:rsidRPr="00143419">
        <w:t>–9,2%</w:t>
      </w:r>
      <w:r w:rsidR="001B2026" w:rsidRPr="00143419">
        <w:t xml:space="preserve">, </w:t>
      </w:r>
      <w:r w:rsidR="00143419">
        <w:t>‘</w:t>
      </w:r>
      <w:r w:rsidR="001B2026" w:rsidRPr="00143419">
        <w:t>1</w:t>
      </w:r>
      <w:r w:rsidR="00143419">
        <w:t>0</w:t>
      </w:r>
      <w:r w:rsidR="00AE5712" w:rsidRPr="00143419">
        <w:t> r.</w:t>
      </w:r>
      <w:r w:rsidR="00591D4B" w:rsidRPr="00143419">
        <w:t>–</w:t>
      </w:r>
      <w:r w:rsidR="00C54B4F">
        <w:t>11,7</w:t>
      </w:r>
      <w:r w:rsidR="001B2026" w:rsidRPr="00143419">
        <w:t>%</w:t>
      </w:r>
      <w:r w:rsidR="00591D4B" w:rsidRPr="00143419">
        <w:t>,</w:t>
      </w:r>
      <w:r w:rsidR="001B2026" w:rsidRPr="00143419">
        <w:t xml:space="preserve"> </w:t>
      </w:r>
      <w:r w:rsidR="00143419">
        <w:t>‘</w:t>
      </w:r>
      <w:r w:rsidR="001B2026" w:rsidRPr="00143419">
        <w:t>12</w:t>
      </w:r>
      <w:r w:rsidR="00AE5712" w:rsidRPr="00143419">
        <w:t> r.</w:t>
      </w:r>
      <w:r w:rsidR="001B2026" w:rsidRPr="00143419">
        <w:t xml:space="preserve"> </w:t>
      </w:r>
      <w:r w:rsidR="00591D4B" w:rsidRPr="00143419">
        <w:t>– 13,1%</w:t>
      </w:r>
      <w:r w:rsidR="001B2026" w:rsidRPr="00143419">
        <w:t xml:space="preserve">, </w:t>
      </w:r>
      <w:r w:rsidR="00143419">
        <w:t>‘</w:t>
      </w:r>
      <w:r w:rsidR="001B2026" w:rsidRPr="00143419">
        <w:t>14</w:t>
      </w:r>
      <w:r w:rsidR="00AE5712" w:rsidRPr="00143419">
        <w:t> r.</w:t>
      </w:r>
      <w:r w:rsidR="001B2026" w:rsidRPr="00143419">
        <w:t xml:space="preserve"> </w:t>
      </w:r>
      <w:r w:rsidR="00591D4B" w:rsidRPr="00143419">
        <w:t xml:space="preserve">– </w:t>
      </w:r>
      <w:r w:rsidR="001B2026" w:rsidRPr="00143419">
        <w:t>13,9%</w:t>
      </w:r>
      <w:r w:rsidR="00143419">
        <w:t>, 2015 r. – 14,2%</w:t>
      </w:r>
      <w:r w:rsidR="001B2026" w:rsidRPr="00143419">
        <w:t>)</w:t>
      </w:r>
      <w:r w:rsidRPr="00143419">
        <w:t>.</w:t>
      </w:r>
    </w:p>
    <w:p w:rsidR="00591D4B" w:rsidRPr="00597400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lang w:eastAsia="pl-PL"/>
        </w:rPr>
      </w:pPr>
      <w:r w:rsidRPr="002767B7">
        <w:t>A</w:t>
      </w:r>
      <w:r w:rsidR="00591D4B" w:rsidRPr="002767B7">
        <w:t xml:space="preserve">naliza czasu pozostawania bez pracy wyraźnie pokazuje, </w:t>
      </w:r>
      <w:r w:rsidR="00591D4B" w:rsidRPr="00597400">
        <w:t>że</w:t>
      </w:r>
      <w:r w:rsidR="00AE5712" w:rsidRPr="00597400">
        <w:t xml:space="preserve"> w </w:t>
      </w:r>
      <w:r w:rsidR="000A5B66" w:rsidRPr="00597400">
        <w:t>grupach osób</w:t>
      </w:r>
      <w:r w:rsidR="00AE5712" w:rsidRPr="00597400">
        <w:t xml:space="preserve"> z </w:t>
      </w:r>
      <w:r w:rsidR="000A5B66" w:rsidRPr="00597400">
        <w:t>wykształceniem zasadniczym zawodowym oraz</w:t>
      </w:r>
      <w:r w:rsidR="00AE5712" w:rsidRPr="00597400">
        <w:t xml:space="preserve"> z </w:t>
      </w:r>
      <w:r w:rsidR="000A5B66" w:rsidRPr="00597400">
        <w:t>gimnazjalnym</w:t>
      </w:r>
      <w:r w:rsidR="00AE5712" w:rsidRPr="00597400">
        <w:t xml:space="preserve"> i </w:t>
      </w:r>
      <w:r w:rsidR="000A5B66" w:rsidRPr="00597400">
        <w:t>niższym przybywa osób bezrobotnych wraz</w:t>
      </w:r>
      <w:r w:rsidR="00AE5712" w:rsidRPr="00597400">
        <w:t xml:space="preserve"> z </w:t>
      </w:r>
      <w:r w:rsidR="000A5B66" w:rsidRPr="00597400">
        <w:t>wydłużaniem się okresu b</w:t>
      </w:r>
      <w:r w:rsidR="00A97EF7" w:rsidRPr="00597400">
        <w:t>raku</w:t>
      </w:r>
      <w:r w:rsidR="000A5B66" w:rsidRPr="00597400">
        <w:t xml:space="preserve"> aktywności zawodowej</w:t>
      </w:r>
      <w:r w:rsidR="00597400">
        <w:t xml:space="preserve"> – </w:t>
      </w:r>
      <w:r w:rsidR="00AE5712" w:rsidRPr="00597400">
        <w:t xml:space="preserve"> w </w:t>
      </w:r>
      <w:r w:rsidR="000A5B66" w:rsidRPr="00597400">
        <w:t>grupie osób pozostających bez pracy pow</w:t>
      </w:r>
      <w:r w:rsidR="00597400">
        <w:t>.</w:t>
      </w:r>
      <w:r w:rsidR="000A5B66" w:rsidRPr="00597400">
        <w:t xml:space="preserve"> 24 miesięcy (długotrwale bezrobotnych) </w:t>
      </w:r>
      <w:r w:rsidR="00C31034" w:rsidRPr="00597400">
        <w:t>wykształcenie zasadnicze zawodowe</w:t>
      </w:r>
      <w:r w:rsidR="000A5B66" w:rsidRPr="00597400">
        <w:t xml:space="preserve"> </w:t>
      </w:r>
      <w:r w:rsidR="00C31034" w:rsidRPr="00597400">
        <w:t xml:space="preserve">posiada </w:t>
      </w:r>
      <w:r w:rsidR="000A5B66" w:rsidRPr="00597400">
        <w:t>aż 1</w:t>
      </w:r>
      <w:r w:rsidR="00597400" w:rsidRPr="00597400">
        <w:t>0</w:t>
      </w:r>
      <w:r w:rsidR="000A5B66" w:rsidRPr="00597400">
        <w:t> 3</w:t>
      </w:r>
      <w:r w:rsidR="00597400" w:rsidRPr="00597400">
        <w:t>86</w:t>
      </w:r>
      <w:r w:rsidR="000A5B66" w:rsidRPr="00597400">
        <w:t xml:space="preserve"> osób,</w:t>
      </w:r>
      <w:r w:rsidR="00AE5712" w:rsidRPr="00597400">
        <w:t xml:space="preserve"> a </w:t>
      </w:r>
      <w:r w:rsidR="00C31034" w:rsidRPr="00597400">
        <w:t>gimnazjalne</w:t>
      </w:r>
      <w:r w:rsidR="00AE5712" w:rsidRPr="00597400">
        <w:t xml:space="preserve"> i </w:t>
      </w:r>
      <w:r w:rsidR="000A5B66" w:rsidRPr="00597400">
        <w:t>niższ</w:t>
      </w:r>
      <w:r w:rsidR="00C31034" w:rsidRPr="00597400">
        <w:t>e</w:t>
      </w:r>
      <w:r w:rsidR="000A5B66" w:rsidRPr="00597400">
        <w:t xml:space="preserve"> </w:t>
      </w:r>
      <w:r w:rsidR="00C31034" w:rsidRPr="00597400">
        <w:t xml:space="preserve">– </w:t>
      </w:r>
      <w:r w:rsidR="00597400" w:rsidRPr="00597400">
        <w:t>8</w:t>
      </w:r>
      <w:r w:rsidR="000A5B66" w:rsidRPr="00597400">
        <w:t> </w:t>
      </w:r>
      <w:r w:rsidR="00597400" w:rsidRPr="00597400">
        <w:t>329</w:t>
      </w:r>
      <w:r w:rsidR="000A5B66" w:rsidRPr="00597400">
        <w:t xml:space="preserve"> osób</w:t>
      </w:r>
      <w:r w:rsidRPr="00597400">
        <w:t>.</w:t>
      </w:r>
    </w:p>
    <w:p w:rsidR="00FE08D7" w:rsidRPr="00DD4FBC" w:rsidRDefault="00FE08D7" w:rsidP="001759E1">
      <w:pPr>
        <w:pStyle w:val="Default"/>
        <w:jc w:val="both"/>
        <w:outlineLvl w:val="1"/>
        <w:rPr>
          <w:b/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B2026" w:rsidRPr="00452A1B" w:rsidRDefault="001B2026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6" w:name="_Toc477160361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wg stażu pracy</w:t>
      </w:r>
      <w:bookmarkEnd w:id="16"/>
    </w:p>
    <w:p w:rsidR="001B2026" w:rsidRPr="00E613EA" w:rsidRDefault="001B2026" w:rsidP="001B2026">
      <w:pPr>
        <w:pStyle w:val="Default"/>
        <w:jc w:val="both"/>
        <w:rPr>
          <w:b/>
          <w:bCs/>
          <w:highlight w:val="yellow"/>
        </w:rPr>
      </w:pPr>
    </w:p>
    <w:p w:rsidR="00AE2F19" w:rsidRPr="00E613EA" w:rsidRDefault="00FE08D7" w:rsidP="00DD4FBC">
      <w:pPr>
        <w:pStyle w:val="Bezodstpw"/>
        <w:jc w:val="center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31CE37D8" wp14:editId="4F4119C2">
            <wp:extent cx="5261211" cy="2709080"/>
            <wp:effectExtent l="0" t="0" r="0" b="0"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1415" cy="2709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B66" w:rsidRPr="00FE08D7" w:rsidRDefault="001B7AFA" w:rsidP="00452A1B">
      <w:pPr>
        <w:pStyle w:val="Default"/>
        <w:pBdr>
          <w:bottom w:val="single" w:sz="4" w:space="1" w:color="auto"/>
        </w:pBdr>
        <w:jc w:val="both"/>
      </w:pPr>
      <w:r w:rsidRPr="00FE08D7">
        <w:lastRenderedPageBreak/>
        <w:t>Wnioski:</w:t>
      </w:r>
    </w:p>
    <w:p w:rsidR="000A5B66" w:rsidRPr="00095CCA" w:rsidRDefault="000A5B66" w:rsidP="000A5B6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095CCA">
        <w:rPr>
          <w:rFonts w:ascii="Times New Roman" w:hAnsi="Times New Roman" w:cs="Times New Roman"/>
          <w:szCs w:val="24"/>
        </w:rPr>
        <w:t>(na podstawie danych</w:t>
      </w:r>
      <w:r w:rsidR="00AE5712" w:rsidRPr="00095CCA">
        <w:rPr>
          <w:rFonts w:ascii="Times New Roman" w:hAnsi="Times New Roman" w:cs="Times New Roman"/>
          <w:szCs w:val="24"/>
        </w:rPr>
        <w:t xml:space="preserve"> z </w:t>
      </w:r>
      <w:r w:rsidR="00FE08D7" w:rsidRPr="00095CCA">
        <w:rPr>
          <w:rFonts w:ascii="Times New Roman" w:hAnsi="Times New Roman" w:cs="Times New Roman"/>
          <w:szCs w:val="24"/>
        </w:rPr>
        <w:t>t</w:t>
      </w:r>
      <w:r w:rsidRPr="00095CCA">
        <w:rPr>
          <w:rFonts w:ascii="Times New Roman" w:hAnsi="Times New Roman" w:cs="Times New Roman"/>
          <w:szCs w:val="24"/>
        </w:rPr>
        <w:t xml:space="preserve">abeli </w:t>
      </w:r>
      <w:r w:rsidR="00FE08D7" w:rsidRPr="00095CCA">
        <w:rPr>
          <w:rFonts w:ascii="Times New Roman" w:hAnsi="Times New Roman" w:cs="Times New Roman"/>
          <w:szCs w:val="24"/>
        </w:rPr>
        <w:t>XI</w:t>
      </w:r>
      <w:r w:rsidR="00095CCA" w:rsidRPr="00095CCA">
        <w:rPr>
          <w:rFonts w:ascii="Times New Roman" w:hAnsi="Times New Roman" w:cs="Times New Roman"/>
          <w:szCs w:val="24"/>
        </w:rPr>
        <w:t>, XII, XIII i XIV</w:t>
      </w:r>
      <w:r w:rsidR="007E4B81">
        <w:rPr>
          <w:rFonts w:ascii="Times New Roman" w:hAnsi="Times New Roman" w:cs="Times New Roman"/>
          <w:szCs w:val="24"/>
        </w:rPr>
        <w:t xml:space="preserve"> c</w:t>
      </w:r>
      <w:r w:rsidR="001B7AFA" w:rsidRPr="00095CCA">
        <w:rPr>
          <w:rFonts w:ascii="Times New Roman" w:hAnsi="Times New Roman" w:cs="Times New Roman"/>
          <w:szCs w:val="24"/>
        </w:rPr>
        <w:t>)</w:t>
      </w:r>
    </w:p>
    <w:p w:rsidR="001B2026" w:rsidRPr="00597400" w:rsidRDefault="001B7AFA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597400">
        <w:t>O</w:t>
      </w:r>
      <w:r w:rsidR="000A5B66" w:rsidRPr="00597400">
        <w:t xml:space="preserve">soby </w:t>
      </w:r>
      <w:r w:rsidR="00847383" w:rsidRPr="00597400">
        <w:t xml:space="preserve">bez stażu pracy oraz osoby </w:t>
      </w:r>
      <w:r w:rsidR="000A5B66" w:rsidRPr="00597400">
        <w:t>ze stażem pracy do 5 lat stanowią</w:t>
      </w:r>
      <w:r w:rsidR="00AE5712" w:rsidRPr="00597400">
        <w:t xml:space="preserve"> w </w:t>
      </w:r>
      <w:r w:rsidR="000A5B66" w:rsidRPr="00597400">
        <w:t>sumie 60,</w:t>
      </w:r>
      <w:r w:rsidR="00597400" w:rsidRPr="00597400">
        <w:t>1</w:t>
      </w:r>
      <w:r w:rsidR="000A5B66" w:rsidRPr="00597400">
        <w:t xml:space="preserve">% ogółu </w:t>
      </w:r>
      <w:r w:rsidR="00A97EF7" w:rsidRPr="00597400">
        <w:t xml:space="preserve">osób </w:t>
      </w:r>
      <w:r w:rsidR="000A5B66" w:rsidRPr="00597400">
        <w:t>bezrobotnych – liczba ta wskazuje na większ</w:t>
      </w:r>
      <w:r w:rsidR="00C31034" w:rsidRPr="00597400">
        <w:t>e</w:t>
      </w:r>
      <w:r w:rsidR="000A5B66" w:rsidRPr="00597400">
        <w:t xml:space="preserve"> </w:t>
      </w:r>
      <w:r w:rsidR="00C31034" w:rsidRPr="00597400">
        <w:t xml:space="preserve">trudności </w:t>
      </w:r>
      <w:r w:rsidR="000A5B66" w:rsidRPr="00597400">
        <w:t>ze znalezieniem pracy</w:t>
      </w:r>
      <w:r w:rsidR="001153DE" w:rsidRPr="00597400">
        <w:t xml:space="preserve"> wśród osób</w:t>
      </w:r>
      <w:r w:rsidR="00AE5712" w:rsidRPr="00597400">
        <w:t xml:space="preserve"> z </w:t>
      </w:r>
      <w:r w:rsidR="00597400">
        <w:t>n</w:t>
      </w:r>
      <w:r w:rsidR="001153DE" w:rsidRPr="00597400">
        <w:t>ajmniejszym doświadczeniem zawodowym</w:t>
      </w:r>
      <w:r w:rsidR="00847383" w:rsidRPr="00597400">
        <w:t>.</w:t>
      </w:r>
    </w:p>
    <w:p w:rsidR="001B2026" w:rsidRPr="00597400" w:rsidRDefault="00847383" w:rsidP="00160DBC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597400">
        <w:t>W</w:t>
      </w:r>
      <w:r w:rsidR="001B2026" w:rsidRPr="00597400">
        <w:t>arto zaznaczyć</w:t>
      </w:r>
      <w:r w:rsidR="00A97EF7" w:rsidRPr="00597400">
        <w:t>,</w:t>
      </w:r>
      <w:r w:rsidR="001153DE" w:rsidRPr="00597400">
        <w:t xml:space="preserve"> że</w:t>
      </w:r>
      <w:r w:rsidR="00AE5712" w:rsidRPr="00597400">
        <w:t xml:space="preserve"> w </w:t>
      </w:r>
      <w:r w:rsidR="001B2026" w:rsidRPr="00597400">
        <w:t xml:space="preserve">jeszcze większym stopniu opisana trudna sytuacja dotyczyła bezrobotnych kobiet bez </w:t>
      </w:r>
      <w:r w:rsidR="001153DE" w:rsidRPr="00597400">
        <w:t xml:space="preserve">doświadczenia </w:t>
      </w:r>
      <w:r w:rsidR="00A97EF7" w:rsidRPr="00597400">
        <w:t xml:space="preserve">zawodowego </w:t>
      </w:r>
      <w:r w:rsidR="001B2026" w:rsidRPr="00597400">
        <w:t>lub z</w:t>
      </w:r>
      <w:r w:rsidR="001153DE" w:rsidRPr="00597400">
        <w:t>e</w:t>
      </w:r>
      <w:r w:rsidR="001B2026" w:rsidRPr="00597400">
        <w:t xml:space="preserve"> stażem pracy</w:t>
      </w:r>
      <w:r w:rsidR="001153DE" w:rsidRPr="00597400">
        <w:t xml:space="preserve"> do 5 lat –</w:t>
      </w:r>
      <w:r w:rsidR="001B2026" w:rsidRPr="00597400">
        <w:t xml:space="preserve"> stanowiły </w:t>
      </w:r>
      <w:r w:rsidR="001153DE" w:rsidRPr="00597400">
        <w:t xml:space="preserve">one aż </w:t>
      </w:r>
      <w:r w:rsidR="001B2026" w:rsidRPr="00597400">
        <w:t>65</w:t>
      </w:r>
      <w:r w:rsidR="00597400" w:rsidRPr="00597400">
        <w:t>,0</w:t>
      </w:r>
      <w:r w:rsidR="001B2026" w:rsidRPr="00597400">
        <w:t>%</w:t>
      </w:r>
      <w:r w:rsidR="00A97EF7" w:rsidRPr="00597400">
        <w:t xml:space="preserve"> ogółu</w:t>
      </w:r>
      <w:r w:rsidRPr="00597400">
        <w:t>.</w:t>
      </w:r>
    </w:p>
    <w:p w:rsidR="001153DE" w:rsidRPr="004C619B" w:rsidRDefault="007F0993" w:rsidP="00B51C47">
      <w:pPr>
        <w:pStyle w:val="Default"/>
        <w:numPr>
          <w:ilvl w:val="0"/>
          <w:numId w:val="5"/>
        </w:numPr>
        <w:spacing w:line="360" w:lineRule="auto"/>
        <w:jc w:val="both"/>
        <w:rPr>
          <w:b/>
          <w:bCs/>
        </w:rPr>
      </w:pPr>
      <w:r w:rsidRPr="004C619B">
        <w:t>Osoby bezrobotne</w:t>
      </w:r>
      <w:r w:rsidR="00AE5712" w:rsidRPr="004C619B">
        <w:t xml:space="preserve"> z </w:t>
      </w:r>
      <w:r w:rsidR="00597400" w:rsidRPr="004C619B">
        <w:t>nikłym</w:t>
      </w:r>
      <w:r w:rsidR="001153DE" w:rsidRPr="004C619B">
        <w:t xml:space="preserve"> stażem pracy </w:t>
      </w:r>
      <w:r w:rsidRPr="004C619B">
        <w:t>przeważają</w:t>
      </w:r>
      <w:r w:rsidR="004C619B" w:rsidRPr="004C619B">
        <w:t xml:space="preserve"> </w:t>
      </w:r>
      <w:r w:rsidR="00AE5712" w:rsidRPr="004C619B">
        <w:t>w</w:t>
      </w:r>
      <w:r w:rsidR="004C619B" w:rsidRPr="004C619B">
        <w:t xml:space="preserve"> </w:t>
      </w:r>
      <w:r w:rsidR="001153DE" w:rsidRPr="004C619B">
        <w:t>każdej</w:t>
      </w:r>
      <w:r w:rsidR="004C619B" w:rsidRPr="004C619B">
        <w:t xml:space="preserve"> </w:t>
      </w:r>
      <w:r w:rsidR="001153DE" w:rsidRPr="004C619B">
        <w:t>kategorii</w:t>
      </w:r>
      <w:r w:rsidR="004C619B" w:rsidRPr="004C619B">
        <w:t xml:space="preserve"> </w:t>
      </w:r>
      <w:r w:rsidR="001153DE" w:rsidRPr="004C619B">
        <w:t>czasu pozostawania bez pracy</w:t>
      </w:r>
      <w:r w:rsidRPr="004C619B">
        <w:t>.</w:t>
      </w:r>
      <w:r w:rsidR="00B51C47" w:rsidRPr="004C619B">
        <w:rPr>
          <w:b/>
          <w:bCs/>
        </w:rPr>
        <w:t xml:space="preserve"> </w:t>
      </w:r>
      <w:r w:rsidR="00B51C47" w:rsidRPr="004C619B">
        <w:rPr>
          <w:bCs/>
        </w:rPr>
        <w:t>Warto z</w:t>
      </w:r>
      <w:r w:rsidR="00B51C47" w:rsidRPr="004C619B">
        <w:t>wrócić uwagę, że g</w:t>
      </w:r>
      <w:r w:rsidRPr="004C619B">
        <w:t xml:space="preserve">rupa osób pozostających bez pracy powyżej 24 miesięcy </w:t>
      </w:r>
      <w:r w:rsidR="00597400" w:rsidRPr="004C619B">
        <w:t xml:space="preserve">i </w:t>
      </w:r>
      <w:r w:rsidRPr="004C619B">
        <w:t xml:space="preserve">osoby bez stażu pracy oraz ze stażem nie większym niż 5 lat </w:t>
      </w:r>
      <w:r w:rsidR="00B51C47" w:rsidRPr="004C619B">
        <w:t>jest naj</w:t>
      </w:r>
      <w:r w:rsidRPr="004C619B">
        <w:t>licz</w:t>
      </w:r>
      <w:r w:rsidR="00B51C47" w:rsidRPr="004C619B">
        <w:t>niejsza</w:t>
      </w:r>
      <w:r w:rsidRPr="004C619B">
        <w:t xml:space="preserve"> </w:t>
      </w:r>
      <w:r w:rsidR="00B51C47" w:rsidRPr="004C619B">
        <w:t>(</w:t>
      </w:r>
      <w:r w:rsidRPr="004C619B">
        <w:t xml:space="preserve">łącznie </w:t>
      </w:r>
      <w:r w:rsidR="004C619B" w:rsidRPr="004C619B">
        <w:t>17</w:t>
      </w:r>
      <w:r w:rsidR="00847383" w:rsidRPr="004C619B">
        <w:t> </w:t>
      </w:r>
      <w:r w:rsidR="004C619B" w:rsidRPr="004C619B">
        <w:t>818</w:t>
      </w:r>
      <w:r w:rsidR="00847383" w:rsidRPr="004C619B">
        <w:t xml:space="preserve"> osób</w:t>
      </w:r>
      <w:r w:rsidR="004C619B" w:rsidRPr="004C619B">
        <w:t xml:space="preserve"> – 55,6%</w:t>
      </w:r>
      <w:r w:rsidR="00B51C47" w:rsidRPr="004C619B">
        <w:t>)</w:t>
      </w:r>
      <w:r w:rsidR="00847383" w:rsidRPr="004C619B">
        <w:t>.</w:t>
      </w:r>
    </w:p>
    <w:p w:rsidR="00FE08D7" w:rsidRDefault="00FE08D7" w:rsidP="00FE08D7">
      <w:pPr>
        <w:pStyle w:val="Default"/>
        <w:spacing w:line="360" w:lineRule="auto"/>
        <w:jc w:val="both"/>
        <w:rPr>
          <w:b/>
          <w:bCs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0F85FB79" wp14:editId="220D1C30">
            <wp:extent cx="5759450" cy="5148649"/>
            <wp:effectExtent l="0" t="0" r="0" b="0"/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14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D7" w:rsidRDefault="00FE08D7" w:rsidP="00FE08D7">
      <w:pPr>
        <w:pStyle w:val="Default"/>
        <w:spacing w:line="360" w:lineRule="auto"/>
        <w:jc w:val="both"/>
        <w:rPr>
          <w:b/>
          <w:bCs/>
          <w:highlight w:val="yellow"/>
        </w:rPr>
      </w:pPr>
    </w:p>
    <w:p w:rsidR="00FE08D7" w:rsidRDefault="00FE08D7" w:rsidP="00FE08D7">
      <w:pPr>
        <w:pStyle w:val="Default"/>
        <w:spacing w:line="360" w:lineRule="auto"/>
        <w:jc w:val="both"/>
        <w:rPr>
          <w:b/>
          <w:bCs/>
          <w:highlight w:val="yellow"/>
        </w:rPr>
      </w:pPr>
      <w:r w:rsidRPr="00FE08D7">
        <w:rPr>
          <w:noProof/>
          <w:lang w:eastAsia="pl-PL"/>
        </w:rPr>
        <w:lastRenderedPageBreak/>
        <w:drawing>
          <wp:inline distT="0" distB="0" distL="0" distR="0" wp14:anchorId="6BFF1EFF" wp14:editId="35551A5E">
            <wp:extent cx="5759450" cy="5012156"/>
            <wp:effectExtent l="0" t="0" r="0" b="0"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012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D7" w:rsidRPr="00E613EA" w:rsidRDefault="00FE08D7" w:rsidP="00FE08D7">
      <w:pPr>
        <w:pStyle w:val="Default"/>
        <w:spacing w:line="360" w:lineRule="auto"/>
        <w:jc w:val="both"/>
        <w:rPr>
          <w:b/>
          <w:bCs/>
          <w:highlight w:val="yellow"/>
        </w:rPr>
      </w:pPr>
    </w:p>
    <w:p w:rsidR="001153DE" w:rsidRPr="00E613EA" w:rsidRDefault="001153DE" w:rsidP="009A1F42">
      <w:pPr>
        <w:pStyle w:val="Default"/>
        <w:jc w:val="both"/>
        <w:rPr>
          <w:b/>
          <w:bCs/>
          <w:highlight w:val="yellow"/>
        </w:rPr>
        <w:sectPr w:rsidR="001153DE" w:rsidRPr="00E613EA" w:rsidSect="00063539">
          <w:footerReference w:type="default" r:id="rId3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1CE15A0C" wp14:editId="0C48464B">
            <wp:extent cx="8891270" cy="1479291"/>
            <wp:effectExtent l="0" t="0" r="5080" b="6985"/>
            <wp:docPr id="672" name="Obraz 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479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4BBD6D1C" wp14:editId="3D0F980C">
            <wp:extent cx="8891270" cy="1504936"/>
            <wp:effectExtent l="0" t="0" r="5080" b="635"/>
            <wp:docPr id="673" name="Obraz 6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50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FE08D7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FE08D7" w:rsidRPr="00E613EA" w:rsidRDefault="00FE08D7" w:rsidP="00567436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FE08D7">
        <w:rPr>
          <w:noProof/>
          <w:lang w:eastAsia="pl-PL"/>
        </w:rPr>
        <w:drawing>
          <wp:inline distT="0" distB="0" distL="0" distR="0" wp14:anchorId="1A48EC23" wp14:editId="7A97C424">
            <wp:extent cx="8891270" cy="1602791"/>
            <wp:effectExtent l="0" t="0" r="5080" b="0"/>
            <wp:docPr id="674" name="Obraz 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602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53DE" w:rsidRPr="00E613EA" w:rsidRDefault="001153DE" w:rsidP="009A1F42">
      <w:pPr>
        <w:pStyle w:val="Default"/>
        <w:jc w:val="both"/>
        <w:rPr>
          <w:b/>
          <w:bCs/>
          <w:highlight w:val="yellow"/>
        </w:rPr>
        <w:sectPr w:rsidR="001153DE" w:rsidRPr="00E613EA" w:rsidSect="0006353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E324E9" w:rsidRPr="00452A1B" w:rsidRDefault="00E324E9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7" w:name="_Toc477160362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zamieszkali na wsi</w:t>
      </w:r>
      <w:bookmarkEnd w:id="17"/>
    </w:p>
    <w:p w:rsidR="00B7165C" w:rsidRPr="00E613EA" w:rsidRDefault="00B7165C" w:rsidP="009A1F42">
      <w:pPr>
        <w:pStyle w:val="Default"/>
        <w:jc w:val="both"/>
        <w:rPr>
          <w:b/>
          <w:bCs/>
          <w:highlight w:val="yellow"/>
        </w:rPr>
      </w:pPr>
    </w:p>
    <w:p w:rsidR="00E324E9" w:rsidRDefault="00E324E9" w:rsidP="009A1F42">
      <w:pPr>
        <w:pStyle w:val="Default"/>
        <w:spacing w:line="360" w:lineRule="auto"/>
        <w:jc w:val="both"/>
        <w:rPr>
          <w:highlight w:val="yellow"/>
        </w:rPr>
      </w:pPr>
      <w:r w:rsidRPr="00095CCA">
        <w:t xml:space="preserve">Na </w:t>
      </w:r>
      <w:r w:rsidR="00F53FE2" w:rsidRPr="00095CCA">
        <w:t>dzień 31</w:t>
      </w:r>
      <w:r w:rsidR="00A51FE0" w:rsidRPr="00095CCA">
        <w:t xml:space="preserve"> XII ‘</w:t>
      </w:r>
      <w:r w:rsidR="00F53FE2" w:rsidRPr="00095CCA">
        <w:t>1</w:t>
      </w:r>
      <w:r w:rsidR="00A51FE0" w:rsidRPr="00095CCA">
        <w:t>6</w:t>
      </w:r>
      <w:r w:rsidRPr="00095CCA">
        <w:t xml:space="preserve"> r</w:t>
      </w:r>
      <w:r w:rsidR="00273E11" w:rsidRPr="00095CCA">
        <w:t>oku</w:t>
      </w:r>
      <w:r w:rsidRPr="00095CCA">
        <w:t xml:space="preserve"> spośród ogółu zarejestrowanych bezrobotnych </w:t>
      </w:r>
      <w:r w:rsidR="00095CCA" w:rsidRPr="00095CCA">
        <w:t>67</w:t>
      </w:r>
      <w:r w:rsidRPr="00095CCA">
        <w:t xml:space="preserve"> </w:t>
      </w:r>
      <w:r w:rsidR="00095CCA" w:rsidRPr="00095CCA">
        <w:t>753</w:t>
      </w:r>
      <w:r w:rsidRPr="00095CCA">
        <w:t xml:space="preserve"> osób mieszkało na terenach </w:t>
      </w:r>
      <w:r w:rsidRPr="003630C1">
        <w:t>wiejskich</w:t>
      </w:r>
      <w:r w:rsidR="00F53FE2" w:rsidRPr="003630C1">
        <w:t xml:space="preserve"> (</w:t>
      </w:r>
      <w:r w:rsidRPr="003630C1">
        <w:t>6</w:t>
      </w:r>
      <w:r w:rsidR="003630C1" w:rsidRPr="003630C1">
        <w:t>3</w:t>
      </w:r>
      <w:r w:rsidR="003630C1">
        <w:t>,0</w:t>
      </w:r>
      <w:r w:rsidRPr="00095CCA">
        <w:t>% ogółu bezrobotnych</w:t>
      </w:r>
      <w:r w:rsidR="00F53FE2" w:rsidRPr="00095CCA">
        <w:t>)</w:t>
      </w:r>
      <w:r w:rsidR="00B56D55" w:rsidRPr="00095CCA">
        <w:t>.</w:t>
      </w:r>
    </w:p>
    <w:p w:rsidR="00095CCA" w:rsidRPr="00095CCA" w:rsidRDefault="00095CCA" w:rsidP="009A1F42">
      <w:pPr>
        <w:pStyle w:val="Default"/>
        <w:spacing w:line="360" w:lineRule="auto"/>
        <w:jc w:val="both"/>
        <w:rPr>
          <w:sz w:val="16"/>
          <w:szCs w:val="16"/>
          <w:highlight w:val="yellow"/>
        </w:rPr>
      </w:pPr>
    </w:p>
    <w:p w:rsidR="00B56D55" w:rsidRPr="00E613EA" w:rsidRDefault="00095CCA" w:rsidP="00D665E1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095CCA">
        <w:rPr>
          <w:noProof/>
          <w:lang w:eastAsia="pl-PL"/>
        </w:rPr>
        <w:drawing>
          <wp:inline distT="0" distB="0" distL="0" distR="0" wp14:anchorId="2B4C9995" wp14:editId="34ACB063">
            <wp:extent cx="5759450" cy="6670377"/>
            <wp:effectExtent l="0" t="0" r="0" b="0"/>
            <wp:docPr id="690" name="Obraz 6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67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55" w:rsidRPr="00E613EA" w:rsidRDefault="00B56D55" w:rsidP="00D665E1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E324E9" w:rsidRPr="00E613EA" w:rsidRDefault="00AD036F" w:rsidP="009A1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E613EA">
        <w:rPr>
          <w:rFonts w:ascii="Times New Roman" w:hAnsi="Times New Roman" w:cs="Times New Roman"/>
          <w:bCs/>
          <w:color w:val="000000"/>
          <w:sz w:val="24"/>
          <w:szCs w:val="24"/>
          <w:highlight w:val="yellow"/>
        </w:rPr>
        <w:t xml:space="preserve"> </w:t>
      </w:r>
    </w:p>
    <w:p w:rsidR="001759E1" w:rsidRPr="00E613EA" w:rsidRDefault="001759E1" w:rsidP="009A1F42">
      <w:pPr>
        <w:pStyle w:val="Default"/>
        <w:spacing w:line="360" w:lineRule="auto"/>
        <w:jc w:val="both"/>
        <w:rPr>
          <w:highlight w:val="yellow"/>
        </w:rPr>
      </w:pPr>
    </w:p>
    <w:p w:rsidR="001759E1" w:rsidRPr="00E613EA" w:rsidRDefault="001759E1" w:rsidP="009A1F42">
      <w:pPr>
        <w:pStyle w:val="Default"/>
        <w:spacing w:line="360" w:lineRule="auto"/>
        <w:jc w:val="both"/>
        <w:rPr>
          <w:highlight w:val="yellow"/>
        </w:rPr>
      </w:pPr>
    </w:p>
    <w:p w:rsidR="001759E1" w:rsidRPr="00E613EA" w:rsidRDefault="001759E1" w:rsidP="009A1F42">
      <w:pPr>
        <w:pStyle w:val="Default"/>
        <w:spacing w:line="360" w:lineRule="auto"/>
        <w:jc w:val="both"/>
        <w:rPr>
          <w:highlight w:val="yellow"/>
        </w:rPr>
      </w:pPr>
    </w:p>
    <w:p w:rsidR="00011FA8" w:rsidRPr="00452A1B" w:rsidRDefault="00B56D55" w:rsidP="00452A1B">
      <w:pPr>
        <w:pStyle w:val="Default"/>
        <w:pBdr>
          <w:bottom w:val="single" w:sz="4" w:space="1" w:color="auto"/>
        </w:pBdr>
        <w:jc w:val="both"/>
      </w:pPr>
      <w:r w:rsidRPr="00452A1B">
        <w:lastRenderedPageBreak/>
        <w:t>Wnioski</w:t>
      </w:r>
      <w:r w:rsidR="00011FA8" w:rsidRPr="00452A1B">
        <w:t>:</w:t>
      </w:r>
    </w:p>
    <w:p w:rsidR="00E135B6" w:rsidRDefault="00E135B6" w:rsidP="00E135B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3630C1">
        <w:rPr>
          <w:rFonts w:ascii="Times New Roman" w:hAnsi="Times New Roman" w:cs="Times New Roman"/>
          <w:szCs w:val="24"/>
        </w:rPr>
        <w:t>(na podstawie danych</w:t>
      </w:r>
      <w:r w:rsidR="00AE5712" w:rsidRPr="003630C1">
        <w:rPr>
          <w:rFonts w:ascii="Times New Roman" w:hAnsi="Times New Roman" w:cs="Times New Roman"/>
          <w:szCs w:val="24"/>
        </w:rPr>
        <w:t xml:space="preserve"> z </w:t>
      </w:r>
      <w:r w:rsidR="003630C1" w:rsidRPr="003630C1">
        <w:rPr>
          <w:rFonts w:ascii="Times New Roman" w:hAnsi="Times New Roman" w:cs="Times New Roman"/>
          <w:szCs w:val="24"/>
        </w:rPr>
        <w:t>t</w:t>
      </w:r>
      <w:r w:rsidRPr="003630C1">
        <w:rPr>
          <w:rFonts w:ascii="Times New Roman" w:hAnsi="Times New Roman" w:cs="Times New Roman"/>
          <w:szCs w:val="24"/>
        </w:rPr>
        <w:t>abel</w:t>
      </w:r>
      <w:r w:rsidR="003630C1" w:rsidRPr="003630C1">
        <w:rPr>
          <w:rFonts w:ascii="Times New Roman" w:hAnsi="Times New Roman" w:cs="Times New Roman"/>
          <w:szCs w:val="24"/>
        </w:rPr>
        <w:t>:</w:t>
      </w:r>
      <w:r w:rsidRPr="003630C1">
        <w:rPr>
          <w:rFonts w:ascii="Times New Roman" w:hAnsi="Times New Roman" w:cs="Times New Roman"/>
          <w:szCs w:val="24"/>
        </w:rPr>
        <w:t xml:space="preserve"> </w:t>
      </w:r>
      <w:r w:rsidR="003630C1" w:rsidRPr="003630C1">
        <w:rPr>
          <w:rFonts w:ascii="Times New Roman" w:hAnsi="Times New Roman" w:cs="Times New Roman"/>
          <w:szCs w:val="24"/>
        </w:rPr>
        <w:t>XV</w:t>
      </w:r>
      <w:r w:rsidR="00B56D55" w:rsidRPr="003630C1">
        <w:rPr>
          <w:rFonts w:ascii="Times New Roman" w:hAnsi="Times New Roman" w:cs="Times New Roman"/>
          <w:szCs w:val="24"/>
        </w:rPr>
        <w:t>,</w:t>
      </w:r>
      <w:r w:rsidRPr="003630C1">
        <w:rPr>
          <w:rFonts w:ascii="Times New Roman" w:hAnsi="Times New Roman" w:cs="Times New Roman"/>
          <w:szCs w:val="24"/>
        </w:rPr>
        <w:t xml:space="preserve"> </w:t>
      </w:r>
      <w:r w:rsidR="007E4B81">
        <w:rPr>
          <w:rFonts w:ascii="Times New Roman" w:hAnsi="Times New Roman" w:cs="Times New Roman"/>
          <w:szCs w:val="24"/>
        </w:rPr>
        <w:t>XVI, XVII i XVIII a, b</w:t>
      </w:r>
      <w:r w:rsidR="00B21DA4">
        <w:rPr>
          <w:rFonts w:ascii="Times New Roman" w:hAnsi="Times New Roman" w:cs="Times New Roman"/>
          <w:szCs w:val="24"/>
        </w:rPr>
        <w:t xml:space="preserve"> i</w:t>
      </w:r>
      <w:r w:rsidR="007E4B81">
        <w:rPr>
          <w:rFonts w:ascii="Times New Roman" w:hAnsi="Times New Roman" w:cs="Times New Roman"/>
          <w:szCs w:val="24"/>
        </w:rPr>
        <w:t xml:space="preserve"> c</w:t>
      </w:r>
      <w:r w:rsidR="00B56D55" w:rsidRPr="003630C1">
        <w:rPr>
          <w:rFonts w:ascii="Times New Roman" w:hAnsi="Times New Roman" w:cs="Times New Roman"/>
          <w:szCs w:val="24"/>
        </w:rPr>
        <w:t>)</w:t>
      </w:r>
    </w:p>
    <w:p w:rsidR="00DD4FBC" w:rsidRPr="003630C1" w:rsidRDefault="00DD4FBC" w:rsidP="00E135B6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407FE3" w:rsidRPr="00383A43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383A43">
        <w:t>W</w:t>
      </w:r>
      <w:r w:rsidR="00407FE3" w:rsidRPr="00383A43">
        <w:t> porównaniu ze stanem</w:t>
      </w:r>
      <w:r w:rsidR="00AE5712" w:rsidRPr="00383A43">
        <w:t xml:space="preserve"> z </w:t>
      </w:r>
      <w:r w:rsidR="00383A43" w:rsidRPr="00383A43">
        <w:t>31 XII ‘</w:t>
      </w:r>
      <w:r w:rsidR="00407FE3" w:rsidRPr="00383A43">
        <w:t>1</w:t>
      </w:r>
      <w:r w:rsidR="00383A43" w:rsidRPr="00383A43">
        <w:t>5</w:t>
      </w:r>
      <w:r w:rsidR="00AE5712" w:rsidRPr="00383A43">
        <w:t> r.</w:t>
      </w:r>
      <w:r w:rsidR="00407FE3" w:rsidRPr="00383A43">
        <w:t xml:space="preserve"> (7</w:t>
      </w:r>
      <w:r w:rsidR="00383A43" w:rsidRPr="00383A43">
        <w:t>8</w:t>
      </w:r>
      <w:r w:rsidR="00407FE3" w:rsidRPr="00383A43">
        <w:t xml:space="preserve"> </w:t>
      </w:r>
      <w:r w:rsidR="00383A43" w:rsidRPr="00383A43">
        <w:t>005</w:t>
      </w:r>
      <w:r w:rsidR="00407FE3" w:rsidRPr="00383A43">
        <w:t>) liczba bezrobotnych zamieszkałych na wsi spadła</w:t>
      </w:r>
      <w:r w:rsidR="00AE5712" w:rsidRPr="00383A43">
        <w:t xml:space="preserve"> o </w:t>
      </w:r>
      <w:r w:rsidR="00383A43" w:rsidRPr="00383A43">
        <w:t>10</w:t>
      </w:r>
      <w:r w:rsidR="00407FE3" w:rsidRPr="00383A43">
        <w:t xml:space="preserve"> </w:t>
      </w:r>
      <w:r w:rsidR="00383A43" w:rsidRPr="00383A43">
        <w:t>252</w:t>
      </w:r>
      <w:r w:rsidR="00407FE3" w:rsidRPr="00383A43">
        <w:t xml:space="preserve"> os</w:t>
      </w:r>
      <w:r w:rsidR="00383A43" w:rsidRPr="00383A43">
        <w:t>o</w:t>
      </w:r>
      <w:r w:rsidR="00407FE3" w:rsidRPr="00383A43">
        <w:t>b</w:t>
      </w:r>
      <w:r w:rsidR="00383A43" w:rsidRPr="00383A43">
        <w:t>y</w:t>
      </w:r>
      <w:r w:rsidRPr="00383A43">
        <w:t>.</w:t>
      </w:r>
    </w:p>
    <w:p w:rsidR="000A50E1" w:rsidRPr="00F33B6F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F33B6F">
        <w:t>N</w:t>
      </w:r>
      <w:r w:rsidR="000A50E1" w:rsidRPr="00F33B6F">
        <w:t xml:space="preserve">ajwyższy </w:t>
      </w:r>
      <w:r w:rsidR="00011FA8" w:rsidRPr="00F33B6F">
        <w:t xml:space="preserve">spadek </w:t>
      </w:r>
      <w:r w:rsidR="000A50E1" w:rsidRPr="00F33B6F">
        <w:t>bezrobotnych zamieszkałych na wsi odnotowano</w:t>
      </w:r>
      <w:r w:rsidR="00AE5712" w:rsidRPr="00F33B6F">
        <w:t xml:space="preserve"> w </w:t>
      </w:r>
      <w:r w:rsidR="000A50E1" w:rsidRPr="00F33B6F">
        <w:t xml:space="preserve">następujących powiatach: </w:t>
      </w:r>
      <w:r w:rsidR="00383A43" w:rsidRPr="00F33B6F">
        <w:t>mieleckim</w:t>
      </w:r>
      <w:r w:rsidR="00011FA8" w:rsidRPr="00F33B6F">
        <w:t xml:space="preserve"> (</w:t>
      </w:r>
      <w:r w:rsidR="00383A43" w:rsidRPr="00F33B6F">
        <w:t>33</w:t>
      </w:r>
      <w:r w:rsidR="00011FA8" w:rsidRPr="00F33B6F">
        <w:t>,</w:t>
      </w:r>
      <w:r w:rsidR="00383A43" w:rsidRPr="00F33B6F">
        <w:t>4</w:t>
      </w:r>
      <w:r w:rsidR="00011FA8" w:rsidRPr="00F33B6F">
        <w:t xml:space="preserve">%), </w:t>
      </w:r>
      <w:r w:rsidR="00F33B6F" w:rsidRPr="00F33B6F">
        <w:t xml:space="preserve">stalowowolskim </w:t>
      </w:r>
      <w:r w:rsidR="00011FA8" w:rsidRPr="00F33B6F">
        <w:t>(2</w:t>
      </w:r>
      <w:r w:rsidR="00F33B6F" w:rsidRPr="00F33B6F">
        <w:t>9</w:t>
      </w:r>
      <w:r w:rsidR="00011FA8" w:rsidRPr="00F33B6F">
        <w:t>,</w:t>
      </w:r>
      <w:r w:rsidR="00F33B6F" w:rsidRPr="00F33B6F">
        <w:t>2</w:t>
      </w:r>
      <w:r w:rsidR="00011FA8" w:rsidRPr="00F33B6F">
        <w:t xml:space="preserve">%), </w:t>
      </w:r>
      <w:r w:rsidR="00F33B6F" w:rsidRPr="00F33B6F">
        <w:t>krośnieńskim</w:t>
      </w:r>
      <w:r w:rsidR="00011FA8" w:rsidRPr="00F33B6F">
        <w:t xml:space="preserve"> (</w:t>
      </w:r>
      <w:r w:rsidR="00F33B6F" w:rsidRPr="00F33B6F">
        <w:t>27</w:t>
      </w:r>
      <w:r w:rsidR="00011FA8" w:rsidRPr="00F33B6F">
        <w:t>,7%)</w:t>
      </w:r>
      <w:r w:rsidR="00925F63" w:rsidRPr="00F33B6F">
        <w:t xml:space="preserve">, </w:t>
      </w:r>
      <w:r w:rsidR="00F33B6F" w:rsidRPr="00F33B6F">
        <w:t>ropczycko</w:t>
      </w:r>
      <w:r w:rsidR="00F33B6F">
        <w:t xml:space="preserve"> – </w:t>
      </w:r>
      <w:r w:rsidR="00F33B6F" w:rsidRPr="00F33B6F">
        <w:t>sędziszowskim</w:t>
      </w:r>
      <w:r w:rsidR="00925F63" w:rsidRPr="00F33B6F">
        <w:t xml:space="preserve"> (</w:t>
      </w:r>
      <w:r w:rsidR="00F33B6F" w:rsidRPr="00F33B6F">
        <w:t>26</w:t>
      </w:r>
      <w:r w:rsidR="00925F63" w:rsidRPr="00F33B6F">
        <w:t>,</w:t>
      </w:r>
      <w:r w:rsidR="00F33B6F" w:rsidRPr="00F33B6F">
        <w:t>1</w:t>
      </w:r>
      <w:r w:rsidR="00925F63" w:rsidRPr="00F33B6F">
        <w:t>%)</w:t>
      </w:r>
      <w:r w:rsidRPr="00F33B6F">
        <w:t>.</w:t>
      </w:r>
    </w:p>
    <w:p w:rsidR="00011FA8" w:rsidRPr="007451AA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7451AA">
        <w:t>N</w:t>
      </w:r>
      <w:r w:rsidR="00011FA8" w:rsidRPr="007451AA">
        <w:t>ajniższy spadek bezrobotnych zamieszkałych na wsi odnotowano</w:t>
      </w:r>
      <w:r w:rsidR="00AE5712" w:rsidRPr="007451AA">
        <w:t xml:space="preserve"> w </w:t>
      </w:r>
      <w:r w:rsidR="00011FA8" w:rsidRPr="007451AA">
        <w:t xml:space="preserve">następujących powiatach: </w:t>
      </w:r>
      <w:r w:rsidR="003D6D06" w:rsidRPr="007451AA">
        <w:t>łańcuckim (3,5%), niżańskim</w:t>
      </w:r>
      <w:r w:rsidR="00011FA8" w:rsidRPr="007451AA">
        <w:t xml:space="preserve"> (</w:t>
      </w:r>
      <w:r w:rsidR="003D6D06" w:rsidRPr="007451AA">
        <w:t>3</w:t>
      </w:r>
      <w:r w:rsidR="00011FA8" w:rsidRPr="007451AA">
        <w:t xml:space="preserve">,9%), </w:t>
      </w:r>
      <w:r w:rsidR="003D6D06" w:rsidRPr="007451AA">
        <w:t>leskim</w:t>
      </w:r>
      <w:r w:rsidR="00011FA8" w:rsidRPr="007451AA">
        <w:t xml:space="preserve"> (</w:t>
      </w:r>
      <w:r w:rsidR="003D6D06" w:rsidRPr="007451AA">
        <w:t>5</w:t>
      </w:r>
      <w:r w:rsidR="00011FA8" w:rsidRPr="007451AA">
        <w:t>,</w:t>
      </w:r>
      <w:r w:rsidR="003D6D06" w:rsidRPr="007451AA">
        <w:t>3</w:t>
      </w:r>
      <w:r w:rsidR="00011FA8" w:rsidRPr="007451AA">
        <w:t xml:space="preserve">%), </w:t>
      </w:r>
      <w:r w:rsidR="007451AA" w:rsidRPr="007451AA">
        <w:t xml:space="preserve">jarosławskim </w:t>
      </w:r>
      <w:r w:rsidR="00011FA8" w:rsidRPr="007451AA">
        <w:t>(</w:t>
      </w:r>
      <w:r w:rsidR="007451AA" w:rsidRPr="007451AA">
        <w:t>6</w:t>
      </w:r>
      <w:r w:rsidR="00011FA8" w:rsidRPr="007451AA">
        <w:t>,</w:t>
      </w:r>
      <w:r w:rsidR="007451AA" w:rsidRPr="007451AA">
        <w:t>8</w:t>
      </w:r>
      <w:r w:rsidR="00011FA8" w:rsidRPr="007451AA">
        <w:t>%), przeworskim (</w:t>
      </w:r>
      <w:r w:rsidR="007451AA" w:rsidRPr="007451AA">
        <w:t>7</w:t>
      </w:r>
      <w:r w:rsidR="00011FA8" w:rsidRPr="007451AA">
        <w:t>,</w:t>
      </w:r>
      <w:r w:rsidR="007451AA" w:rsidRPr="007451AA">
        <w:t>1</w:t>
      </w:r>
      <w:r w:rsidR="00011FA8" w:rsidRPr="007451AA">
        <w:t>%)</w:t>
      </w:r>
      <w:r w:rsidRPr="007451AA">
        <w:t>.</w:t>
      </w:r>
    </w:p>
    <w:p w:rsidR="00925F63" w:rsidRPr="00B60432" w:rsidRDefault="00137ADF" w:rsidP="00160DBC">
      <w:pPr>
        <w:pStyle w:val="Default"/>
        <w:numPr>
          <w:ilvl w:val="0"/>
          <w:numId w:val="2"/>
        </w:numPr>
        <w:spacing w:line="360" w:lineRule="auto"/>
        <w:jc w:val="both"/>
      </w:pPr>
      <w:r w:rsidRPr="00B60432">
        <w:t>W</w:t>
      </w:r>
      <w:r w:rsidR="00925F63" w:rsidRPr="00B60432">
        <w:t>yraźna tendencja wskazuj</w:t>
      </w:r>
      <w:r w:rsidR="00B77F9D">
        <w:t>e</w:t>
      </w:r>
      <w:r w:rsidR="00925F63" w:rsidRPr="00B60432">
        <w:t xml:space="preserve"> na związek pomiędzy spadkiem ogólnej stopy bezrobocia</w:t>
      </w:r>
      <w:r w:rsidR="00383A43" w:rsidRPr="00B60432">
        <w:t>,</w:t>
      </w:r>
      <w:r w:rsidR="00AE5712" w:rsidRPr="00B60432">
        <w:t xml:space="preserve"> a </w:t>
      </w:r>
      <w:r w:rsidR="00925F63" w:rsidRPr="00B60432">
        <w:t>spadkiem liczby osób bezrobotnych zamieszkałych na wsi</w:t>
      </w:r>
      <w:r w:rsidR="00B77F9D">
        <w:t>.</w:t>
      </w:r>
      <w:r w:rsidR="00925F63" w:rsidRPr="00B60432">
        <w:t xml:space="preserve"> </w:t>
      </w:r>
      <w:r w:rsidR="00B77F9D">
        <w:t>W</w:t>
      </w:r>
      <w:r w:rsidR="00AE5712" w:rsidRPr="00B60432">
        <w:t> </w:t>
      </w:r>
      <w:r w:rsidR="00925F63" w:rsidRPr="00B60432">
        <w:t>powiatach,</w:t>
      </w:r>
      <w:r w:rsidR="00AE5712" w:rsidRPr="00B60432">
        <w:t xml:space="preserve"> </w:t>
      </w:r>
      <w:r w:rsidR="00B77F9D">
        <w:t>gdzie odnotowano</w:t>
      </w:r>
      <w:r w:rsidR="00925F63" w:rsidRPr="00B60432">
        <w:t xml:space="preserve"> </w:t>
      </w:r>
      <w:r w:rsidR="00B77F9D">
        <w:t>znaczny</w:t>
      </w:r>
      <w:r w:rsidR="00925F63" w:rsidRPr="00B60432">
        <w:t xml:space="preserve"> spadek </w:t>
      </w:r>
      <w:r w:rsidR="00383A43" w:rsidRPr="00B60432">
        <w:t>tego wskaźnika</w:t>
      </w:r>
      <w:r w:rsidR="00925F63" w:rsidRPr="00B60432">
        <w:t xml:space="preserve">, jednocześnie </w:t>
      </w:r>
      <w:r w:rsidR="00B77F9D">
        <w:t>nastąpił</w:t>
      </w:r>
      <w:r w:rsidR="00925F63" w:rsidRPr="00B60432">
        <w:t xml:space="preserve"> większy spadek liczby bezrobotnych zamieszkałych na wsi (powiat </w:t>
      </w:r>
      <w:r w:rsidR="00280964" w:rsidRPr="00B60432">
        <w:t>ropczycko-sędziszowski</w:t>
      </w:r>
      <w:r w:rsidR="00C836C9" w:rsidRPr="00B60432">
        <w:t>:</w:t>
      </w:r>
      <w:r w:rsidR="00AD036F" w:rsidRPr="00B60432">
        <w:t xml:space="preserve"> </w:t>
      </w:r>
      <w:r w:rsidR="00280964" w:rsidRPr="00B60432">
        <w:t>3</w:t>
      </w:r>
      <w:r w:rsidR="00925F63" w:rsidRPr="00B60432">
        <w:t>,</w:t>
      </w:r>
      <w:r w:rsidR="00280964" w:rsidRPr="00B60432">
        <w:t>7</w:t>
      </w:r>
      <w:r w:rsidR="00925F63" w:rsidRPr="00B60432">
        <w:t>% do 2</w:t>
      </w:r>
      <w:r w:rsidR="00280964" w:rsidRPr="00B60432">
        <w:t>6</w:t>
      </w:r>
      <w:r w:rsidR="00925F63" w:rsidRPr="00B60432">
        <w:t>,</w:t>
      </w:r>
      <w:r w:rsidR="00280964" w:rsidRPr="00B60432">
        <w:t>1</w:t>
      </w:r>
      <w:r w:rsidR="00925F63" w:rsidRPr="00B60432">
        <w:t xml:space="preserve">%; </w:t>
      </w:r>
      <w:r w:rsidR="00280964" w:rsidRPr="00B60432">
        <w:t>krośnieński</w:t>
      </w:r>
      <w:r w:rsidR="00925F63" w:rsidRPr="00B60432">
        <w:t xml:space="preserve">: </w:t>
      </w:r>
      <w:r w:rsidR="00280964" w:rsidRPr="00B60432">
        <w:t>3</w:t>
      </w:r>
      <w:r w:rsidR="00925F63" w:rsidRPr="00B60432">
        <w:t>,</w:t>
      </w:r>
      <w:r w:rsidR="00280964" w:rsidRPr="00B60432">
        <w:t>5</w:t>
      </w:r>
      <w:r w:rsidR="00925F63" w:rsidRPr="00B60432">
        <w:t xml:space="preserve">% do </w:t>
      </w:r>
      <w:r w:rsidR="00C836C9" w:rsidRPr="00B60432">
        <w:t>27</w:t>
      </w:r>
      <w:r w:rsidR="00925F63" w:rsidRPr="00B60432">
        <w:t>,</w:t>
      </w:r>
      <w:r w:rsidR="00C836C9" w:rsidRPr="00B60432">
        <w:t>7</w:t>
      </w:r>
      <w:r w:rsidR="00925F63" w:rsidRPr="00B60432">
        <w:t xml:space="preserve">%; </w:t>
      </w:r>
      <w:r w:rsidR="00C836C9" w:rsidRPr="00B60432">
        <w:t>mielecki</w:t>
      </w:r>
      <w:r w:rsidR="00925F63" w:rsidRPr="00B60432">
        <w:t>: 3,</w:t>
      </w:r>
      <w:r w:rsidR="00C836C9" w:rsidRPr="00B60432">
        <w:t>4</w:t>
      </w:r>
      <w:r w:rsidR="00925F63" w:rsidRPr="00B60432">
        <w:t xml:space="preserve">% do </w:t>
      </w:r>
      <w:r w:rsidR="00C836C9" w:rsidRPr="00B60432">
        <w:t>33</w:t>
      </w:r>
      <w:r w:rsidR="00925F63" w:rsidRPr="00B60432">
        <w:t>,</w:t>
      </w:r>
      <w:r w:rsidR="00C836C9" w:rsidRPr="00B60432">
        <w:t>4</w:t>
      </w:r>
      <w:r w:rsidR="00925F63" w:rsidRPr="00B60432">
        <w:t xml:space="preserve">%; powiat </w:t>
      </w:r>
      <w:r w:rsidR="00C836C9" w:rsidRPr="00B60432">
        <w:t>stalowowolski</w:t>
      </w:r>
      <w:r w:rsidR="00925F63" w:rsidRPr="00B60432">
        <w:t xml:space="preserve"> (2,</w:t>
      </w:r>
      <w:r w:rsidR="00C836C9" w:rsidRPr="00B60432">
        <w:t>5</w:t>
      </w:r>
      <w:r w:rsidR="00925F63" w:rsidRPr="00B60432">
        <w:t xml:space="preserve">% do </w:t>
      </w:r>
      <w:r w:rsidR="00C836C9" w:rsidRPr="00B60432">
        <w:t>29</w:t>
      </w:r>
      <w:r w:rsidR="00D80063" w:rsidRPr="00B60432">
        <w:t>,</w:t>
      </w:r>
      <w:r w:rsidR="00C836C9" w:rsidRPr="00B60432">
        <w:t>2</w:t>
      </w:r>
      <w:r w:rsidR="00D80063" w:rsidRPr="00B60432">
        <w:t>%)</w:t>
      </w:r>
      <w:r w:rsidR="00A97EF7" w:rsidRPr="00B60432">
        <w:t>.</w:t>
      </w:r>
    </w:p>
    <w:p w:rsidR="00D80063" w:rsidRPr="00383A43" w:rsidRDefault="00A97EF7" w:rsidP="009A1F42">
      <w:pPr>
        <w:pStyle w:val="Default"/>
        <w:spacing w:line="360" w:lineRule="auto"/>
        <w:ind w:left="360"/>
        <w:jc w:val="both"/>
      </w:pPr>
      <w:r w:rsidRPr="00383A43">
        <w:t>P</w:t>
      </w:r>
      <w:r w:rsidR="00D80063" w:rsidRPr="00383A43">
        <w:t>owodów wskazanej tendencji upatruje się</w:t>
      </w:r>
      <w:r w:rsidR="008820F1" w:rsidRPr="00383A43">
        <w:t>, m.in.</w:t>
      </w:r>
      <w:r w:rsidR="00AE5712" w:rsidRPr="00383A43">
        <w:t xml:space="preserve"> w </w:t>
      </w:r>
      <w:r w:rsidR="00D80063" w:rsidRPr="00383A43">
        <w:t>tym, że osoby zamieszkałe na wsi podejmują pracę</w:t>
      </w:r>
      <w:r w:rsidR="00AE5712" w:rsidRPr="00383A43">
        <w:t xml:space="preserve"> w </w:t>
      </w:r>
      <w:r w:rsidR="00D80063" w:rsidRPr="00383A43">
        <w:t>większych miastach</w:t>
      </w:r>
      <w:r w:rsidR="00383A43" w:rsidRPr="00383A43">
        <w:t xml:space="preserve"> lub często </w:t>
      </w:r>
      <w:r w:rsidR="00D80063" w:rsidRPr="00383A43">
        <w:t>wyjeżdżają do pracy za granicę</w:t>
      </w:r>
      <w:r w:rsidRPr="00383A43">
        <w:t>.</w:t>
      </w:r>
    </w:p>
    <w:p w:rsidR="00E135B6" w:rsidRPr="00654604" w:rsidRDefault="00137ADF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654604">
        <w:t>Naj</w:t>
      </w:r>
      <w:r w:rsidR="0029570C" w:rsidRPr="00654604">
        <w:t>większa liczba osób bezrobotnych zamieszkałych na wsi pozostaje bez zatrudnienia przez okres powyżej 24 miesięcy (</w:t>
      </w:r>
      <w:r w:rsidR="00276CE4" w:rsidRPr="00654604">
        <w:t>19</w:t>
      </w:r>
      <w:r w:rsidR="0029570C" w:rsidRPr="00654604">
        <w:t> </w:t>
      </w:r>
      <w:r w:rsidR="00276CE4" w:rsidRPr="00654604">
        <w:t>644</w:t>
      </w:r>
      <w:r w:rsidR="0029570C" w:rsidRPr="00654604">
        <w:t>),</w:t>
      </w:r>
      <w:r w:rsidR="00AE5712" w:rsidRPr="00654604">
        <w:t xml:space="preserve"> z </w:t>
      </w:r>
      <w:r w:rsidR="0029570C" w:rsidRPr="00654604">
        <w:t xml:space="preserve">czego 5 </w:t>
      </w:r>
      <w:r w:rsidR="00276CE4" w:rsidRPr="00654604">
        <w:t>080</w:t>
      </w:r>
      <w:r w:rsidR="0029570C" w:rsidRPr="00654604">
        <w:t xml:space="preserve"> </w:t>
      </w:r>
      <w:r w:rsidR="00276CE4" w:rsidRPr="00654604">
        <w:t>to</w:t>
      </w:r>
      <w:r w:rsidR="0029570C" w:rsidRPr="00654604">
        <w:t xml:space="preserve"> osoby</w:t>
      </w:r>
      <w:r w:rsidR="00AE5712" w:rsidRPr="00654604">
        <w:t xml:space="preserve"> w </w:t>
      </w:r>
      <w:r w:rsidR="0029570C" w:rsidRPr="00654604">
        <w:t>wieku 2</w:t>
      </w:r>
      <w:r w:rsidR="00276CE4" w:rsidRPr="00654604">
        <w:t>5–</w:t>
      </w:r>
      <w:r w:rsidR="0029570C" w:rsidRPr="00654604">
        <w:t>34 roku życia, 5</w:t>
      </w:r>
      <w:r w:rsidR="00276CE4" w:rsidRPr="00654604">
        <w:t xml:space="preserve"> 059 osób </w:t>
      </w:r>
      <w:r w:rsidR="00654604" w:rsidRPr="00654604">
        <w:t>jest w wieku</w:t>
      </w:r>
      <w:r w:rsidR="00276CE4" w:rsidRPr="00654604">
        <w:t xml:space="preserve"> </w:t>
      </w:r>
      <w:r w:rsidR="0029570C" w:rsidRPr="00654604">
        <w:t xml:space="preserve">od 35 do 44 roku życia, </w:t>
      </w:r>
      <w:r w:rsidR="00654604" w:rsidRPr="00654604">
        <w:t>a 4</w:t>
      </w:r>
      <w:r w:rsidR="0029570C" w:rsidRPr="00654604">
        <w:t> </w:t>
      </w:r>
      <w:r w:rsidR="00654604" w:rsidRPr="00654604">
        <w:t>68</w:t>
      </w:r>
      <w:r w:rsidR="0029570C" w:rsidRPr="00654604">
        <w:t>7 os</w:t>
      </w:r>
      <w:r w:rsidR="00654604" w:rsidRPr="00654604">
        <w:t>ó</w:t>
      </w:r>
      <w:r w:rsidR="0029570C" w:rsidRPr="00654604">
        <w:t xml:space="preserve">b </w:t>
      </w:r>
      <w:r w:rsidR="00654604">
        <w:t xml:space="preserve">jest w wieku </w:t>
      </w:r>
      <w:r w:rsidR="00654604" w:rsidRPr="00654604">
        <w:t>od</w:t>
      </w:r>
      <w:r w:rsidR="0029570C" w:rsidRPr="00654604">
        <w:t xml:space="preserve"> 45 do 54 </w:t>
      </w:r>
      <w:r w:rsidR="00654604" w:rsidRPr="00654604">
        <w:t>lat</w:t>
      </w:r>
      <w:r w:rsidR="00A215D0" w:rsidRPr="00654604">
        <w:t>.</w:t>
      </w:r>
    </w:p>
    <w:p w:rsidR="0029570C" w:rsidRPr="00654604" w:rsidRDefault="00A215D0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654604">
        <w:t>O</w:t>
      </w:r>
      <w:r w:rsidR="0029570C" w:rsidRPr="00654604">
        <w:t>soby</w:t>
      </w:r>
      <w:r w:rsidR="00654604" w:rsidRPr="00654604">
        <w:t xml:space="preserve"> </w:t>
      </w:r>
      <w:r w:rsidR="00AE5712" w:rsidRPr="00654604">
        <w:t>z</w:t>
      </w:r>
      <w:r w:rsidR="00654604" w:rsidRPr="00654604">
        <w:t xml:space="preserve"> </w:t>
      </w:r>
      <w:r w:rsidR="0029570C" w:rsidRPr="00654604">
        <w:t xml:space="preserve">wykształceniem </w:t>
      </w:r>
      <w:r w:rsidR="00654604" w:rsidRPr="00654604">
        <w:t xml:space="preserve">zasadniczym zawodowym </w:t>
      </w:r>
      <w:r w:rsidR="0029570C" w:rsidRPr="00654604">
        <w:t>(</w:t>
      </w:r>
      <w:r w:rsidR="00654604" w:rsidRPr="00654604">
        <w:t>32</w:t>
      </w:r>
      <w:r w:rsidR="0029570C" w:rsidRPr="00654604">
        <w:t>,</w:t>
      </w:r>
      <w:r w:rsidR="00654604" w:rsidRPr="00654604">
        <w:t>3</w:t>
      </w:r>
      <w:r w:rsidR="0029570C" w:rsidRPr="00654604">
        <w:t xml:space="preserve">%) to najliczniejsza grupa bezrobotnych zamieszkałych na wsi, kolejną </w:t>
      </w:r>
      <w:r w:rsidR="00654604" w:rsidRPr="00654604">
        <w:t xml:space="preserve">są osoby legitymujące się wykształceniem policealnym i średnim zawodowym </w:t>
      </w:r>
      <w:r w:rsidR="0029570C" w:rsidRPr="00654604">
        <w:t>(2</w:t>
      </w:r>
      <w:r w:rsidR="00654604" w:rsidRPr="00654604">
        <w:t>5</w:t>
      </w:r>
      <w:r w:rsidR="0029570C" w:rsidRPr="00654604">
        <w:t>,</w:t>
      </w:r>
      <w:r w:rsidR="00654604" w:rsidRPr="00654604">
        <w:t>2</w:t>
      </w:r>
      <w:r w:rsidR="0029570C" w:rsidRPr="00654604">
        <w:t>%)</w:t>
      </w:r>
      <w:r w:rsidR="00654604">
        <w:t>.</w:t>
      </w:r>
    </w:p>
    <w:p w:rsidR="00A215D0" w:rsidRPr="00CA72C7" w:rsidRDefault="00654604" w:rsidP="00160DBC">
      <w:pPr>
        <w:pStyle w:val="Default"/>
        <w:numPr>
          <w:ilvl w:val="0"/>
          <w:numId w:val="6"/>
        </w:numPr>
        <w:spacing w:line="360" w:lineRule="auto"/>
        <w:jc w:val="both"/>
      </w:pPr>
      <w:r w:rsidRPr="00CA72C7">
        <w:t xml:space="preserve">Udokumentowany </w:t>
      </w:r>
      <w:r w:rsidR="0029570C" w:rsidRPr="00CA72C7">
        <w:t>staż pracy</w:t>
      </w:r>
      <w:r w:rsidRPr="00CA72C7">
        <w:t xml:space="preserve">, który posiadają </w:t>
      </w:r>
      <w:r w:rsidR="00834BDD" w:rsidRPr="00CA72C7">
        <w:t xml:space="preserve">osoby zarejestrowane jako </w:t>
      </w:r>
      <w:r w:rsidRPr="00CA72C7">
        <w:t>bezrobotni na wsi</w:t>
      </w:r>
      <w:r w:rsidR="00834BDD" w:rsidRPr="00CA72C7">
        <w:t xml:space="preserve"> </w:t>
      </w:r>
      <w:r w:rsidR="0029570C" w:rsidRPr="00CA72C7">
        <w:t xml:space="preserve">wskazuje </w:t>
      </w:r>
      <w:r w:rsidR="00B946C4">
        <w:t xml:space="preserve">wyraźnie </w:t>
      </w:r>
      <w:r w:rsidR="0029570C" w:rsidRPr="00CA72C7">
        <w:t>na najliczniejszą grupę osób</w:t>
      </w:r>
      <w:r w:rsidR="00834BDD" w:rsidRPr="00CA72C7">
        <w:t xml:space="preserve"> </w:t>
      </w:r>
      <w:r w:rsidR="00CA72C7" w:rsidRPr="00CA72C7">
        <w:t xml:space="preserve">bez stażu i </w:t>
      </w:r>
      <w:r w:rsidR="00AE5712" w:rsidRPr="00CA72C7">
        <w:t>z</w:t>
      </w:r>
      <w:r w:rsidR="00834BDD" w:rsidRPr="00CA72C7">
        <w:t xml:space="preserve"> </w:t>
      </w:r>
      <w:r w:rsidR="0029570C" w:rsidRPr="00CA72C7">
        <w:t>małym stażem pracy</w:t>
      </w:r>
      <w:r w:rsidR="00CA72C7" w:rsidRPr="00CA72C7">
        <w:t xml:space="preserve"> (0–5 lat), która łą</w:t>
      </w:r>
      <w:r w:rsidR="0029570C" w:rsidRPr="00CA72C7">
        <w:t xml:space="preserve">cznie </w:t>
      </w:r>
      <w:r w:rsidR="00A97EF7" w:rsidRPr="00CA72C7">
        <w:t>stanowi</w:t>
      </w:r>
      <w:r w:rsidR="00CA72C7" w:rsidRPr="00CA72C7">
        <w:t>ła</w:t>
      </w:r>
      <w:r w:rsidR="00A97EF7" w:rsidRPr="00CA72C7">
        <w:t xml:space="preserve"> 6</w:t>
      </w:r>
      <w:r w:rsidR="00CA72C7" w:rsidRPr="00CA72C7">
        <w:t>2</w:t>
      </w:r>
      <w:r w:rsidR="00A97EF7" w:rsidRPr="00CA72C7">
        <w:t>,</w:t>
      </w:r>
      <w:r w:rsidR="00CA72C7" w:rsidRPr="00CA72C7">
        <w:t>3</w:t>
      </w:r>
      <w:r w:rsidR="0029570C" w:rsidRPr="00CA72C7">
        <w:t>%</w:t>
      </w:r>
      <w:r w:rsidR="00B946C4">
        <w:t xml:space="preserve"> ogółu bezrobotnych na wsi</w:t>
      </w:r>
      <w:r w:rsidR="00A215D0" w:rsidRPr="00CA72C7">
        <w:t>.</w:t>
      </w:r>
    </w:p>
    <w:p w:rsidR="003630C1" w:rsidRDefault="003630C1">
      <w:pPr>
        <w:rPr>
          <w:highlight w:val="yellow"/>
        </w:rPr>
      </w:pPr>
    </w:p>
    <w:p w:rsidR="003630C1" w:rsidRDefault="003630C1">
      <w:pPr>
        <w:rPr>
          <w:highlight w:val="yellow"/>
        </w:rPr>
      </w:pPr>
    </w:p>
    <w:p w:rsidR="005873B5" w:rsidRDefault="005873B5">
      <w:pPr>
        <w:rPr>
          <w:highlight w:val="yellow"/>
        </w:rPr>
      </w:pPr>
      <w:r>
        <w:rPr>
          <w:highlight w:val="yellow"/>
        </w:rPr>
        <w:br w:type="page"/>
      </w:r>
    </w:p>
    <w:p w:rsidR="005873B5" w:rsidRDefault="003630C1">
      <w:pPr>
        <w:rPr>
          <w:highlight w:val="yellow"/>
        </w:rPr>
      </w:pPr>
      <w:r w:rsidRPr="003630C1">
        <w:rPr>
          <w:noProof/>
          <w:lang w:eastAsia="pl-PL"/>
        </w:rPr>
        <w:lastRenderedPageBreak/>
        <w:drawing>
          <wp:inline distT="0" distB="0" distL="0" distR="0" wp14:anchorId="5FF795D6" wp14:editId="383C24B5">
            <wp:extent cx="5759354" cy="4271749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27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3B5" w:rsidRDefault="005873B5">
      <w:pPr>
        <w:rPr>
          <w:highlight w:val="yellow"/>
        </w:rPr>
      </w:pPr>
      <w:r w:rsidRPr="005873B5">
        <w:rPr>
          <w:noProof/>
          <w:lang w:eastAsia="pl-PL"/>
        </w:rPr>
        <w:drawing>
          <wp:inline distT="0" distB="0" distL="0" distR="0" wp14:anchorId="76591828" wp14:editId="53009FA8">
            <wp:extent cx="5759355" cy="4019266"/>
            <wp:effectExtent l="0" t="0" r="0" b="6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019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15D0" w:rsidRPr="00E613EA" w:rsidRDefault="00A215D0">
      <w:pPr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  <w:r w:rsidRPr="00E613EA">
        <w:rPr>
          <w:highlight w:val="yellow"/>
        </w:rPr>
        <w:br w:type="page"/>
      </w:r>
    </w:p>
    <w:p w:rsidR="00A215D0" w:rsidRPr="00E613EA" w:rsidRDefault="00A215D0">
      <w:pPr>
        <w:rPr>
          <w:bCs/>
          <w:sz w:val="24"/>
          <w:szCs w:val="24"/>
          <w:highlight w:val="yellow"/>
        </w:rPr>
        <w:sectPr w:rsidR="00A215D0" w:rsidRPr="00E613EA" w:rsidSect="0006353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630C1" w:rsidRDefault="003630C1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5873B5" w:rsidRDefault="005873B5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5873B5">
        <w:rPr>
          <w:noProof/>
          <w:lang w:eastAsia="pl-PL"/>
        </w:rPr>
        <w:drawing>
          <wp:inline distT="0" distB="0" distL="0" distR="0" wp14:anchorId="59F9C3E0" wp14:editId="5DDC4C07">
            <wp:extent cx="8891270" cy="1493374"/>
            <wp:effectExtent l="0" t="0" r="508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49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ACF" w:rsidRPr="00E613EA" w:rsidRDefault="00955AC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5873B5" w:rsidRDefault="005873B5" w:rsidP="00AE2F19">
      <w:pPr>
        <w:pStyle w:val="Bezodstpw"/>
        <w:rPr>
          <w:rFonts w:ascii="Times New Roman" w:hAnsi="Times New Roman" w:cs="Times New Roman"/>
          <w:highlight w:val="yellow"/>
        </w:rPr>
      </w:pPr>
      <w:r w:rsidRPr="005873B5">
        <w:rPr>
          <w:noProof/>
          <w:lang w:eastAsia="pl-PL"/>
        </w:rPr>
        <w:drawing>
          <wp:inline distT="0" distB="0" distL="0" distR="0" wp14:anchorId="675D98B5" wp14:editId="0CB854BD">
            <wp:extent cx="8891270" cy="1493374"/>
            <wp:effectExtent l="0" t="0" r="508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493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96F" w:rsidRDefault="0014696F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5873B5" w:rsidRDefault="005873B5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5873B5">
        <w:rPr>
          <w:noProof/>
          <w:lang w:eastAsia="pl-PL"/>
        </w:rPr>
        <w:drawing>
          <wp:inline distT="0" distB="0" distL="0" distR="0" wp14:anchorId="1697893D" wp14:editId="4E78B3F0">
            <wp:extent cx="8891270" cy="1590477"/>
            <wp:effectExtent l="0" t="0" r="508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15904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3B5" w:rsidRPr="00E613EA" w:rsidRDefault="005873B5" w:rsidP="00A215D0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E135B6" w:rsidRPr="00E613EA" w:rsidRDefault="00E135B6" w:rsidP="0014696F">
      <w:pPr>
        <w:rPr>
          <w:bCs/>
          <w:sz w:val="24"/>
          <w:szCs w:val="24"/>
          <w:highlight w:val="yellow"/>
        </w:rPr>
        <w:sectPr w:rsidR="00E135B6" w:rsidRPr="00E613EA" w:rsidSect="0006353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7454E" w:rsidRPr="00452A1B" w:rsidRDefault="0014696F" w:rsidP="001759E1">
      <w:pPr>
        <w:pStyle w:val="Nagwek2"/>
        <w:rPr>
          <w:rFonts w:ascii="Times New Roman" w:hAnsi="Times New Roman" w:cs="Times New Roman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8" w:name="_Toc477160363"/>
      <w:r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</w:t>
      </w:r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ezrobotni</w:t>
      </w:r>
      <w:r w:rsidR="00AE5712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w </w:t>
      </w:r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szczególnej sytuacji na rynku pracy</w:t>
      </w:r>
      <w:bookmarkEnd w:id="18"/>
      <w:r w:rsidR="0067454E" w:rsidRPr="00452A1B">
        <w:rPr>
          <w:rFonts w:ascii="Times New Roman" w:hAnsi="Times New Roman" w:cs="Times New Roman"/>
          <w:bCs w:val="0"/>
          <w:caps/>
          <w:color w:val="000000"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EC4005" w:rsidRPr="00E613EA" w:rsidRDefault="00EC4005" w:rsidP="00EC4005">
      <w:pPr>
        <w:pStyle w:val="Default"/>
        <w:spacing w:line="360" w:lineRule="auto"/>
        <w:jc w:val="both"/>
        <w:rPr>
          <w:highlight w:val="yellow"/>
        </w:rPr>
      </w:pPr>
    </w:p>
    <w:p w:rsidR="0042214F" w:rsidRPr="00E63372" w:rsidRDefault="00CF6326" w:rsidP="00E63372">
      <w:pPr>
        <w:pStyle w:val="Default"/>
        <w:spacing w:line="360" w:lineRule="auto"/>
        <w:ind w:firstLine="709"/>
        <w:jc w:val="both"/>
      </w:pPr>
      <w:r w:rsidRPr="00E63372">
        <w:t>Wśród ogółu bezrobotnych zarejestrowanych</w:t>
      </w:r>
      <w:r w:rsidR="00AE5712" w:rsidRPr="00E63372">
        <w:t xml:space="preserve"> w </w:t>
      </w:r>
      <w:r w:rsidRPr="00E63372">
        <w:t xml:space="preserve">powiatowych urzędach pracy na </w:t>
      </w:r>
      <w:r w:rsidR="00E63372" w:rsidRPr="00E63372">
        <w:t>31</w:t>
      </w:r>
      <w:r w:rsidR="007E4B81">
        <w:t> </w:t>
      </w:r>
      <w:r w:rsidR="00E63372" w:rsidRPr="00E63372">
        <w:t>XII ‘</w:t>
      </w:r>
      <w:r w:rsidRPr="00E63372">
        <w:t>1</w:t>
      </w:r>
      <w:r w:rsidR="00E63372" w:rsidRPr="00E63372">
        <w:t>6</w:t>
      </w:r>
      <w:r w:rsidR="00AE5712" w:rsidRPr="00E63372">
        <w:t> r.</w:t>
      </w:r>
      <w:r w:rsidRPr="00E63372">
        <w:t xml:space="preserve"> odnotowano również grupy osób bezrobotnych zdefiniowane przez ustawę</w:t>
      </w:r>
      <w:r w:rsidR="00AE5712" w:rsidRPr="00E63372">
        <w:t xml:space="preserve"> o </w:t>
      </w:r>
      <w:r w:rsidRPr="00E63372">
        <w:t>promocji zatrudnienia</w:t>
      </w:r>
      <w:r w:rsidR="00AE5712" w:rsidRPr="00E63372">
        <w:t xml:space="preserve"> i </w:t>
      </w:r>
      <w:r w:rsidRPr="00E63372">
        <w:t xml:space="preserve">instytucjach rynku pracy </w:t>
      </w:r>
      <w:r w:rsidR="00EC4005" w:rsidRPr="00E63372">
        <w:t xml:space="preserve">na podstawie </w:t>
      </w:r>
      <w:r w:rsidRPr="00E63372">
        <w:t xml:space="preserve">art. 49 jako </w:t>
      </w:r>
      <w:r w:rsidR="0042214F" w:rsidRPr="00E63372">
        <w:t>pozostające</w:t>
      </w:r>
      <w:r w:rsidR="00AE5712" w:rsidRPr="00E63372">
        <w:t xml:space="preserve"> w </w:t>
      </w:r>
      <w:r w:rsidRPr="00E63372">
        <w:t>szczególnej sytuacji na rynku prac</w:t>
      </w:r>
      <w:r w:rsidR="00EC4005" w:rsidRPr="00E63372">
        <w:t>y.</w:t>
      </w:r>
    </w:p>
    <w:p w:rsidR="00404BFA" w:rsidRDefault="00E63372" w:rsidP="00EC4005">
      <w:pPr>
        <w:pStyle w:val="Default"/>
        <w:spacing w:line="360" w:lineRule="auto"/>
        <w:jc w:val="both"/>
        <w:rPr>
          <w:highlight w:val="yellow"/>
        </w:rPr>
      </w:pPr>
      <w:r w:rsidRPr="00E63372">
        <w:rPr>
          <w:noProof/>
          <w:lang w:eastAsia="pl-PL"/>
        </w:rPr>
        <w:drawing>
          <wp:inline distT="0" distB="0" distL="0" distR="0" wp14:anchorId="079BE2AC" wp14:editId="025383DB">
            <wp:extent cx="5759450" cy="1967162"/>
            <wp:effectExtent l="0" t="0" r="0" b="0"/>
            <wp:docPr id="675" name="Obraz 6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1967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372" w:rsidRDefault="00614E9A" w:rsidP="00394292">
      <w:pPr>
        <w:pStyle w:val="Bezodstpw"/>
        <w:jc w:val="both"/>
        <w:rPr>
          <w:rFonts w:ascii="Times New Roman" w:hAnsi="Times New Roman" w:cs="Times New Roman"/>
          <w:highlight w:val="yellow"/>
        </w:rPr>
      </w:pPr>
      <w:r w:rsidRPr="00614E9A">
        <w:rPr>
          <w:noProof/>
          <w:lang w:eastAsia="pl-PL"/>
        </w:rPr>
        <w:drawing>
          <wp:inline distT="0" distB="0" distL="0" distR="0" wp14:anchorId="58F611D8" wp14:editId="73176887">
            <wp:extent cx="5759355" cy="4858603"/>
            <wp:effectExtent l="0" t="0" r="0" b="0"/>
            <wp:docPr id="676" name="Obraz 6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858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9A" w:rsidRDefault="00614E9A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highlight w:val="yellow"/>
        </w:rPr>
        <w:br w:type="page"/>
      </w:r>
    </w:p>
    <w:p w:rsidR="00394292" w:rsidRPr="00E613EA" w:rsidRDefault="00614E9A" w:rsidP="00614E9A">
      <w:pPr>
        <w:pStyle w:val="Bezodstpw"/>
        <w:ind w:left="1410" w:hanging="1410"/>
        <w:jc w:val="both"/>
        <w:rPr>
          <w:rFonts w:ascii="Times New Roman" w:hAnsi="Times New Roman" w:cs="Times New Roman"/>
          <w:highlight w:val="yellow"/>
        </w:rPr>
      </w:pPr>
      <w:r w:rsidRPr="00614E9A">
        <w:rPr>
          <w:noProof/>
          <w:lang w:eastAsia="pl-PL"/>
        </w:rPr>
        <w:lastRenderedPageBreak/>
        <w:drawing>
          <wp:inline distT="0" distB="0" distL="0" distR="0" wp14:anchorId="64120AD0" wp14:editId="2335AC80">
            <wp:extent cx="5759450" cy="4770155"/>
            <wp:effectExtent l="0" t="0" r="0" b="0"/>
            <wp:docPr id="677" name="Obraz 6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77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9A" w:rsidRDefault="00614E9A" w:rsidP="00452A1B">
      <w:pPr>
        <w:pStyle w:val="Default"/>
        <w:pBdr>
          <w:bottom w:val="single" w:sz="4" w:space="1" w:color="auto"/>
        </w:pBdr>
        <w:jc w:val="both"/>
      </w:pPr>
    </w:p>
    <w:p w:rsidR="00404BFA" w:rsidRPr="00452A1B" w:rsidRDefault="000B5D76" w:rsidP="00452A1B">
      <w:pPr>
        <w:pStyle w:val="Default"/>
        <w:pBdr>
          <w:bottom w:val="single" w:sz="4" w:space="1" w:color="auto"/>
        </w:pBdr>
        <w:jc w:val="both"/>
      </w:pPr>
      <w:r w:rsidRPr="00452A1B">
        <w:t>Wnioski:</w:t>
      </w:r>
    </w:p>
    <w:p w:rsidR="00404BFA" w:rsidRDefault="00404BFA" w:rsidP="00404BF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614E9A">
        <w:rPr>
          <w:rFonts w:ascii="Times New Roman" w:hAnsi="Times New Roman" w:cs="Times New Roman"/>
          <w:szCs w:val="24"/>
        </w:rPr>
        <w:t>(na podstawie danych</w:t>
      </w:r>
      <w:r w:rsidR="00AE5712" w:rsidRPr="00614E9A">
        <w:rPr>
          <w:rFonts w:ascii="Times New Roman" w:hAnsi="Times New Roman" w:cs="Times New Roman"/>
          <w:szCs w:val="24"/>
        </w:rPr>
        <w:t xml:space="preserve"> z </w:t>
      </w:r>
      <w:r w:rsidR="00614E9A" w:rsidRPr="00614E9A">
        <w:rPr>
          <w:rFonts w:ascii="Times New Roman" w:hAnsi="Times New Roman" w:cs="Times New Roman"/>
          <w:szCs w:val="24"/>
        </w:rPr>
        <w:t>t</w:t>
      </w:r>
      <w:r w:rsidRPr="00614E9A">
        <w:rPr>
          <w:rFonts w:ascii="Times New Roman" w:hAnsi="Times New Roman" w:cs="Times New Roman"/>
          <w:szCs w:val="24"/>
        </w:rPr>
        <w:t>abel</w:t>
      </w:r>
      <w:r w:rsidR="00614E9A">
        <w:rPr>
          <w:rFonts w:ascii="Times New Roman" w:hAnsi="Times New Roman" w:cs="Times New Roman"/>
          <w:szCs w:val="24"/>
        </w:rPr>
        <w:t>:</w:t>
      </w:r>
      <w:r w:rsidRPr="00614E9A">
        <w:rPr>
          <w:rFonts w:ascii="Times New Roman" w:hAnsi="Times New Roman" w:cs="Times New Roman"/>
          <w:szCs w:val="24"/>
        </w:rPr>
        <w:t xml:space="preserve"> </w:t>
      </w:r>
      <w:r w:rsidR="00614E9A" w:rsidRPr="00614E9A">
        <w:rPr>
          <w:rFonts w:ascii="Times New Roman" w:hAnsi="Times New Roman" w:cs="Times New Roman"/>
          <w:szCs w:val="24"/>
        </w:rPr>
        <w:t>XIX, XX</w:t>
      </w:r>
      <w:r w:rsidR="00614E9A">
        <w:rPr>
          <w:rFonts w:ascii="Times New Roman" w:hAnsi="Times New Roman" w:cs="Times New Roman"/>
          <w:szCs w:val="24"/>
        </w:rPr>
        <w:t xml:space="preserve"> i</w:t>
      </w:r>
      <w:r w:rsidR="00614E9A" w:rsidRPr="00614E9A">
        <w:rPr>
          <w:rFonts w:ascii="Times New Roman" w:hAnsi="Times New Roman" w:cs="Times New Roman"/>
          <w:szCs w:val="24"/>
        </w:rPr>
        <w:t xml:space="preserve"> XXI</w:t>
      </w:r>
      <w:r w:rsidRPr="00614E9A">
        <w:rPr>
          <w:rFonts w:ascii="Times New Roman" w:hAnsi="Times New Roman" w:cs="Times New Roman"/>
          <w:szCs w:val="24"/>
        </w:rPr>
        <w:t>)</w:t>
      </w:r>
    </w:p>
    <w:p w:rsidR="00DD4FBC" w:rsidRPr="00614E9A" w:rsidRDefault="00DD4FBC" w:rsidP="00404BF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67454E" w:rsidRPr="00A97D64" w:rsidRDefault="00FB1767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A97D64">
        <w:rPr>
          <w:u w:val="single"/>
        </w:rPr>
        <w:t>N</w:t>
      </w:r>
      <w:r w:rsidR="0067454E" w:rsidRPr="00A97D64">
        <w:rPr>
          <w:u w:val="single"/>
        </w:rPr>
        <w:t>aj</w:t>
      </w:r>
      <w:r w:rsidR="007C0E95" w:rsidRPr="00A97D64">
        <w:rPr>
          <w:u w:val="single"/>
        </w:rPr>
        <w:t>liczniejsz</w:t>
      </w:r>
      <w:r w:rsidR="00084282" w:rsidRPr="00A97D64">
        <w:rPr>
          <w:u w:val="single"/>
        </w:rPr>
        <w:t>ą</w:t>
      </w:r>
      <w:r w:rsidR="007C0E95" w:rsidRPr="00A97D64">
        <w:rPr>
          <w:u w:val="single"/>
        </w:rPr>
        <w:t xml:space="preserve"> grup</w:t>
      </w:r>
      <w:r w:rsidR="00084282" w:rsidRPr="00A97D64">
        <w:rPr>
          <w:u w:val="single"/>
        </w:rPr>
        <w:t>ą</w:t>
      </w:r>
      <w:r w:rsidR="007C0E95" w:rsidRPr="00A97D64">
        <w:rPr>
          <w:u w:val="single"/>
        </w:rPr>
        <w:t xml:space="preserve"> osób</w:t>
      </w:r>
      <w:r w:rsidR="00AE5712" w:rsidRPr="00A97D64">
        <w:rPr>
          <w:u w:val="single"/>
        </w:rPr>
        <w:t xml:space="preserve"> w </w:t>
      </w:r>
      <w:r w:rsidR="007C0E95" w:rsidRPr="00A97D64">
        <w:rPr>
          <w:u w:val="single"/>
        </w:rPr>
        <w:t xml:space="preserve">szczególnej sytuacji na rynku pracy </w:t>
      </w:r>
      <w:r w:rsidR="00084282" w:rsidRPr="00A97D64">
        <w:rPr>
          <w:u w:val="single"/>
        </w:rPr>
        <w:t>są</w:t>
      </w:r>
      <w:r w:rsidR="007C0E95" w:rsidRPr="00A97D64">
        <w:rPr>
          <w:u w:val="single"/>
        </w:rPr>
        <w:t xml:space="preserve"> osoby długotrwale bezrobotne</w:t>
      </w:r>
      <w:r w:rsidR="007C0E95" w:rsidRPr="00A97D64">
        <w:t xml:space="preserve"> </w:t>
      </w:r>
      <w:r w:rsidR="003B600A" w:rsidRPr="00A97D64">
        <w:t>6</w:t>
      </w:r>
      <w:r w:rsidR="007C0E95" w:rsidRPr="00A97D64">
        <w:t>4 8</w:t>
      </w:r>
      <w:r w:rsidR="003B600A" w:rsidRPr="00A97D64">
        <w:t>38</w:t>
      </w:r>
      <w:r w:rsidR="007C0E95" w:rsidRPr="00A97D64">
        <w:t xml:space="preserve"> (</w:t>
      </w:r>
      <w:r w:rsidR="0042214F" w:rsidRPr="00A97D64">
        <w:t>60</w:t>
      </w:r>
      <w:r w:rsidR="0067454E" w:rsidRPr="00A97D64">
        <w:t>,</w:t>
      </w:r>
      <w:r w:rsidR="003B600A" w:rsidRPr="00A97D64">
        <w:t>3</w:t>
      </w:r>
      <w:r w:rsidR="0067454E" w:rsidRPr="00A97D64">
        <w:t>%</w:t>
      </w:r>
      <w:r w:rsidR="007C0E95" w:rsidRPr="00A97D64">
        <w:t>) –</w:t>
      </w:r>
      <w:r w:rsidR="00084282" w:rsidRPr="00A97D64">
        <w:t xml:space="preserve"> jednakże </w:t>
      </w:r>
      <w:r w:rsidR="00AE5712" w:rsidRPr="00A97D64">
        <w:t>w </w:t>
      </w:r>
      <w:r w:rsidR="007C0E95" w:rsidRPr="00A97D64">
        <w:t xml:space="preserve">stosunku do roku </w:t>
      </w:r>
      <w:r w:rsidR="00084282" w:rsidRPr="00A97D64">
        <w:t>‘</w:t>
      </w:r>
      <w:r w:rsidR="007C0E95" w:rsidRPr="00A97D64">
        <w:t>1</w:t>
      </w:r>
      <w:r w:rsidR="00084282" w:rsidRPr="00A97D64">
        <w:t>5</w:t>
      </w:r>
      <w:r w:rsidR="007C0E95" w:rsidRPr="00A97D64">
        <w:t xml:space="preserve"> (</w:t>
      </w:r>
      <w:r w:rsidR="00A97D64" w:rsidRPr="00A97D64">
        <w:t>7</w:t>
      </w:r>
      <w:r w:rsidR="007C0E95" w:rsidRPr="00A97D64">
        <w:t>4 </w:t>
      </w:r>
      <w:r w:rsidR="00A97D64" w:rsidRPr="00A97D64">
        <w:t>688</w:t>
      </w:r>
      <w:r w:rsidR="007C0E95" w:rsidRPr="00A97D64">
        <w:t>) liczba ta spadła</w:t>
      </w:r>
      <w:r w:rsidR="00AD036F" w:rsidRPr="00A97D64">
        <w:t xml:space="preserve"> </w:t>
      </w:r>
      <w:r w:rsidR="00AE5712" w:rsidRPr="00A97D64">
        <w:t>o</w:t>
      </w:r>
      <w:r w:rsidR="00A97D64">
        <w:t xml:space="preserve"> 9 850 </w:t>
      </w:r>
      <w:r w:rsidR="007C0E95" w:rsidRPr="00A97D64">
        <w:t>osób</w:t>
      </w:r>
      <w:r w:rsidRPr="00A97D64">
        <w:t>.</w:t>
      </w:r>
    </w:p>
    <w:p w:rsidR="00CC18AD" w:rsidRPr="00A97D64" w:rsidRDefault="00CC18AD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A97D64">
        <w:t xml:space="preserve">Odnotowano nieznaczny spadek </w:t>
      </w:r>
      <w:r w:rsidR="00A97D64" w:rsidRPr="00A97D64">
        <w:t>udziału</w:t>
      </w:r>
      <w:r w:rsidRPr="00A97D64">
        <w:t xml:space="preserve"> osób długotrwale bezrobotnych, które </w:t>
      </w:r>
      <w:r w:rsidR="00A97D64">
        <w:t xml:space="preserve">to </w:t>
      </w:r>
      <w:r w:rsidRPr="00A97D64">
        <w:t xml:space="preserve">na koniec </w:t>
      </w:r>
      <w:r w:rsidR="00A97D64" w:rsidRPr="00A97D64">
        <w:t>‘</w:t>
      </w:r>
      <w:r w:rsidRPr="00A97D64">
        <w:t>1</w:t>
      </w:r>
      <w:r w:rsidR="00A97D64" w:rsidRPr="00A97D64">
        <w:t>6</w:t>
      </w:r>
      <w:r w:rsidRPr="00A97D64">
        <w:t xml:space="preserve"> roku stanowiły 60,</w:t>
      </w:r>
      <w:r w:rsidR="00A97D64" w:rsidRPr="00A97D64">
        <w:t>3</w:t>
      </w:r>
      <w:r w:rsidRPr="00A97D64">
        <w:t xml:space="preserve">% ogólnej liczby bezrobotnych (na koniec </w:t>
      </w:r>
      <w:r w:rsidR="00A97D64" w:rsidRPr="00A97D64">
        <w:t>‘</w:t>
      </w:r>
      <w:r w:rsidRPr="00A97D64">
        <w:t>1</w:t>
      </w:r>
      <w:r w:rsidR="00A97D64" w:rsidRPr="00A97D64">
        <w:t>5</w:t>
      </w:r>
      <w:r w:rsidRPr="00A97D64">
        <w:t xml:space="preserve"> roku było to 6</w:t>
      </w:r>
      <w:r w:rsidR="00A97D64" w:rsidRPr="00A97D64">
        <w:t>0</w:t>
      </w:r>
      <w:r w:rsidRPr="00A97D64">
        <w:t>,5% ogółu).</w:t>
      </w:r>
    </w:p>
    <w:p w:rsidR="00435EF8" w:rsidRPr="00A97D64" w:rsidRDefault="00FB1767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A97D64">
        <w:t>N</w:t>
      </w:r>
      <w:r w:rsidR="00435EF8" w:rsidRPr="00A97D64">
        <w:t>ajwiększy odsetek osób długotrwale bezrobotnych notuje się</w:t>
      </w:r>
      <w:r w:rsidR="00AE5712" w:rsidRPr="00A97D64">
        <w:t xml:space="preserve"> w </w:t>
      </w:r>
      <w:r w:rsidR="00435EF8" w:rsidRPr="00A97D64">
        <w:t>powiatach: dębickim (6</w:t>
      </w:r>
      <w:r w:rsidR="00A97D64" w:rsidRPr="00A97D64">
        <w:t>5</w:t>
      </w:r>
      <w:r w:rsidR="00435EF8" w:rsidRPr="00A97D64">
        <w:t>,</w:t>
      </w:r>
      <w:r w:rsidR="00A97D64" w:rsidRPr="00A97D64">
        <w:t>6</w:t>
      </w:r>
      <w:r w:rsidR="00435EF8" w:rsidRPr="00A97D64">
        <w:t>%), jasielskim (6</w:t>
      </w:r>
      <w:r w:rsidR="00A97D64" w:rsidRPr="00A97D64">
        <w:t>4</w:t>
      </w:r>
      <w:r w:rsidR="00435EF8" w:rsidRPr="00A97D64">
        <w:t>,1%)</w:t>
      </w:r>
      <w:r w:rsidR="00E530F2">
        <w:t xml:space="preserve"> i </w:t>
      </w:r>
      <w:r w:rsidR="00A97D64" w:rsidRPr="00A97D64">
        <w:t>stalowowolskim</w:t>
      </w:r>
      <w:r w:rsidR="00435EF8" w:rsidRPr="00A97D64">
        <w:t xml:space="preserve"> (6</w:t>
      </w:r>
      <w:r w:rsidR="00A97D64" w:rsidRPr="00A97D64">
        <w:t>1</w:t>
      </w:r>
      <w:r w:rsidR="00435EF8" w:rsidRPr="00A97D64">
        <w:t>,</w:t>
      </w:r>
      <w:r w:rsidR="00A97D64" w:rsidRPr="00A97D64">
        <w:t>4</w:t>
      </w:r>
      <w:r w:rsidR="00435EF8" w:rsidRPr="00A97D64">
        <w:t>%)</w:t>
      </w:r>
      <w:r w:rsidR="00CB472E" w:rsidRPr="00A97D64">
        <w:t>.</w:t>
      </w:r>
    </w:p>
    <w:p w:rsidR="00435EF8" w:rsidRPr="00A97D64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A97D64">
        <w:t>N</w:t>
      </w:r>
      <w:r w:rsidR="00435EF8" w:rsidRPr="00A97D64">
        <w:t>ajmniejszy odsetek osób długotrwale bezrobotnych notuje się</w:t>
      </w:r>
      <w:r w:rsidR="00AE5712" w:rsidRPr="00A97D64">
        <w:t xml:space="preserve"> w </w:t>
      </w:r>
      <w:r w:rsidR="00435EF8" w:rsidRPr="00A97D64">
        <w:t>powiatach: leskim (48,</w:t>
      </w:r>
      <w:r w:rsidR="00A97D64" w:rsidRPr="00A97D64">
        <w:t>3</w:t>
      </w:r>
      <w:r w:rsidR="00435EF8" w:rsidRPr="00A97D64">
        <w:t>%), rzeszowskim (4</w:t>
      </w:r>
      <w:r w:rsidR="00A97D64" w:rsidRPr="00A97D64">
        <w:t>9</w:t>
      </w:r>
      <w:r w:rsidR="00435EF8" w:rsidRPr="00A97D64">
        <w:t>,</w:t>
      </w:r>
      <w:r w:rsidR="00A97D64" w:rsidRPr="00A97D64">
        <w:t>9</w:t>
      </w:r>
      <w:r w:rsidR="00435EF8" w:rsidRPr="00A97D64">
        <w:t>%)</w:t>
      </w:r>
      <w:r w:rsidR="00E530F2">
        <w:t xml:space="preserve"> i</w:t>
      </w:r>
      <w:r w:rsidR="00435EF8" w:rsidRPr="00A97D64">
        <w:t xml:space="preserve"> łańcuckim (</w:t>
      </w:r>
      <w:r w:rsidR="00A97D64" w:rsidRPr="00A97D64">
        <w:t>50</w:t>
      </w:r>
      <w:r w:rsidR="00435EF8" w:rsidRPr="00A97D64">
        <w:t>,4%)</w:t>
      </w:r>
      <w:r w:rsidRPr="00A97D64">
        <w:t>.</w:t>
      </w:r>
    </w:p>
    <w:p w:rsidR="003E6FFD" w:rsidRPr="003E6FFD" w:rsidRDefault="003E6FFD" w:rsidP="00160DBC">
      <w:pPr>
        <w:pStyle w:val="Default"/>
        <w:numPr>
          <w:ilvl w:val="0"/>
          <w:numId w:val="7"/>
        </w:numPr>
        <w:spacing w:line="360" w:lineRule="auto"/>
        <w:jc w:val="both"/>
      </w:pPr>
      <w:r>
        <w:lastRenderedPageBreak/>
        <w:t>W</w:t>
      </w:r>
      <w:r w:rsidRPr="003E6FFD">
        <w:t xml:space="preserve"> stosunku do 2015 r.</w:t>
      </w:r>
      <w:r>
        <w:t xml:space="preserve"> </w:t>
      </w:r>
      <w:r w:rsidR="008F5BF7">
        <w:t xml:space="preserve">odnotowano </w:t>
      </w:r>
      <w:r>
        <w:t>spadek osób długotrwale bezrobotnych we wszystkich powiatach</w:t>
      </w:r>
      <w:r w:rsidR="008F5BF7">
        <w:t xml:space="preserve"> – </w:t>
      </w:r>
      <w:r w:rsidR="0007097F" w:rsidRPr="003E6FFD">
        <w:t>w tym</w:t>
      </w:r>
      <w:r>
        <w:t xml:space="preserve"> największy w</w:t>
      </w:r>
      <w:r w:rsidR="00435EF8" w:rsidRPr="003E6FFD">
        <w:t xml:space="preserve">: </w:t>
      </w:r>
      <w:r w:rsidR="00E30487" w:rsidRPr="003E6FFD">
        <w:t>stalowowolskim</w:t>
      </w:r>
      <w:r w:rsidR="00F05F36" w:rsidRPr="003E6FFD">
        <w:t xml:space="preserve"> (</w:t>
      </w:r>
      <w:r w:rsidR="0007097F" w:rsidRPr="003E6FFD">
        <w:t>40,8%</w:t>
      </w:r>
      <w:r w:rsidR="00435EF8" w:rsidRPr="003E6FFD">
        <w:t>)</w:t>
      </w:r>
      <w:r w:rsidR="00E30487" w:rsidRPr="003E6FFD">
        <w:t>,</w:t>
      </w:r>
      <w:r w:rsidR="00F05F36" w:rsidRPr="003E6FFD">
        <w:t xml:space="preserve"> </w:t>
      </w:r>
      <w:r w:rsidR="0007097F" w:rsidRPr="003E6FFD">
        <w:t>ropczycko–sędziszowskim (</w:t>
      </w:r>
      <w:r w:rsidRPr="003E6FFD">
        <w:t>32,1%</w:t>
      </w:r>
      <w:r w:rsidR="0007097F" w:rsidRPr="003E6FFD">
        <w:t>)</w:t>
      </w:r>
      <w:r w:rsidRPr="003E6FFD">
        <w:t>, krośnieńskim (28,5%) i mieleckim (26,2%)</w:t>
      </w:r>
      <w:r w:rsidR="00F05F36" w:rsidRPr="003E6FFD">
        <w:t>.</w:t>
      </w:r>
    </w:p>
    <w:p w:rsidR="008F5BF7" w:rsidRPr="00A97D64" w:rsidRDefault="00CB472E" w:rsidP="008F5BF7">
      <w:pPr>
        <w:pStyle w:val="Default"/>
        <w:numPr>
          <w:ilvl w:val="0"/>
          <w:numId w:val="7"/>
        </w:numPr>
        <w:spacing w:line="360" w:lineRule="auto"/>
        <w:jc w:val="both"/>
      </w:pPr>
      <w:r w:rsidRPr="00A97D64">
        <w:rPr>
          <w:u w:val="single"/>
        </w:rPr>
        <w:t>D</w:t>
      </w:r>
      <w:r w:rsidR="007C0E95" w:rsidRPr="00A97D64">
        <w:rPr>
          <w:u w:val="single"/>
        </w:rPr>
        <w:t>rugą</w:t>
      </w:r>
      <w:r w:rsidR="00AE5712" w:rsidRPr="00A97D64">
        <w:rPr>
          <w:u w:val="single"/>
        </w:rPr>
        <w:t xml:space="preserve"> w </w:t>
      </w:r>
      <w:r w:rsidR="007C0E95" w:rsidRPr="00A97D64">
        <w:rPr>
          <w:u w:val="single"/>
        </w:rPr>
        <w:t xml:space="preserve">kolejności pod względem liczebności stanowi grupa osób do </w:t>
      </w:r>
      <w:r w:rsidR="007C0E95" w:rsidRPr="008F5BF7">
        <w:rPr>
          <w:u w:val="single"/>
        </w:rPr>
        <w:t>30 roku życia</w:t>
      </w:r>
      <w:r w:rsidR="007C0E95" w:rsidRPr="008F5BF7">
        <w:t xml:space="preserve">, która </w:t>
      </w:r>
      <w:r w:rsidR="002474CA" w:rsidRPr="008F5BF7">
        <w:t>w 201</w:t>
      </w:r>
      <w:r w:rsidR="008F5BF7" w:rsidRPr="008F5BF7">
        <w:t>6</w:t>
      </w:r>
      <w:r w:rsidR="002474CA" w:rsidRPr="008F5BF7">
        <w:t xml:space="preserve"> r. obejmowała</w:t>
      </w:r>
      <w:r w:rsidR="007C0E95" w:rsidRPr="008F5BF7">
        <w:t xml:space="preserve"> </w:t>
      </w:r>
      <w:r w:rsidR="008F5BF7" w:rsidRPr="008F5BF7">
        <w:t>33</w:t>
      </w:r>
      <w:r w:rsidR="007C0E95" w:rsidRPr="008F5BF7">
        <w:t> </w:t>
      </w:r>
      <w:r w:rsidR="008F5BF7" w:rsidRPr="008F5BF7">
        <w:t>604</w:t>
      </w:r>
      <w:r w:rsidR="007C0E95" w:rsidRPr="008F5BF7">
        <w:t xml:space="preserve"> osoby (</w:t>
      </w:r>
      <w:r w:rsidR="00F6040F" w:rsidRPr="008F5BF7">
        <w:t>3</w:t>
      </w:r>
      <w:r w:rsidR="008F5BF7" w:rsidRPr="008F5BF7">
        <w:t>1</w:t>
      </w:r>
      <w:r w:rsidR="00F6040F" w:rsidRPr="008F5BF7">
        <w:t>,</w:t>
      </w:r>
      <w:r w:rsidR="008F5BF7" w:rsidRPr="008F5BF7">
        <w:t>2</w:t>
      </w:r>
      <w:r w:rsidR="00F6040F" w:rsidRPr="008F5BF7">
        <w:t>%</w:t>
      </w:r>
      <w:r w:rsidR="007C0E95" w:rsidRPr="008F5BF7">
        <w:t xml:space="preserve">) – </w:t>
      </w:r>
      <w:r w:rsidR="008F5BF7" w:rsidRPr="00A97D64">
        <w:t>jednak w stosunku do roku ‘15 (</w:t>
      </w:r>
      <w:r w:rsidR="008F5BF7">
        <w:t>42</w:t>
      </w:r>
      <w:r w:rsidR="008F5BF7" w:rsidRPr="00A97D64">
        <w:t> </w:t>
      </w:r>
      <w:r w:rsidR="008F5BF7">
        <w:t>524</w:t>
      </w:r>
      <w:r w:rsidR="008F5BF7" w:rsidRPr="00A97D64">
        <w:t>) liczba ta spadła o</w:t>
      </w:r>
      <w:r w:rsidR="008F5BF7">
        <w:t xml:space="preserve"> 8 920 </w:t>
      </w:r>
      <w:r w:rsidR="008F5BF7" w:rsidRPr="00A97D64">
        <w:t>osób.</w:t>
      </w:r>
    </w:p>
    <w:p w:rsidR="007B1E3D" w:rsidRPr="008F5BF7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8F5BF7">
        <w:t>N</w:t>
      </w:r>
      <w:r w:rsidR="007B1E3D" w:rsidRPr="008F5BF7">
        <w:t>ajwięcej osób bezrobotnych</w:t>
      </w:r>
      <w:r w:rsidR="00AE5712" w:rsidRPr="008F5BF7">
        <w:t xml:space="preserve"> w </w:t>
      </w:r>
      <w:r w:rsidR="007B1E3D" w:rsidRPr="008F5BF7">
        <w:t>grupie do 30 roku życia odnotowuje się</w:t>
      </w:r>
      <w:r w:rsidR="00AE5712" w:rsidRPr="008F5BF7">
        <w:t xml:space="preserve"> w </w:t>
      </w:r>
      <w:r w:rsidR="007B1E3D" w:rsidRPr="008F5BF7">
        <w:t>powiatach: rzeszowskim (</w:t>
      </w:r>
      <w:r w:rsidR="008F5BF7" w:rsidRPr="008F5BF7">
        <w:t>2</w:t>
      </w:r>
      <w:r w:rsidR="007B1E3D" w:rsidRPr="008F5BF7">
        <w:t> </w:t>
      </w:r>
      <w:r w:rsidR="008F5BF7" w:rsidRPr="008F5BF7">
        <w:t>653</w:t>
      </w:r>
      <w:r w:rsidR="007B1E3D" w:rsidRPr="008F5BF7">
        <w:t>), jarosławskim (2 </w:t>
      </w:r>
      <w:r w:rsidR="008F5BF7" w:rsidRPr="008F5BF7">
        <w:t>389</w:t>
      </w:r>
      <w:r w:rsidR="007B1E3D" w:rsidRPr="008F5BF7">
        <w:t>),</w:t>
      </w:r>
      <w:r w:rsidR="008F5BF7" w:rsidRPr="008F5BF7">
        <w:t xml:space="preserve"> dębickim </w:t>
      </w:r>
      <w:r w:rsidR="007B1E3D" w:rsidRPr="008F5BF7">
        <w:t>(2 </w:t>
      </w:r>
      <w:r w:rsidR="008F5BF7" w:rsidRPr="008F5BF7">
        <w:t>054</w:t>
      </w:r>
      <w:r w:rsidR="007B1E3D" w:rsidRPr="008F5BF7">
        <w:t>),</w:t>
      </w:r>
      <w:r w:rsidR="008F5BF7" w:rsidRPr="008F5BF7">
        <w:t xml:space="preserve"> jasielskim </w:t>
      </w:r>
      <w:r w:rsidR="007B1E3D" w:rsidRPr="008F5BF7">
        <w:t>(2 0</w:t>
      </w:r>
      <w:r w:rsidR="008F5BF7" w:rsidRPr="008F5BF7">
        <w:t>39</w:t>
      </w:r>
      <w:r w:rsidR="007B1E3D" w:rsidRPr="008F5BF7">
        <w:t>)</w:t>
      </w:r>
      <w:r w:rsidR="008F5BF7" w:rsidRPr="008F5BF7">
        <w:t xml:space="preserve"> i m. Rzeszowie</w:t>
      </w:r>
      <w:r w:rsidR="007B1E3D" w:rsidRPr="008F5BF7">
        <w:t xml:space="preserve"> (</w:t>
      </w:r>
      <w:r w:rsidR="008F5BF7" w:rsidRPr="008F5BF7">
        <w:t>1</w:t>
      </w:r>
      <w:r w:rsidR="007B1E3D" w:rsidRPr="008F5BF7">
        <w:t> </w:t>
      </w:r>
      <w:r w:rsidR="008F5BF7" w:rsidRPr="008F5BF7">
        <w:t>869</w:t>
      </w:r>
      <w:r w:rsidR="007B1E3D" w:rsidRPr="008F5BF7">
        <w:t>)</w:t>
      </w:r>
      <w:r w:rsidRPr="008F5BF7">
        <w:t>.</w:t>
      </w:r>
    </w:p>
    <w:p w:rsidR="007B1E3D" w:rsidRPr="00E824B1" w:rsidRDefault="00CB472E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E824B1">
        <w:t>N</w:t>
      </w:r>
      <w:r w:rsidR="007B1E3D" w:rsidRPr="00E824B1">
        <w:t>ajmniej osób bezrobotnych</w:t>
      </w:r>
      <w:r w:rsidR="00AE5712" w:rsidRPr="00E824B1">
        <w:t xml:space="preserve"> w </w:t>
      </w:r>
      <w:r w:rsidR="007B1E3D" w:rsidRPr="00E824B1">
        <w:t>grupie do 30 roku życia odnotowuje się</w:t>
      </w:r>
      <w:r w:rsidR="00AE5712" w:rsidRPr="00E824B1">
        <w:t xml:space="preserve"> w</w:t>
      </w:r>
      <w:r w:rsidR="007B1E3D" w:rsidRPr="00E824B1">
        <w:t xml:space="preserve">: </w:t>
      </w:r>
      <w:r w:rsidR="00E824B1" w:rsidRPr="00E824B1">
        <w:t xml:space="preserve">m. </w:t>
      </w:r>
      <w:r w:rsidR="007B1E3D" w:rsidRPr="00E824B1">
        <w:t>Krośnie (</w:t>
      </w:r>
      <w:r w:rsidR="00E824B1" w:rsidRPr="00E824B1">
        <w:t>316</w:t>
      </w:r>
      <w:r w:rsidR="007B1E3D" w:rsidRPr="00E824B1">
        <w:t>)</w:t>
      </w:r>
      <w:r w:rsidR="00E824B1" w:rsidRPr="00E824B1">
        <w:t xml:space="preserve">, powiecie bieszczadzkim (492), m. </w:t>
      </w:r>
      <w:r w:rsidR="007B1E3D" w:rsidRPr="00E824B1">
        <w:t>Tarnobrzegu (4</w:t>
      </w:r>
      <w:r w:rsidR="00E824B1" w:rsidRPr="00E824B1">
        <w:t>98</w:t>
      </w:r>
      <w:r w:rsidR="007B1E3D" w:rsidRPr="00E824B1">
        <w:t>)</w:t>
      </w:r>
      <w:r w:rsidR="00E824B1" w:rsidRPr="00E824B1">
        <w:t>, leskim</w:t>
      </w:r>
      <w:r w:rsidR="007B1E3D" w:rsidRPr="00E824B1">
        <w:t xml:space="preserve"> (6</w:t>
      </w:r>
      <w:r w:rsidR="00E824B1" w:rsidRPr="00E824B1">
        <w:t>85</w:t>
      </w:r>
      <w:r w:rsidR="007B1E3D" w:rsidRPr="00E824B1">
        <w:t>)</w:t>
      </w:r>
      <w:r w:rsidR="00AE5712" w:rsidRPr="00E824B1">
        <w:t xml:space="preserve"> i </w:t>
      </w:r>
      <w:r w:rsidR="00E824B1" w:rsidRPr="00E824B1">
        <w:t>tarnobrzeskim</w:t>
      </w:r>
      <w:r w:rsidR="007B1E3D" w:rsidRPr="00E824B1">
        <w:t xml:space="preserve"> (7</w:t>
      </w:r>
      <w:r w:rsidR="00E824B1" w:rsidRPr="00E824B1">
        <w:t>60</w:t>
      </w:r>
      <w:r w:rsidR="007B1E3D" w:rsidRPr="00E824B1">
        <w:t>)</w:t>
      </w:r>
      <w:r w:rsidRPr="00E824B1">
        <w:t>.</w:t>
      </w:r>
    </w:p>
    <w:p w:rsidR="008F5BF7" w:rsidRPr="00E824B1" w:rsidRDefault="00CC18AD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E824B1">
        <w:t>Na koniec 201</w:t>
      </w:r>
      <w:r w:rsidR="008F5BF7" w:rsidRPr="00E824B1">
        <w:t>6</w:t>
      </w:r>
      <w:r w:rsidRPr="00E824B1">
        <w:t xml:space="preserve"> r</w:t>
      </w:r>
      <w:r w:rsidR="00E824B1" w:rsidRPr="00E824B1">
        <w:t>.</w:t>
      </w:r>
      <w:r w:rsidR="00AE5712" w:rsidRPr="00E824B1">
        <w:t xml:space="preserve"> w </w:t>
      </w:r>
      <w:r w:rsidRPr="00E824B1">
        <w:t>porównaniu do stanu</w:t>
      </w:r>
      <w:r w:rsidR="00E824B1" w:rsidRPr="00E824B1">
        <w:t xml:space="preserve"> </w:t>
      </w:r>
      <w:r w:rsidR="00AE5712" w:rsidRPr="00E824B1">
        <w:t>z</w:t>
      </w:r>
      <w:r w:rsidR="00E824B1" w:rsidRPr="00E824B1">
        <w:t xml:space="preserve"> </w:t>
      </w:r>
      <w:r w:rsidRPr="00E824B1">
        <w:t>końca</w:t>
      </w:r>
      <w:r w:rsidR="00E824B1" w:rsidRPr="00E824B1">
        <w:t xml:space="preserve"> </w:t>
      </w:r>
      <w:r w:rsidRPr="00E824B1">
        <w:t>201</w:t>
      </w:r>
      <w:r w:rsidR="008F5BF7" w:rsidRPr="00E824B1">
        <w:t>5</w:t>
      </w:r>
      <w:r w:rsidRPr="00E824B1">
        <w:t xml:space="preserve"> r</w:t>
      </w:r>
      <w:r w:rsidR="00E824B1" w:rsidRPr="00E824B1">
        <w:t>.</w:t>
      </w:r>
      <w:r w:rsidR="00AD036F" w:rsidRPr="00E824B1">
        <w:t xml:space="preserve"> </w:t>
      </w:r>
      <w:r w:rsidRPr="00E824B1">
        <w:t>zmniejszył</w:t>
      </w:r>
      <w:r w:rsidR="00E824B1" w:rsidRPr="00E824B1">
        <w:t xml:space="preserve">a </w:t>
      </w:r>
      <w:r w:rsidRPr="00E824B1">
        <w:t>się</w:t>
      </w:r>
      <w:r w:rsidR="00E824B1" w:rsidRPr="00E824B1">
        <w:t xml:space="preserve"> liczba </w:t>
      </w:r>
      <w:r w:rsidRPr="00E824B1">
        <w:t>bezrobotnych do 25 roku życia</w:t>
      </w:r>
      <w:r w:rsidR="00E824B1" w:rsidRPr="00E824B1">
        <w:t xml:space="preserve"> o 5 605 osób. Osoby do 25 roku życia obejmowały</w:t>
      </w:r>
      <w:r w:rsidRPr="00E824B1">
        <w:t xml:space="preserve"> </w:t>
      </w:r>
      <w:r w:rsidR="00E824B1" w:rsidRPr="00E824B1">
        <w:t>15</w:t>
      </w:r>
      <w:r w:rsidRPr="00E824B1">
        <w:t>,</w:t>
      </w:r>
      <w:r w:rsidR="00E824B1" w:rsidRPr="00E824B1">
        <w:t>1</w:t>
      </w:r>
      <w:r w:rsidRPr="00E824B1">
        <w:t>% ogółu bezrobotnych.</w:t>
      </w:r>
    </w:p>
    <w:p w:rsidR="00E12615" w:rsidRPr="001D7069" w:rsidRDefault="00E12615" w:rsidP="001D7069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6040F" w:rsidRPr="00E12615" w:rsidRDefault="00CB472E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615">
        <w:rPr>
          <w:rFonts w:ascii="Times New Roman" w:hAnsi="Times New Roman" w:cs="Times New Roman"/>
          <w:sz w:val="24"/>
          <w:szCs w:val="24"/>
          <w:u w:val="single"/>
        </w:rPr>
        <w:t>T</w:t>
      </w:r>
      <w:r w:rsidR="007C0E95" w:rsidRPr="00E12615">
        <w:rPr>
          <w:rFonts w:ascii="Times New Roman" w:hAnsi="Times New Roman" w:cs="Times New Roman"/>
          <w:sz w:val="24"/>
          <w:szCs w:val="24"/>
          <w:u w:val="single"/>
        </w:rPr>
        <w:t>rzecią</w:t>
      </w:r>
      <w:r w:rsidR="00AE5712" w:rsidRPr="00E12615">
        <w:rPr>
          <w:rFonts w:ascii="Times New Roman" w:hAnsi="Times New Roman" w:cs="Times New Roman"/>
          <w:sz w:val="24"/>
          <w:szCs w:val="24"/>
          <w:u w:val="single"/>
        </w:rPr>
        <w:t xml:space="preserve"> w </w:t>
      </w:r>
      <w:r w:rsidR="007C0E95" w:rsidRPr="00E12615">
        <w:rPr>
          <w:rFonts w:ascii="Times New Roman" w:hAnsi="Times New Roman" w:cs="Times New Roman"/>
          <w:sz w:val="24"/>
          <w:szCs w:val="24"/>
          <w:u w:val="single"/>
        </w:rPr>
        <w:t>kolejności pod względem liczebności stanowi grupa osób powyżej 50 roku życia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, która </w:t>
      </w:r>
      <w:r w:rsidR="00A97EF7" w:rsidRPr="00E12615">
        <w:rPr>
          <w:rFonts w:ascii="Times New Roman" w:hAnsi="Times New Roman" w:cs="Times New Roman"/>
          <w:sz w:val="24"/>
          <w:szCs w:val="24"/>
        </w:rPr>
        <w:t xml:space="preserve">obejmuje </w:t>
      </w:r>
      <w:r w:rsidR="007C0E95" w:rsidRPr="00E12615">
        <w:rPr>
          <w:rFonts w:ascii="Times New Roman" w:hAnsi="Times New Roman" w:cs="Times New Roman"/>
          <w:sz w:val="24"/>
          <w:szCs w:val="24"/>
        </w:rPr>
        <w:t>2</w:t>
      </w:r>
      <w:r w:rsidR="00E12615" w:rsidRPr="00E12615">
        <w:rPr>
          <w:rFonts w:ascii="Times New Roman" w:hAnsi="Times New Roman" w:cs="Times New Roman"/>
          <w:sz w:val="24"/>
          <w:szCs w:val="24"/>
        </w:rPr>
        <w:t>5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 </w:t>
      </w:r>
      <w:r w:rsidR="00E12615" w:rsidRPr="00E12615">
        <w:rPr>
          <w:rFonts w:ascii="Times New Roman" w:hAnsi="Times New Roman" w:cs="Times New Roman"/>
          <w:sz w:val="24"/>
          <w:szCs w:val="24"/>
        </w:rPr>
        <w:t>194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 os</w:t>
      </w:r>
      <w:r w:rsidR="00A97EF7" w:rsidRPr="00E12615">
        <w:rPr>
          <w:rFonts w:ascii="Times New Roman" w:hAnsi="Times New Roman" w:cs="Times New Roman"/>
          <w:sz w:val="24"/>
          <w:szCs w:val="24"/>
        </w:rPr>
        <w:t>ó</w:t>
      </w:r>
      <w:r w:rsidR="007C0E95" w:rsidRPr="00E12615">
        <w:rPr>
          <w:rFonts w:ascii="Times New Roman" w:hAnsi="Times New Roman" w:cs="Times New Roman"/>
          <w:sz w:val="24"/>
          <w:szCs w:val="24"/>
        </w:rPr>
        <w:t>b (2</w:t>
      </w:r>
      <w:r w:rsidR="00E12615" w:rsidRPr="00E12615">
        <w:rPr>
          <w:rFonts w:ascii="Times New Roman" w:hAnsi="Times New Roman" w:cs="Times New Roman"/>
          <w:sz w:val="24"/>
          <w:szCs w:val="24"/>
        </w:rPr>
        <w:t>3</w:t>
      </w:r>
      <w:r w:rsidR="007C0E95" w:rsidRPr="00E12615">
        <w:rPr>
          <w:rFonts w:ascii="Times New Roman" w:hAnsi="Times New Roman" w:cs="Times New Roman"/>
          <w:sz w:val="24"/>
          <w:szCs w:val="24"/>
        </w:rPr>
        <w:t>,</w:t>
      </w:r>
      <w:r w:rsidR="00E12615" w:rsidRPr="00E12615">
        <w:rPr>
          <w:rFonts w:ascii="Times New Roman" w:hAnsi="Times New Roman" w:cs="Times New Roman"/>
          <w:sz w:val="24"/>
          <w:szCs w:val="24"/>
        </w:rPr>
        <w:t>4</w:t>
      </w:r>
      <w:r w:rsidR="007C0E95" w:rsidRPr="00E12615">
        <w:rPr>
          <w:rFonts w:ascii="Times New Roman" w:hAnsi="Times New Roman" w:cs="Times New Roman"/>
          <w:sz w:val="24"/>
          <w:szCs w:val="24"/>
        </w:rPr>
        <w:t>%) –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 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stosunku do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‘15 </w:t>
      </w:r>
      <w:r w:rsidR="007C0E95" w:rsidRPr="00E12615">
        <w:rPr>
          <w:rFonts w:ascii="Times New Roman" w:hAnsi="Times New Roman" w:cs="Times New Roman"/>
          <w:sz w:val="24"/>
          <w:szCs w:val="24"/>
        </w:rPr>
        <w:t>r</w:t>
      </w:r>
      <w:r w:rsidR="00E12615" w:rsidRPr="00E12615">
        <w:rPr>
          <w:rFonts w:ascii="Times New Roman" w:hAnsi="Times New Roman" w:cs="Times New Roman"/>
          <w:sz w:val="24"/>
          <w:szCs w:val="24"/>
        </w:rPr>
        <w:t>.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 (2</w:t>
      </w:r>
      <w:r w:rsidR="00E12615" w:rsidRPr="00E12615">
        <w:rPr>
          <w:rFonts w:ascii="Times New Roman" w:hAnsi="Times New Roman" w:cs="Times New Roman"/>
          <w:sz w:val="24"/>
          <w:szCs w:val="24"/>
        </w:rPr>
        <w:t>7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 </w:t>
      </w:r>
      <w:r w:rsidR="00E12615" w:rsidRPr="00E12615">
        <w:rPr>
          <w:rFonts w:ascii="Times New Roman" w:hAnsi="Times New Roman" w:cs="Times New Roman"/>
          <w:sz w:val="24"/>
          <w:szCs w:val="24"/>
        </w:rPr>
        <w:t>449</w:t>
      </w:r>
      <w:r w:rsidR="007C0E95" w:rsidRPr="00E12615">
        <w:rPr>
          <w:rFonts w:ascii="Times New Roman" w:hAnsi="Times New Roman" w:cs="Times New Roman"/>
          <w:sz w:val="24"/>
          <w:szCs w:val="24"/>
        </w:rPr>
        <w:t>) liczba ta spadła</w:t>
      </w:r>
      <w:r w:rsidR="00AD036F" w:rsidRPr="00E12615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E12615">
        <w:rPr>
          <w:rFonts w:ascii="Times New Roman" w:hAnsi="Times New Roman" w:cs="Times New Roman"/>
          <w:sz w:val="24"/>
          <w:szCs w:val="24"/>
        </w:rPr>
        <w:t>o </w:t>
      </w:r>
      <w:r w:rsidR="00E12615" w:rsidRPr="00E12615">
        <w:rPr>
          <w:rFonts w:ascii="Times New Roman" w:hAnsi="Times New Roman" w:cs="Times New Roman"/>
          <w:sz w:val="24"/>
          <w:szCs w:val="24"/>
        </w:rPr>
        <w:t>2 255</w:t>
      </w:r>
      <w:r w:rsidR="007C0E95" w:rsidRPr="00E12615">
        <w:rPr>
          <w:rFonts w:ascii="Times New Roman" w:hAnsi="Times New Roman" w:cs="Times New Roman"/>
          <w:sz w:val="24"/>
          <w:szCs w:val="24"/>
        </w:rPr>
        <w:t xml:space="preserve"> os</w:t>
      </w:r>
      <w:r w:rsidR="00E12615" w:rsidRPr="00E12615">
        <w:rPr>
          <w:rFonts w:ascii="Times New Roman" w:hAnsi="Times New Roman" w:cs="Times New Roman"/>
          <w:sz w:val="24"/>
          <w:szCs w:val="24"/>
        </w:rPr>
        <w:t>ó</w:t>
      </w:r>
      <w:r w:rsidR="007C0E95" w:rsidRPr="00E12615">
        <w:rPr>
          <w:rFonts w:ascii="Times New Roman" w:hAnsi="Times New Roman" w:cs="Times New Roman"/>
          <w:sz w:val="24"/>
          <w:szCs w:val="24"/>
        </w:rPr>
        <w:t>b</w:t>
      </w:r>
      <w:r w:rsidRPr="00E12615">
        <w:rPr>
          <w:rFonts w:ascii="Times New Roman" w:hAnsi="Times New Roman" w:cs="Times New Roman"/>
          <w:sz w:val="24"/>
          <w:szCs w:val="24"/>
        </w:rPr>
        <w:t>.</w:t>
      </w:r>
    </w:p>
    <w:p w:rsidR="00CC18AD" w:rsidRPr="00E12615" w:rsidRDefault="00CC18AD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615">
        <w:rPr>
          <w:rFonts w:ascii="Times New Roman" w:hAnsi="Times New Roman" w:cs="Times New Roman"/>
          <w:sz w:val="24"/>
          <w:szCs w:val="24"/>
        </w:rPr>
        <w:t>Na koniec 201</w:t>
      </w:r>
      <w:r w:rsidR="00E12615" w:rsidRPr="00E12615">
        <w:rPr>
          <w:rFonts w:ascii="Times New Roman" w:hAnsi="Times New Roman" w:cs="Times New Roman"/>
          <w:sz w:val="24"/>
          <w:szCs w:val="24"/>
        </w:rPr>
        <w:t>6</w:t>
      </w:r>
      <w:r w:rsidRPr="00E12615">
        <w:rPr>
          <w:rFonts w:ascii="Times New Roman" w:hAnsi="Times New Roman" w:cs="Times New Roman"/>
          <w:sz w:val="24"/>
          <w:szCs w:val="24"/>
        </w:rPr>
        <w:t xml:space="preserve"> roku wzr</w:t>
      </w:r>
      <w:r w:rsidR="00E12615" w:rsidRPr="00E12615">
        <w:rPr>
          <w:rFonts w:ascii="Times New Roman" w:hAnsi="Times New Roman" w:cs="Times New Roman"/>
          <w:sz w:val="24"/>
          <w:szCs w:val="24"/>
        </w:rPr>
        <w:t>ó</w:t>
      </w:r>
      <w:r w:rsidRPr="00E12615">
        <w:rPr>
          <w:rFonts w:ascii="Times New Roman" w:hAnsi="Times New Roman" w:cs="Times New Roman"/>
          <w:sz w:val="24"/>
          <w:szCs w:val="24"/>
        </w:rPr>
        <w:t xml:space="preserve">sł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udział </w:t>
      </w:r>
      <w:r w:rsidRPr="00E12615">
        <w:rPr>
          <w:rFonts w:ascii="Times New Roman" w:hAnsi="Times New Roman" w:cs="Times New Roman"/>
          <w:sz w:val="24"/>
          <w:szCs w:val="24"/>
        </w:rPr>
        <w:t>bezrobotnych po 50 roku życia, które stanowiły 2</w:t>
      </w:r>
      <w:r w:rsidR="00E12615" w:rsidRPr="00E12615">
        <w:rPr>
          <w:rFonts w:ascii="Times New Roman" w:hAnsi="Times New Roman" w:cs="Times New Roman"/>
          <w:sz w:val="24"/>
          <w:szCs w:val="24"/>
        </w:rPr>
        <w:t>3</w:t>
      </w:r>
      <w:r w:rsidRPr="00E12615">
        <w:rPr>
          <w:rFonts w:ascii="Times New Roman" w:hAnsi="Times New Roman" w:cs="Times New Roman"/>
          <w:sz w:val="24"/>
          <w:szCs w:val="24"/>
        </w:rPr>
        <w:t>,</w:t>
      </w:r>
      <w:r w:rsidR="00E12615" w:rsidRPr="00E12615">
        <w:rPr>
          <w:rFonts w:ascii="Times New Roman" w:hAnsi="Times New Roman" w:cs="Times New Roman"/>
          <w:sz w:val="24"/>
          <w:szCs w:val="24"/>
        </w:rPr>
        <w:t>4</w:t>
      </w:r>
      <w:r w:rsidRPr="00E12615">
        <w:rPr>
          <w:rFonts w:ascii="Times New Roman" w:hAnsi="Times New Roman" w:cs="Times New Roman"/>
          <w:sz w:val="24"/>
          <w:szCs w:val="24"/>
        </w:rPr>
        <w:t>% ogółu bezrobotnych (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v. s. </w:t>
      </w:r>
      <w:r w:rsidRPr="00E12615">
        <w:rPr>
          <w:rFonts w:ascii="Times New Roman" w:hAnsi="Times New Roman" w:cs="Times New Roman"/>
          <w:sz w:val="24"/>
          <w:szCs w:val="24"/>
        </w:rPr>
        <w:t>na koniec </w:t>
      </w:r>
      <w:r w:rsidR="00E12615" w:rsidRPr="00E12615">
        <w:rPr>
          <w:rFonts w:ascii="Times New Roman" w:hAnsi="Times New Roman" w:cs="Times New Roman"/>
          <w:sz w:val="24"/>
          <w:szCs w:val="24"/>
        </w:rPr>
        <w:t>‘</w:t>
      </w:r>
      <w:r w:rsidRPr="00E12615">
        <w:rPr>
          <w:rFonts w:ascii="Times New Roman" w:hAnsi="Times New Roman" w:cs="Times New Roman"/>
          <w:sz w:val="24"/>
          <w:szCs w:val="24"/>
        </w:rPr>
        <w:t>1</w:t>
      </w:r>
      <w:r w:rsidR="00E12615" w:rsidRPr="00E12615">
        <w:rPr>
          <w:rFonts w:ascii="Times New Roman" w:hAnsi="Times New Roman" w:cs="Times New Roman"/>
          <w:sz w:val="24"/>
          <w:szCs w:val="24"/>
        </w:rPr>
        <w:t>5</w:t>
      </w:r>
      <w:r w:rsidRPr="00E12615">
        <w:rPr>
          <w:rFonts w:ascii="Times New Roman" w:hAnsi="Times New Roman" w:cs="Times New Roman"/>
          <w:sz w:val="24"/>
          <w:szCs w:val="24"/>
        </w:rPr>
        <w:t xml:space="preserve"> r</w:t>
      </w:r>
      <w:r w:rsidR="00E12615" w:rsidRPr="00E12615">
        <w:rPr>
          <w:rFonts w:ascii="Times New Roman" w:hAnsi="Times New Roman" w:cs="Times New Roman"/>
          <w:sz w:val="24"/>
          <w:szCs w:val="24"/>
        </w:rPr>
        <w:t>.</w:t>
      </w:r>
      <w:r w:rsidRPr="00E12615">
        <w:rPr>
          <w:rFonts w:ascii="Times New Roman" w:hAnsi="Times New Roman" w:cs="Times New Roman"/>
          <w:sz w:val="24"/>
          <w:szCs w:val="24"/>
        </w:rPr>
        <w:t xml:space="preserve"> było to </w:t>
      </w:r>
      <w:r w:rsidR="00E12615" w:rsidRPr="00E12615">
        <w:rPr>
          <w:rFonts w:ascii="Times New Roman" w:hAnsi="Times New Roman" w:cs="Times New Roman"/>
          <w:sz w:val="24"/>
          <w:szCs w:val="24"/>
        </w:rPr>
        <w:t>22</w:t>
      </w:r>
      <w:r w:rsidRPr="00E12615">
        <w:rPr>
          <w:rFonts w:ascii="Times New Roman" w:hAnsi="Times New Roman" w:cs="Times New Roman"/>
          <w:sz w:val="24"/>
          <w:szCs w:val="24"/>
        </w:rPr>
        <w:t>,</w:t>
      </w:r>
      <w:r w:rsidR="00E12615" w:rsidRPr="00E12615">
        <w:rPr>
          <w:rFonts w:ascii="Times New Roman" w:hAnsi="Times New Roman" w:cs="Times New Roman"/>
          <w:sz w:val="24"/>
          <w:szCs w:val="24"/>
        </w:rPr>
        <w:t>2</w:t>
      </w:r>
      <w:r w:rsidRPr="00E12615">
        <w:rPr>
          <w:rFonts w:ascii="Times New Roman" w:hAnsi="Times New Roman" w:cs="Times New Roman"/>
          <w:sz w:val="24"/>
          <w:szCs w:val="24"/>
        </w:rPr>
        <w:t>% ogółu bezrobotnych).</w:t>
      </w:r>
    </w:p>
    <w:p w:rsidR="0044373E" w:rsidRPr="00E12615" w:rsidRDefault="00CB472E" w:rsidP="00160DBC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2615">
        <w:rPr>
          <w:rFonts w:ascii="Times New Roman" w:hAnsi="Times New Roman" w:cs="Times New Roman"/>
          <w:sz w:val="24"/>
          <w:szCs w:val="24"/>
        </w:rPr>
        <w:t>N</w:t>
      </w:r>
      <w:r w:rsidR="0044373E" w:rsidRPr="00E12615">
        <w:rPr>
          <w:rFonts w:ascii="Times New Roman" w:hAnsi="Times New Roman" w:cs="Times New Roman"/>
          <w:sz w:val="24"/>
          <w:szCs w:val="24"/>
        </w:rPr>
        <w:t>ajwięcej osób bezrobotnych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E12615">
        <w:rPr>
          <w:rFonts w:ascii="Times New Roman" w:hAnsi="Times New Roman" w:cs="Times New Roman"/>
          <w:sz w:val="24"/>
          <w:szCs w:val="24"/>
        </w:rPr>
        <w:t>grupie powyżej 50 roku życia odnotowuje się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</w:t>
      </w:r>
      <w:r w:rsidR="00E12615" w:rsidRPr="00E12615">
        <w:rPr>
          <w:rFonts w:ascii="Times New Roman" w:hAnsi="Times New Roman" w:cs="Times New Roman"/>
          <w:sz w:val="24"/>
          <w:szCs w:val="24"/>
        </w:rPr>
        <w:t>:</w:t>
      </w:r>
      <w:r w:rsidR="00AE5712" w:rsidRPr="00E12615">
        <w:rPr>
          <w:rFonts w:ascii="Times New Roman" w:hAnsi="Times New Roman" w:cs="Times New Roman"/>
          <w:sz w:val="24"/>
          <w:szCs w:val="24"/>
        </w:rPr>
        <w:t> </w:t>
      </w:r>
      <w:r w:rsidR="0044373E" w:rsidRPr="00E12615">
        <w:rPr>
          <w:rFonts w:ascii="Times New Roman" w:hAnsi="Times New Roman" w:cs="Times New Roman"/>
          <w:sz w:val="24"/>
          <w:szCs w:val="24"/>
        </w:rPr>
        <w:t>m</w:t>
      </w:r>
      <w:r w:rsidR="00E12615" w:rsidRPr="00E12615">
        <w:rPr>
          <w:rFonts w:ascii="Times New Roman" w:hAnsi="Times New Roman" w:cs="Times New Roman"/>
          <w:sz w:val="24"/>
          <w:szCs w:val="24"/>
        </w:rPr>
        <w:t>. </w:t>
      </w:r>
      <w:r w:rsidR="0044373E" w:rsidRPr="00E12615">
        <w:rPr>
          <w:rFonts w:ascii="Times New Roman" w:hAnsi="Times New Roman" w:cs="Times New Roman"/>
          <w:sz w:val="24"/>
          <w:szCs w:val="24"/>
        </w:rPr>
        <w:t>Rzeszowie (2 </w:t>
      </w:r>
      <w:r w:rsidR="00E12615" w:rsidRPr="00E12615">
        <w:rPr>
          <w:rFonts w:ascii="Times New Roman" w:hAnsi="Times New Roman" w:cs="Times New Roman"/>
          <w:sz w:val="24"/>
          <w:szCs w:val="24"/>
        </w:rPr>
        <w:t>282</w:t>
      </w:r>
      <w:r w:rsidR="0044373E" w:rsidRPr="00E12615">
        <w:rPr>
          <w:rFonts w:ascii="Times New Roman" w:hAnsi="Times New Roman" w:cs="Times New Roman"/>
          <w:sz w:val="24"/>
          <w:szCs w:val="24"/>
        </w:rPr>
        <w:t>) oraz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powiatach: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jarosławskim (1 719), 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rzeszowskim (1 </w:t>
      </w:r>
      <w:r w:rsidR="00E12615" w:rsidRPr="00E12615">
        <w:rPr>
          <w:rFonts w:ascii="Times New Roman" w:hAnsi="Times New Roman" w:cs="Times New Roman"/>
          <w:sz w:val="24"/>
          <w:szCs w:val="24"/>
        </w:rPr>
        <w:t>659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), 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jasielskim 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(1 </w:t>
      </w:r>
      <w:r w:rsidR="00E12615" w:rsidRPr="00E12615">
        <w:rPr>
          <w:rFonts w:ascii="Times New Roman" w:hAnsi="Times New Roman" w:cs="Times New Roman"/>
          <w:sz w:val="24"/>
          <w:szCs w:val="24"/>
        </w:rPr>
        <w:t>493</w:t>
      </w:r>
      <w:r w:rsidR="0044373E" w:rsidRPr="00E12615">
        <w:rPr>
          <w:rFonts w:ascii="Times New Roman" w:hAnsi="Times New Roman" w:cs="Times New Roman"/>
          <w:sz w:val="24"/>
          <w:szCs w:val="24"/>
        </w:rPr>
        <w:t>)</w:t>
      </w:r>
      <w:r w:rsidRPr="00E12615">
        <w:rPr>
          <w:rFonts w:ascii="Times New Roman" w:hAnsi="Times New Roman" w:cs="Times New Roman"/>
          <w:sz w:val="24"/>
          <w:szCs w:val="24"/>
        </w:rPr>
        <w:t>.</w:t>
      </w:r>
    </w:p>
    <w:p w:rsidR="00DE2D41" w:rsidRPr="00E12615" w:rsidRDefault="00CB472E" w:rsidP="00E12615">
      <w:pPr>
        <w:pStyle w:val="Bezodstpw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12615">
        <w:rPr>
          <w:rFonts w:ascii="Times New Roman" w:hAnsi="Times New Roman" w:cs="Times New Roman"/>
          <w:sz w:val="24"/>
          <w:szCs w:val="24"/>
        </w:rPr>
        <w:t>N</w:t>
      </w:r>
      <w:r w:rsidR="0044373E" w:rsidRPr="00E12615">
        <w:rPr>
          <w:rFonts w:ascii="Times New Roman" w:hAnsi="Times New Roman" w:cs="Times New Roman"/>
          <w:sz w:val="24"/>
          <w:szCs w:val="24"/>
        </w:rPr>
        <w:t>ajmniej osób bezrobotnych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E12615">
        <w:rPr>
          <w:rFonts w:ascii="Times New Roman" w:hAnsi="Times New Roman" w:cs="Times New Roman"/>
          <w:sz w:val="24"/>
          <w:szCs w:val="24"/>
        </w:rPr>
        <w:t>grupie powyżej 50 roku życia odnotowuje się</w:t>
      </w:r>
      <w:r w:rsidR="00AE5712" w:rsidRPr="00E12615">
        <w:rPr>
          <w:rFonts w:ascii="Times New Roman" w:hAnsi="Times New Roman" w:cs="Times New Roman"/>
          <w:sz w:val="24"/>
          <w:szCs w:val="24"/>
        </w:rPr>
        <w:t xml:space="preserve"> w </w:t>
      </w:r>
      <w:r w:rsidR="0044373E" w:rsidRPr="00E12615">
        <w:rPr>
          <w:rFonts w:ascii="Times New Roman" w:hAnsi="Times New Roman" w:cs="Times New Roman"/>
          <w:sz w:val="24"/>
          <w:szCs w:val="24"/>
        </w:rPr>
        <w:t>powiecie bieszczadzkim (3</w:t>
      </w:r>
      <w:r w:rsidR="00E12615" w:rsidRPr="00E12615">
        <w:rPr>
          <w:rFonts w:ascii="Times New Roman" w:hAnsi="Times New Roman" w:cs="Times New Roman"/>
          <w:sz w:val="24"/>
          <w:szCs w:val="24"/>
        </w:rPr>
        <w:t>68</w:t>
      </w:r>
      <w:r w:rsidR="0044373E" w:rsidRPr="00E12615">
        <w:rPr>
          <w:rFonts w:ascii="Times New Roman" w:hAnsi="Times New Roman" w:cs="Times New Roman"/>
          <w:sz w:val="24"/>
          <w:szCs w:val="24"/>
        </w:rPr>
        <w:t>), m</w:t>
      </w:r>
      <w:r w:rsidR="00E12615" w:rsidRPr="00E12615">
        <w:rPr>
          <w:rFonts w:ascii="Times New Roman" w:hAnsi="Times New Roman" w:cs="Times New Roman"/>
          <w:sz w:val="24"/>
          <w:szCs w:val="24"/>
        </w:rPr>
        <w:t>.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 Krośnie (4</w:t>
      </w:r>
      <w:r w:rsidR="00E12615" w:rsidRPr="00E12615">
        <w:rPr>
          <w:rFonts w:ascii="Times New Roman" w:hAnsi="Times New Roman" w:cs="Times New Roman"/>
          <w:sz w:val="24"/>
          <w:szCs w:val="24"/>
        </w:rPr>
        <w:t>04</w:t>
      </w:r>
      <w:r w:rsidR="0044373E" w:rsidRPr="00E12615">
        <w:rPr>
          <w:rFonts w:ascii="Times New Roman" w:hAnsi="Times New Roman" w:cs="Times New Roman"/>
          <w:sz w:val="24"/>
          <w:szCs w:val="24"/>
        </w:rPr>
        <w:t xml:space="preserve">),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m Tarnobrzegu (545), </w:t>
      </w:r>
      <w:r w:rsidR="0044373E" w:rsidRPr="00E12615">
        <w:rPr>
          <w:rFonts w:ascii="Times New Roman" w:hAnsi="Times New Roman" w:cs="Times New Roman"/>
          <w:sz w:val="24"/>
          <w:szCs w:val="24"/>
        </w:rPr>
        <w:t>powiecie tarnobrzeskim (5</w:t>
      </w:r>
      <w:r w:rsidR="00E12615" w:rsidRPr="00E12615">
        <w:rPr>
          <w:rFonts w:ascii="Times New Roman" w:hAnsi="Times New Roman" w:cs="Times New Roman"/>
          <w:sz w:val="24"/>
          <w:szCs w:val="24"/>
        </w:rPr>
        <w:t>57</w:t>
      </w:r>
      <w:r w:rsidR="0044373E" w:rsidRPr="00E12615">
        <w:rPr>
          <w:rFonts w:ascii="Times New Roman" w:hAnsi="Times New Roman" w:cs="Times New Roman"/>
          <w:sz w:val="24"/>
          <w:szCs w:val="24"/>
        </w:rPr>
        <w:t>), leskim (</w:t>
      </w:r>
      <w:r w:rsidRPr="00E12615">
        <w:rPr>
          <w:rFonts w:ascii="Times New Roman" w:hAnsi="Times New Roman" w:cs="Times New Roman"/>
          <w:sz w:val="24"/>
          <w:szCs w:val="24"/>
        </w:rPr>
        <w:t>5</w:t>
      </w:r>
      <w:r w:rsidR="00E12615" w:rsidRPr="00E12615">
        <w:rPr>
          <w:rFonts w:ascii="Times New Roman" w:hAnsi="Times New Roman" w:cs="Times New Roman"/>
          <w:sz w:val="24"/>
          <w:szCs w:val="24"/>
        </w:rPr>
        <w:t>76</w:t>
      </w:r>
      <w:r w:rsidRPr="00E12615">
        <w:rPr>
          <w:rFonts w:ascii="Times New Roman" w:hAnsi="Times New Roman" w:cs="Times New Roman"/>
          <w:sz w:val="24"/>
          <w:szCs w:val="24"/>
        </w:rPr>
        <w:t xml:space="preserve">), </w:t>
      </w:r>
      <w:r w:rsidR="00E12615" w:rsidRPr="00E12615">
        <w:rPr>
          <w:rFonts w:ascii="Times New Roman" w:hAnsi="Times New Roman" w:cs="Times New Roman"/>
          <w:sz w:val="24"/>
          <w:szCs w:val="24"/>
        </w:rPr>
        <w:t xml:space="preserve">ropczycko-sędziszowskim </w:t>
      </w:r>
      <w:r w:rsidRPr="00E12615">
        <w:rPr>
          <w:rFonts w:ascii="Times New Roman" w:hAnsi="Times New Roman" w:cs="Times New Roman"/>
          <w:sz w:val="24"/>
          <w:szCs w:val="24"/>
        </w:rPr>
        <w:t>(58</w:t>
      </w:r>
      <w:r w:rsidR="00E12615" w:rsidRPr="00E12615">
        <w:rPr>
          <w:rFonts w:ascii="Times New Roman" w:hAnsi="Times New Roman" w:cs="Times New Roman"/>
          <w:sz w:val="24"/>
          <w:szCs w:val="24"/>
        </w:rPr>
        <w:t>2</w:t>
      </w:r>
      <w:r w:rsidRPr="00E12615">
        <w:rPr>
          <w:rFonts w:ascii="Times New Roman" w:hAnsi="Times New Roman" w:cs="Times New Roman"/>
          <w:sz w:val="24"/>
          <w:szCs w:val="24"/>
        </w:rPr>
        <w:t>).</w:t>
      </w:r>
    </w:p>
    <w:p w:rsidR="00E12615" w:rsidRDefault="00E12615">
      <w:pPr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br w:type="page"/>
      </w:r>
    </w:p>
    <w:p w:rsidR="00452A1B" w:rsidRDefault="00EC4005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19" w:name="_Toc477160364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Bezrobotni według Polskiej Klasyfikacji</w:t>
      </w:r>
      <w:bookmarkEnd w:id="19"/>
    </w:p>
    <w:p w:rsidR="00EC4005" w:rsidRPr="00452A1B" w:rsidRDefault="00EC4005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0" w:name="_Toc477160365"/>
      <w:r w:rsidRPr="00452A1B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Działalności</w:t>
      </w:r>
      <w:bookmarkEnd w:id="20"/>
    </w:p>
    <w:p w:rsidR="00EC4005" w:rsidRPr="00452A1B" w:rsidRDefault="00EC4005" w:rsidP="00EC4005">
      <w:pPr>
        <w:pStyle w:val="Default"/>
        <w:jc w:val="both"/>
        <w:rPr>
          <w:b/>
          <w:bCs/>
          <w:i/>
        </w:rPr>
      </w:pPr>
    </w:p>
    <w:p w:rsidR="00EC4005" w:rsidRPr="00E613EA" w:rsidRDefault="00614E9A" w:rsidP="00614E9A">
      <w:pPr>
        <w:pStyle w:val="Bezodstpw"/>
        <w:ind w:left="1410" w:hanging="1410"/>
        <w:jc w:val="both"/>
        <w:rPr>
          <w:b/>
          <w:bCs/>
          <w:highlight w:val="yellow"/>
        </w:rPr>
      </w:pPr>
      <w:r w:rsidRPr="00614E9A">
        <w:rPr>
          <w:noProof/>
          <w:lang w:eastAsia="pl-PL"/>
        </w:rPr>
        <w:drawing>
          <wp:inline distT="0" distB="0" distL="0" distR="0" wp14:anchorId="5D27634B" wp14:editId="4B19284F">
            <wp:extent cx="5759355" cy="6707874"/>
            <wp:effectExtent l="0" t="0" r="0" b="0"/>
            <wp:docPr id="678" name="Obraz 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70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E9A" w:rsidRDefault="00614E9A" w:rsidP="00452A1B">
      <w:pPr>
        <w:pStyle w:val="Default"/>
        <w:pBdr>
          <w:bottom w:val="single" w:sz="4" w:space="1" w:color="auto"/>
        </w:pBdr>
        <w:jc w:val="both"/>
      </w:pPr>
    </w:p>
    <w:p w:rsidR="009A6205" w:rsidRPr="00452A1B" w:rsidRDefault="002B6DF5" w:rsidP="00452A1B">
      <w:pPr>
        <w:pStyle w:val="Default"/>
        <w:pBdr>
          <w:bottom w:val="single" w:sz="4" w:space="1" w:color="auto"/>
        </w:pBdr>
        <w:jc w:val="both"/>
      </w:pPr>
      <w:r w:rsidRPr="00452A1B">
        <w:t>Wnioski</w:t>
      </w:r>
      <w:r w:rsidR="009A6205" w:rsidRPr="00452A1B">
        <w:t>:</w:t>
      </w:r>
    </w:p>
    <w:p w:rsidR="009A6205" w:rsidRPr="00614E9A" w:rsidRDefault="009A6205" w:rsidP="009A620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614E9A">
        <w:rPr>
          <w:rFonts w:ascii="Times New Roman" w:hAnsi="Times New Roman" w:cs="Times New Roman"/>
          <w:szCs w:val="24"/>
        </w:rPr>
        <w:t>(na podstawie danych</w:t>
      </w:r>
      <w:r w:rsidR="00AE5712" w:rsidRPr="00614E9A">
        <w:rPr>
          <w:rFonts w:ascii="Times New Roman" w:hAnsi="Times New Roman" w:cs="Times New Roman"/>
          <w:szCs w:val="24"/>
        </w:rPr>
        <w:t xml:space="preserve"> z </w:t>
      </w:r>
      <w:r w:rsidR="00614E9A" w:rsidRPr="00614E9A">
        <w:rPr>
          <w:rFonts w:ascii="Times New Roman" w:hAnsi="Times New Roman" w:cs="Times New Roman"/>
          <w:szCs w:val="24"/>
        </w:rPr>
        <w:t>t</w:t>
      </w:r>
      <w:r w:rsidRPr="00614E9A">
        <w:rPr>
          <w:rFonts w:ascii="Times New Roman" w:hAnsi="Times New Roman" w:cs="Times New Roman"/>
          <w:szCs w:val="24"/>
        </w:rPr>
        <w:t xml:space="preserve">abeli </w:t>
      </w:r>
      <w:r w:rsidR="00614E9A" w:rsidRPr="00614E9A">
        <w:rPr>
          <w:rFonts w:ascii="Times New Roman" w:hAnsi="Times New Roman" w:cs="Times New Roman"/>
          <w:szCs w:val="24"/>
        </w:rPr>
        <w:t>XXII</w:t>
      </w:r>
      <w:r w:rsidR="002B6DF5" w:rsidRPr="00614E9A">
        <w:rPr>
          <w:rFonts w:ascii="Times New Roman" w:hAnsi="Times New Roman" w:cs="Times New Roman"/>
          <w:szCs w:val="24"/>
        </w:rPr>
        <w:t>)</w:t>
      </w:r>
    </w:p>
    <w:p w:rsidR="00EC4005" w:rsidRPr="001D7069" w:rsidRDefault="00230EA3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1D7069">
        <w:t>N</w:t>
      </w:r>
      <w:r w:rsidR="00EC4005" w:rsidRPr="001D7069">
        <w:t xml:space="preserve">ajwięcej </w:t>
      </w:r>
      <w:r w:rsidRPr="001D7069">
        <w:t xml:space="preserve">osób </w:t>
      </w:r>
      <w:r w:rsidR="00EC4005" w:rsidRPr="001D7069">
        <w:t>bezrobotnych pracowało poprzednio</w:t>
      </w:r>
      <w:r w:rsidR="00AE5712" w:rsidRPr="001D7069">
        <w:t xml:space="preserve"> w </w:t>
      </w:r>
      <w:r w:rsidR="00EC4005" w:rsidRPr="001D7069">
        <w:t>zakładach pracy należących do następujących sekcji PKD: przetwórstwo przemysłowe (</w:t>
      </w:r>
      <w:r w:rsidR="001D7069" w:rsidRPr="001D7069">
        <w:t>19</w:t>
      </w:r>
      <w:r w:rsidR="00EC4005" w:rsidRPr="001D7069">
        <w:t>,</w:t>
      </w:r>
      <w:r w:rsidR="001D7069" w:rsidRPr="001D7069">
        <w:t>3</w:t>
      </w:r>
      <w:r w:rsidR="00EC4005" w:rsidRPr="001D7069">
        <w:t>%), hand</w:t>
      </w:r>
      <w:r w:rsidR="009A6205" w:rsidRPr="001D7069">
        <w:t>e</w:t>
      </w:r>
      <w:r w:rsidR="00EC4005" w:rsidRPr="001D7069">
        <w:t>l, łącznie</w:t>
      </w:r>
      <w:r w:rsidR="00AE5712" w:rsidRPr="001D7069">
        <w:t xml:space="preserve"> z </w:t>
      </w:r>
      <w:r w:rsidR="00EC4005" w:rsidRPr="001D7069">
        <w:t>naprawami (1</w:t>
      </w:r>
      <w:r w:rsidR="001D7069" w:rsidRPr="001D7069">
        <w:t>9,0</w:t>
      </w:r>
      <w:r w:rsidR="00EC4005" w:rsidRPr="001D7069">
        <w:t>%), budownictw</w:t>
      </w:r>
      <w:r w:rsidR="009A6205" w:rsidRPr="001D7069">
        <w:t>o</w:t>
      </w:r>
      <w:r w:rsidR="00EC4005" w:rsidRPr="001D7069">
        <w:t xml:space="preserve"> (11,</w:t>
      </w:r>
      <w:r w:rsidR="001D7069" w:rsidRPr="001D7069">
        <w:t>8</w:t>
      </w:r>
      <w:r w:rsidR="00EC4005" w:rsidRPr="001D7069">
        <w:t>%), pozostał</w:t>
      </w:r>
      <w:r w:rsidR="009A6205" w:rsidRPr="001D7069">
        <w:t>a działalność usługowa</w:t>
      </w:r>
      <w:r w:rsidR="00EC4005" w:rsidRPr="001D7069">
        <w:t xml:space="preserve"> (5,9%),</w:t>
      </w:r>
      <w:r w:rsidR="001D7069">
        <w:t xml:space="preserve"> </w:t>
      </w:r>
      <w:r w:rsidR="001D7069" w:rsidRPr="001D7069">
        <w:lastRenderedPageBreak/>
        <w:t>działalność w zakresie usług administrowania</w:t>
      </w:r>
      <w:r w:rsidR="001D7069">
        <w:t xml:space="preserve"> </w:t>
      </w:r>
      <w:r w:rsidR="001D7069" w:rsidRPr="001D7069">
        <w:t>i</w:t>
      </w:r>
      <w:r w:rsidR="001D7069">
        <w:t xml:space="preserve"> </w:t>
      </w:r>
      <w:r w:rsidR="001D7069" w:rsidRPr="001D7069">
        <w:t>działalności</w:t>
      </w:r>
      <w:r w:rsidR="001D7069">
        <w:t xml:space="preserve"> </w:t>
      </w:r>
      <w:r w:rsidR="001D7069" w:rsidRPr="001D7069">
        <w:t>wspierającej (5,2%)</w:t>
      </w:r>
      <w:r w:rsidR="001D7069">
        <w:t xml:space="preserve">, </w:t>
      </w:r>
      <w:r w:rsidR="00EC4005" w:rsidRPr="001D7069">
        <w:t>administracj</w:t>
      </w:r>
      <w:r w:rsidR="009A6205" w:rsidRPr="001D7069">
        <w:t>a</w:t>
      </w:r>
      <w:r w:rsidR="00EC4005" w:rsidRPr="001D7069">
        <w:t xml:space="preserve"> publiczn</w:t>
      </w:r>
      <w:r w:rsidR="009A6205" w:rsidRPr="001D7069">
        <w:t>a</w:t>
      </w:r>
      <w:r w:rsidR="001D7069">
        <w:t xml:space="preserve"> </w:t>
      </w:r>
      <w:r w:rsidR="00AE5712" w:rsidRPr="001D7069">
        <w:t>i</w:t>
      </w:r>
      <w:r w:rsidR="001D7069">
        <w:t xml:space="preserve"> </w:t>
      </w:r>
      <w:r w:rsidR="00EC4005" w:rsidRPr="001D7069">
        <w:t>obron</w:t>
      </w:r>
      <w:r w:rsidR="009A6205" w:rsidRPr="001D7069">
        <w:t>a</w:t>
      </w:r>
      <w:r w:rsidR="00EC4005" w:rsidRPr="001D7069">
        <w:t xml:space="preserve"> narodow</w:t>
      </w:r>
      <w:r w:rsidR="009A6205" w:rsidRPr="001D7069">
        <w:t>a</w:t>
      </w:r>
      <w:r w:rsidR="00EC4005" w:rsidRPr="001D7069">
        <w:t xml:space="preserve"> (5,</w:t>
      </w:r>
      <w:r w:rsidR="001D7069" w:rsidRPr="001D7069">
        <w:t>0</w:t>
      </w:r>
      <w:r w:rsidR="00EC4005" w:rsidRPr="001D7069">
        <w:t>%)</w:t>
      </w:r>
      <w:r w:rsidR="001D7069">
        <w:t xml:space="preserve">. </w:t>
      </w:r>
    </w:p>
    <w:p w:rsidR="001D7069" w:rsidRPr="0021024C" w:rsidRDefault="00230EA3" w:rsidP="00160DBC">
      <w:pPr>
        <w:pStyle w:val="Default"/>
        <w:numPr>
          <w:ilvl w:val="0"/>
          <w:numId w:val="7"/>
        </w:numPr>
        <w:spacing w:line="360" w:lineRule="auto"/>
        <w:jc w:val="both"/>
      </w:pPr>
      <w:r w:rsidRPr="0021024C">
        <w:t>N</w:t>
      </w:r>
      <w:r w:rsidR="00EC4005" w:rsidRPr="0021024C">
        <w:t xml:space="preserve">ajmniej </w:t>
      </w:r>
      <w:r w:rsidRPr="0021024C">
        <w:t xml:space="preserve">osób </w:t>
      </w:r>
      <w:r w:rsidR="009A6205" w:rsidRPr="0021024C">
        <w:t>bezrobotnych pracowało poprzednio</w:t>
      </w:r>
      <w:r w:rsidR="00AE5712" w:rsidRPr="0021024C">
        <w:t xml:space="preserve"> w </w:t>
      </w:r>
      <w:r w:rsidR="009A6205" w:rsidRPr="0021024C">
        <w:t>zakładach pracy należących do następujących sekcji PKD:</w:t>
      </w:r>
      <w:r w:rsidR="001D7069" w:rsidRPr="0021024C">
        <w:t xml:space="preserve"> działalność związana z kulturą rozrywką i rekreacją (0,9%), działalność finansowa i ubezpieczeniowa (1,2%), opieka zdrowotna i pomoc społeczna (2,6%), edukacja (2,8%), działalność profesjonalna, naukowa i techniczna (2,9%), transport i gospodarka magazynowa (2,9%), rolnictwo, łowiectwo, leśnictwo i rybactwo (3,8%), działalność związana z zakwaterowaniem i usługami gastronomicznymi (3,8%)</w:t>
      </w:r>
      <w:r w:rsidR="0021024C" w:rsidRPr="0021024C">
        <w:t>.</w:t>
      </w:r>
      <w:r w:rsidR="001D7069" w:rsidRPr="0021024C">
        <w:t xml:space="preserve"> </w:t>
      </w:r>
    </w:p>
    <w:p w:rsidR="00EC4005" w:rsidRPr="00E613EA" w:rsidRDefault="00EC4005" w:rsidP="00EC4005">
      <w:pPr>
        <w:pStyle w:val="Default"/>
        <w:jc w:val="both"/>
        <w:rPr>
          <w:bCs/>
          <w:highlight w:val="yellow"/>
        </w:rPr>
      </w:pPr>
    </w:p>
    <w:p w:rsidR="00EC4005" w:rsidRPr="00614E9A" w:rsidRDefault="00EC4005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1" w:name="_Toc477160366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Bezrobotni według zawodów</w:t>
      </w:r>
      <w:bookmarkEnd w:id="21"/>
    </w:p>
    <w:p w:rsidR="00EC4005" w:rsidRPr="00E613EA" w:rsidRDefault="00EC4005" w:rsidP="00EC4005">
      <w:pPr>
        <w:pStyle w:val="Default"/>
        <w:jc w:val="both"/>
        <w:rPr>
          <w:b/>
          <w:bCs/>
          <w:highlight w:val="yellow"/>
        </w:rPr>
      </w:pPr>
    </w:p>
    <w:tbl>
      <w:tblPr>
        <w:tblW w:w="1073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0"/>
        <w:gridCol w:w="1100"/>
        <w:gridCol w:w="1338"/>
        <w:gridCol w:w="760"/>
        <w:gridCol w:w="960"/>
      </w:tblGrid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Tabela XXIV. BEROBOTNI WG GRUP ZAWODÓW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</w:t>
            </w: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stan w końcu roku, województwo podkarpackie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915"/>
        </w:trPr>
        <w:tc>
          <w:tcPr>
            <w:tcW w:w="6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grupy zawodów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kody zawodów (wg KZiS)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liczba bezrobotnych 31 XII '16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%*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57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PRZEDSTAWICIELE WŁADZ PUBLICZNYCH, WYŻSI URZĘDNICY I KIEROWNICY*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Przedstawiciele władz publicznych, wyżsi urzędnicy i dyrektorzy generalni**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zarządzania i handlu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produkcji i usług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w branży hotelarskiej, handlu i innych branżach usługowych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SPECJALIŚCI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12 965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nauk fizycznych, matematycznych i technicznych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zdrowia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nauczania i wychowania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2 180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ekonomicznych i zarządzania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4 269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technologii informacyjno-komunikacyjnych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z dziedziny prawa, dziedzin społecznych i kultury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3 007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TECHNICY I INNY ŚREDNI PERSONEL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15 280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nauk fizycznych, chemicznych i technicznych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7 068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zdrowia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biznesu i administracji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3 944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z dziedziny prawa, spraw społecznych, kultury i pokrewny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Technicy informatycy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PRACOWNICY BIUROWI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4 116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Sekretarki, operatorzy urządzeń biurowych i pokrewni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1 540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obsługi klienta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do spraw finansowo-statystycznych i ewidencji materiałowej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5A2876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Pozostali pracownicy obsługi biura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5A2876">
        <w:trPr>
          <w:trHeight w:val="300"/>
        </w:trPr>
        <w:tc>
          <w:tcPr>
            <w:tcW w:w="6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>PRACOWNICY USŁUG I SPRZEDAWCY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18 537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osobistych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8 282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i pokrewni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9 273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opieki osobistej i pokrewni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ochrony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ROLNICY, OGRODNICY, LEŚNICY I RYBACY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1 943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produkcji towarowej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Leśnicy i rybacy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i rybacy pracujący na własne potrzeby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ROBOTNICY PRZEMYSŁOWI I RZEMIEŚLNICY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25 611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27,4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budowlani i pokrewni (z wyłączeniem elektryków)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6 682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obróbki metali, mechanicy maszyn i urządzeń i pokrewni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8 805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Rzemieślnicy i robotnicy poligraficzni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Elektrycy i elektronicy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6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 przetwórstwie spożywczym, obróbce drewna, produkcji wyrobów tekstylnych i pokrewni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7 220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OPERATORZY I MONTERZY MASZYN I URZĄDZEŃ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6 018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Operatorzy maszyn i urządzeń wydobywczych i przetwórczych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2 927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Monterzy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Kierowcy i operatorzy pojazdów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2 462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PRACOWNICY WYKONUJĄCY PRACE PROSTE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8 466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Pomoce domowe i sprzątaczki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1 741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6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rolnictwie, leśnictwie, leśnictwie i rybactwie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6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górnictwie, przemyśle, budownictwie i transporcie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4 624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54,6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6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wykonujący prace proste związane z przygotowywaniem posiłków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uliczni i pracownicy świadczący usługi na ulicach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Ładowacze nieczystości i inni pracownicy wykonujący prace proste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SIŁY ZBROJNE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Oficerowie sił zbrojnych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Podoficerowie sił zbrojnych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15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Żołnierze szeregowi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00"/>
        </w:trPr>
        <w:tc>
          <w:tcPr>
            <w:tcW w:w="6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BEZROBOTNI BEZ ZAWODU***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14 060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945CCD" w:rsidP="00945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13</w:t>
            </w:r>
            <w:r w:rsidR="0005008C"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15"/>
        </w:trPr>
        <w:tc>
          <w:tcPr>
            <w:tcW w:w="65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BEZROBOTNI Z ZAWODEM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93 507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05008C" w:rsidTr="0005008C">
        <w:trPr>
          <w:trHeight w:val="390"/>
        </w:trPr>
        <w:tc>
          <w:tcPr>
            <w:tcW w:w="6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Ogółem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AB</w:t>
            </w:r>
          </w:p>
        </w:tc>
        <w:tc>
          <w:tcPr>
            <w:tcW w:w="13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107 567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5008C" w:rsidRPr="0005008C" w:rsidRDefault="0005008C" w:rsidP="000500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---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05008C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5008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5008C" w:rsidRPr="00134E4A" w:rsidTr="00945CCD">
        <w:trPr>
          <w:trHeight w:val="181"/>
        </w:trPr>
        <w:tc>
          <w:tcPr>
            <w:tcW w:w="10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* W jednocyfrowych grupach zawodów, odsetek w stosunku do liczby bezrobotnych ogółem z zawodem (B=100%). </w:t>
            </w:r>
          </w:p>
        </w:tc>
      </w:tr>
      <w:tr w:rsidR="0005008C" w:rsidRPr="00134E4A" w:rsidTr="00945CCD">
        <w:trPr>
          <w:trHeight w:val="119"/>
        </w:trPr>
        <w:tc>
          <w:tcPr>
            <w:tcW w:w="10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 Wartości procentowe odpowiadające grupom dwucyfrowym obliczono dla danej grupy jednocyfrowej (GJ=100%).</w:t>
            </w:r>
          </w:p>
        </w:tc>
      </w:tr>
      <w:tr w:rsidR="0005008C" w:rsidRPr="00134E4A" w:rsidTr="00945CCD">
        <w:trPr>
          <w:trHeight w:val="193"/>
        </w:trPr>
        <w:tc>
          <w:tcPr>
            <w:tcW w:w="7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2102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*** Odsetek dla bezrobotnych bez zawodu w stosunku do "og</w:t>
            </w:r>
            <w:r w:rsidR="0021024C"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ó</w:t>
            </w: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łem" (A+B=100%).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5008C" w:rsidRPr="00134E4A" w:rsidRDefault="0005008C" w:rsidP="000500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34E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21024C" w:rsidRDefault="0021024C" w:rsidP="00AE2F19">
      <w:pPr>
        <w:pStyle w:val="Bezodstpw"/>
        <w:jc w:val="both"/>
        <w:rPr>
          <w:rFonts w:ascii="Times New Roman" w:hAnsi="Times New Roman" w:cs="Times New Roman"/>
          <w:highlight w:val="yellow"/>
        </w:rPr>
      </w:pPr>
    </w:p>
    <w:p w:rsidR="00A44C67" w:rsidRPr="00614E9A" w:rsidRDefault="00230EA3" w:rsidP="00614E9A">
      <w:pPr>
        <w:pStyle w:val="Default"/>
        <w:pBdr>
          <w:bottom w:val="single" w:sz="4" w:space="1" w:color="auto"/>
        </w:pBdr>
        <w:jc w:val="both"/>
      </w:pPr>
      <w:r w:rsidRPr="00614E9A">
        <w:t>Wnioski:</w:t>
      </w:r>
    </w:p>
    <w:p w:rsidR="00A44C67" w:rsidRPr="0021024C" w:rsidRDefault="00A44C67" w:rsidP="00A44C67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21024C">
        <w:rPr>
          <w:rFonts w:ascii="Times New Roman" w:hAnsi="Times New Roman" w:cs="Times New Roman"/>
          <w:szCs w:val="24"/>
        </w:rPr>
        <w:t>(na podstawie danych</w:t>
      </w:r>
      <w:r w:rsidR="00AE5712" w:rsidRPr="0021024C">
        <w:rPr>
          <w:rFonts w:ascii="Times New Roman" w:hAnsi="Times New Roman" w:cs="Times New Roman"/>
          <w:szCs w:val="24"/>
        </w:rPr>
        <w:t xml:space="preserve"> z </w:t>
      </w:r>
      <w:r w:rsidR="0021024C" w:rsidRPr="0021024C">
        <w:rPr>
          <w:rFonts w:ascii="Times New Roman" w:hAnsi="Times New Roman" w:cs="Times New Roman"/>
          <w:szCs w:val="24"/>
        </w:rPr>
        <w:t>t</w:t>
      </w:r>
      <w:r w:rsidRPr="0021024C">
        <w:rPr>
          <w:rFonts w:ascii="Times New Roman" w:hAnsi="Times New Roman" w:cs="Times New Roman"/>
          <w:szCs w:val="24"/>
        </w:rPr>
        <w:t xml:space="preserve">abeli </w:t>
      </w:r>
      <w:r w:rsidR="0021024C" w:rsidRPr="0021024C">
        <w:rPr>
          <w:rFonts w:ascii="Times New Roman" w:hAnsi="Times New Roman" w:cs="Times New Roman"/>
          <w:szCs w:val="24"/>
        </w:rPr>
        <w:t>XXIV</w:t>
      </w:r>
      <w:r w:rsidRPr="0021024C">
        <w:rPr>
          <w:rFonts w:ascii="Times New Roman" w:hAnsi="Times New Roman" w:cs="Times New Roman"/>
          <w:szCs w:val="24"/>
        </w:rPr>
        <w:t>)</w:t>
      </w:r>
    </w:p>
    <w:p w:rsidR="00A44C67" w:rsidRPr="003A171F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CA6">
        <w:rPr>
          <w:rFonts w:ascii="Times New Roman" w:hAnsi="Times New Roman" w:cs="Times New Roman"/>
          <w:sz w:val="24"/>
          <w:szCs w:val="24"/>
        </w:rPr>
        <w:t>N</w:t>
      </w:r>
      <w:r w:rsidR="00A44C67" w:rsidRPr="003B3CA6">
        <w:rPr>
          <w:rFonts w:ascii="Times New Roman" w:hAnsi="Times New Roman" w:cs="Times New Roman"/>
          <w:sz w:val="24"/>
          <w:szCs w:val="24"/>
        </w:rPr>
        <w:t>a dzień 31</w:t>
      </w:r>
      <w:r w:rsidR="0021024C" w:rsidRPr="003B3CA6">
        <w:rPr>
          <w:rFonts w:ascii="Times New Roman" w:hAnsi="Times New Roman" w:cs="Times New Roman"/>
          <w:sz w:val="24"/>
          <w:szCs w:val="24"/>
        </w:rPr>
        <w:t xml:space="preserve"> XII ‘</w:t>
      </w:r>
      <w:r w:rsidR="00A44C67" w:rsidRPr="003B3CA6">
        <w:rPr>
          <w:rFonts w:ascii="Times New Roman" w:hAnsi="Times New Roman" w:cs="Times New Roman"/>
          <w:sz w:val="24"/>
          <w:szCs w:val="24"/>
        </w:rPr>
        <w:t>1</w:t>
      </w:r>
      <w:r w:rsidR="0021024C" w:rsidRPr="003B3CA6">
        <w:rPr>
          <w:rFonts w:ascii="Times New Roman" w:hAnsi="Times New Roman" w:cs="Times New Roman"/>
          <w:sz w:val="24"/>
          <w:szCs w:val="24"/>
        </w:rPr>
        <w:t>6</w:t>
      </w:r>
      <w:r w:rsidR="00AE5712" w:rsidRPr="003B3CA6">
        <w:rPr>
          <w:rFonts w:ascii="Times New Roman" w:hAnsi="Times New Roman" w:cs="Times New Roman"/>
          <w:sz w:val="24"/>
          <w:szCs w:val="24"/>
        </w:rPr>
        <w:t> r.</w:t>
      </w:r>
      <w:r w:rsidR="00A44C67" w:rsidRPr="003B3CA6">
        <w:rPr>
          <w:rFonts w:ascii="Times New Roman" w:hAnsi="Times New Roman" w:cs="Times New Roman"/>
          <w:sz w:val="24"/>
          <w:szCs w:val="24"/>
        </w:rPr>
        <w:t xml:space="preserve"> odnotowano największą liczbę bezrobotnych</w:t>
      </w:r>
      <w:r w:rsidR="00AE5712" w:rsidRPr="003B3CA6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3B3CA6">
        <w:rPr>
          <w:rFonts w:ascii="Times New Roman" w:hAnsi="Times New Roman" w:cs="Times New Roman"/>
          <w:sz w:val="24"/>
          <w:szCs w:val="24"/>
        </w:rPr>
        <w:t>następujących grupach zawodów</w:t>
      </w:r>
      <w:r w:rsidR="00A44C67" w:rsidRPr="00F17C27">
        <w:rPr>
          <w:rFonts w:ascii="Times New Roman" w:hAnsi="Times New Roman" w:cs="Times New Roman"/>
          <w:sz w:val="24"/>
          <w:szCs w:val="24"/>
        </w:rPr>
        <w:t>: robotnicy przemysłowi</w:t>
      </w:r>
      <w:r w:rsidR="00AE5712" w:rsidRPr="00F17C27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F17C27">
        <w:rPr>
          <w:rFonts w:ascii="Times New Roman" w:hAnsi="Times New Roman" w:cs="Times New Roman"/>
          <w:sz w:val="24"/>
          <w:szCs w:val="24"/>
        </w:rPr>
        <w:t>rzemieślnicy – 2</w:t>
      </w:r>
      <w:r w:rsidR="00F17C27" w:rsidRPr="00F17C27">
        <w:rPr>
          <w:rFonts w:ascii="Times New Roman" w:hAnsi="Times New Roman" w:cs="Times New Roman"/>
          <w:sz w:val="24"/>
          <w:szCs w:val="24"/>
        </w:rPr>
        <w:t>5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</w:t>
      </w:r>
      <w:r w:rsidR="00F17C27" w:rsidRPr="00F17C27">
        <w:rPr>
          <w:rFonts w:ascii="Times New Roman" w:hAnsi="Times New Roman" w:cs="Times New Roman"/>
          <w:sz w:val="24"/>
          <w:szCs w:val="24"/>
        </w:rPr>
        <w:t>611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(2</w:t>
      </w:r>
      <w:r w:rsidR="00F17C27" w:rsidRPr="00F17C27">
        <w:rPr>
          <w:rFonts w:ascii="Times New Roman" w:hAnsi="Times New Roman" w:cs="Times New Roman"/>
          <w:sz w:val="24"/>
          <w:szCs w:val="24"/>
        </w:rPr>
        <w:t>7</w:t>
      </w:r>
      <w:r w:rsidR="00A44C67" w:rsidRPr="00F17C27">
        <w:rPr>
          <w:rFonts w:ascii="Times New Roman" w:hAnsi="Times New Roman" w:cs="Times New Roman"/>
          <w:sz w:val="24"/>
          <w:szCs w:val="24"/>
        </w:rPr>
        <w:t>,</w:t>
      </w:r>
      <w:r w:rsidR="00F17C27" w:rsidRPr="00F17C27">
        <w:rPr>
          <w:rFonts w:ascii="Times New Roman" w:hAnsi="Times New Roman" w:cs="Times New Roman"/>
          <w:sz w:val="24"/>
          <w:szCs w:val="24"/>
        </w:rPr>
        <w:t>4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%), pracownicy </w:t>
      </w:r>
      <w:r w:rsidR="00A44C67" w:rsidRPr="00F17C27">
        <w:rPr>
          <w:rFonts w:ascii="Times New Roman" w:hAnsi="Times New Roman" w:cs="Times New Roman"/>
          <w:sz w:val="24"/>
          <w:szCs w:val="24"/>
        </w:rPr>
        <w:lastRenderedPageBreak/>
        <w:t>usług osobistych</w:t>
      </w:r>
      <w:r w:rsidR="00AE5712" w:rsidRPr="00F17C27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sprzedawcy – </w:t>
      </w:r>
      <w:r w:rsidR="00F17C27" w:rsidRPr="00F17C27">
        <w:rPr>
          <w:rFonts w:ascii="Times New Roman" w:hAnsi="Times New Roman" w:cs="Times New Roman"/>
          <w:sz w:val="24"/>
          <w:szCs w:val="24"/>
        </w:rPr>
        <w:t>18 537 </w:t>
      </w:r>
      <w:r w:rsidR="00A44C67" w:rsidRPr="00F17C27">
        <w:rPr>
          <w:rFonts w:ascii="Times New Roman" w:hAnsi="Times New Roman" w:cs="Times New Roman"/>
          <w:sz w:val="24"/>
          <w:szCs w:val="24"/>
        </w:rPr>
        <w:t>(19,</w:t>
      </w:r>
      <w:r w:rsidR="00F17C27" w:rsidRPr="00F17C27">
        <w:rPr>
          <w:rFonts w:ascii="Times New Roman" w:hAnsi="Times New Roman" w:cs="Times New Roman"/>
          <w:sz w:val="24"/>
          <w:szCs w:val="24"/>
        </w:rPr>
        <w:t>8</w:t>
      </w:r>
      <w:r w:rsidR="00A44C67" w:rsidRPr="00F17C27">
        <w:rPr>
          <w:rFonts w:ascii="Times New Roman" w:hAnsi="Times New Roman" w:cs="Times New Roman"/>
          <w:sz w:val="24"/>
          <w:szCs w:val="24"/>
        </w:rPr>
        <w:t>%), technicy</w:t>
      </w:r>
      <w:r w:rsidR="00AE5712" w:rsidRPr="00F17C27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F17C27">
        <w:rPr>
          <w:rFonts w:ascii="Times New Roman" w:hAnsi="Times New Roman" w:cs="Times New Roman"/>
          <w:sz w:val="24"/>
          <w:szCs w:val="24"/>
        </w:rPr>
        <w:t>inny średni personel – 1</w:t>
      </w:r>
      <w:r w:rsidR="00F17C27" w:rsidRPr="00F17C27">
        <w:rPr>
          <w:rFonts w:ascii="Times New Roman" w:hAnsi="Times New Roman" w:cs="Times New Roman"/>
          <w:sz w:val="24"/>
          <w:szCs w:val="24"/>
        </w:rPr>
        <w:t>5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</w:t>
      </w:r>
      <w:r w:rsidR="00F17C27" w:rsidRPr="00F17C27">
        <w:rPr>
          <w:rFonts w:ascii="Times New Roman" w:hAnsi="Times New Roman" w:cs="Times New Roman"/>
          <w:sz w:val="24"/>
          <w:szCs w:val="24"/>
        </w:rPr>
        <w:t>280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(16,3%), specjaliści – 1</w:t>
      </w:r>
      <w:r w:rsidR="00F17C27" w:rsidRPr="00F17C27">
        <w:rPr>
          <w:rFonts w:ascii="Times New Roman" w:hAnsi="Times New Roman" w:cs="Times New Roman"/>
          <w:sz w:val="24"/>
          <w:szCs w:val="24"/>
        </w:rPr>
        <w:t>2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</w:t>
      </w:r>
      <w:r w:rsidR="00F17C27" w:rsidRPr="00F17C27">
        <w:rPr>
          <w:rFonts w:ascii="Times New Roman" w:hAnsi="Times New Roman" w:cs="Times New Roman"/>
          <w:sz w:val="24"/>
          <w:szCs w:val="24"/>
        </w:rPr>
        <w:t>965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 (13,</w:t>
      </w:r>
      <w:r w:rsidR="00F17C27" w:rsidRPr="00F17C27">
        <w:rPr>
          <w:rFonts w:ascii="Times New Roman" w:hAnsi="Times New Roman" w:cs="Times New Roman"/>
          <w:sz w:val="24"/>
          <w:szCs w:val="24"/>
        </w:rPr>
        <w:t>9</w:t>
      </w:r>
      <w:r w:rsidR="00A44C67" w:rsidRPr="00F17C27">
        <w:rPr>
          <w:rFonts w:ascii="Times New Roman" w:hAnsi="Times New Roman" w:cs="Times New Roman"/>
          <w:sz w:val="24"/>
          <w:szCs w:val="24"/>
        </w:rPr>
        <w:t xml:space="preserve">%), </w:t>
      </w:r>
      <w:r w:rsidR="00A44C67" w:rsidRPr="003A171F">
        <w:rPr>
          <w:rFonts w:ascii="Times New Roman" w:hAnsi="Times New Roman" w:cs="Times New Roman"/>
          <w:sz w:val="24"/>
          <w:szCs w:val="24"/>
        </w:rPr>
        <w:t xml:space="preserve">pracownicy przy pracach prostych – </w:t>
      </w:r>
      <w:r w:rsidR="003A171F" w:rsidRPr="003A171F">
        <w:rPr>
          <w:rFonts w:ascii="Times New Roman" w:hAnsi="Times New Roman" w:cs="Times New Roman"/>
          <w:sz w:val="24"/>
          <w:szCs w:val="24"/>
        </w:rPr>
        <w:t>8</w:t>
      </w:r>
      <w:r w:rsidR="00A44C67" w:rsidRPr="003A171F">
        <w:rPr>
          <w:rFonts w:ascii="Times New Roman" w:hAnsi="Times New Roman" w:cs="Times New Roman"/>
          <w:sz w:val="24"/>
          <w:szCs w:val="24"/>
        </w:rPr>
        <w:t xml:space="preserve"> 4</w:t>
      </w:r>
      <w:r w:rsidR="003A171F" w:rsidRPr="003A171F">
        <w:rPr>
          <w:rFonts w:ascii="Times New Roman" w:hAnsi="Times New Roman" w:cs="Times New Roman"/>
          <w:sz w:val="24"/>
          <w:szCs w:val="24"/>
        </w:rPr>
        <w:t>66</w:t>
      </w:r>
      <w:r w:rsidR="00A44C67" w:rsidRPr="003A171F">
        <w:rPr>
          <w:rFonts w:ascii="Times New Roman" w:hAnsi="Times New Roman" w:cs="Times New Roman"/>
          <w:sz w:val="24"/>
          <w:szCs w:val="24"/>
        </w:rPr>
        <w:t xml:space="preserve"> (9,1%)</w:t>
      </w:r>
      <w:r w:rsidRPr="003A171F">
        <w:rPr>
          <w:rFonts w:ascii="Times New Roman" w:hAnsi="Times New Roman" w:cs="Times New Roman"/>
          <w:sz w:val="24"/>
          <w:szCs w:val="24"/>
        </w:rPr>
        <w:t>.</w:t>
      </w:r>
    </w:p>
    <w:p w:rsidR="00A44C67" w:rsidRPr="00A5457B" w:rsidRDefault="00EC6281" w:rsidP="003A171F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57B">
        <w:rPr>
          <w:rFonts w:ascii="Times New Roman" w:hAnsi="Times New Roman" w:cs="Times New Roman"/>
          <w:sz w:val="24"/>
          <w:szCs w:val="24"/>
        </w:rPr>
        <w:t>N</w:t>
      </w:r>
      <w:r w:rsidR="00A44C67" w:rsidRPr="00A5457B">
        <w:rPr>
          <w:rFonts w:ascii="Times New Roman" w:hAnsi="Times New Roman" w:cs="Times New Roman"/>
          <w:sz w:val="24"/>
          <w:szCs w:val="24"/>
        </w:rPr>
        <w:t>ajmniej bezrobotnych odnotowano</w:t>
      </w:r>
      <w:r w:rsidR="00AE5712" w:rsidRPr="00A5457B">
        <w:rPr>
          <w:rFonts w:ascii="Times New Roman" w:hAnsi="Times New Roman" w:cs="Times New Roman"/>
          <w:sz w:val="24"/>
          <w:szCs w:val="24"/>
        </w:rPr>
        <w:t xml:space="preserve"> w </w:t>
      </w:r>
      <w:r w:rsidR="00A44C67" w:rsidRPr="00A5457B">
        <w:rPr>
          <w:rFonts w:ascii="Times New Roman" w:hAnsi="Times New Roman" w:cs="Times New Roman"/>
          <w:sz w:val="24"/>
          <w:szCs w:val="24"/>
        </w:rPr>
        <w:t>następujących grupach zawodów: siły zbrojne – 4</w:t>
      </w:r>
      <w:r w:rsidR="003A171F" w:rsidRPr="00A5457B">
        <w:rPr>
          <w:rFonts w:ascii="Times New Roman" w:hAnsi="Times New Roman" w:cs="Times New Roman"/>
          <w:sz w:val="24"/>
          <w:szCs w:val="24"/>
        </w:rPr>
        <w:t>1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(0,04%), </w:t>
      </w:r>
      <w:r w:rsidR="003A171F" w:rsidRPr="00A5457B">
        <w:rPr>
          <w:rFonts w:ascii="Times New Roman" w:hAnsi="Times New Roman" w:cs="Times New Roman"/>
          <w:sz w:val="24"/>
          <w:szCs w:val="24"/>
        </w:rPr>
        <w:t xml:space="preserve">przedstawiciele władz publicznych, wyżsi urzędnicy i kierownicy </w:t>
      </w:r>
      <w:r w:rsidR="00A44C67" w:rsidRPr="00A5457B">
        <w:rPr>
          <w:rFonts w:ascii="Times New Roman" w:hAnsi="Times New Roman" w:cs="Times New Roman"/>
          <w:sz w:val="24"/>
          <w:szCs w:val="24"/>
        </w:rPr>
        <w:t>– 5</w:t>
      </w:r>
      <w:r w:rsidR="003A171F" w:rsidRPr="00A5457B">
        <w:rPr>
          <w:rFonts w:ascii="Times New Roman" w:hAnsi="Times New Roman" w:cs="Times New Roman"/>
          <w:sz w:val="24"/>
          <w:szCs w:val="24"/>
        </w:rPr>
        <w:t>30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(0,</w:t>
      </w:r>
      <w:r w:rsidR="003A171F" w:rsidRPr="00A5457B">
        <w:rPr>
          <w:rFonts w:ascii="Times New Roman" w:hAnsi="Times New Roman" w:cs="Times New Roman"/>
          <w:sz w:val="24"/>
          <w:szCs w:val="24"/>
        </w:rPr>
        <w:t>6</w:t>
      </w:r>
      <w:r w:rsidR="00A44C67" w:rsidRPr="00A5457B">
        <w:rPr>
          <w:rFonts w:ascii="Times New Roman" w:hAnsi="Times New Roman" w:cs="Times New Roman"/>
          <w:sz w:val="24"/>
          <w:szCs w:val="24"/>
        </w:rPr>
        <w:t>%), rolnicy, ogrodnicy, leśnicy</w:t>
      </w:r>
      <w:r w:rsidR="00AE5712" w:rsidRPr="00A5457B">
        <w:rPr>
          <w:rFonts w:ascii="Times New Roman" w:hAnsi="Times New Roman" w:cs="Times New Roman"/>
          <w:sz w:val="24"/>
          <w:szCs w:val="24"/>
        </w:rPr>
        <w:t xml:space="preserve"> i 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rybacy – </w:t>
      </w:r>
      <w:r w:rsidR="003A171F" w:rsidRPr="00A5457B">
        <w:rPr>
          <w:rFonts w:ascii="Times New Roman" w:hAnsi="Times New Roman" w:cs="Times New Roman"/>
          <w:sz w:val="24"/>
          <w:szCs w:val="24"/>
        </w:rPr>
        <w:t>1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</w:t>
      </w:r>
      <w:r w:rsidR="003A171F" w:rsidRPr="00A5457B">
        <w:rPr>
          <w:rFonts w:ascii="Times New Roman" w:hAnsi="Times New Roman" w:cs="Times New Roman"/>
          <w:sz w:val="24"/>
          <w:szCs w:val="24"/>
        </w:rPr>
        <w:t>943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(2,1%), pracownicy biurowi – 4 </w:t>
      </w:r>
      <w:r w:rsidR="003A171F" w:rsidRPr="00A5457B">
        <w:rPr>
          <w:rFonts w:ascii="Times New Roman" w:hAnsi="Times New Roman" w:cs="Times New Roman"/>
          <w:sz w:val="24"/>
          <w:szCs w:val="24"/>
        </w:rPr>
        <w:t>11</w:t>
      </w:r>
      <w:r w:rsidR="00A44C67" w:rsidRPr="00A5457B">
        <w:rPr>
          <w:rFonts w:ascii="Times New Roman" w:hAnsi="Times New Roman" w:cs="Times New Roman"/>
          <w:sz w:val="24"/>
          <w:szCs w:val="24"/>
        </w:rPr>
        <w:t>6 (4,</w:t>
      </w:r>
      <w:r w:rsidR="003A171F" w:rsidRPr="00A5457B">
        <w:rPr>
          <w:rFonts w:ascii="Times New Roman" w:hAnsi="Times New Roman" w:cs="Times New Roman"/>
          <w:sz w:val="24"/>
          <w:szCs w:val="24"/>
        </w:rPr>
        <w:t>4</w:t>
      </w:r>
      <w:r w:rsidR="00A44C67" w:rsidRPr="00A5457B">
        <w:rPr>
          <w:rFonts w:ascii="Times New Roman" w:hAnsi="Times New Roman" w:cs="Times New Roman"/>
          <w:sz w:val="24"/>
          <w:szCs w:val="24"/>
        </w:rPr>
        <w:t>%)</w:t>
      </w:r>
      <w:r w:rsidR="00F1229B" w:rsidRPr="00A5457B">
        <w:rPr>
          <w:rFonts w:ascii="Times New Roman" w:hAnsi="Times New Roman" w:cs="Times New Roman"/>
          <w:sz w:val="24"/>
          <w:szCs w:val="24"/>
        </w:rPr>
        <w:t>, operatorzy</w:t>
      </w:r>
      <w:r w:rsidR="00AE5712" w:rsidRPr="00A5457B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A5457B">
        <w:rPr>
          <w:rFonts w:ascii="Times New Roman" w:hAnsi="Times New Roman" w:cs="Times New Roman"/>
          <w:sz w:val="24"/>
          <w:szCs w:val="24"/>
        </w:rPr>
        <w:t>monterzy maszyn</w:t>
      </w:r>
      <w:r w:rsidR="00AE5712" w:rsidRPr="00A5457B">
        <w:rPr>
          <w:rFonts w:ascii="Times New Roman" w:hAnsi="Times New Roman" w:cs="Times New Roman"/>
          <w:sz w:val="24"/>
          <w:szCs w:val="24"/>
        </w:rPr>
        <w:t xml:space="preserve"> i </w:t>
      </w:r>
      <w:r w:rsidR="00F1229B" w:rsidRPr="00A5457B">
        <w:rPr>
          <w:rFonts w:ascii="Times New Roman" w:hAnsi="Times New Roman" w:cs="Times New Roman"/>
          <w:sz w:val="24"/>
          <w:szCs w:val="24"/>
        </w:rPr>
        <w:t xml:space="preserve">urządzeń – 6 </w:t>
      </w:r>
      <w:r w:rsidR="003A171F" w:rsidRPr="00A5457B">
        <w:rPr>
          <w:rFonts w:ascii="Times New Roman" w:hAnsi="Times New Roman" w:cs="Times New Roman"/>
          <w:sz w:val="24"/>
          <w:szCs w:val="24"/>
        </w:rPr>
        <w:t>018</w:t>
      </w:r>
      <w:r w:rsidR="00F1229B" w:rsidRPr="00A5457B">
        <w:rPr>
          <w:rFonts w:ascii="Times New Roman" w:hAnsi="Times New Roman" w:cs="Times New Roman"/>
          <w:sz w:val="24"/>
          <w:szCs w:val="24"/>
        </w:rPr>
        <w:t xml:space="preserve"> (6,</w:t>
      </w:r>
      <w:r w:rsidR="00A5457B" w:rsidRPr="00A5457B">
        <w:rPr>
          <w:rFonts w:ascii="Times New Roman" w:hAnsi="Times New Roman" w:cs="Times New Roman"/>
          <w:sz w:val="24"/>
          <w:szCs w:val="24"/>
        </w:rPr>
        <w:t>4</w:t>
      </w:r>
      <w:r w:rsidR="00F1229B" w:rsidRPr="00A5457B">
        <w:rPr>
          <w:rFonts w:ascii="Times New Roman" w:hAnsi="Times New Roman" w:cs="Times New Roman"/>
          <w:sz w:val="24"/>
          <w:szCs w:val="24"/>
        </w:rPr>
        <w:t>%)</w:t>
      </w:r>
      <w:r w:rsidRPr="00A5457B">
        <w:rPr>
          <w:rFonts w:ascii="Times New Roman" w:hAnsi="Times New Roman" w:cs="Times New Roman"/>
          <w:sz w:val="24"/>
          <w:szCs w:val="24"/>
        </w:rPr>
        <w:t>.</w:t>
      </w:r>
    </w:p>
    <w:p w:rsidR="00A44C67" w:rsidRDefault="00EC6281" w:rsidP="00160DBC">
      <w:pPr>
        <w:pStyle w:val="Bezodstpw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457B">
        <w:rPr>
          <w:rFonts w:ascii="Times New Roman" w:hAnsi="Times New Roman" w:cs="Times New Roman"/>
          <w:sz w:val="24"/>
          <w:szCs w:val="24"/>
        </w:rPr>
        <w:t>Z</w:t>
      </w:r>
      <w:r w:rsidR="00A44C67" w:rsidRPr="00A5457B">
        <w:rPr>
          <w:rFonts w:ascii="Times New Roman" w:hAnsi="Times New Roman" w:cs="Times New Roman"/>
          <w:sz w:val="24"/>
          <w:szCs w:val="24"/>
        </w:rPr>
        <w:t>naczną zbiorowość wśród bezrobotnych</w:t>
      </w:r>
      <w:r w:rsidR="00F1229B" w:rsidRPr="00A5457B">
        <w:rPr>
          <w:rFonts w:ascii="Times New Roman" w:hAnsi="Times New Roman" w:cs="Times New Roman"/>
          <w:sz w:val="24"/>
          <w:szCs w:val="24"/>
        </w:rPr>
        <w:t>,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tj. 1</w:t>
      </w:r>
      <w:r w:rsidR="00A5457B" w:rsidRPr="00A5457B">
        <w:rPr>
          <w:rFonts w:ascii="Times New Roman" w:hAnsi="Times New Roman" w:cs="Times New Roman"/>
          <w:sz w:val="24"/>
          <w:szCs w:val="24"/>
        </w:rPr>
        <w:t>4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0</w:t>
      </w:r>
      <w:r w:rsidR="00A5457B" w:rsidRPr="00A5457B">
        <w:rPr>
          <w:rFonts w:ascii="Times New Roman" w:hAnsi="Times New Roman" w:cs="Times New Roman"/>
          <w:sz w:val="24"/>
          <w:szCs w:val="24"/>
        </w:rPr>
        <w:t>60</w:t>
      </w:r>
      <w:r w:rsidR="00A44C67" w:rsidRPr="00A5457B">
        <w:rPr>
          <w:rFonts w:ascii="Times New Roman" w:hAnsi="Times New Roman" w:cs="Times New Roman"/>
          <w:sz w:val="24"/>
          <w:szCs w:val="24"/>
        </w:rPr>
        <w:t xml:space="preserve"> stanowiły osoby bez określonego zawodu</w:t>
      </w:r>
      <w:r w:rsidR="00F1229B" w:rsidRPr="00A5457B">
        <w:rPr>
          <w:rFonts w:ascii="Times New Roman" w:hAnsi="Times New Roman" w:cs="Times New Roman"/>
          <w:sz w:val="24"/>
          <w:szCs w:val="24"/>
        </w:rPr>
        <w:t xml:space="preserve"> (</w:t>
      </w:r>
      <w:r w:rsidR="008A0E7E">
        <w:rPr>
          <w:rFonts w:ascii="Times New Roman" w:hAnsi="Times New Roman" w:cs="Times New Roman"/>
          <w:sz w:val="24"/>
          <w:szCs w:val="24"/>
        </w:rPr>
        <w:t>13</w:t>
      </w:r>
      <w:r w:rsidR="00A44C67" w:rsidRPr="00A5457B">
        <w:rPr>
          <w:rFonts w:ascii="Times New Roman" w:hAnsi="Times New Roman" w:cs="Times New Roman"/>
          <w:sz w:val="24"/>
          <w:szCs w:val="24"/>
        </w:rPr>
        <w:t>,</w:t>
      </w:r>
      <w:r w:rsidR="008A0E7E">
        <w:rPr>
          <w:rFonts w:ascii="Times New Roman" w:hAnsi="Times New Roman" w:cs="Times New Roman"/>
          <w:sz w:val="24"/>
          <w:szCs w:val="24"/>
        </w:rPr>
        <w:t>1</w:t>
      </w:r>
      <w:r w:rsidR="00A44C67" w:rsidRPr="00A5457B">
        <w:rPr>
          <w:rFonts w:ascii="Times New Roman" w:hAnsi="Times New Roman" w:cs="Times New Roman"/>
          <w:sz w:val="24"/>
          <w:szCs w:val="24"/>
        </w:rPr>
        <w:t>%</w:t>
      </w:r>
      <w:r w:rsidR="00F1229B" w:rsidRPr="00A5457B">
        <w:rPr>
          <w:rFonts w:ascii="Times New Roman" w:hAnsi="Times New Roman" w:cs="Times New Roman"/>
          <w:sz w:val="24"/>
          <w:szCs w:val="24"/>
        </w:rPr>
        <w:t>)</w:t>
      </w:r>
      <w:r w:rsidRPr="00A5457B">
        <w:rPr>
          <w:rFonts w:ascii="Times New Roman" w:hAnsi="Times New Roman" w:cs="Times New Roman"/>
          <w:sz w:val="24"/>
          <w:szCs w:val="24"/>
        </w:rPr>
        <w:t>.</w:t>
      </w:r>
    </w:p>
    <w:p w:rsidR="00A5457B" w:rsidRPr="00A5457B" w:rsidRDefault="00A5457B" w:rsidP="00A5457B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:rsidR="00EC6281" w:rsidRPr="00E613EA" w:rsidRDefault="0005008C" w:rsidP="0005008C">
      <w:pPr>
        <w:pStyle w:val="Bezodstpw"/>
        <w:ind w:left="1410" w:hanging="1410"/>
        <w:jc w:val="both"/>
        <w:rPr>
          <w:highlight w:val="yellow"/>
        </w:rPr>
      </w:pPr>
      <w:r w:rsidRPr="0005008C">
        <w:rPr>
          <w:noProof/>
          <w:lang w:eastAsia="pl-PL"/>
        </w:rPr>
        <w:drawing>
          <wp:inline distT="0" distB="0" distL="0" distR="0" wp14:anchorId="1F2C4667" wp14:editId="00959FE2">
            <wp:extent cx="5759450" cy="4331298"/>
            <wp:effectExtent l="0" t="0" r="0" b="0"/>
            <wp:docPr id="698" name="Obraz 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31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7F5" w:rsidRDefault="00A737F5" w:rsidP="00EC40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A737F5" w:rsidRPr="00A737F5" w:rsidRDefault="00A737F5" w:rsidP="00EC400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  <w:highlight w:val="yellow"/>
        </w:rPr>
      </w:pPr>
    </w:p>
    <w:p w:rsidR="00F1229B" w:rsidRPr="0005008C" w:rsidRDefault="00EC6281" w:rsidP="0005008C">
      <w:pPr>
        <w:pStyle w:val="Default"/>
        <w:pBdr>
          <w:bottom w:val="single" w:sz="4" w:space="1" w:color="auto"/>
        </w:pBdr>
        <w:shd w:val="clear" w:color="auto" w:fill="FFFFFF" w:themeFill="background1"/>
        <w:jc w:val="both"/>
      </w:pPr>
      <w:r w:rsidRPr="0005008C">
        <w:t>Wnioski:</w:t>
      </w:r>
    </w:p>
    <w:p w:rsidR="00F1229B" w:rsidRDefault="00F1229B" w:rsidP="00F1229B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BC5E80">
        <w:rPr>
          <w:rFonts w:ascii="Times New Roman" w:hAnsi="Times New Roman" w:cs="Times New Roman"/>
          <w:szCs w:val="24"/>
        </w:rPr>
        <w:t>(na podstawie danych</w:t>
      </w:r>
      <w:r w:rsidR="00AE5712" w:rsidRPr="00BC5E80">
        <w:rPr>
          <w:rFonts w:ascii="Times New Roman" w:hAnsi="Times New Roman" w:cs="Times New Roman"/>
          <w:szCs w:val="24"/>
        </w:rPr>
        <w:t xml:space="preserve"> z </w:t>
      </w:r>
      <w:r w:rsidR="00BC5E80" w:rsidRPr="00BC5E80">
        <w:rPr>
          <w:rFonts w:ascii="Times New Roman" w:hAnsi="Times New Roman" w:cs="Times New Roman"/>
          <w:szCs w:val="24"/>
        </w:rPr>
        <w:t>t</w:t>
      </w:r>
      <w:r w:rsidRPr="00BC5E80">
        <w:rPr>
          <w:rFonts w:ascii="Times New Roman" w:hAnsi="Times New Roman" w:cs="Times New Roman"/>
          <w:szCs w:val="24"/>
        </w:rPr>
        <w:t xml:space="preserve">abeli </w:t>
      </w:r>
      <w:r w:rsidR="00BC5E80" w:rsidRPr="00BC5E80">
        <w:rPr>
          <w:rFonts w:ascii="Times New Roman" w:hAnsi="Times New Roman" w:cs="Times New Roman"/>
          <w:szCs w:val="24"/>
        </w:rPr>
        <w:t>XXIII</w:t>
      </w:r>
      <w:r w:rsidR="00EC6281" w:rsidRPr="00BC5E80">
        <w:rPr>
          <w:rFonts w:ascii="Times New Roman" w:hAnsi="Times New Roman" w:cs="Times New Roman"/>
          <w:szCs w:val="24"/>
        </w:rPr>
        <w:t>)</w:t>
      </w:r>
    </w:p>
    <w:p w:rsidR="00EF4A76" w:rsidRPr="00945CCD" w:rsidRDefault="00EF4A76" w:rsidP="00F1229B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A5457B" w:rsidRPr="005D4323" w:rsidRDefault="00C851A5" w:rsidP="00A5457B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4323">
        <w:rPr>
          <w:rFonts w:ascii="Times New Roman" w:hAnsi="Times New Roman" w:cs="Times New Roman"/>
          <w:sz w:val="24"/>
          <w:szCs w:val="24"/>
        </w:rPr>
        <w:t>W</w:t>
      </w:r>
      <w:r w:rsidR="00F1229B" w:rsidRPr="005D4323">
        <w:rPr>
          <w:rFonts w:ascii="Times New Roman" w:hAnsi="Times New Roman" w:cs="Times New Roman"/>
          <w:sz w:val="24"/>
          <w:szCs w:val="24"/>
        </w:rPr>
        <w:t xml:space="preserve"> dniu 31</w:t>
      </w:r>
      <w:r w:rsidR="00A5457B" w:rsidRPr="005D4323">
        <w:rPr>
          <w:rFonts w:ascii="Times New Roman" w:hAnsi="Times New Roman" w:cs="Times New Roman"/>
          <w:sz w:val="24"/>
          <w:szCs w:val="24"/>
        </w:rPr>
        <w:t xml:space="preserve"> XII ‘</w:t>
      </w:r>
      <w:r w:rsidR="00F1229B" w:rsidRPr="005D4323">
        <w:rPr>
          <w:rFonts w:ascii="Times New Roman" w:hAnsi="Times New Roman" w:cs="Times New Roman"/>
          <w:sz w:val="24"/>
          <w:szCs w:val="24"/>
        </w:rPr>
        <w:t>1</w:t>
      </w:r>
      <w:r w:rsidR="00A5457B" w:rsidRPr="005D4323">
        <w:rPr>
          <w:rFonts w:ascii="Times New Roman" w:hAnsi="Times New Roman" w:cs="Times New Roman"/>
          <w:sz w:val="24"/>
          <w:szCs w:val="24"/>
        </w:rPr>
        <w:t>6</w:t>
      </w:r>
      <w:r w:rsidR="00F1229B" w:rsidRPr="005D4323">
        <w:rPr>
          <w:rFonts w:ascii="Times New Roman" w:hAnsi="Times New Roman" w:cs="Times New Roman"/>
          <w:sz w:val="24"/>
          <w:szCs w:val="24"/>
        </w:rPr>
        <w:t xml:space="preserve"> r</w:t>
      </w:r>
      <w:r w:rsidR="00A5457B" w:rsidRPr="005D4323">
        <w:rPr>
          <w:rFonts w:ascii="Times New Roman" w:hAnsi="Times New Roman" w:cs="Times New Roman"/>
          <w:sz w:val="24"/>
          <w:szCs w:val="24"/>
        </w:rPr>
        <w:t>.</w:t>
      </w:r>
      <w:r w:rsidR="00AE5712" w:rsidRPr="005D4323">
        <w:rPr>
          <w:rFonts w:ascii="Times New Roman" w:hAnsi="Times New Roman" w:cs="Times New Roman"/>
          <w:sz w:val="24"/>
          <w:szCs w:val="24"/>
        </w:rPr>
        <w:t xml:space="preserve"> w </w:t>
      </w:r>
      <w:r w:rsidR="00F1229B" w:rsidRPr="005D4323">
        <w:rPr>
          <w:rFonts w:ascii="Times New Roman" w:hAnsi="Times New Roman" w:cs="Times New Roman"/>
          <w:sz w:val="24"/>
          <w:szCs w:val="24"/>
        </w:rPr>
        <w:t>porównaniu do stanu</w:t>
      </w:r>
      <w:r w:rsidR="00AE5712" w:rsidRPr="005D4323">
        <w:rPr>
          <w:rFonts w:ascii="Times New Roman" w:hAnsi="Times New Roman" w:cs="Times New Roman"/>
          <w:sz w:val="24"/>
          <w:szCs w:val="24"/>
        </w:rPr>
        <w:t xml:space="preserve"> z </w:t>
      </w:r>
      <w:r w:rsidR="00A5457B" w:rsidRPr="005D4323">
        <w:rPr>
          <w:rFonts w:ascii="Times New Roman" w:hAnsi="Times New Roman" w:cs="Times New Roman"/>
          <w:sz w:val="24"/>
          <w:szCs w:val="24"/>
        </w:rPr>
        <w:t>31 XII ’15 r.</w:t>
      </w:r>
      <w:r w:rsidR="00F1229B" w:rsidRPr="005D4323">
        <w:rPr>
          <w:rFonts w:ascii="Times New Roman" w:hAnsi="Times New Roman" w:cs="Times New Roman"/>
          <w:sz w:val="24"/>
          <w:szCs w:val="24"/>
        </w:rPr>
        <w:t xml:space="preserve"> odnotowano wzrost liczby bezrobotnych</w:t>
      </w:r>
      <w:r w:rsidR="00AE5712" w:rsidRPr="005D4323">
        <w:rPr>
          <w:rFonts w:ascii="Times New Roman" w:hAnsi="Times New Roman" w:cs="Times New Roman"/>
          <w:sz w:val="24"/>
          <w:szCs w:val="24"/>
        </w:rPr>
        <w:t xml:space="preserve"> w </w:t>
      </w:r>
      <w:r w:rsidR="00F1229B" w:rsidRPr="005D4323">
        <w:rPr>
          <w:rFonts w:ascii="Times New Roman" w:hAnsi="Times New Roman" w:cs="Times New Roman"/>
          <w:sz w:val="24"/>
          <w:szCs w:val="24"/>
        </w:rPr>
        <w:t xml:space="preserve">przypadku </w:t>
      </w:r>
      <w:r w:rsidR="00A5457B" w:rsidRPr="005D4323">
        <w:rPr>
          <w:rFonts w:ascii="Times New Roman" w:hAnsi="Times New Roman" w:cs="Times New Roman"/>
          <w:sz w:val="24"/>
          <w:szCs w:val="24"/>
        </w:rPr>
        <w:t>tylko jednej grupy zawodów</w:t>
      </w:r>
      <w:r w:rsidR="00F1229B" w:rsidRPr="005D4323">
        <w:rPr>
          <w:rFonts w:ascii="Times New Roman" w:hAnsi="Times New Roman" w:cs="Times New Roman"/>
          <w:sz w:val="24"/>
          <w:szCs w:val="24"/>
        </w:rPr>
        <w:t xml:space="preserve">: </w:t>
      </w:r>
      <w:r w:rsidR="00A5457B" w:rsidRPr="005D4323">
        <w:rPr>
          <w:rFonts w:ascii="Times New Roman" w:hAnsi="Times New Roman" w:cs="Times New Roman"/>
          <w:sz w:val="24"/>
          <w:szCs w:val="24"/>
        </w:rPr>
        <w:t xml:space="preserve">przedstawicieli władz </w:t>
      </w:r>
      <w:r w:rsidR="005D4323" w:rsidRPr="005D4323">
        <w:rPr>
          <w:rFonts w:ascii="Times New Roman" w:hAnsi="Times New Roman" w:cs="Times New Roman"/>
          <w:sz w:val="24"/>
          <w:szCs w:val="24"/>
        </w:rPr>
        <w:t>publicznych</w:t>
      </w:r>
      <w:r w:rsidR="00A5457B" w:rsidRPr="005D4323">
        <w:rPr>
          <w:rFonts w:ascii="Times New Roman" w:hAnsi="Times New Roman" w:cs="Times New Roman"/>
          <w:sz w:val="24"/>
          <w:szCs w:val="24"/>
        </w:rPr>
        <w:t xml:space="preserve">, </w:t>
      </w:r>
      <w:r w:rsidR="005D4323" w:rsidRPr="005D4323">
        <w:rPr>
          <w:rFonts w:ascii="Times New Roman" w:hAnsi="Times New Roman" w:cs="Times New Roman"/>
          <w:sz w:val="24"/>
          <w:szCs w:val="24"/>
        </w:rPr>
        <w:t>wyższych urzędników i kierowników</w:t>
      </w:r>
      <w:r w:rsidR="00163A17">
        <w:rPr>
          <w:rFonts w:ascii="Times New Roman" w:hAnsi="Times New Roman" w:cs="Times New Roman"/>
          <w:sz w:val="24"/>
          <w:szCs w:val="24"/>
        </w:rPr>
        <w:t xml:space="preserve"> (o 1 osobę bezrobotną)</w:t>
      </w:r>
      <w:r w:rsidR="005D4323" w:rsidRPr="005D4323">
        <w:rPr>
          <w:rFonts w:ascii="Times New Roman" w:hAnsi="Times New Roman" w:cs="Times New Roman"/>
          <w:sz w:val="24"/>
          <w:szCs w:val="24"/>
        </w:rPr>
        <w:t>.</w:t>
      </w:r>
    </w:p>
    <w:p w:rsidR="005D4323" w:rsidRPr="008756C4" w:rsidRDefault="005D4323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756C4">
        <w:rPr>
          <w:rFonts w:ascii="Times New Roman" w:hAnsi="Times New Roman" w:cs="Times New Roman"/>
          <w:sz w:val="24"/>
          <w:szCs w:val="24"/>
        </w:rPr>
        <w:t xml:space="preserve">W pozostałych grupach odnotowano spadki. </w:t>
      </w:r>
      <w:r w:rsidR="006F7D43">
        <w:rPr>
          <w:rFonts w:ascii="Times New Roman" w:hAnsi="Times New Roman" w:cs="Times New Roman"/>
          <w:sz w:val="24"/>
          <w:szCs w:val="24"/>
        </w:rPr>
        <w:t>Zmiany</w:t>
      </w:r>
      <w:r w:rsidR="00505820">
        <w:rPr>
          <w:rFonts w:ascii="Times New Roman" w:hAnsi="Times New Roman" w:cs="Times New Roman"/>
          <w:sz w:val="24"/>
          <w:szCs w:val="24"/>
        </w:rPr>
        <w:t xml:space="preserve">, które kumulowały znaczną ilość bezrobotnych były </w:t>
      </w:r>
      <w:r w:rsidRPr="008756C4">
        <w:rPr>
          <w:rFonts w:ascii="Times New Roman" w:hAnsi="Times New Roman" w:cs="Times New Roman"/>
          <w:sz w:val="24"/>
          <w:szCs w:val="24"/>
        </w:rPr>
        <w:t>następujące: robotnicy przemysłowi i rzemieślnicy</w:t>
      </w:r>
      <w:r w:rsidR="008756C4" w:rsidRPr="008756C4">
        <w:rPr>
          <w:rFonts w:ascii="Times New Roman" w:hAnsi="Times New Roman" w:cs="Times New Roman"/>
          <w:sz w:val="24"/>
          <w:szCs w:val="24"/>
        </w:rPr>
        <w:t xml:space="preserve"> (spadek</w:t>
      </w:r>
      <w:r w:rsidR="006F7D43">
        <w:rPr>
          <w:rFonts w:ascii="Times New Roman" w:hAnsi="Times New Roman" w:cs="Times New Roman"/>
          <w:sz w:val="24"/>
          <w:szCs w:val="24"/>
        </w:rPr>
        <w:t xml:space="preserve"> o </w:t>
      </w:r>
      <w:r w:rsidR="008756C4" w:rsidRPr="008756C4">
        <w:rPr>
          <w:rFonts w:ascii="Times New Roman" w:hAnsi="Times New Roman" w:cs="Times New Roman"/>
          <w:sz w:val="24"/>
          <w:szCs w:val="24"/>
        </w:rPr>
        <w:t xml:space="preserve">4 383 </w:t>
      </w:r>
      <w:r w:rsidR="008756C4" w:rsidRPr="008756C4">
        <w:rPr>
          <w:rFonts w:ascii="Times New Roman" w:hAnsi="Times New Roman" w:cs="Times New Roman"/>
          <w:sz w:val="24"/>
          <w:szCs w:val="24"/>
        </w:rPr>
        <w:lastRenderedPageBreak/>
        <w:t>bezrobotnych), pracownicy usług osobistych i sprzedawcy (</w:t>
      </w:r>
      <w:r w:rsidR="006F7D43">
        <w:rPr>
          <w:rFonts w:ascii="Times New Roman" w:hAnsi="Times New Roman" w:cs="Times New Roman"/>
          <w:sz w:val="24"/>
          <w:szCs w:val="24"/>
        </w:rPr>
        <w:t xml:space="preserve">spadek o </w:t>
      </w:r>
      <w:r w:rsidR="008756C4" w:rsidRPr="008756C4">
        <w:rPr>
          <w:rFonts w:ascii="Times New Roman" w:hAnsi="Times New Roman" w:cs="Times New Roman"/>
          <w:sz w:val="24"/>
          <w:szCs w:val="24"/>
        </w:rPr>
        <w:t>2 336), technicy i inny średni personel (</w:t>
      </w:r>
      <w:r w:rsidR="006F7D43">
        <w:rPr>
          <w:rFonts w:ascii="Times New Roman" w:hAnsi="Times New Roman" w:cs="Times New Roman"/>
          <w:sz w:val="24"/>
          <w:szCs w:val="24"/>
        </w:rPr>
        <w:t xml:space="preserve">spadek o </w:t>
      </w:r>
      <w:r w:rsidR="008756C4" w:rsidRPr="008756C4">
        <w:rPr>
          <w:rFonts w:ascii="Times New Roman" w:hAnsi="Times New Roman" w:cs="Times New Roman"/>
          <w:sz w:val="24"/>
          <w:szCs w:val="24"/>
        </w:rPr>
        <w:t>1 986)</w:t>
      </w:r>
      <w:r w:rsidR="006F7D43">
        <w:rPr>
          <w:rFonts w:ascii="Times New Roman" w:hAnsi="Times New Roman" w:cs="Times New Roman"/>
          <w:sz w:val="24"/>
          <w:szCs w:val="24"/>
        </w:rPr>
        <w:t xml:space="preserve"> oraz grupa „specjali</w:t>
      </w:r>
      <w:r w:rsidR="00060DFF">
        <w:rPr>
          <w:rFonts w:ascii="Times New Roman" w:hAnsi="Times New Roman" w:cs="Times New Roman"/>
          <w:sz w:val="24"/>
          <w:szCs w:val="24"/>
        </w:rPr>
        <w:t>ści</w:t>
      </w:r>
      <w:r w:rsidR="006F7D43">
        <w:rPr>
          <w:rFonts w:ascii="Times New Roman" w:hAnsi="Times New Roman" w:cs="Times New Roman"/>
          <w:sz w:val="24"/>
          <w:szCs w:val="24"/>
        </w:rPr>
        <w:t>”</w:t>
      </w:r>
      <w:r w:rsidR="008756C4">
        <w:rPr>
          <w:rFonts w:ascii="Times New Roman" w:hAnsi="Times New Roman" w:cs="Times New Roman"/>
          <w:sz w:val="24"/>
          <w:szCs w:val="24"/>
        </w:rPr>
        <w:t xml:space="preserve"> (</w:t>
      </w:r>
      <w:r w:rsidR="006F7D43">
        <w:rPr>
          <w:rFonts w:ascii="Times New Roman" w:hAnsi="Times New Roman" w:cs="Times New Roman"/>
          <w:sz w:val="24"/>
          <w:szCs w:val="24"/>
        </w:rPr>
        <w:t xml:space="preserve">spadek o </w:t>
      </w:r>
      <w:r w:rsidR="00163A17">
        <w:rPr>
          <w:rFonts w:ascii="Times New Roman" w:hAnsi="Times New Roman" w:cs="Times New Roman"/>
          <w:sz w:val="24"/>
          <w:szCs w:val="24"/>
        </w:rPr>
        <w:t>1 262</w:t>
      </w:r>
      <w:r w:rsidR="008756C4">
        <w:rPr>
          <w:rFonts w:ascii="Times New Roman" w:hAnsi="Times New Roman" w:cs="Times New Roman"/>
          <w:sz w:val="24"/>
          <w:szCs w:val="24"/>
        </w:rPr>
        <w:t>)</w:t>
      </w:r>
      <w:r w:rsidR="00163A17">
        <w:rPr>
          <w:rFonts w:ascii="Times New Roman" w:hAnsi="Times New Roman" w:cs="Times New Roman"/>
          <w:sz w:val="24"/>
          <w:szCs w:val="24"/>
        </w:rPr>
        <w:t xml:space="preserve">, </w:t>
      </w:r>
      <w:r w:rsidR="008756C4">
        <w:rPr>
          <w:rFonts w:ascii="Times New Roman" w:hAnsi="Times New Roman" w:cs="Times New Roman"/>
          <w:sz w:val="24"/>
          <w:szCs w:val="24"/>
        </w:rPr>
        <w:t xml:space="preserve"> </w:t>
      </w:r>
      <w:r w:rsidR="008756C4" w:rsidRPr="008756C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48CD" w:rsidRPr="00060DFF" w:rsidRDefault="00060DFF" w:rsidP="00160DBC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DFF">
        <w:rPr>
          <w:rFonts w:ascii="Times New Roman" w:hAnsi="Times New Roman" w:cs="Times New Roman"/>
          <w:sz w:val="24"/>
          <w:szCs w:val="24"/>
        </w:rPr>
        <w:t>S</w:t>
      </w:r>
      <w:r w:rsidR="005148CD" w:rsidRPr="00060DFF">
        <w:rPr>
          <w:rFonts w:ascii="Times New Roman" w:hAnsi="Times New Roman" w:cs="Times New Roman"/>
          <w:sz w:val="24"/>
          <w:szCs w:val="24"/>
        </w:rPr>
        <w:t>padek nastąpił</w:t>
      </w:r>
      <w:r w:rsidR="00AE5712" w:rsidRPr="00060DFF">
        <w:rPr>
          <w:rFonts w:ascii="Times New Roman" w:hAnsi="Times New Roman" w:cs="Times New Roman"/>
          <w:sz w:val="24"/>
          <w:szCs w:val="24"/>
        </w:rPr>
        <w:t xml:space="preserve"> </w:t>
      </w:r>
      <w:r w:rsidRPr="00060DFF">
        <w:rPr>
          <w:rFonts w:ascii="Times New Roman" w:hAnsi="Times New Roman" w:cs="Times New Roman"/>
          <w:sz w:val="24"/>
          <w:szCs w:val="24"/>
        </w:rPr>
        <w:t xml:space="preserve">również </w:t>
      </w:r>
      <w:r w:rsidR="00AE5712" w:rsidRPr="00060DFF">
        <w:rPr>
          <w:rFonts w:ascii="Times New Roman" w:hAnsi="Times New Roman" w:cs="Times New Roman"/>
          <w:sz w:val="24"/>
          <w:szCs w:val="24"/>
        </w:rPr>
        <w:t>w </w:t>
      </w:r>
      <w:r w:rsidR="005148CD" w:rsidRPr="00060DFF">
        <w:rPr>
          <w:rFonts w:ascii="Times New Roman" w:hAnsi="Times New Roman" w:cs="Times New Roman"/>
          <w:sz w:val="24"/>
          <w:szCs w:val="24"/>
        </w:rPr>
        <w:t>grupie osób bez zawodu (</w:t>
      </w:r>
      <w:r w:rsidRPr="00060DFF">
        <w:rPr>
          <w:rFonts w:ascii="Times New Roman" w:hAnsi="Times New Roman" w:cs="Times New Roman"/>
          <w:sz w:val="24"/>
          <w:szCs w:val="24"/>
        </w:rPr>
        <w:t>3</w:t>
      </w:r>
      <w:r w:rsidR="005148CD" w:rsidRPr="00060DFF">
        <w:rPr>
          <w:rFonts w:ascii="Times New Roman" w:hAnsi="Times New Roman" w:cs="Times New Roman"/>
          <w:sz w:val="24"/>
          <w:szCs w:val="24"/>
        </w:rPr>
        <w:t> </w:t>
      </w:r>
      <w:r w:rsidRPr="00060DFF">
        <w:rPr>
          <w:rFonts w:ascii="Times New Roman" w:hAnsi="Times New Roman" w:cs="Times New Roman"/>
          <w:sz w:val="24"/>
          <w:szCs w:val="24"/>
        </w:rPr>
        <w:t>249</w:t>
      </w:r>
      <w:r w:rsidR="005148CD" w:rsidRPr="00060DFF">
        <w:rPr>
          <w:rFonts w:ascii="Times New Roman" w:hAnsi="Times New Roman" w:cs="Times New Roman"/>
          <w:sz w:val="24"/>
          <w:szCs w:val="24"/>
        </w:rPr>
        <w:t>).</w:t>
      </w:r>
    </w:p>
    <w:p w:rsidR="00B73D07" w:rsidRPr="00060DFF" w:rsidRDefault="00B73D07" w:rsidP="00160DBC">
      <w:pPr>
        <w:pStyle w:val="Bezodstpw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0DFF">
        <w:rPr>
          <w:rFonts w:ascii="Times New Roman" w:hAnsi="Times New Roman" w:cs="Times New Roman"/>
          <w:sz w:val="24"/>
          <w:szCs w:val="24"/>
        </w:rPr>
        <w:t>W grupie osób bez zawodu spadek</w:t>
      </w:r>
      <w:r w:rsidR="00AE5712" w:rsidRPr="00060DFF">
        <w:rPr>
          <w:rFonts w:ascii="Times New Roman" w:hAnsi="Times New Roman" w:cs="Times New Roman"/>
          <w:sz w:val="24"/>
          <w:szCs w:val="24"/>
        </w:rPr>
        <w:t xml:space="preserve"> w </w:t>
      </w:r>
      <w:r w:rsidRPr="00060DFF">
        <w:rPr>
          <w:rFonts w:ascii="Times New Roman" w:hAnsi="Times New Roman" w:cs="Times New Roman"/>
          <w:sz w:val="24"/>
          <w:szCs w:val="24"/>
        </w:rPr>
        <w:t>stosunku do liczby</w:t>
      </w:r>
      <w:r w:rsidR="00AE5712" w:rsidRPr="00060DFF">
        <w:rPr>
          <w:rFonts w:ascii="Times New Roman" w:hAnsi="Times New Roman" w:cs="Times New Roman"/>
          <w:sz w:val="24"/>
          <w:szCs w:val="24"/>
        </w:rPr>
        <w:t xml:space="preserve"> z </w:t>
      </w:r>
      <w:r w:rsidRPr="00060DFF">
        <w:rPr>
          <w:rFonts w:ascii="Times New Roman" w:hAnsi="Times New Roman" w:cs="Times New Roman"/>
          <w:sz w:val="24"/>
          <w:szCs w:val="24"/>
        </w:rPr>
        <w:t>końca 201</w:t>
      </w:r>
      <w:r w:rsidR="00060DFF" w:rsidRPr="00060DFF">
        <w:rPr>
          <w:rFonts w:ascii="Times New Roman" w:hAnsi="Times New Roman" w:cs="Times New Roman"/>
          <w:sz w:val="24"/>
          <w:szCs w:val="24"/>
        </w:rPr>
        <w:t>5</w:t>
      </w:r>
      <w:r w:rsidR="00AE5712" w:rsidRPr="00060DFF">
        <w:rPr>
          <w:rFonts w:ascii="Times New Roman" w:hAnsi="Times New Roman" w:cs="Times New Roman"/>
          <w:sz w:val="24"/>
          <w:szCs w:val="24"/>
        </w:rPr>
        <w:t> r.</w:t>
      </w:r>
      <w:r w:rsidRPr="00060DFF">
        <w:rPr>
          <w:rFonts w:ascii="Times New Roman" w:hAnsi="Times New Roman" w:cs="Times New Roman"/>
          <w:sz w:val="24"/>
          <w:szCs w:val="24"/>
        </w:rPr>
        <w:t xml:space="preserve"> wyniósł </w:t>
      </w:r>
      <w:r w:rsidR="00060DFF" w:rsidRPr="00060DFF">
        <w:rPr>
          <w:rFonts w:ascii="Times New Roman" w:hAnsi="Times New Roman" w:cs="Times New Roman"/>
          <w:sz w:val="24"/>
          <w:szCs w:val="24"/>
        </w:rPr>
        <w:t>18</w:t>
      </w:r>
      <w:r w:rsidRPr="00060DFF">
        <w:rPr>
          <w:rFonts w:ascii="Times New Roman" w:hAnsi="Times New Roman" w:cs="Times New Roman"/>
          <w:sz w:val="24"/>
          <w:szCs w:val="24"/>
        </w:rPr>
        <w:t>,</w:t>
      </w:r>
      <w:r w:rsidR="00060DFF" w:rsidRPr="00060DFF">
        <w:rPr>
          <w:rFonts w:ascii="Times New Roman" w:hAnsi="Times New Roman" w:cs="Times New Roman"/>
          <w:sz w:val="24"/>
          <w:szCs w:val="24"/>
        </w:rPr>
        <w:t>8</w:t>
      </w:r>
      <w:r w:rsidRPr="00060DFF">
        <w:rPr>
          <w:rFonts w:ascii="Times New Roman" w:hAnsi="Times New Roman" w:cs="Times New Roman"/>
          <w:sz w:val="24"/>
          <w:szCs w:val="24"/>
        </w:rPr>
        <w:t>% (podczas gdy spadek liczby osób bezrobotnych</w:t>
      </w:r>
      <w:r w:rsidR="001B5D0B" w:rsidRPr="00060DFF">
        <w:rPr>
          <w:rFonts w:ascii="Times New Roman" w:hAnsi="Times New Roman" w:cs="Times New Roman"/>
          <w:sz w:val="24"/>
          <w:szCs w:val="24"/>
        </w:rPr>
        <w:t xml:space="preserve"> </w:t>
      </w:r>
      <w:r w:rsidR="00060DFF" w:rsidRPr="00060DFF">
        <w:rPr>
          <w:rFonts w:ascii="Times New Roman" w:hAnsi="Times New Roman" w:cs="Times New Roman"/>
          <w:sz w:val="24"/>
          <w:szCs w:val="24"/>
        </w:rPr>
        <w:t xml:space="preserve">posiadających zawód </w:t>
      </w:r>
      <w:r w:rsidR="001B5D0B" w:rsidRPr="00060DFF">
        <w:rPr>
          <w:rFonts w:ascii="Times New Roman" w:hAnsi="Times New Roman" w:cs="Times New Roman"/>
          <w:sz w:val="24"/>
          <w:szCs w:val="24"/>
        </w:rPr>
        <w:t xml:space="preserve">wyniósł </w:t>
      </w:r>
      <w:r w:rsidR="00060DFF" w:rsidRPr="00060DFF">
        <w:rPr>
          <w:rFonts w:ascii="Times New Roman" w:hAnsi="Times New Roman" w:cs="Times New Roman"/>
          <w:sz w:val="24"/>
          <w:szCs w:val="24"/>
        </w:rPr>
        <w:t>12</w:t>
      </w:r>
      <w:r w:rsidR="001B5D0B" w:rsidRPr="00060DFF">
        <w:rPr>
          <w:rFonts w:ascii="Times New Roman" w:hAnsi="Times New Roman" w:cs="Times New Roman"/>
          <w:sz w:val="24"/>
          <w:szCs w:val="24"/>
        </w:rPr>
        <w:t>,</w:t>
      </w:r>
      <w:r w:rsidR="00060DFF" w:rsidRPr="00060DFF">
        <w:rPr>
          <w:rFonts w:ascii="Times New Roman" w:hAnsi="Times New Roman" w:cs="Times New Roman"/>
          <w:sz w:val="24"/>
          <w:szCs w:val="24"/>
        </w:rPr>
        <w:t>0</w:t>
      </w:r>
      <w:r w:rsidR="001B5D0B" w:rsidRPr="00060DFF">
        <w:rPr>
          <w:rFonts w:ascii="Times New Roman" w:hAnsi="Times New Roman" w:cs="Times New Roman"/>
          <w:sz w:val="24"/>
          <w:szCs w:val="24"/>
        </w:rPr>
        <w:t>%).</w:t>
      </w:r>
    </w:p>
    <w:p w:rsidR="008E7DEA" w:rsidRPr="00060DFF" w:rsidRDefault="0005295A">
      <w:pPr>
        <w:rPr>
          <w:sz w:val="24"/>
          <w:szCs w:val="24"/>
        </w:rPr>
        <w:sectPr w:rsidR="008E7DEA" w:rsidRPr="00060DFF" w:rsidSect="00063539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060DFF">
        <w:rPr>
          <w:sz w:val="24"/>
          <w:szCs w:val="24"/>
        </w:rPr>
        <w:br w:type="page"/>
      </w:r>
    </w:p>
    <w:p w:rsidR="0067454E" w:rsidRPr="00614E9A" w:rsidRDefault="0067454E" w:rsidP="001759E1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2" w:name="_Toc477160367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Wolne miejsca pracy</w:t>
      </w:r>
      <w:r w:rsidR="00AE5712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i </w:t>
      </w:r>
      <w:r w:rsidR="002F6C19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miejsca </w:t>
      </w:r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aktywizacji zawodowej</w:t>
      </w:r>
      <w:bookmarkEnd w:id="22"/>
    </w:p>
    <w:p w:rsidR="00C851A5" w:rsidRPr="00E613EA" w:rsidRDefault="00C851A5" w:rsidP="009A1F42">
      <w:pPr>
        <w:pStyle w:val="Default"/>
        <w:jc w:val="both"/>
        <w:rPr>
          <w:bCs/>
          <w:highlight w:val="yellow"/>
        </w:rPr>
      </w:pPr>
    </w:p>
    <w:p w:rsidR="0067454E" w:rsidRPr="00E613EA" w:rsidRDefault="0067454E" w:rsidP="009A1F42">
      <w:pPr>
        <w:pStyle w:val="Default"/>
        <w:jc w:val="both"/>
        <w:rPr>
          <w:b/>
          <w:bCs/>
          <w:highlight w:val="yellow"/>
        </w:rPr>
      </w:pPr>
    </w:p>
    <w:p w:rsidR="00C851A5" w:rsidRPr="00E613EA" w:rsidRDefault="00614E9A" w:rsidP="00C851A5">
      <w:pPr>
        <w:pStyle w:val="Default"/>
        <w:spacing w:line="360" w:lineRule="auto"/>
        <w:jc w:val="both"/>
        <w:rPr>
          <w:highlight w:val="yellow"/>
        </w:rPr>
        <w:sectPr w:rsidR="00C851A5" w:rsidRPr="00E613EA" w:rsidSect="0006353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  <w:r w:rsidRPr="00614E9A">
        <w:rPr>
          <w:noProof/>
          <w:lang w:eastAsia="pl-PL"/>
        </w:rPr>
        <w:drawing>
          <wp:inline distT="0" distB="0" distL="0" distR="0" wp14:anchorId="07235900" wp14:editId="721A1BCE">
            <wp:extent cx="8891270" cy="4206135"/>
            <wp:effectExtent l="0" t="0" r="5080" b="4445"/>
            <wp:docPr id="679" name="Obraz 6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1270" cy="420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FC5" w:rsidRPr="00E613EA" w:rsidRDefault="00DC2FC5" w:rsidP="00DC2FC5">
      <w:pPr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:rsidR="00134E4A" w:rsidRDefault="00DC2FC5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szCs w:val="24"/>
        </w:rPr>
      </w:pPr>
      <w:r w:rsidRPr="00D6428C">
        <w:rPr>
          <w:rFonts w:ascii="Times New Roman" w:hAnsi="Times New Roman" w:cs="Times New Roman"/>
          <w:bCs/>
          <w:szCs w:val="24"/>
        </w:rPr>
        <w:t>Wykres 1</w:t>
      </w:r>
      <w:r w:rsidR="00D6428C" w:rsidRPr="00D6428C">
        <w:rPr>
          <w:rFonts w:ascii="Times New Roman" w:hAnsi="Times New Roman" w:cs="Times New Roman"/>
          <w:bCs/>
          <w:szCs w:val="24"/>
        </w:rPr>
        <w:t>1</w:t>
      </w:r>
      <w:r w:rsidRPr="00D6428C">
        <w:rPr>
          <w:rFonts w:ascii="Times New Roman" w:hAnsi="Times New Roman" w:cs="Times New Roman"/>
          <w:bCs/>
          <w:szCs w:val="24"/>
        </w:rPr>
        <w:t xml:space="preserve">. </w:t>
      </w:r>
      <w:r w:rsidR="0083581A" w:rsidRPr="00D6428C">
        <w:rPr>
          <w:rFonts w:ascii="Times New Roman" w:hAnsi="Times New Roman" w:cs="Times New Roman"/>
          <w:bCs/>
          <w:szCs w:val="24"/>
        </w:rPr>
        <w:tab/>
      </w:r>
      <w:r w:rsidRPr="00D6428C">
        <w:rPr>
          <w:rFonts w:ascii="Times New Roman" w:hAnsi="Times New Roman" w:cs="Times New Roman"/>
          <w:bCs/>
          <w:szCs w:val="24"/>
        </w:rPr>
        <w:t>Wolne miejsca pracy</w:t>
      </w:r>
      <w:r w:rsidR="00AE5712" w:rsidRPr="00D6428C">
        <w:rPr>
          <w:rFonts w:ascii="Times New Roman" w:hAnsi="Times New Roman" w:cs="Times New Roman"/>
          <w:bCs/>
          <w:szCs w:val="24"/>
        </w:rPr>
        <w:t xml:space="preserve"> i </w:t>
      </w:r>
      <w:r w:rsidRPr="00D6428C">
        <w:rPr>
          <w:rFonts w:ascii="Times New Roman" w:hAnsi="Times New Roman" w:cs="Times New Roman"/>
          <w:bCs/>
          <w:szCs w:val="24"/>
        </w:rPr>
        <w:t>miejsca aktywizacji zawodowej (oferty pracy) zgłoszone</w:t>
      </w:r>
    </w:p>
    <w:p w:rsidR="00DC2FC5" w:rsidRPr="00D6428C" w:rsidRDefault="00134E4A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                          d</w:t>
      </w:r>
      <w:r w:rsidR="00DC2FC5" w:rsidRPr="00D6428C">
        <w:rPr>
          <w:rFonts w:ascii="Times New Roman" w:hAnsi="Times New Roman" w:cs="Times New Roman"/>
          <w:bCs/>
          <w:szCs w:val="24"/>
        </w:rPr>
        <w:t>o</w:t>
      </w:r>
      <w:r>
        <w:rPr>
          <w:rFonts w:ascii="Times New Roman" w:hAnsi="Times New Roman" w:cs="Times New Roman"/>
          <w:bCs/>
          <w:szCs w:val="24"/>
        </w:rPr>
        <w:t xml:space="preserve"> </w:t>
      </w:r>
      <w:r w:rsidR="00DC2FC5" w:rsidRPr="00D6428C">
        <w:rPr>
          <w:rFonts w:ascii="Times New Roman" w:hAnsi="Times New Roman" w:cs="Times New Roman"/>
          <w:bCs/>
          <w:szCs w:val="24"/>
        </w:rPr>
        <w:t>PUP</w:t>
      </w:r>
      <w:r w:rsidR="00AE5712" w:rsidRPr="00D6428C">
        <w:rPr>
          <w:rFonts w:ascii="Times New Roman" w:hAnsi="Times New Roman" w:cs="Times New Roman"/>
          <w:bCs/>
          <w:szCs w:val="24"/>
        </w:rPr>
        <w:t xml:space="preserve"> w </w:t>
      </w:r>
      <w:r w:rsidR="00AE2F19" w:rsidRPr="00D6428C">
        <w:rPr>
          <w:rFonts w:ascii="Times New Roman" w:hAnsi="Times New Roman" w:cs="Times New Roman"/>
          <w:bCs/>
          <w:szCs w:val="24"/>
        </w:rPr>
        <w:t>latach 2004–201</w:t>
      </w:r>
      <w:r w:rsidR="00614E9A" w:rsidRPr="00D6428C">
        <w:rPr>
          <w:rFonts w:ascii="Times New Roman" w:hAnsi="Times New Roman" w:cs="Times New Roman"/>
          <w:bCs/>
          <w:szCs w:val="24"/>
        </w:rPr>
        <w:t>6</w:t>
      </w:r>
    </w:p>
    <w:p w:rsidR="00DC2FC5" w:rsidRPr="00E613EA" w:rsidRDefault="002605E4" w:rsidP="00DC2FC5">
      <w:pPr>
        <w:pStyle w:val="Default"/>
        <w:jc w:val="both"/>
        <w:rPr>
          <w:color w:val="auto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4736" behindDoc="1" locked="0" layoutInCell="1" allowOverlap="1" wp14:anchorId="6EA9AC20" wp14:editId="7E3D3AA3">
            <wp:simplePos x="0" y="0"/>
            <wp:positionH relativeFrom="column">
              <wp:posOffset>0</wp:posOffset>
            </wp:positionH>
            <wp:positionV relativeFrom="paragraph">
              <wp:posOffset>1905</wp:posOffset>
            </wp:positionV>
            <wp:extent cx="5636260" cy="3206750"/>
            <wp:effectExtent l="0" t="0" r="0" b="0"/>
            <wp:wrapTight wrapText="bothSides">
              <wp:wrapPolygon edited="0">
                <wp:start x="3723" y="513"/>
                <wp:lineTo x="1825" y="1027"/>
                <wp:lineTo x="1679" y="1155"/>
                <wp:lineTo x="1752" y="6929"/>
                <wp:lineTo x="1898" y="16681"/>
                <wp:lineTo x="2774" y="17194"/>
                <wp:lineTo x="3285" y="17194"/>
                <wp:lineTo x="3358" y="18221"/>
                <wp:lineTo x="9053" y="19248"/>
                <wp:lineTo x="9053" y="19376"/>
                <wp:lineTo x="17302" y="21044"/>
                <wp:lineTo x="17667" y="21301"/>
                <wp:lineTo x="18836" y="21301"/>
                <wp:lineTo x="19493" y="19248"/>
                <wp:lineTo x="19639" y="17194"/>
                <wp:lineTo x="19931" y="2438"/>
                <wp:lineTo x="4745" y="513"/>
                <wp:lineTo x="3723" y="513"/>
              </wp:wrapPolygon>
            </wp:wrapTight>
            <wp:docPr id="681" name="Wykres 68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FC5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2605E4" w:rsidRDefault="002605E4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2605E4" w:rsidRDefault="002605E4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2605E4" w:rsidRPr="002605E4" w:rsidRDefault="002605E4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DC2FC5" w:rsidRPr="002605E4" w:rsidRDefault="00DC2FC5" w:rsidP="00DC2FC5">
      <w:pPr>
        <w:pStyle w:val="Default"/>
        <w:jc w:val="both"/>
        <w:rPr>
          <w:color w:val="auto"/>
          <w:sz w:val="22"/>
          <w:szCs w:val="22"/>
          <w:highlight w:val="yellow"/>
        </w:rPr>
      </w:pPr>
    </w:p>
    <w:p w:rsidR="005B76FF" w:rsidRPr="002605E4" w:rsidRDefault="005B76FF" w:rsidP="00C851A5">
      <w:pPr>
        <w:rPr>
          <w:rFonts w:ascii="Times New Roman" w:hAnsi="Times New Roman" w:cs="Times New Roman"/>
          <w:highlight w:val="yellow"/>
        </w:rPr>
      </w:pPr>
    </w:p>
    <w:p w:rsidR="008E7DEA" w:rsidRPr="00614E9A" w:rsidRDefault="00C851A5" w:rsidP="00614E9A">
      <w:pPr>
        <w:pStyle w:val="Default"/>
        <w:pBdr>
          <w:bottom w:val="single" w:sz="4" w:space="1" w:color="auto"/>
        </w:pBdr>
        <w:jc w:val="both"/>
      </w:pPr>
      <w:r w:rsidRPr="00614E9A">
        <w:t>Wnioski:</w:t>
      </w:r>
    </w:p>
    <w:p w:rsidR="008E7DEA" w:rsidRDefault="008E7DEA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Cs w:val="24"/>
        </w:rPr>
      </w:pPr>
      <w:r w:rsidRPr="00D6428C">
        <w:rPr>
          <w:rFonts w:ascii="Times New Roman" w:hAnsi="Times New Roman" w:cs="Times New Roman"/>
          <w:szCs w:val="24"/>
        </w:rPr>
        <w:t>(na podstawie danych</w:t>
      </w:r>
      <w:r w:rsidR="00AE5712" w:rsidRPr="00D6428C">
        <w:rPr>
          <w:rFonts w:ascii="Times New Roman" w:hAnsi="Times New Roman" w:cs="Times New Roman"/>
          <w:szCs w:val="24"/>
        </w:rPr>
        <w:t xml:space="preserve"> z </w:t>
      </w:r>
      <w:r w:rsidR="00D6428C" w:rsidRPr="00D6428C">
        <w:rPr>
          <w:rFonts w:ascii="Times New Roman" w:hAnsi="Times New Roman" w:cs="Times New Roman"/>
          <w:szCs w:val="24"/>
        </w:rPr>
        <w:t>t</w:t>
      </w:r>
      <w:r w:rsidRPr="00D6428C">
        <w:rPr>
          <w:rFonts w:ascii="Times New Roman" w:hAnsi="Times New Roman" w:cs="Times New Roman"/>
          <w:szCs w:val="24"/>
        </w:rPr>
        <w:t xml:space="preserve">abeli </w:t>
      </w:r>
      <w:r w:rsidR="00D6428C" w:rsidRPr="00D6428C">
        <w:rPr>
          <w:rFonts w:ascii="Times New Roman" w:hAnsi="Times New Roman" w:cs="Times New Roman"/>
          <w:szCs w:val="24"/>
        </w:rPr>
        <w:t>XXVI</w:t>
      </w:r>
      <w:r w:rsidR="00AE5712" w:rsidRPr="00D6428C">
        <w:rPr>
          <w:rFonts w:ascii="Times New Roman" w:hAnsi="Times New Roman" w:cs="Times New Roman"/>
          <w:szCs w:val="24"/>
        </w:rPr>
        <w:t xml:space="preserve"> i </w:t>
      </w:r>
      <w:r w:rsidR="00D6428C" w:rsidRPr="00D6428C">
        <w:rPr>
          <w:rFonts w:ascii="Times New Roman" w:hAnsi="Times New Roman" w:cs="Times New Roman"/>
          <w:szCs w:val="24"/>
        </w:rPr>
        <w:t>w</w:t>
      </w:r>
      <w:r w:rsidR="00DC2FC5" w:rsidRPr="00D6428C">
        <w:rPr>
          <w:rFonts w:ascii="Times New Roman" w:hAnsi="Times New Roman" w:cs="Times New Roman"/>
          <w:szCs w:val="24"/>
        </w:rPr>
        <w:t xml:space="preserve">ykresu </w:t>
      </w:r>
      <w:r w:rsidR="00C851A5" w:rsidRPr="00D6428C">
        <w:rPr>
          <w:rFonts w:ascii="Times New Roman" w:hAnsi="Times New Roman" w:cs="Times New Roman"/>
          <w:szCs w:val="24"/>
        </w:rPr>
        <w:t>1</w:t>
      </w:r>
      <w:r w:rsidR="00D6428C" w:rsidRPr="00D6428C">
        <w:rPr>
          <w:rFonts w:ascii="Times New Roman" w:hAnsi="Times New Roman" w:cs="Times New Roman"/>
          <w:szCs w:val="24"/>
        </w:rPr>
        <w:t>1</w:t>
      </w:r>
      <w:r w:rsidRPr="00D6428C">
        <w:rPr>
          <w:rFonts w:ascii="Times New Roman" w:hAnsi="Times New Roman" w:cs="Times New Roman"/>
          <w:szCs w:val="24"/>
        </w:rPr>
        <w:t>)</w:t>
      </w:r>
    </w:p>
    <w:p w:rsidR="00D6428C" w:rsidRPr="002605E4" w:rsidRDefault="00D6428C" w:rsidP="008E7DEA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1B5D0B" w:rsidRPr="00446016" w:rsidRDefault="003F048D" w:rsidP="00C71750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6016">
        <w:rPr>
          <w:rFonts w:ascii="Times New Roman" w:hAnsi="Times New Roman" w:cs="Times New Roman"/>
          <w:sz w:val="24"/>
          <w:szCs w:val="24"/>
        </w:rPr>
        <w:t>Widoczna jest wyraźna tendencja wzrostu liczby wolnych miejsc pracy oraz miejsc aktywizacji zawodowej zgłaszanych przez pracodawców</w:t>
      </w:r>
      <w:r w:rsidR="001B5D0B" w:rsidRPr="00446016">
        <w:rPr>
          <w:rFonts w:ascii="Times New Roman" w:hAnsi="Times New Roman" w:cs="Times New Roman"/>
          <w:sz w:val="24"/>
          <w:szCs w:val="24"/>
        </w:rPr>
        <w:t>.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446016">
        <w:rPr>
          <w:rFonts w:ascii="Times New Roman" w:hAnsi="Times New Roman" w:cs="Times New Roman"/>
          <w:sz w:val="24"/>
          <w:szCs w:val="24"/>
        </w:rPr>
        <w:t>W</w:t>
      </w:r>
      <w:r w:rsidR="00AE5712" w:rsidRPr="00446016">
        <w:rPr>
          <w:rFonts w:ascii="Times New Roman" w:hAnsi="Times New Roman" w:cs="Times New Roman"/>
          <w:sz w:val="24"/>
          <w:szCs w:val="24"/>
        </w:rPr>
        <w:t> </w:t>
      </w:r>
      <w:r w:rsidR="00A326C7" w:rsidRPr="00446016">
        <w:rPr>
          <w:rFonts w:ascii="Times New Roman" w:hAnsi="Times New Roman" w:cs="Times New Roman"/>
          <w:sz w:val="24"/>
          <w:szCs w:val="24"/>
        </w:rPr>
        <w:t>latach</w:t>
      </w:r>
      <w:r w:rsidR="002605E4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A326C7" w:rsidRPr="00446016">
        <w:rPr>
          <w:rFonts w:ascii="Times New Roman" w:hAnsi="Times New Roman" w:cs="Times New Roman"/>
          <w:sz w:val="24"/>
          <w:szCs w:val="24"/>
        </w:rPr>
        <w:t>04–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A326C7" w:rsidRPr="00446016">
        <w:rPr>
          <w:rFonts w:ascii="Times New Roman" w:hAnsi="Times New Roman" w:cs="Times New Roman"/>
          <w:sz w:val="24"/>
          <w:szCs w:val="24"/>
        </w:rPr>
        <w:t>08 następował wzrost liczby wolnych miejsc pracy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i </w:t>
      </w:r>
      <w:r w:rsidR="00A326C7" w:rsidRPr="00446016">
        <w:rPr>
          <w:rFonts w:ascii="Times New Roman" w:hAnsi="Times New Roman" w:cs="Times New Roman"/>
          <w:sz w:val="24"/>
          <w:szCs w:val="24"/>
        </w:rPr>
        <w:t>aktywizacji zawodowej.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446016">
        <w:rPr>
          <w:rFonts w:ascii="Times New Roman" w:hAnsi="Times New Roman" w:cs="Times New Roman"/>
          <w:sz w:val="24"/>
          <w:szCs w:val="24"/>
        </w:rPr>
        <w:t>W</w:t>
      </w:r>
      <w:r w:rsidR="00AE5712" w:rsidRPr="00446016">
        <w:rPr>
          <w:rFonts w:ascii="Times New Roman" w:hAnsi="Times New Roman" w:cs="Times New Roman"/>
          <w:sz w:val="24"/>
          <w:szCs w:val="24"/>
        </w:rPr>
        <w:t> 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A326C7" w:rsidRPr="00446016">
        <w:rPr>
          <w:rFonts w:ascii="Times New Roman" w:hAnsi="Times New Roman" w:cs="Times New Roman"/>
          <w:sz w:val="24"/>
          <w:szCs w:val="24"/>
        </w:rPr>
        <w:t>09</w:t>
      </w:r>
      <w:r w:rsidR="00AE5712" w:rsidRPr="00446016">
        <w:rPr>
          <w:rFonts w:ascii="Times New Roman" w:hAnsi="Times New Roman" w:cs="Times New Roman"/>
          <w:sz w:val="24"/>
          <w:szCs w:val="24"/>
        </w:rPr>
        <w:t> r.</w:t>
      </w:r>
      <w:r w:rsidR="00A326C7" w:rsidRPr="00446016">
        <w:rPr>
          <w:rFonts w:ascii="Times New Roman" w:hAnsi="Times New Roman" w:cs="Times New Roman"/>
          <w:sz w:val="24"/>
          <w:szCs w:val="24"/>
        </w:rPr>
        <w:t xml:space="preserve"> odnotowano ich </w:t>
      </w:r>
      <w:r w:rsidR="002605E4" w:rsidRPr="00446016">
        <w:rPr>
          <w:rFonts w:ascii="Times New Roman" w:hAnsi="Times New Roman" w:cs="Times New Roman"/>
          <w:sz w:val="24"/>
          <w:szCs w:val="24"/>
        </w:rPr>
        <w:t xml:space="preserve">spadek </w:t>
      </w:r>
      <w:r w:rsidR="00AE5712" w:rsidRPr="00446016">
        <w:rPr>
          <w:rFonts w:ascii="Times New Roman" w:hAnsi="Times New Roman" w:cs="Times New Roman"/>
          <w:sz w:val="24"/>
          <w:szCs w:val="24"/>
        </w:rPr>
        <w:t>w </w:t>
      </w:r>
      <w:r w:rsidR="00A326C7" w:rsidRPr="00446016">
        <w:rPr>
          <w:rFonts w:ascii="Times New Roman" w:hAnsi="Times New Roman" w:cs="Times New Roman"/>
          <w:sz w:val="24"/>
          <w:szCs w:val="24"/>
        </w:rPr>
        <w:t>porównaniu</w:t>
      </w:r>
      <w:r w:rsidR="00D94663" w:rsidRPr="00446016">
        <w:rPr>
          <w:rFonts w:ascii="Times New Roman" w:hAnsi="Times New Roman" w:cs="Times New Roman"/>
          <w:sz w:val="24"/>
          <w:szCs w:val="24"/>
        </w:rPr>
        <w:t xml:space="preserve"> do</w:t>
      </w:r>
      <w:r w:rsidR="00A326C7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A326C7" w:rsidRPr="00446016">
        <w:rPr>
          <w:rFonts w:ascii="Times New Roman" w:hAnsi="Times New Roman" w:cs="Times New Roman"/>
          <w:sz w:val="24"/>
          <w:szCs w:val="24"/>
        </w:rPr>
        <w:t>0</w:t>
      </w:r>
      <w:r w:rsidR="004520F6" w:rsidRPr="00446016">
        <w:rPr>
          <w:rFonts w:ascii="Times New Roman" w:hAnsi="Times New Roman" w:cs="Times New Roman"/>
          <w:sz w:val="24"/>
          <w:szCs w:val="24"/>
        </w:rPr>
        <w:t>8</w:t>
      </w:r>
      <w:r w:rsidR="00AE5712" w:rsidRPr="00446016">
        <w:rPr>
          <w:rFonts w:ascii="Times New Roman" w:hAnsi="Times New Roman" w:cs="Times New Roman"/>
          <w:sz w:val="24"/>
          <w:szCs w:val="24"/>
        </w:rPr>
        <w:t> r.</w:t>
      </w:r>
      <w:r w:rsidR="002B17CB" w:rsidRPr="00446016">
        <w:rPr>
          <w:rFonts w:ascii="Times New Roman" w:hAnsi="Times New Roman" w:cs="Times New Roman"/>
          <w:sz w:val="24"/>
          <w:szCs w:val="24"/>
        </w:rPr>
        <w:t xml:space="preserve"> – </w:t>
      </w:r>
      <w:r w:rsidR="00D94663" w:rsidRPr="00446016">
        <w:rPr>
          <w:rFonts w:ascii="Times New Roman" w:hAnsi="Times New Roman" w:cs="Times New Roman"/>
          <w:sz w:val="24"/>
          <w:szCs w:val="24"/>
        </w:rPr>
        <w:t xml:space="preserve">o </w:t>
      </w:r>
      <w:r w:rsidR="00A326C7" w:rsidRPr="00446016">
        <w:rPr>
          <w:rFonts w:ascii="Times New Roman" w:hAnsi="Times New Roman" w:cs="Times New Roman"/>
          <w:sz w:val="24"/>
          <w:szCs w:val="24"/>
        </w:rPr>
        <w:t>3</w:t>
      </w:r>
      <w:r w:rsidR="00D94663" w:rsidRPr="00446016">
        <w:rPr>
          <w:rFonts w:ascii="Times New Roman" w:hAnsi="Times New Roman" w:cs="Times New Roman"/>
          <w:sz w:val="24"/>
          <w:szCs w:val="24"/>
        </w:rPr>
        <w:t> </w:t>
      </w:r>
      <w:r w:rsidR="00A326C7" w:rsidRPr="00446016">
        <w:rPr>
          <w:rFonts w:ascii="Times New Roman" w:hAnsi="Times New Roman" w:cs="Times New Roman"/>
          <w:sz w:val="24"/>
          <w:szCs w:val="24"/>
        </w:rPr>
        <w:t>783 oferty.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446016">
        <w:rPr>
          <w:rFonts w:ascii="Times New Roman" w:hAnsi="Times New Roman" w:cs="Times New Roman"/>
          <w:sz w:val="24"/>
          <w:szCs w:val="24"/>
        </w:rPr>
        <w:t>W</w:t>
      </w:r>
      <w:r w:rsidR="00AE5712" w:rsidRPr="00446016">
        <w:rPr>
          <w:rFonts w:ascii="Times New Roman" w:hAnsi="Times New Roman" w:cs="Times New Roman"/>
          <w:sz w:val="24"/>
          <w:szCs w:val="24"/>
        </w:rPr>
        <w:t> 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1B5D0B" w:rsidRPr="00446016">
        <w:rPr>
          <w:rFonts w:ascii="Times New Roman" w:hAnsi="Times New Roman" w:cs="Times New Roman"/>
          <w:sz w:val="24"/>
          <w:szCs w:val="24"/>
        </w:rPr>
        <w:t>11</w:t>
      </w:r>
      <w:r w:rsidR="00AE5712" w:rsidRPr="00446016">
        <w:rPr>
          <w:rFonts w:ascii="Times New Roman" w:hAnsi="Times New Roman" w:cs="Times New Roman"/>
          <w:sz w:val="24"/>
          <w:szCs w:val="24"/>
        </w:rPr>
        <w:t> r.</w:t>
      </w:r>
      <w:r w:rsidR="001B5D0B" w:rsidRPr="00446016">
        <w:rPr>
          <w:rFonts w:ascii="Times New Roman" w:hAnsi="Times New Roman" w:cs="Times New Roman"/>
          <w:sz w:val="24"/>
          <w:szCs w:val="24"/>
        </w:rPr>
        <w:t xml:space="preserve"> ponownie odnotowano spadek do poziomu najniższego od 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1B5D0B" w:rsidRPr="00446016">
        <w:rPr>
          <w:rFonts w:ascii="Times New Roman" w:hAnsi="Times New Roman" w:cs="Times New Roman"/>
          <w:sz w:val="24"/>
          <w:szCs w:val="24"/>
        </w:rPr>
        <w:t>0</w:t>
      </w:r>
      <w:r w:rsidR="002B17CB" w:rsidRPr="00446016">
        <w:rPr>
          <w:rFonts w:ascii="Times New Roman" w:hAnsi="Times New Roman" w:cs="Times New Roman"/>
          <w:sz w:val="24"/>
          <w:szCs w:val="24"/>
        </w:rPr>
        <w:t>6</w:t>
      </w:r>
      <w:r w:rsidR="00AE5712" w:rsidRPr="00446016">
        <w:rPr>
          <w:rFonts w:ascii="Times New Roman" w:hAnsi="Times New Roman" w:cs="Times New Roman"/>
          <w:sz w:val="24"/>
          <w:szCs w:val="24"/>
        </w:rPr>
        <w:t> r</w:t>
      </w:r>
      <w:r w:rsidR="002B17CB" w:rsidRPr="00446016">
        <w:rPr>
          <w:rFonts w:ascii="Times New Roman" w:hAnsi="Times New Roman" w:cs="Times New Roman"/>
          <w:sz w:val="24"/>
          <w:szCs w:val="24"/>
        </w:rPr>
        <w:t>oku</w:t>
      </w:r>
      <w:r w:rsidR="001B5D0B" w:rsidRPr="00446016">
        <w:rPr>
          <w:rFonts w:ascii="Times New Roman" w:hAnsi="Times New Roman" w:cs="Times New Roman"/>
          <w:sz w:val="24"/>
          <w:szCs w:val="24"/>
        </w:rPr>
        <w:t xml:space="preserve">, po którym </w:t>
      </w:r>
      <w:r w:rsidR="002B17CB" w:rsidRPr="00446016">
        <w:rPr>
          <w:rFonts w:ascii="Times New Roman" w:hAnsi="Times New Roman" w:cs="Times New Roman"/>
          <w:sz w:val="24"/>
          <w:szCs w:val="24"/>
        </w:rPr>
        <w:t xml:space="preserve">od </w:t>
      </w:r>
      <w:r w:rsidR="00B407AB" w:rsidRPr="00446016">
        <w:rPr>
          <w:rFonts w:ascii="Times New Roman" w:hAnsi="Times New Roman" w:cs="Times New Roman"/>
          <w:sz w:val="24"/>
          <w:szCs w:val="24"/>
        </w:rPr>
        <w:t>roku 201</w:t>
      </w:r>
      <w:r w:rsidR="002B17CB" w:rsidRPr="00446016">
        <w:rPr>
          <w:rFonts w:ascii="Times New Roman" w:hAnsi="Times New Roman" w:cs="Times New Roman"/>
          <w:sz w:val="24"/>
          <w:szCs w:val="24"/>
        </w:rPr>
        <w:t xml:space="preserve">2 </w:t>
      </w:r>
      <w:r w:rsidR="001B5D0B" w:rsidRPr="00446016">
        <w:rPr>
          <w:rFonts w:ascii="Times New Roman" w:hAnsi="Times New Roman" w:cs="Times New Roman"/>
          <w:sz w:val="24"/>
          <w:szCs w:val="24"/>
        </w:rPr>
        <w:t>nast</w:t>
      </w:r>
      <w:r w:rsidR="002B17CB" w:rsidRPr="00446016">
        <w:rPr>
          <w:rFonts w:ascii="Times New Roman" w:hAnsi="Times New Roman" w:cs="Times New Roman"/>
          <w:sz w:val="24"/>
          <w:szCs w:val="24"/>
        </w:rPr>
        <w:t xml:space="preserve">ępuje ponowny </w:t>
      </w:r>
      <w:r w:rsidR="001B5D0B" w:rsidRPr="00446016">
        <w:rPr>
          <w:rFonts w:ascii="Times New Roman" w:hAnsi="Times New Roman" w:cs="Times New Roman"/>
          <w:sz w:val="24"/>
          <w:szCs w:val="24"/>
        </w:rPr>
        <w:t>wzrost</w:t>
      </w:r>
      <w:r w:rsidR="002B17CB" w:rsidRPr="00446016">
        <w:rPr>
          <w:rFonts w:ascii="Times New Roman" w:hAnsi="Times New Roman" w:cs="Times New Roman"/>
          <w:sz w:val="24"/>
          <w:szCs w:val="24"/>
        </w:rPr>
        <w:t xml:space="preserve"> ofert</w:t>
      </w:r>
      <w:r w:rsidR="00B407AB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2B17CB" w:rsidRPr="00446016">
        <w:rPr>
          <w:rFonts w:ascii="Times New Roman" w:hAnsi="Times New Roman" w:cs="Times New Roman"/>
          <w:sz w:val="24"/>
          <w:szCs w:val="24"/>
        </w:rPr>
        <w:t>zgłoszonych przez pracodawców do PUP</w:t>
      </w:r>
      <w:r w:rsidR="001B5D0B" w:rsidRPr="00446016">
        <w:rPr>
          <w:rFonts w:ascii="Times New Roman" w:hAnsi="Times New Roman" w:cs="Times New Roman"/>
          <w:sz w:val="24"/>
          <w:szCs w:val="24"/>
        </w:rPr>
        <w:t>.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446016">
        <w:rPr>
          <w:rFonts w:ascii="Times New Roman" w:hAnsi="Times New Roman" w:cs="Times New Roman"/>
          <w:sz w:val="24"/>
          <w:szCs w:val="24"/>
        </w:rPr>
        <w:t>W</w:t>
      </w:r>
      <w:r w:rsidR="00AE5712" w:rsidRPr="00446016">
        <w:rPr>
          <w:rFonts w:ascii="Times New Roman" w:hAnsi="Times New Roman" w:cs="Times New Roman"/>
          <w:sz w:val="24"/>
          <w:szCs w:val="24"/>
        </w:rPr>
        <w:t> </w:t>
      </w:r>
      <w:r w:rsidR="002B17CB" w:rsidRPr="00446016">
        <w:rPr>
          <w:rFonts w:ascii="Times New Roman" w:hAnsi="Times New Roman" w:cs="Times New Roman"/>
          <w:sz w:val="24"/>
          <w:szCs w:val="24"/>
        </w:rPr>
        <w:t>‘</w:t>
      </w:r>
      <w:r w:rsidR="00A326C7" w:rsidRPr="00446016">
        <w:rPr>
          <w:rFonts w:ascii="Times New Roman" w:hAnsi="Times New Roman" w:cs="Times New Roman"/>
          <w:sz w:val="24"/>
          <w:szCs w:val="24"/>
        </w:rPr>
        <w:t>1</w:t>
      </w:r>
      <w:r w:rsidR="002B17CB" w:rsidRPr="00446016">
        <w:rPr>
          <w:rFonts w:ascii="Times New Roman" w:hAnsi="Times New Roman" w:cs="Times New Roman"/>
          <w:sz w:val="24"/>
          <w:szCs w:val="24"/>
        </w:rPr>
        <w:t>6</w:t>
      </w:r>
      <w:r w:rsidR="00AE5712" w:rsidRPr="00446016">
        <w:rPr>
          <w:rFonts w:ascii="Times New Roman" w:hAnsi="Times New Roman" w:cs="Times New Roman"/>
          <w:sz w:val="24"/>
          <w:szCs w:val="24"/>
        </w:rPr>
        <w:t> r. w </w:t>
      </w:r>
      <w:r w:rsidR="00A326C7" w:rsidRPr="00446016">
        <w:rPr>
          <w:rFonts w:ascii="Times New Roman" w:hAnsi="Times New Roman" w:cs="Times New Roman"/>
          <w:sz w:val="24"/>
          <w:szCs w:val="24"/>
        </w:rPr>
        <w:t xml:space="preserve">porównaniu </w:t>
      </w:r>
      <w:r w:rsidR="00446016" w:rsidRPr="00446016">
        <w:rPr>
          <w:rFonts w:ascii="Times New Roman" w:hAnsi="Times New Roman" w:cs="Times New Roman"/>
          <w:sz w:val="24"/>
          <w:szCs w:val="24"/>
        </w:rPr>
        <w:t xml:space="preserve">do roku poprzedniego </w:t>
      </w:r>
      <w:r w:rsidR="00A326C7" w:rsidRPr="00446016">
        <w:rPr>
          <w:rFonts w:ascii="Times New Roman" w:hAnsi="Times New Roman" w:cs="Times New Roman"/>
          <w:sz w:val="24"/>
          <w:szCs w:val="24"/>
        </w:rPr>
        <w:t>nastąpił wzrost</w:t>
      </w:r>
      <w:r w:rsidR="00AE5712" w:rsidRPr="00446016">
        <w:rPr>
          <w:rFonts w:ascii="Times New Roman" w:hAnsi="Times New Roman" w:cs="Times New Roman"/>
          <w:sz w:val="24"/>
          <w:szCs w:val="24"/>
        </w:rPr>
        <w:t xml:space="preserve"> o </w:t>
      </w:r>
      <w:r w:rsidR="00B407AB" w:rsidRPr="00446016">
        <w:rPr>
          <w:rFonts w:ascii="Times New Roman" w:hAnsi="Times New Roman" w:cs="Times New Roman"/>
          <w:sz w:val="24"/>
          <w:szCs w:val="24"/>
        </w:rPr>
        <w:t>11</w:t>
      </w:r>
      <w:r w:rsidR="004520F6" w:rsidRPr="00446016">
        <w:rPr>
          <w:rFonts w:ascii="Times New Roman" w:hAnsi="Times New Roman" w:cs="Times New Roman"/>
          <w:sz w:val="24"/>
          <w:szCs w:val="24"/>
        </w:rPr>
        <w:t> </w:t>
      </w:r>
      <w:r w:rsidR="00B407AB" w:rsidRPr="00446016">
        <w:rPr>
          <w:rFonts w:ascii="Times New Roman" w:hAnsi="Times New Roman" w:cs="Times New Roman"/>
          <w:sz w:val="24"/>
          <w:szCs w:val="24"/>
        </w:rPr>
        <w:t>134</w:t>
      </w:r>
      <w:r w:rsidR="00A326C7" w:rsidRPr="00446016">
        <w:rPr>
          <w:rFonts w:ascii="Times New Roman" w:hAnsi="Times New Roman" w:cs="Times New Roman"/>
          <w:sz w:val="24"/>
          <w:szCs w:val="24"/>
        </w:rPr>
        <w:t xml:space="preserve"> ofert. </w:t>
      </w:r>
    </w:p>
    <w:p w:rsidR="00D94663" w:rsidRPr="009C1190" w:rsidRDefault="00F63B04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190">
        <w:rPr>
          <w:rFonts w:ascii="Times New Roman" w:hAnsi="Times New Roman" w:cs="Times New Roman"/>
          <w:sz w:val="24"/>
          <w:szCs w:val="24"/>
          <w:u w:val="single"/>
        </w:rPr>
        <w:t>W 201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AE5712" w:rsidRPr="009C1190">
        <w:rPr>
          <w:rFonts w:ascii="Times New Roman" w:hAnsi="Times New Roman" w:cs="Times New Roman"/>
          <w:sz w:val="24"/>
          <w:szCs w:val="24"/>
          <w:u w:val="single"/>
        </w:rPr>
        <w:t> r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oku</w:t>
      </w:r>
      <w:r w:rsidR="00AE5712" w:rsidRPr="009C1190">
        <w:rPr>
          <w:rFonts w:ascii="Times New Roman" w:hAnsi="Times New Roman" w:cs="Times New Roman"/>
          <w:sz w:val="24"/>
          <w:szCs w:val="24"/>
          <w:u w:val="single"/>
        </w:rPr>
        <w:t xml:space="preserve"> w </w:t>
      </w:r>
      <w:r w:rsidRPr="009C1190">
        <w:rPr>
          <w:rFonts w:ascii="Times New Roman" w:hAnsi="Times New Roman" w:cs="Times New Roman"/>
          <w:sz w:val="24"/>
          <w:szCs w:val="24"/>
          <w:u w:val="single"/>
        </w:rPr>
        <w:t xml:space="preserve">województwie podkarpackim odnotowano największą od 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20</w:t>
      </w:r>
      <w:r w:rsidRPr="009C1190">
        <w:rPr>
          <w:rFonts w:ascii="Times New Roman" w:hAnsi="Times New Roman" w:cs="Times New Roman"/>
          <w:sz w:val="24"/>
          <w:szCs w:val="24"/>
          <w:u w:val="single"/>
        </w:rPr>
        <w:t xml:space="preserve">04 </w:t>
      </w:r>
      <w:r w:rsidR="00C71750" w:rsidRPr="009C1190">
        <w:rPr>
          <w:rFonts w:ascii="Times New Roman" w:hAnsi="Times New Roman" w:cs="Times New Roman"/>
          <w:sz w:val="24"/>
          <w:szCs w:val="24"/>
          <w:u w:val="single"/>
        </w:rPr>
        <w:t>r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oku</w:t>
      </w:r>
      <w:r w:rsidR="00C71750" w:rsidRPr="009C119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C1190">
        <w:rPr>
          <w:rFonts w:ascii="Times New Roman" w:hAnsi="Times New Roman" w:cs="Times New Roman"/>
          <w:sz w:val="24"/>
          <w:szCs w:val="24"/>
          <w:u w:val="single"/>
        </w:rPr>
        <w:t>ilość zgłoszonych ofert pracy (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72</w:t>
      </w:r>
      <w:r w:rsidRPr="009C1190">
        <w:rPr>
          <w:rFonts w:ascii="Times New Roman" w:hAnsi="Times New Roman" w:cs="Times New Roman"/>
          <w:sz w:val="24"/>
          <w:szCs w:val="24"/>
          <w:u w:val="single"/>
        </w:rPr>
        <w:t> </w:t>
      </w:r>
      <w:r w:rsidR="009C1190" w:rsidRPr="009C1190">
        <w:rPr>
          <w:rFonts w:ascii="Times New Roman" w:hAnsi="Times New Roman" w:cs="Times New Roman"/>
          <w:sz w:val="24"/>
          <w:szCs w:val="24"/>
          <w:u w:val="single"/>
        </w:rPr>
        <w:t>410</w:t>
      </w:r>
      <w:r w:rsidRPr="009C1190">
        <w:rPr>
          <w:rFonts w:ascii="Times New Roman" w:hAnsi="Times New Roman" w:cs="Times New Roman"/>
          <w:sz w:val="24"/>
          <w:szCs w:val="24"/>
          <w:u w:val="single"/>
        </w:rPr>
        <w:t>).</w:t>
      </w:r>
    </w:p>
    <w:p w:rsidR="004520F6" w:rsidRPr="00755177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5177">
        <w:rPr>
          <w:rFonts w:ascii="Times New Roman" w:hAnsi="Times New Roman" w:cs="Times New Roman"/>
          <w:sz w:val="24"/>
          <w:szCs w:val="24"/>
        </w:rPr>
        <w:t>W</w:t>
      </w:r>
      <w:r w:rsidR="008A7EA9" w:rsidRPr="00755177">
        <w:rPr>
          <w:rFonts w:ascii="Times New Roman" w:hAnsi="Times New Roman" w:cs="Times New Roman"/>
          <w:sz w:val="24"/>
          <w:szCs w:val="24"/>
        </w:rPr>
        <w:t> </w:t>
      </w:r>
      <w:r w:rsidRPr="00755177">
        <w:rPr>
          <w:rFonts w:ascii="Times New Roman" w:hAnsi="Times New Roman" w:cs="Times New Roman"/>
          <w:sz w:val="24"/>
          <w:szCs w:val="24"/>
        </w:rPr>
        <w:t>201</w:t>
      </w:r>
      <w:r w:rsidR="009C1190" w:rsidRPr="00755177">
        <w:rPr>
          <w:rFonts w:ascii="Times New Roman" w:hAnsi="Times New Roman" w:cs="Times New Roman"/>
          <w:sz w:val="24"/>
          <w:szCs w:val="24"/>
        </w:rPr>
        <w:t>6</w:t>
      </w:r>
      <w:r w:rsidR="00AE5712" w:rsidRPr="00755177">
        <w:rPr>
          <w:rFonts w:ascii="Times New Roman" w:hAnsi="Times New Roman" w:cs="Times New Roman"/>
          <w:sz w:val="24"/>
          <w:szCs w:val="24"/>
        </w:rPr>
        <w:t> r.</w:t>
      </w:r>
      <w:r w:rsidRPr="00755177">
        <w:rPr>
          <w:rFonts w:ascii="Times New Roman" w:hAnsi="Times New Roman" w:cs="Times New Roman"/>
          <w:sz w:val="24"/>
          <w:szCs w:val="24"/>
        </w:rPr>
        <w:t xml:space="preserve"> pracodawcy zgłosili do powiatowych urzędów pracy łącznie </w:t>
      </w:r>
      <w:r w:rsidR="009C1190" w:rsidRPr="00755177">
        <w:rPr>
          <w:rFonts w:ascii="Times New Roman" w:hAnsi="Times New Roman" w:cs="Times New Roman"/>
          <w:sz w:val="24"/>
          <w:szCs w:val="24"/>
        </w:rPr>
        <w:t>72</w:t>
      </w:r>
      <w:r w:rsidR="00772F51" w:rsidRPr="00755177">
        <w:rPr>
          <w:rFonts w:ascii="Times New Roman" w:hAnsi="Times New Roman" w:cs="Times New Roman"/>
          <w:sz w:val="24"/>
          <w:szCs w:val="24"/>
        </w:rPr>
        <w:t> </w:t>
      </w:r>
      <w:r w:rsidR="009C1190" w:rsidRPr="00755177">
        <w:rPr>
          <w:rFonts w:ascii="Times New Roman" w:hAnsi="Times New Roman" w:cs="Times New Roman"/>
          <w:sz w:val="24"/>
          <w:szCs w:val="24"/>
        </w:rPr>
        <w:t>410</w:t>
      </w:r>
      <w:r w:rsidRPr="00755177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i </w:t>
      </w:r>
      <w:r w:rsidRPr="00755177">
        <w:rPr>
          <w:rFonts w:ascii="Times New Roman" w:hAnsi="Times New Roman" w:cs="Times New Roman"/>
          <w:sz w:val="24"/>
          <w:szCs w:val="24"/>
        </w:rPr>
        <w:t>miejsc aktywizacji zawodowej,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z </w:t>
      </w:r>
      <w:r w:rsidRPr="00755177">
        <w:rPr>
          <w:rFonts w:ascii="Times New Roman" w:hAnsi="Times New Roman" w:cs="Times New Roman"/>
          <w:sz w:val="24"/>
          <w:szCs w:val="24"/>
        </w:rPr>
        <w:t xml:space="preserve">których </w:t>
      </w:r>
      <w:r w:rsidR="002844CE" w:rsidRPr="00755177">
        <w:rPr>
          <w:rFonts w:ascii="Times New Roman" w:hAnsi="Times New Roman" w:cs="Times New Roman"/>
          <w:sz w:val="24"/>
          <w:szCs w:val="24"/>
        </w:rPr>
        <w:t>31</w:t>
      </w:r>
      <w:r w:rsidRPr="00755177">
        <w:rPr>
          <w:rFonts w:ascii="Times New Roman" w:hAnsi="Times New Roman" w:cs="Times New Roman"/>
          <w:sz w:val="24"/>
          <w:szCs w:val="24"/>
        </w:rPr>
        <w:t xml:space="preserve"> </w:t>
      </w:r>
      <w:r w:rsidR="002844CE" w:rsidRPr="00755177">
        <w:rPr>
          <w:rFonts w:ascii="Times New Roman" w:hAnsi="Times New Roman" w:cs="Times New Roman"/>
          <w:sz w:val="24"/>
          <w:szCs w:val="24"/>
        </w:rPr>
        <w:t>407</w:t>
      </w:r>
      <w:r w:rsidRPr="00755177">
        <w:rPr>
          <w:rFonts w:ascii="Times New Roman" w:hAnsi="Times New Roman" w:cs="Times New Roman"/>
          <w:sz w:val="24"/>
          <w:szCs w:val="24"/>
        </w:rPr>
        <w:t xml:space="preserve"> (4</w:t>
      </w:r>
      <w:r w:rsidR="002844CE" w:rsidRPr="00755177">
        <w:rPr>
          <w:rFonts w:ascii="Times New Roman" w:hAnsi="Times New Roman" w:cs="Times New Roman"/>
          <w:sz w:val="24"/>
          <w:szCs w:val="24"/>
        </w:rPr>
        <w:t>3</w:t>
      </w:r>
      <w:r w:rsidRPr="00755177">
        <w:rPr>
          <w:rFonts w:ascii="Times New Roman" w:hAnsi="Times New Roman" w:cs="Times New Roman"/>
          <w:sz w:val="24"/>
          <w:szCs w:val="24"/>
        </w:rPr>
        <w:t>,</w:t>
      </w:r>
      <w:r w:rsidR="002844CE" w:rsidRPr="00755177">
        <w:rPr>
          <w:rFonts w:ascii="Times New Roman" w:hAnsi="Times New Roman" w:cs="Times New Roman"/>
          <w:sz w:val="24"/>
          <w:szCs w:val="24"/>
        </w:rPr>
        <w:t>4</w:t>
      </w:r>
      <w:r w:rsidRPr="00755177">
        <w:rPr>
          <w:rFonts w:ascii="Times New Roman" w:hAnsi="Times New Roman" w:cs="Times New Roman"/>
          <w:sz w:val="24"/>
          <w:szCs w:val="24"/>
        </w:rPr>
        <w:t>%) było ofertami pracy subsydiowanej (w 1</w:t>
      </w:r>
      <w:r w:rsidR="002844CE" w:rsidRPr="00755177">
        <w:rPr>
          <w:rFonts w:ascii="Times New Roman" w:hAnsi="Times New Roman" w:cs="Times New Roman"/>
          <w:sz w:val="24"/>
          <w:szCs w:val="24"/>
        </w:rPr>
        <w:t>5</w:t>
      </w:r>
      <w:r w:rsidR="00AE5712" w:rsidRPr="00755177">
        <w:rPr>
          <w:rFonts w:ascii="Times New Roman" w:hAnsi="Times New Roman" w:cs="Times New Roman"/>
          <w:sz w:val="24"/>
          <w:szCs w:val="24"/>
        </w:rPr>
        <w:t> r.</w:t>
      </w:r>
      <w:r w:rsidRPr="00755177">
        <w:rPr>
          <w:rFonts w:ascii="Times New Roman" w:hAnsi="Times New Roman" w:cs="Times New Roman"/>
          <w:sz w:val="24"/>
          <w:szCs w:val="24"/>
        </w:rPr>
        <w:t xml:space="preserve"> </w:t>
      </w:r>
      <w:r w:rsidR="00DC246C" w:rsidRPr="00755177">
        <w:rPr>
          <w:rFonts w:ascii="Times New Roman" w:hAnsi="Times New Roman" w:cs="Times New Roman"/>
          <w:sz w:val="24"/>
          <w:szCs w:val="24"/>
        </w:rPr>
        <w:t>oferty subsydiowane to</w:t>
      </w:r>
      <w:r w:rsidRPr="00755177">
        <w:rPr>
          <w:rFonts w:ascii="Times New Roman" w:hAnsi="Times New Roman" w:cs="Times New Roman"/>
          <w:sz w:val="24"/>
          <w:szCs w:val="24"/>
        </w:rPr>
        <w:t xml:space="preserve"> </w:t>
      </w:r>
      <w:r w:rsidR="00842F61" w:rsidRPr="00755177">
        <w:rPr>
          <w:rFonts w:ascii="Times New Roman" w:hAnsi="Times New Roman" w:cs="Times New Roman"/>
          <w:sz w:val="24"/>
          <w:szCs w:val="24"/>
        </w:rPr>
        <w:t>4</w:t>
      </w:r>
      <w:r w:rsidR="002844CE" w:rsidRPr="00755177">
        <w:rPr>
          <w:rFonts w:ascii="Times New Roman" w:hAnsi="Times New Roman" w:cs="Times New Roman"/>
          <w:sz w:val="24"/>
          <w:szCs w:val="24"/>
        </w:rPr>
        <w:t>7</w:t>
      </w:r>
      <w:r w:rsidRPr="00755177">
        <w:rPr>
          <w:rFonts w:ascii="Times New Roman" w:hAnsi="Times New Roman" w:cs="Times New Roman"/>
          <w:sz w:val="24"/>
          <w:szCs w:val="24"/>
        </w:rPr>
        <w:t>,</w:t>
      </w:r>
      <w:r w:rsidR="00842F61" w:rsidRPr="00755177">
        <w:rPr>
          <w:rFonts w:ascii="Times New Roman" w:hAnsi="Times New Roman" w:cs="Times New Roman"/>
          <w:sz w:val="24"/>
          <w:szCs w:val="24"/>
        </w:rPr>
        <w:t>1</w:t>
      </w:r>
      <w:r w:rsidRPr="00755177">
        <w:rPr>
          <w:rFonts w:ascii="Times New Roman" w:hAnsi="Times New Roman" w:cs="Times New Roman"/>
          <w:sz w:val="24"/>
          <w:szCs w:val="24"/>
        </w:rPr>
        <w:t xml:space="preserve">% ogółu </w:t>
      </w:r>
      <w:r w:rsidR="00DC2FC5" w:rsidRPr="00755177">
        <w:rPr>
          <w:rFonts w:ascii="Times New Roman" w:hAnsi="Times New Roman" w:cs="Times New Roman"/>
          <w:sz w:val="24"/>
          <w:szCs w:val="24"/>
        </w:rPr>
        <w:t xml:space="preserve">zgłoszonych </w:t>
      </w:r>
      <w:r w:rsidRPr="00755177">
        <w:rPr>
          <w:rFonts w:ascii="Times New Roman" w:hAnsi="Times New Roman" w:cs="Times New Roman"/>
          <w:sz w:val="24"/>
          <w:szCs w:val="24"/>
        </w:rPr>
        <w:t>wolnych miejsc pracy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i </w:t>
      </w:r>
      <w:r w:rsidRPr="00755177">
        <w:rPr>
          <w:rFonts w:ascii="Times New Roman" w:hAnsi="Times New Roman" w:cs="Times New Roman"/>
          <w:sz w:val="24"/>
          <w:szCs w:val="24"/>
        </w:rPr>
        <w:t>miejsc aktywizacji zawodowej).</w:t>
      </w:r>
      <w:r w:rsidR="002844CE" w:rsidRPr="00755177">
        <w:rPr>
          <w:rFonts w:ascii="Times New Roman" w:hAnsi="Times New Roman" w:cs="Times New Roman"/>
          <w:sz w:val="24"/>
          <w:szCs w:val="24"/>
        </w:rPr>
        <w:t xml:space="preserve"> </w:t>
      </w:r>
      <w:r w:rsidR="004520F6" w:rsidRPr="00755177">
        <w:rPr>
          <w:rFonts w:ascii="Times New Roman" w:hAnsi="Times New Roman" w:cs="Times New Roman"/>
          <w:sz w:val="24"/>
          <w:szCs w:val="24"/>
        </w:rPr>
        <w:t>Jednocześnie „odpływ” bezrobotnych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z </w:t>
      </w:r>
      <w:r w:rsidR="004520F6" w:rsidRPr="00755177">
        <w:rPr>
          <w:rFonts w:ascii="Times New Roman" w:hAnsi="Times New Roman" w:cs="Times New Roman"/>
          <w:sz w:val="24"/>
          <w:szCs w:val="24"/>
        </w:rPr>
        <w:t>rejestru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z </w:t>
      </w:r>
      <w:r w:rsidR="004520F6" w:rsidRPr="00755177">
        <w:rPr>
          <w:rFonts w:ascii="Times New Roman" w:hAnsi="Times New Roman" w:cs="Times New Roman"/>
          <w:sz w:val="24"/>
          <w:szCs w:val="24"/>
        </w:rPr>
        <w:t xml:space="preserve">powodu podjęcia pracy pokazuje, że jedynie </w:t>
      </w:r>
      <w:r w:rsidR="002844CE" w:rsidRPr="00755177">
        <w:rPr>
          <w:rFonts w:ascii="Times New Roman" w:hAnsi="Times New Roman" w:cs="Times New Roman"/>
          <w:sz w:val="24"/>
          <w:szCs w:val="24"/>
        </w:rPr>
        <w:t>22</w:t>
      </w:r>
      <w:r w:rsidR="004520F6" w:rsidRPr="00755177">
        <w:rPr>
          <w:rFonts w:ascii="Times New Roman" w:hAnsi="Times New Roman" w:cs="Times New Roman"/>
          <w:sz w:val="24"/>
          <w:szCs w:val="24"/>
        </w:rPr>
        <w:t>,6%</w:t>
      </w:r>
      <w:r w:rsidR="00AE5712" w:rsidRPr="00755177">
        <w:rPr>
          <w:rFonts w:ascii="Times New Roman" w:hAnsi="Times New Roman" w:cs="Times New Roman"/>
          <w:sz w:val="24"/>
          <w:szCs w:val="24"/>
        </w:rPr>
        <w:t xml:space="preserve"> z </w:t>
      </w:r>
      <w:r w:rsidR="004520F6" w:rsidRPr="00755177">
        <w:rPr>
          <w:rFonts w:ascii="Times New Roman" w:hAnsi="Times New Roman" w:cs="Times New Roman"/>
          <w:sz w:val="24"/>
          <w:szCs w:val="24"/>
        </w:rPr>
        <w:t>nich (</w:t>
      </w:r>
      <w:r w:rsidR="002844CE" w:rsidRPr="00755177">
        <w:rPr>
          <w:rFonts w:ascii="Times New Roman" w:hAnsi="Times New Roman" w:cs="Times New Roman"/>
          <w:sz w:val="24"/>
          <w:szCs w:val="24"/>
        </w:rPr>
        <w:t>19</w:t>
      </w:r>
      <w:r w:rsidR="004520F6" w:rsidRPr="00755177">
        <w:rPr>
          <w:rFonts w:ascii="Times New Roman" w:hAnsi="Times New Roman" w:cs="Times New Roman"/>
          <w:sz w:val="24"/>
          <w:szCs w:val="24"/>
        </w:rPr>
        <w:t> </w:t>
      </w:r>
      <w:r w:rsidR="002844CE" w:rsidRPr="00755177">
        <w:rPr>
          <w:rFonts w:ascii="Times New Roman" w:hAnsi="Times New Roman" w:cs="Times New Roman"/>
          <w:sz w:val="24"/>
          <w:szCs w:val="24"/>
        </w:rPr>
        <w:t>384</w:t>
      </w:r>
      <w:r w:rsidR="004520F6" w:rsidRPr="00755177">
        <w:rPr>
          <w:rFonts w:ascii="Times New Roman" w:hAnsi="Times New Roman" w:cs="Times New Roman"/>
          <w:sz w:val="24"/>
          <w:szCs w:val="24"/>
        </w:rPr>
        <w:t xml:space="preserve"> osoby spośród 85 6</w:t>
      </w:r>
      <w:r w:rsidR="002844CE" w:rsidRPr="00755177">
        <w:rPr>
          <w:rFonts w:ascii="Times New Roman" w:hAnsi="Times New Roman" w:cs="Times New Roman"/>
          <w:sz w:val="24"/>
          <w:szCs w:val="24"/>
        </w:rPr>
        <w:t>17</w:t>
      </w:r>
      <w:r w:rsidR="004520F6" w:rsidRPr="00755177">
        <w:rPr>
          <w:rFonts w:ascii="Times New Roman" w:hAnsi="Times New Roman" w:cs="Times New Roman"/>
          <w:sz w:val="24"/>
          <w:szCs w:val="24"/>
        </w:rPr>
        <w:t xml:space="preserve"> osób) podjęło zatrudnienie subsydiowane.</w:t>
      </w:r>
    </w:p>
    <w:p w:rsidR="004520F6" w:rsidRPr="000644BF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4BF">
        <w:rPr>
          <w:rFonts w:ascii="Times New Roman" w:hAnsi="Times New Roman" w:cs="Times New Roman"/>
          <w:sz w:val="24"/>
          <w:szCs w:val="24"/>
        </w:rPr>
        <w:t>Spośród ogólnej liczby ofert zgłoszonych</w:t>
      </w:r>
      <w:r w:rsidR="00755177"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0644BF">
        <w:rPr>
          <w:rFonts w:ascii="Times New Roman" w:hAnsi="Times New Roman" w:cs="Times New Roman"/>
          <w:sz w:val="24"/>
          <w:szCs w:val="24"/>
        </w:rPr>
        <w:t>w</w:t>
      </w:r>
      <w:r w:rsidR="00755177" w:rsidRPr="000644BF">
        <w:rPr>
          <w:rFonts w:ascii="Times New Roman" w:hAnsi="Times New Roman" w:cs="Times New Roman"/>
          <w:sz w:val="24"/>
          <w:szCs w:val="24"/>
        </w:rPr>
        <w:t xml:space="preserve"> ‘</w:t>
      </w:r>
      <w:r w:rsidRPr="000644BF">
        <w:rPr>
          <w:rFonts w:ascii="Times New Roman" w:hAnsi="Times New Roman" w:cs="Times New Roman"/>
          <w:sz w:val="24"/>
          <w:szCs w:val="24"/>
        </w:rPr>
        <w:t>1</w:t>
      </w:r>
      <w:r w:rsidR="00755177" w:rsidRPr="000644BF">
        <w:rPr>
          <w:rFonts w:ascii="Times New Roman" w:hAnsi="Times New Roman" w:cs="Times New Roman"/>
          <w:sz w:val="24"/>
          <w:szCs w:val="24"/>
        </w:rPr>
        <w:t>6</w:t>
      </w:r>
      <w:r w:rsidR="00AE5712" w:rsidRPr="000644BF">
        <w:rPr>
          <w:rFonts w:ascii="Times New Roman" w:hAnsi="Times New Roman" w:cs="Times New Roman"/>
          <w:sz w:val="24"/>
          <w:szCs w:val="24"/>
        </w:rPr>
        <w:t> r.</w:t>
      </w:r>
      <w:r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845B6B" w:rsidRPr="000644BF">
        <w:rPr>
          <w:rFonts w:ascii="Times New Roman" w:hAnsi="Times New Roman" w:cs="Times New Roman"/>
          <w:sz w:val="24"/>
          <w:szCs w:val="24"/>
        </w:rPr>
        <w:t xml:space="preserve">(72 410) </w:t>
      </w:r>
      <w:r w:rsidR="00C71750" w:rsidRPr="000644BF">
        <w:rPr>
          <w:rFonts w:ascii="Times New Roman" w:hAnsi="Times New Roman" w:cs="Times New Roman"/>
          <w:sz w:val="24"/>
          <w:szCs w:val="24"/>
        </w:rPr>
        <w:t xml:space="preserve">– </w:t>
      </w:r>
      <w:r w:rsidRPr="000644BF">
        <w:rPr>
          <w:rFonts w:ascii="Times New Roman" w:hAnsi="Times New Roman" w:cs="Times New Roman"/>
          <w:sz w:val="24"/>
          <w:szCs w:val="24"/>
        </w:rPr>
        <w:t>1</w:t>
      </w:r>
      <w:r w:rsidR="00DC246C" w:rsidRPr="000644BF">
        <w:rPr>
          <w:rFonts w:ascii="Times New Roman" w:hAnsi="Times New Roman" w:cs="Times New Roman"/>
          <w:sz w:val="24"/>
          <w:szCs w:val="24"/>
        </w:rPr>
        <w:t>0 2</w:t>
      </w:r>
      <w:r w:rsidR="00845B6B" w:rsidRPr="000644BF">
        <w:rPr>
          <w:rFonts w:ascii="Times New Roman" w:hAnsi="Times New Roman" w:cs="Times New Roman"/>
          <w:sz w:val="24"/>
          <w:szCs w:val="24"/>
        </w:rPr>
        <w:t>29</w:t>
      </w:r>
      <w:r w:rsidR="00DC246C"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0644BF">
        <w:rPr>
          <w:rFonts w:ascii="Times New Roman" w:hAnsi="Times New Roman" w:cs="Times New Roman"/>
          <w:sz w:val="24"/>
          <w:szCs w:val="24"/>
        </w:rPr>
        <w:t>(</w:t>
      </w:r>
      <w:r w:rsidR="00DC246C" w:rsidRPr="000644BF">
        <w:rPr>
          <w:rFonts w:ascii="Times New Roman" w:hAnsi="Times New Roman" w:cs="Times New Roman"/>
          <w:sz w:val="24"/>
          <w:szCs w:val="24"/>
        </w:rPr>
        <w:t>1</w:t>
      </w:r>
      <w:r w:rsidR="00845B6B" w:rsidRPr="000644BF">
        <w:rPr>
          <w:rFonts w:ascii="Times New Roman" w:hAnsi="Times New Roman" w:cs="Times New Roman"/>
          <w:sz w:val="24"/>
          <w:szCs w:val="24"/>
        </w:rPr>
        <w:t>4</w:t>
      </w:r>
      <w:r w:rsidRPr="000644BF">
        <w:rPr>
          <w:rFonts w:ascii="Times New Roman" w:hAnsi="Times New Roman" w:cs="Times New Roman"/>
          <w:sz w:val="24"/>
          <w:szCs w:val="24"/>
        </w:rPr>
        <w:t>,</w:t>
      </w:r>
      <w:r w:rsidR="00845B6B" w:rsidRPr="000644BF">
        <w:rPr>
          <w:rFonts w:ascii="Times New Roman" w:hAnsi="Times New Roman" w:cs="Times New Roman"/>
          <w:sz w:val="24"/>
          <w:szCs w:val="24"/>
        </w:rPr>
        <w:t>1</w:t>
      </w:r>
      <w:r w:rsidRPr="000644BF">
        <w:rPr>
          <w:rFonts w:ascii="Times New Roman" w:hAnsi="Times New Roman" w:cs="Times New Roman"/>
          <w:sz w:val="24"/>
          <w:szCs w:val="24"/>
        </w:rPr>
        <w:t>%</w:t>
      </w:r>
      <w:r w:rsidR="00C71750" w:rsidRPr="000644BF">
        <w:rPr>
          <w:rFonts w:ascii="Times New Roman" w:hAnsi="Times New Roman" w:cs="Times New Roman"/>
          <w:sz w:val="24"/>
          <w:szCs w:val="24"/>
        </w:rPr>
        <w:t>)</w:t>
      </w:r>
      <w:r w:rsidRPr="000644BF">
        <w:rPr>
          <w:rFonts w:ascii="Times New Roman" w:hAnsi="Times New Roman" w:cs="Times New Roman"/>
          <w:sz w:val="24"/>
          <w:szCs w:val="24"/>
        </w:rPr>
        <w:t xml:space="preserve"> po</w:t>
      </w:r>
      <w:r w:rsidR="004520F6" w:rsidRPr="000644BF">
        <w:rPr>
          <w:rFonts w:ascii="Times New Roman" w:hAnsi="Times New Roman" w:cs="Times New Roman"/>
          <w:sz w:val="24"/>
          <w:szCs w:val="24"/>
        </w:rPr>
        <w:t>chodziło</w:t>
      </w:r>
      <w:r w:rsidR="00AE5712" w:rsidRPr="000644BF">
        <w:rPr>
          <w:rFonts w:ascii="Times New Roman" w:hAnsi="Times New Roman" w:cs="Times New Roman"/>
          <w:sz w:val="24"/>
          <w:szCs w:val="24"/>
        </w:rPr>
        <w:t xml:space="preserve"> z </w:t>
      </w:r>
      <w:r w:rsidR="004520F6" w:rsidRPr="000644BF">
        <w:rPr>
          <w:rFonts w:ascii="Times New Roman" w:hAnsi="Times New Roman" w:cs="Times New Roman"/>
          <w:sz w:val="24"/>
          <w:szCs w:val="24"/>
        </w:rPr>
        <w:t xml:space="preserve">sektora publicznego. Jest to </w:t>
      </w:r>
      <w:r w:rsidR="00210254" w:rsidRPr="000644BF">
        <w:rPr>
          <w:rFonts w:ascii="Times New Roman" w:hAnsi="Times New Roman" w:cs="Times New Roman"/>
          <w:sz w:val="24"/>
          <w:szCs w:val="24"/>
        </w:rPr>
        <w:t>zbieżne ze strukturą</w:t>
      </w:r>
      <w:r w:rsidR="004520F6" w:rsidRPr="000644BF">
        <w:rPr>
          <w:rFonts w:ascii="Times New Roman" w:hAnsi="Times New Roman" w:cs="Times New Roman"/>
          <w:sz w:val="24"/>
          <w:szCs w:val="24"/>
        </w:rPr>
        <w:t xml:space="preserve"> zatrudnienia</w:t>
      </w:r>
      <w:r w:rsidR="00AE5712" w:rsidRPr="000644BF">
        <w:rPr>
          <w:rFonts w:ascii="Times New Roman" w:hAnsi="Times New Roman" w:cs="Times New Roman"/>
          <w:sz w:val="24"/>
          <w:szCs w:val="24"/>
        </w:rPr>
        <w:t xml:space="preserve"> w </w:t>
      </w:r>
      <w:r w:rsidR="00210254" w:rsidRPr="000644BF">
        <w:rPr>
          <w:rFonts w:ascii="Times New Roman" w:hAnsi="Times New Roman" w:cs="Times New Roman"/>
          <w:sz w:val="24"/>
          <w:szCs w:val="24"/>
        </w:rPr>
        <w:t>województwie</w:t>
      </w:r>
      <w:r w:rsidR="000644BF">
        <w:rPr>
          <w:rFonts w:ascii="Times New Roman" w:hAnsi="Times New Roman" w:cs="Times New Roman"/>
          <w:sz w:val="24"/>
          <w:szCs w:val="24"/>
        </w:rPr>
        <w:t xml:space="preserve">. Ostatnie </w:t>
      </w:r>
      <w:r w:rsidR="000644BF">
        <w:rPr>
          <w:rFonts w:ascii="Times New Roman" w:hAnsi="Times New Roman" w:cs="Times New Roman"/>
          <w:sz w:val="24"/>
          <w:szCs w:val="24"/>
        </w:rPr>
        <w:lastRenderedPageBreak/>
        <w:t xml:space="preserve">dostępne dane pochodzą z </w:t>
      </w:r>
      <w:r w:rsidR="00A55EC1">
        <w:rPr>
          <w:rFonts w:ascii="Times New Roman" w:hAnsi="Times New Roman" w:cs="Times New Roman"/>
          <w:sz w:val="24"/>
          <w:szCs w:val="24"/>
        </w:rPr>
        <w:t>20</w:t>
      </w:r>
      <w:r w:rsidR="000644BF">
        <w:rPr>
          <w:rFonts w:ascii="Times New Roman" w:hAnsi="Times New Roman" w:cs="Times New Roman"/>
          <w:sz w:val="24"/>
          <w:szCs w:val="24"/>
        </w:rPr>
        <w:t>15 r.</w:t>
      </w:r>
      <w:r w:rsidR="00210254"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0644BF">
        <w:rPr>
          <w:rFonts w:ascii="Times New Roman" w:hAnsi="Times New Roman" w:cs="Times New Roman"/>
          <w:sz w:val="24"/>
          <w:szCs w:val="24"/>
        </w:rPr>
        <w:t>M</w:t>
      </w:r>
      <w:r w:rsidR="00C71750" w:rsidRPr="000644BF">
        <w:rPr>
          <w:rFonts w:ascii="Times New Roman" w:hAnsi="Times New Roman" w:cs="Times New Roman"/>
          <w:sz w:val="24"/>
          <w:szCs w:val="24"/>
        </w:rPr>
        <w:t xml:space="preserve">niej niż </w:t>
      </w:r>
      <w:r w:rsidR="00845B6B" w:rsidRPr="000644BF">
        <w:rPr>
          <w:rFonts w:ascii="Times New Roman" w:hAnsi="Times New Roman" w:cs="Times New Roman"/>
          <w:sz w:val="24"/>
          <w:szCs w:val="24"/>
        </w:rPr>
        <w:t>20%</w:t>
      </w:r>
      <w:r w:rsidR="00210254"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4520F6" w:rsidRPr="000644BF">
        <w:rPr>
          <w:rFonts w:ascii="Times New Roman" w:hAnsi="Times New Roman" w:cs="Times New Roman"/>
          <w:sz w:val="24"/>
          <w:szCs w:val="24"/>
        </w:rPr>
        <w:t>zatrudnionych</w:t>
      </w:r>
      <w:r w:rsidR="00AE5712" w:rsidRPr="000644BF">
        <w:rPr>
          <w:rFonts w:ascii="Times New Roman" w:hAnsi="Times New Roman" w:cs="Times New Roman"/>
          <w:sz w:val="24"/>
          <w:szCs w:val="24"/>
        </w:rPr>
        <w:t xml:space="preserve"> w </w:t>
      </w:r>
      <w:r w:rsidR="004520F6" w:rsidRPr="000644BF">
        <w:rPr>
          <w:rFonts w:ascii="Times New Roman" w:hAnsi="Times New Roman" w:cs="Times New Roman"/>
          <w:sz w:val="24"/>
          <w:szCs w:val="24"/>
        </w:rPr>
        <w:t>sektorze publicznym</w:t>
      </w:r>
      <w:r w:rsidR="000644BF" w:rsidRPr="000644BF">
        <w:rPr>
          <w:rFonts w:ascii="Times New Roman" w:hAnsi="Times New Roman" w:cs="Times New Roman"/>
          <w:sz w:val="24"/>
          <w:szCs w:val="24"/>
        </w:rPr>
        <w:t xml:space="preserve"> </w:t>
      </w:r>
      <w:r w:rsidR="00210254" w:rsidRPr="000644BF">
        <w:rPr>
          <w:rFonts w:ascii="Times New Roman" w:hAnsi="Times New Roman" w:cs="Times New Roman"/>
          <w:sz w:val="24"/>
          <w:szCs w:val="24"/>
        </w:rPr>
        <w:t>to 1</w:t>
      </w:r>
      <w:r w:rsidR="000177FF" w:rsidRPr="000644BF">
        <w:rPr>
          <w:rFonts w:ascii="Times New Roman" w:hAnsi="Times New Roman" w:cs="Times New Roman"/>
          <w:sz w:val="24"/>
          <w:szCs w:val="24"/>
        </w:rPr>
        <w:t>8</w:t>
      </w:r>
      <w:r w:rsidR="00210254" w:rsidRPr="000644BF">
        <w:rPr>
          <w:rFonts w:ascii="Times New Roman" w:hAnsi="Times New Roman" w:cs="Times New Roman"/>
          <w:sz w:val="24"/>
          <w:szCs w:val="24"/>
        </w:rPr>
        <w:t>,</w:t>
      </w:r>
      <w:r w:rsidR="000177FF" w:rsidRPr="000644BF">
        <w:rPr>
          <w:rFonts w:ascii="Times New Roman" w:hAnsi="Times New Roman" w:cs="Times New Roman"/>
          <w:sz w:val="24"/>
          <w:szCs w:val="24"/>
        </w:rPr>
        <w:t>8</w:t>
      </w:r>
      <w:r w:rsidR="00210254" w:rsidRPr="000644BF">
        <w:rPr>
          <w:rFonts w:ascii="Times New Roman" w:hAnsi="Times New Roman" w:cs="Times New Roman"/>
          <w:sz w:val="24"/>
          <w:szCs w:val="24"/>
        </w:rPr>
        <w:t>% spośród wszystkich zatrudnionych</w:t>
      </w:r>
      <w:r w:rsidR="00DC2FC5" w:rsidRPr="000644BF">
        <w:rPr>
          <w:rFonts w:ascii="Times New Roman" w:hAnsi="Times New Roman" w:cs="Times New Roman"/>
          <w:sz w:val="24"/>
          <w:szCs w:val="24"/>
        </w:rPr>
        <w:t>.</w:t>
      </w:r>
    </w:p>
    <w:p w:rsidR="00DC2FC5" w:rsidRPr="00633F41" w:rsidRDefault="00633F41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3F41">
        <w:rPr>
          <w:rFonts w:ascii="Times New Roman" w:hAnsi="Times New Roman" w:cs="Times New Roman"/>
          <w:sz w:val="24"/>
          <w:szCs w:val="24"/>
        </w:rPr>
        <w:t>166</w:t>
      </w:r>
      <w:r w:rsidR="0067454E" w:rsidRPr="00633F41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633F41">
        <w:rPr>
          <w:rFonts w:ascii="Times New Roman" w:hAnsi="Times New Roman" w:cs="Times New Roman"/>
          <w:sz w:val="24"/>
          <w:szCs w:val="24"/>
        </w:rPr>
        <w:t>ofert</w:t>
      </w:r>
      <w:r w:rsidRPr="00633F41">
        <w:rPr>
          <w:rFonts w:ascii="Times New Roman" w:hAnsi="Times New Roman" w:cs="Times New Roman"/>
          <w:sz w:val="24"/>
          <w:szCs w:val="24"/>
        </w:rPr>
        <w:t>,</w:t>
      </w:r>
      <w:r w:rsidR="00C71750" w:rsidRPr="00633F41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633F41">
        <w:rPr>
          <w:rFonts w:ascii="Times New Roman" w:hAnsi="Times New Roman" w:cs="Times New Roman"/>
          <w:sz w:val="24"/>
          <w:szCs w:val="24"/>
        </w:rPr>
        <w:t xml:space="preserve">tj. </w:t>
      </w:r>
      <w:r w:rsidR="00DC246C" w:rsidRPr="00633F41">
        <w:rPr>
          <w:rFonts w:ascii="Times New Roman" w:hAnsi="Times New Roman" w:cs="Times New Roman"/>
          <w:sz w:val="24"/>
          <w:szCs w:val="24"/>
        </w:rPr>
        <w:t>0</w:t>
      </w:r>
      <w:r w:rsidR="0067454E" w:rsidRPr="00633F41">
        <w:rPr>
          <w:rFonts w:ascii="Times New Roman" w:hAnsi="Times New Roman" w:cs="Times New Roman"/>
          <w:sz w:val="24"/>
          <w:szCs w:val="24"/>
        </w:rPr>
        <w:t>,</w:t>
      </w:r>
      <w:r w:rsidRPr="00633F41">
        <w:rPr>
          <w:rFonts w:ascii="Times New Roman" w:hAnsi="Times New Roman" w:cs="Times New Roman"/>
          <w:sz w:val="24"/>
          <w:szCs w:val="24"/>
        </w:rPr>
        <w:t>2</w:t>
      </w:r>
      <w:r w:rsidR="0067454E" w:rsidRPr="00633F41">
        <w:rPr>
          <w:rFonts w:ascii="Times New Roman" w:hAnsi="Times New Roman" w:cs="Times New Roman"/>
          <w:sz w:val="24"/>
          <w:szCs w:val="24"/>
        </w:rPr>
        <w:t xml:space="preserve">% </w:t>
      </w:r>
      <w:r w:rsidR="00DC2FC5" w:rsidRPr="00633F41">
        <w:rPr>
          <w:rFonts w:ascii="Times New Roman" w:hAnsi="Times New Roman" w:cs="Times New Roman"/>
          <w:sz w:val="24"/>
          <w:szCs w:val="24"/>
        </w:rPr>
        <w:t xml:space="preserve">spośród wszystkich </w:t>
      </w:r>
      <w:r w:rsidR="0067454E" w:rsidRPr="00633F41">
        <w:rPr>
          <w:rFonts w:ascii="Times New Roman" w:hAnsi="Times New Roman" w:cs="Times New Roman"/>
          <w:sz w:val="24"/>
          <w:szCs w:val="24"/>
        </w:rPr>
        <w:t xml:space="preserve">stanowiły oferty dla osób, którym nie upłynął okres 12 miesięcy od </w:t>
      </w:r>
      <w:r w:rsidR="008A7EA9" w:rsidRPr="00633F41">
        <w:rPr>
          <w:rFonts w:ascii="Times New Roman" w:hAnsi="Times New Roman" w:cs="Times New Roman"/>
          <w:sz w:val="24"/>
          <w:szCs w:val="24"/>
        </w:rPr>
        <w:t>dnia</w:t>
      </w:r>
      <w:r w:rsidR="0067454E" w:rsidRPr="00633F41">
        <w:rPr>
          <w:rFonts w:ascii="Times New Roman" w:hAnsi="Times New Roman" w:cs="Times New Roman"/>
          <w:sz w:val="24"/>
          <w:szCs w:val="24"/>
        </w:rPr>
        <w:t xml:space="preserve"> ukończenia nauki. </w:t>
      </w:r>
    </w:p>
    <w:p w:rsidR="005B76FF" w:rsidRPr="00E53ED5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3ED5">
        <w:rPr>
          <w:rFonts w:ascii="Times New Roman" w:hAnsi="Times New Roman" w:cs="Times New Roman"/>
          <w:sz w:val="24"/>
          <w:szCs w:val="24"/>
        </w:rPr>
        <w:t>Niewielka ilość wolnych miejsc pracy</w:t>
      </w:r>
      <w:r w:rsidR="008B5DD7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E53ED5">
        <w:rPr>
          <w:rFonts w:ascii="Times New Roman" w:hAnsi="Times New Roman" w:cs="Times New Roman"/>
          <w:sz w:val="24"/>
          <w:szCs w:val="24"/>
        </w:rPr>
        <w:t>i</w:t>
      </w:r>
      <w:r w:rsidR="008B5DD7">
        <w:rPr>
          <w:rFonts w:ascii="Times New Roman" w:hAnsi="Times New Roman" w:cs="Times New Roman"/>
          <w:sz w:val="24"/>
          <w:szCs w:val="24"/>
        </w:rPr>
        <w:t xml:space="preserve"> miejsc </w:t>
      </w:r>
      <w:r w:rsidRPr="00E53ED5">
        <w:rPr>
          <w:rFonts w:ascii="Times New Roman" w:hAnsi="Times New Roman" w:cs="Times New Roman"/>
          <w:sz w:val="24"/>
          <w:szCs w:val="24"/>
        </w:rPr>
        <w:t>aktywizacji zawodowej dotyczyła</w:t>
      </w:r>
      <w:r w:rsidR="00633F41" w:rsidRPr="00E53ED5">
        <w:rPr>
          <w:rFonts w:ascii="Times New Roman" w:hAnsi="Times New Roman" w:cs="Times New Roman"/>
          <w:sz w:val="24"/>
          <w:szCs w:val="24"/>
        </w:rPr>
        <w:t xml:space="preserve"> </w:t>
      </w:r>
      <w:r w:rsidRPr="00E53ED5">
        <w:rPr>
          <w:rFonts w:ascii="Times New Roman" w:hAnsi="Times New Roman" w:cs="Times New Roman"/>
          <w:sz w:val="24"/>
          <w:szCs w:val="24"/>
        </w:rPr>
        <w:t xml:space="preserve">osób </w:t>
      </w:r>
      <w:r w:rsidR="00DC2FC5" w:rsidRPr="00E53ED5">
        <w:rPr>
          <w:rFonts w:ascii="Times New Roman" w:hAnsi="Times New Roman" w:cs="Times New Roman"/>
          <w:sz w:val="24"/>
          <w:szCs w:val="24"/>
        </w:rPr>
        <w:t>posiadających</w:t>
      </w:r>
      <w:r w:rsidRPr="00E53ED5">
        <w:rPr>
          <w:rFonts w:ascii="Times New Roman" w:hAnsi="Times New Roman" w:cs="Times New Roman"/>
          <w:sz w:val="24"/>
          <w:szCs w:val="24"/>
        </w:rPr>
        <w:t xml:space="preserve"> orzecz</w:t>
      </w:r>
      <w:r w:rsidR="00DC2FC5" w:rsidRPr="00E53ED5">
        <w:rPr>
          <w:rFonts w:ascii="Times New Roman" w:hAnsi="Times New Roman" w:cs="Times New Roman"/>
          <w:sz w:val="24"/>
          <w:szCs w:val="24"/>
        </w:rPr>
        <w:t>enie</w:t>
      </w:r>
      <w:r w:rsidR="00AE5712" w:rsidRPr="00E53ED5">
        <w:rPr>
          <w:rFonts w:ascii="Times New Roman" w:hAnsi="Times New Roman" w:cs="Times New Roman"/>
          <w:sz w:val="24"/>
          <w:szCs w:val="24"/>
        </w:rPr>
        <w:t xml:space="preserve"> o </w:t>
      </w:r>
      <w:r w:rsidRPr="00E53ED5">
        <w:rPr>
          <w:rFonts w:ascii="Times New Roman" w:hAnsi="Times New Roman" w:cs="Times New Roman"/>
          <w:sz w:val="24"/>
          <w:szCs w:val="24"/>
        </w:rPr>
        <w:t xml:space="preserve">niepełnosprawności, zdolnych jednocześnie do podjęcia pracy – </w:t>
      </w:r>
      <w:r w:rsidR="00633F41" w:rsidRPr="00E53ED5">
        <w:rPr>
          <w:rFonts w:ascii="Times New Roman" w:hAnsi="Times New Roman" w:cs="Times New Roman"/>
          <w:sz w:val="24"/>
          <w:szCs w:val="24"/>
        </w:rPr>
        <w:t>3</w:t>
      </w:r>
      <w:r w:rsidRPr="00E53ED5">
        <w:rPr>
          <w:rFonts w:ascii="Times New Roman" w:hAnsi="Times New Roman" w:cs="Times New Roman"/>
          <w:sz w:val="24"/>
          <w:szCs w:val="24"/>
        </w:rPr>
        <w:t xml:space="preserve"> </w:t>
      </w:r>
      <w:r w:rsidR="00633F41" w:rsidRPr="00E53ED5">
        <w:rPr>
          <w:rFonts w:ascii="Times New Roman" w:hAnsi="Times New Roman" w:cs="Times New Roman"/>
          <w:sz w:val="24"/>
          <w:szCs w:val="24"/>
        </w:rPr>
        <w:t>255</w:t>
      </w:r>
      <w:r w:rsidRPr="00E53ED5">
        <w:rPr>
          <w:rFonts w:ascii="Times New Roman" w:hAnsi="Times New Roman" w:cs="Times New Roman"/>
          <w:sz w:val="24"/>
          <w:szCs w:val="24"/>
        </w:rPr>
        <w:t xml:space="preserve"> ofert</w:t>
      </w:r>
      <w:r w:rsidR="001B5D0B" w:rsidRPr="00E53ED5">
        <w:rPr>
          <w:rFonts w:ascii="Times New Roman" w:hAnsi="Times New Roman" w:cs="Times New Roman"/>
          <w:sz w:val="24"/>
          <w:szCs w:val="24"/>
        </w:rPr>
        <w:t>,</w:t>
      </w:r>
      <w:r w:rsidRPr="00E53ED5">
        <w:rPr>
          <w:rFonts w:ascii="Times New Roman" w:hAnsi="Times New Roman" w:cs="Times New Roman"/>
          <w:sz w:val="24"/>
          <w:szCs w:val="24"/>
        </w:rPr>
        <w:t xml:space="preserve"> tj. </w:t>
      </w:r>
      <w:r w:rsidR="00DC246C" w:rsidRPr="00E53ED5">
        <w:rPr>
          <w:rFonts w:ascii="Times New Roman" w:hAnsi="Times New Roman" w:cs="Times New Roman"/>
          <w:sz w:val="24"/>
          <w:szCs w:val="24"/>
        </w:rPr>
        <w:t>4</w:t>
      </w:r>
      <w:r w:rsidRPr="00E53ED5">
        <w:rPr>
          <w:rFonts w:ascii="Times New Roman" w:hAnsi="Times New Roman" w:cs="Times New Roman"/>
          <w:sz w:val="24"/>
          <w:szCs w:val="24"/>
        </w:rPr>
        <w:t>,</w:t>
      </w:r>
      <w:r w:rsidR="00E53ED5" w:rsidRPr="00E53ED5">
        <w:rPr>
          <w:rFonts w:ascii="Times New Roman" w:hAnsi="Times New Roman" w:cs="Times New Roman"/>
          <w:sz w:val="24"/>
          <w:szCs w:val="24"/>
        </w:rPr>
        <w:t>5</w:t>
      </w:r>
      <w:r w:rsidRPr="00E53ED5">
        <w:rPr>
          <w:rFonts w:ascii="Times New Roman" w:hAnsi="Times New Roman" w:cs="Times New Roman"/>
          <w:sz w:val="24"/>
          <w:szCs w:val="24"/>
        </w:rPr>
        <w:t xml:space="preserve">% </w:t>
      </w:r>
      <w:r w:rsidR="00772F51" w:rsidRPr="00E53ED5">
        <w:rPr>
          <w:rFonts w:ascii="Times New Roman" w:hAnsi="Times New Roman" w:cs="Times New Roman"/>
          <w:sz w:val="24"/>
          <w:szCs w:val="24"/>
        </w:rPr>
        <w:t>wszystkich</w:t>
      </w:r>
      <w:r w:rsidRPr="00E53ED5">
        <w:rPr>
          <w:rFonts w:ascii="Times New Roman" w:hAnsi="Times New Roman" w:cs="Times New Roman"/>
          <w:sz w:val="24"/>
          <w:szCs w:val="24"/>
        </w:rPr>
        <w:t>.</w:t>
      </w:r>
    </w:p>
    <w:p w:rsidR="00894E04" w:rsidRPr="00AE265F" w:rsidRDefault="005B76FF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5F">
        <w:rPr>
          <w:rFonts w:ascii="Times New Roman" w:hAnsi="Times New Roman" w:cs="Times New Roman"/>
          <w:sz w:val="24"/>
          <w:szCs w:val="24"/>
        </w:rPr>
        <w:t xml:space="preserve">Istnieje </w:t>
      </w:r>
      <w:r w:rsidR="0067454E" w:rsidRPr="00AE265F">
        <w:rPr>
          <w:rFonts w:ascii="Times New Roman" w:hAnsi="Times New Roman" w:cs="Times New Roman"/>
          <w:sz w:val="24"/>
          <w:szCs w:val="24"/>
        </w:rPr>
        <w:t>znaczne zróżnicowanie przestrzenne ilości ofert zgłaszanych do publicznego pośrednictwa pracy</w:t>
      </w:r>
      <w:r w:rsidR="00AE265F" w:rsidRPr="00AE265F">
        <w:rPr>
          <w:rFonts w:ascii="Times New Roman" w:hAnsi="Times New Roman" w:cs="Times New Roman"/>
          <w:sz w:val="24"/>
          <w:szCs w:val="24"/>
        </w:rPr>
        <w:t xml:space="preserve"> – </w:t>
      </w:r>
      <w:r w:rsidR="00AE5712" w:rsidRPr="00AE265F">
        <w:rPr>
          <w:rFonts w:ascii="Times New Roman" w:hAnsi="Times New Roman" w:cs="Times New Roman"/>
          <w:sz w:val="24"/>
          <w:szCs w:val="24"/>
        </w:rPr>
        <w:t>w 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="004C2845" w:rsidRPr="00AE265F">
        <w:rPr>
          <w:rFonts w:ascii="Times New Roman" w:hAnsi="Times New Roman" w:cs="Times New Roman"/>
          <w:sz w:val="24"/>
          <w:szCs w:val="24"/>
        </w:rPr>
        <w:t>powiatach</w:t>
      </w:r>
      <w:r w:rsidR="0067454E" w:rsidRPr="00AE265F">
        <w:rPr>
          <w:rFonts w:ascii="Times New Roman" w:hAnsi="Times New Roman" w:cs="Times New Roman"/>
          <w:sz w:val="24"/>
          <w:szCs w:val="24"/>
        </w:rPr>
        <w:t>.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AE265F">
        <w:rPr>
          <w:rFonts w:ascii="Times New Roman" w:hAnsi="Times New Roman" w:cs="Times New Roman"/>
          <w:sz w:val="24"/>
          <w:szCs w:val="24"/>
        </w:rPr>
        <w:t>W</w:t>
      </w:r>
      <w:r w:rsidR="00AE5712" w:rsidRPr="00AE265F">
        <w:rPr>
          <w:rFonts w:ascii="Times New Roman" w:hAnsi="Times New Roman" w:cs="Times New Roman"/>
          <w:sz w:val="24"/>
          <w:szCs w:val="24"/>
        </w:rPr>
        <w:t> </w:t>
      </w:r>
      <w:r w:rsidR="0067454E" w:rsidRPr="00AE265F">
        <w:rPr>
          <w:rFonts w:ascii="Times New Roman" w:hAnsi="Times New Roman" w:cs="Times New Roman"/>
          <w:sz w:val="24"/>
          <w:szCs w:val="24"/>
        </w:rPr>
        <w:t>201</w:t>
      </w:r>
      <w:r w:rsidR="008B5DD7" w:rsidRPr="00AE265F">
        <w:rPr>
          <w:rFonts w:ascii="Times New Roman" w:hAnsi="Times New Roman" w:cs="Times New Roman"/>
          <w:sz w:val="24"/>
          <w:szCs w:val="24"/>
        </w:rPr>
        <w:t>6</w:t>
      </w:r>
      <w:r w:rsidR="00AE5712" w:rsidRPr="00AE265F">
        <w:rPr>
          <w:rFonts w:ascii="Times New Roman" w:hAnsi="Times New Roman" w:cs="Times New Roman"/>
          <w:sz w:val="24"/>
          <w:szCs w:val="24"/>
        </w:rPr>
        <w:t> r.</w:t>
      </w:r>
      <w:r w:rsidR="008B5DD7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AE265F">
        <w:rPr>
          <w:rFonts w:ascii="Times New Roman" w:hAnsi="Times New Roman" w:cs="Times New Roman"/>
          <w:sz w:val="24"/>
          <w:szCs w:val="24"/>
        </w:rPr>
        <w:t>w</w:t>
      </w:r>
      <w:r w:rsidR="008B5DD7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większości </w:t>
      </w:r>
      <w:r w:rsidR="00E57565" w:rsidRPr="00AE265F">
        <w:rPr>
          <w:rFonts w:ascii="Times New Roman" w:hAnsi="Times New Roman" w:cs="Times New Roman"/>
          <w:sz w:val="24"/>
          <w:szCs w:val="24"/>
        </w:rPr>
        <w:t xml:space="preserve">urzędów pracy </w:t>
      </w:r>
      <w:r w:rsidR="0067454E" w:rsidRPr="00AE265F">
        <w:rPr>
          <w:rFonts w:ascii="Times New Roman" w:hAnsi="Times New Roman" w:cs="Times New Roman"/>
          <w:sz w:val="24"/>
          <w:szCs w:val="24"/>
        </w:rPr>
        <w:t>wzrost liczby wolnych miejsc pracy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4C2845" w:rsidRPr="00AE265F">
        <w:rPr>
          <w:rFonts w:ascii="Times New Roman" w:hAnsi="Times New Roman" w:cs="Times New Roman"/>
          <w:sz w:val="24"/>
          <w:szCs w:val="24"/>
        </w:rPr>
        <w:t xml:space="preserve">lub 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miejsc aktywizacji zawodowej dotyczył </w:t>
      </w:r>
      <w:r w:rsidR="00894E04" w:rsidRPr="00AE265F">
        <w:rPr>
          <w:rFonts w:ascii="Times New Roman" w:hAnsi="Times New Roman" w:cs="Times New Roman"/>
          <w:sz w:val="24"/>
          <w:szCs w:val="24"/>
        </w:rPr>
        <w:t>19</w:t>
      </w:r>
      <w:r w:rsidR="004C2845" w:rsidRPr="00AE265F">
        <w:rPr>
          <w:rFonts w:ascii="Times New Roman" w:hAnsi="Times New Roman" w:cs="Times New Roman"/>
          <w:sz w:val="24"/>
          <w:szCs w:val="24"/>
        </w:rPr>
        <w:t> </w:t>
      </w:r>
      <w:r w:rsidR="0067454E" w:rsidRPr="00AE265F">
        <w:rPr>
          <w:rFonts w:ascii="Times New Roman" w:hAnsi="Times New Roman" w:cs="Times New Roman"/>
          <w:sz w:val="24"/>
          <w:szCs w:val="24"/>
        </w:rPr>
        <w:t>powiatów lub miast na prawach powiatów.</w:t>
      </w:r>
      <w:r w:rsidR="004C2845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Największy wzrost ofert zatrudnienia lub </w:t>
      </w:r>
      <w:r w:rsidR="00EB583F" w:rsidRPr="00AE265F">
        <w:rPr>
          <w:rFonts w:ascii="Times New Roman" w:hAnsi="Times New Roman" w:cs="Times New Roman"/>
          <w:sz w:val="24"/>
          <w:szCs w:val="24"/>
        </w:rPr>
        <w:t xml:space="preserve">miejsc </w:t>
      </w:r>
      <w:r w:rsidR="0067454E" w:rsidRPr="00AE265F">
        <w:rPr>
          <w:rFonts w:ascii="Times New Roman" w:hAnsi="Times New Roman" w:cs="Times New Roman"/>
          <w:sz w:val="24"/>
          <w:szCs w:val="24"/>
        </w:rPr>
        <w:t>aktywizacji zawodowej nastąpił w:</w:t>
      </w:r>
      <w:r w:rsidR="001B5D0B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9E0E7C" w:rsidRPr="00AE265F">
        <w:rPr>
          <w:rFonts w:ascii="Times New Roman" w:hAnsi="Times New Roman" w:cs="Times New Roman"/>
          <w:sz w:val="24"/>
          <w:szCs w:val="24"/>
        </w:rPr>
        <w:t xml:space="preserve">powiecie </w:t>
      </w:r>
      <w:r w:rsidR="00894E04" w:rsidRPr="00AE265F">
        <w:rPr>
          <w:rFonts w:ascii="Times New Roman" w:hAnsi="Times New Roman" w:cs="Times New Roman"/>
          <w:sz w:val="24"/>
          <w:szCs w:val="24"/>
        </w:rPr>
        <w:t>mieleckim</w:t>
      </w:r>
      <w:r w:rsidR="009E0E7C" w:rsidRPr="00AE265F">
        <w:rPr>
          <w:rFonts w:ascii="Times New Roman" w:hAnsi="Times New Roman" w:cs="Times New Roman"/>
          <w:sz w:val="24"/>
          <w:szCs w:val="24"/>
        </w:rPr>
        <w:t xml:space="preserve"> – </w:t>
      </w:r>
      <w:r w:rsidR="0067454E" w:rsidRPr="00AE265F">
        <w:rPr>
          <w:rFonts w:ascii="Times New Roman" w:hAnsi="Times New Roman" w:cs="Times New Roman"/>
          <w:sz w:val="24"/>
          <w:szCs w:val="24"/>
        </w:rPr>
        <w:t>wzrost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o </w:t>
      </w:r>
      <w:r w:rsidR="00894E04" w:rsidRPr="00AE265F">
        <w:rPr>
          <w:rFonts w:ascii="Times New Roman" w:hAnsi="Times New Roman" w:cs="Times New Roman"/>
          <w:sz w:val="24"/>
          <w:szCs w:val="24"/>
        </w:rPr>
        <w:t>3 280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aktywizacji zawodowej, </w:t>
      </w:r>
      <w:r w:rsidR="00894E04" w:rsidRPr="00AE265F">
        <w:rPr>
          <w:rFonts w:ascii="Times New Roman" w:hAnsi="Times New Roman" w:cs="Times New Roman"/>
          <w:sz w:val="24"/>
          <w:szCs w:val="24"/>
        </w:rPr>
        <w:t xml:space="preserve">m. Rzeszowie </w:t>
      </w:r>
      <w:r w:rsidR="00971601" w:rsidRPr="00AE265F">
        <w:rPr>
          <w:rFonts w:ascii="Times New Roman" w:hAnsi="Times New Roman" w:cs="Times New Roman"/>
          <w:sz w:val="24"/>
          <w:szCs w:val="24"/>
        </w:rPr>
        <w:t xml:space="preserve">– </w:t>
      </w:r>
      <w:r w:rsidR="00894E04" w:rsidRPr="00AE265F">
        <w:rPr>
          <w:rFonts w:ascii="Times New Roman" w:hAnsi="Times New Roman" w:cs="Times New Roman"/>
          <w:sz w:val="24"/>
          <w:szCs w:val="24"/>
        </w:rPr>
        <w:t>2 906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, </w:t>
      </w:r>
      <w:r w:rsidR="00894E04" w:rsidRPr="00AE265F">
        <w:rPr>
          <w:rFonts w:ascii="Times New Roman" w:hAnsi="Times New Roman" w:cs="Times New Roman"/>
          <w:sz w:val="24"/>
          <w:szCs w:val="24"/>
        </w:rPr>
        <w:t xml:space="preserve">powiecie jarosławskim – </w:t>
      </w:r>
      <w:r w:rsidR="00971601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894E04" w:rsidRPr="00AE265F">
        <w:rPr>
          <w:rFonts w:ascii="Times New Roman" w:hAnsi="Times New Roman" w:cs="Times New Roman"/>
          <w:sz w:val="24"/>
          <w:szCs w:val="24"/>
        </w:rPr>
        <w:t>904 i rzeszowskim (845),</w:t>
      </w:r>
    </w:p>
    <w:p w:rsidR="00A05D18" w:rsidRPr="00D84F48" w:rsidRDefault="00D84F48" w:rsidP="001B5D0B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4F48">
        <w:rPr>
          <w:rFonts w:ascii="Times New Roman" w:hAnsi="Times New Roman" w:cs="Times New Roman"/>
          <w:sz w:val="24"/>
          <w:szCs w:val="24"/>
        </w:rPr>
        <w:t>Niskie s</w:t>
      </w:r>
      <w:r w:rsidR="00971601" w:rsidRPr="00D84F48">
        <w:rPr>
          <w:rFonts w:ascii="Times New Roman" w:hAnsi="Times New Roman" w:cs="Times New Roman"/>
          <w:sz w:val="24"/>
          <w:szCs w:val="24"/>
        </w:rPr>
        <w:t>padki odnotowano</w:t>
      </w:r>
      <w:r w:rsidR="00AE5712" w:rsidRPr="00D84F48">
        <w:rPr>
          <w:rFonts w:ascii="Times New Roman" w:hAnsi="Times New Roman" w:cs="Times New Roman"/>
          <w:sz w:val="24"/>
          <w:szCs w:val="24"/>
        </w:rPr>
        <w:t xml:space="preserve"> w </w:t>
      </w:r>
      <w:r w:rsidR="00894E04" w:rsidRPr="00D84F48">
        <w:rPr>
          <w:rFonts w:ascii="Times New Roman" w:hAnsi="Times New Roman" w:cs="Times New Roman"/>
          <w:sz w:val="24"/>
          <w:szCs w:val="24"/>
        </w:rPr>
        <w:t>6</w:t>
      </w:r>
      <w:r w:rsidR="00971601" w:rsidRPr="00D84F48">
        <w:rPr>
          <w:rFonts w:ascii="Times New Roman" w:hAnsi="Times New Roman" w:cs="Times New Roman"/>
          <w:sz w:val="24"/>
          <w:szCs w:val="24"/>
        </w:rPr>
        <w:t xml:space="preserve"> powiatach</w:t>
      </w:r>
      <w:r w:rsidR="00772F51" w:rsidRPr="00D84F48">
        <w:rPr>
          <w:rFonts w:ascii="Times New Roman" w:hAnsi="Times New Roman" w:cs="Times New Roman"/>
          <w:sz w:val="24"/>
          <w:szCs w:val="24"/>
        </w:rPr>
        <w:t>,</w:t>
      </w:r>
      <w:r w:rsidR="00AE5712" w:rsidRPr="00D84F48">
        <w:rPr>
          <w:rFonts w:ascii="Times New Roman" w:hAnsi="Times New Roman" w:cs="Times New Roman"/>
          <w:sz w:val="24"/>
          <w:szCs w:val="24"/>
        </w:rPr>
        <w:t xml:space="preserve"> w </w:t>
      </w:r>
      <w:r w:rsidR="00935270" w:rsidRPr="00D84F48">
        <w:rPr>
          <w:rFonts w:ascii="Times New Roman" w:hAnsi="Times New Roman" w:cs="Times New Roman"/>
          <w:sz w:val="24"/>
          <w:szCs w:val="24"/>
        </w:rPr>
        <w:t>tym największe w</w:t>
      </w:r>
      <w:r w:rsidR="001B5D0B" w:rsidRPr="00D84F48">
        <w:rPr>
          <w:rFonts w:ascii="Times New Roman" w:hAnsi="Times New Roman" w:cs="Times New Roman"/>
          <w:sz w:val="24"/>
          <w:szCs w:val="24"/>
        </w:rPr>
        <w:t xml:space="preserve">: </w:t>
      </w:r>
      <w:r w:rsidRPr="00D84F48">
        <w:rPr>
          <w:rFonts w:ascii="Times New Roman" w:hAnsi="Times New Roman" w:cs="Times New Roman"/>
          <w:sz w:val="24"/>
          <w:szCs w:val="24"/>
        </w:rPr>
        <w:t xml:space="preserve">powiecie tarnobrzeskim </w:t>
      </w:r>
      <w:r w:rsidR="00A05D18" w:rsidRPr="00D84F48">
        <w:rPr>
          <w:rFonts w:ascii="Times New Roman" w:hAnsi="Times New Roman" w:cs="Times New Roman"/>
          <w:sz w:val="24"/>
          <w:szCs w:val="24"/>
        </w:rPr>
        <w:t>–</w:t>
      </w:r>
      <w:r w:rsidRPr="00D84F48">
        <w:rPr>
          <w:rFonts w:ascii="Times New Roman" w:hAnsi="Times New Roman" w:cs="Times New Roman"/>
          <w:sz w:val="24"/>
          <w:szCs w:val="24"/>
        </w:rPr>
        <w:t xml:space="preserve"> </w:t>
      </w:r>
      <w:r w:rsidR="00A05D18" w:rsidRPr="00D84F48">
        <w:rPr>
          <w:rFonts w:ascii="Times New Roman" w:hAnsi="Times New Roman" w:cs="Times New Roman"/>
          <w:sz w:val="24"/>
          <w:szCs w:val="24"/>
        </w:rPr>
        <w:t>spadek</w:t>
      </w:r>
      <w:r w:rsidR="00AE5712" w:rsidRPr="00D84F48">
        <w:rPr>
          <w:rFonts w:ascii="Times New Roman" w:hAnsi="Times New Roman" w:cs="Times New Roman"/>
          <w:sz w:val="24"/>
          <w:szCs w:val="24"/>
        </w:rPr>
        <w:t xml:space="preserve"> o </w:t>
      </w:r>
      <w:r w:rsidRPr="00D84F48">
        <w:rPr>
          <w:rFonts w:ascii="Times New Roman" w:hAnsi="Times New Roman" w:cs="Times New Roman"/>
          <w:sz w:val="24"/>
          <w:szCs w:val="24"/>
        </w:rPr>
        <w:t>234</w:t>
      </w:r>
      <w:r w:rsidR="00A05D18" w:rsidRPr="00D84F48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D84F48">
        <w:rPr>
          <w:rFonts w:ascii="Times New Roman" w:hAnsi="Times New Roman" w:cs="Times New Roman"/>
          <w:sz w:val="24"/>
          <w:szCs w:val="24"/>
        </w:rPr>
        <w:t xml:space="preserve"> i </w:t>
      </w:r>
      <w:r w:rsidR="00A05D18" w:rsidRPr="00D84F48">
        <w:rPr>
          <w:rFonts w:ascii="Times New Roman" w:hAnsi="Times New Roman" w:cs="Times New Roman"/>
          <w:sz w:val="24"/>
          <w:szCs w:val="24"/>
        </w:rPr>
        <w:t>miejsc aktywizacji zawodowej,</w:t>
      </w:r>
      <w:r w:rsidRPr="00D84F48">
        <w:rPr>
          <w:rFonts w:ascii="Times New Roman" w:hAnsi="Times New Roman" w:cs="Times New Roman"/>
          <w:sz w:val="24"/>
          <w:szCs w:val="24"/>
        </w:rPr>
        <w:t xml:space="preserve"> </w:t>
      </w:r>
      <w:r w:rsidR="00A05D18" w:rsidRPr="00D84F48">
        <w:rPr>
          <w:rFonts w:ascii="Times New Roman" w:hAnsi="Times New Roman" w:cs="Times New Roman"/>
          <w:sz w:val="24"/>
          <w:szCs w:val="24"/>
        </w:rPr>
        <w:t xml:space="preserve">powiecie </w:t>
      </w:r>
      <w:r w:rsidRPr="00D84F48">
        <w:rPr>
          <w:rFonts w:ascii="Times New Roman" w:hAnsi="Times New Roman" w:cs="Times New Roman"/>
          <w:sz w:val="24"/>
          <w:szCs w:val="24"/>
        </w:rPr>
        <w:t xml:space="preserve">stalowowolskim </w:t>
      </w:r>
      <w:r w:rsidR="00A05D18" w:rsidRPr="00D84F48">
        <w:rPr>
          <w:rFonts w:ascii="Times New Roman" w:hAnsi="Times New Roman" w:cs="Times New Roman"/>
          <w:sz w:val="24"/>
          <w:szCs w:val="24"/>
        </w:rPr>
        <w:t xml:space="preserve">– </w:t>
      </w:r>
      <w:r w:rsidRPr="00D84F48">
        <w:rPr>
          <w:rFonts w:ascii="Times New Roman" w:hAnsi="Times New Roman" w:cs="Times New Roman"/>
          <w:sz w:val="24"/>
          <w:szCs w:val="24"/>
        </w:rPr>
        <w:t>154 oraz</w:t>
      </w:r>
      <w:r w:rsidR="001B5D0B" w:rsidRPr="00D84F48">
        <w:rPr>
          <w:rFonts w:ascii="Times New Roman" w:hAnsi="Times New Roman" w:cs="Times New Roman"/>
          <w:sz w:val="24"/>
          <w:szCs w:val="24"/>
        </w:rPr>
        <w:t xml:space="preserve"> </w:t>
      </w:r>
      <w:r w:rsidR="0091033A" w:rsidRPr="00D84F48">
        <w:rPr>
          <w:rFonts w:ascii="Times New Roman" w:hAnsi="Times New Roman" w:cs="Times New Roman"/>
          <w:sz w:val="24"/>
          <w:szCs w:val="24"/>
        </w:rPr>
        <w:t xml:space="preserve">m. </w:t>
      </w:r>
      <w:r w:rsidRPr="00D84F48">
        <w:rPr>
          <w:rFonts w:ascii="Times New Roman" w:hAnsi="Times New Roman" w:cs="Times New Roman"/>
          <w:sz w:val="24"/>
          <w:szCs w:val="24"/>
        </w:rPr>
        <w:t xml:space="preserve">Tarnobrzegu </w:t>
      </w:r>
      <w:r w:rsidR="0091033A" w:rsidRPr="00D84F48">
        <w:rPr>
          <w:rFonts w:ascii="Times New Roman" w:hAnsi="Times New Roman" w:cs="Times New Roman"/>
          <w:sz w:val="24"/>
          <w:szCs w:val="24"/>
        </w:rPr>
        <w:t xml:space="preserve">– </w:t>
      </w:r>
      <w:r w:rsidRPr="00D84F48">
        <w:rPr>
          <w:rFonts w:ascii="Times New Roman" w:hAnsi="Times New Roman" w:cs="Times New Roman"/>
          <w:sz w:val="24"/>
          <w:szCs w:val="24"/>
        </w:rPr>
        <w:t>128</w:t>
      </w:r>
      <w:r w:rsidR="0091033A" w:rsidRPr="00D84F48">
        <w:rPr>
          <w:rFonts w:ascii="Times New Roman" w:hAnsi="Times New Roman" w:cs="Times New Roman"/>
          <w:sz w:val="24"/>
          <w:szCs w:val="24"/>
        </w:rPr>
        <w:t>.</w:t>
      </w:r>
    </w:p>
    <w:p w:rsidR="0045693A" w:rsidRPr="00AE265F" w:rsidRDefault="009B465D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65F">
        <w:rPr>
          <w:rFonts w:ascii="Times New Roman" w:hAnsi="Times New Roman" w:cs="Times New Roman"/>
          <w:sz w:val="24"/>
          <w:szCs w:val="24"/>
        </w:rPr>
        <w:t>Nominalnie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w </w:t>
      </w:r>
      <w:r w:rsidRPr="00AE265F">
        <w:rPr>
          <w:rFonts w:ascii="Times New Roman" w:hAnsi="Times New Roman" w:cs="Times New Roman"/>
          <w:sz w:val="24"/>
          <w:szCs w:val="24"/>
        </w:rPr>
        <w:t xml:space="preserve">okresie </w:t>
      </w:r>
      <w:r w:rsidR="000177FF" w:rsidRPr="00AE265F">
        <w:rPr>
          <w:rFonts w:ascii="Times New Roman" w:hAnsi="Times New Roman" w:cs="Times New Roman"/>
          <w:sz w:val="24"/>
          <w:szCs w:val="24"/>
        </w:rPr>
        <w:t>‘</w:t>
      </w:r>
      <w:r w:rsidR="0067454E" w:rsidRPr="00AE265F">
        <w:rPr>
          <w:rFonts w:ascii="Times New Roman" w:hAnsi="Times New Roman" w:cs="Times New Roman"/>
          <w:sz w:val="24"/>
          <w:szCs w:val="24"/>
        </w:rPr>
        <w:t>1</w:t>
      </w:r>
      <w:r w:rsidR="000644BF" w:rsidRPr="00AE265F">
        <w:rPr>
          <w:rFonts w:ascii="Times New Roman" w:hAnsi="Times New Roman" w:cs="Times New Roman"/>
          <w:sz w:val="24"/>
          <w:szCs w:val="24"/>
        </w:rPr>
        <w:t>6</w:t>
      </w:r>
      <w:r w:rsidR="00AE5712" w:rsidRPr="00AE265F">
        <w:rPr>
          <w:rFonts w:ascii="Times New Roman" w:hAnsi="Times New Roman" w:cs="Times New Roman"/>
          <w:sz w:val="24"/>
          <w:szCs w:val="24"/>
        </w:rPr>
        <w:t> r.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 najwięcej wolnych miejsc pracy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AE265F">
        <w:rPr>
          <w:rFonts w:ascii="Times New Roman" w:hAnsi="Times New Roman" w:cs="Times New Roman"/>
          <w:sz w:val="24"/>
          <w:szCs w:val="24"/>
        </w:rPr>
        <w:t>miejsc aktywizacji zawodowej zgłosili pracodawcy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z 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terenu następujących powiatów </w:t>
      </w:r>
      <w:r w:rsidR="00AE265F">
        <w:rPr>
          <w:rFonts w:ascii="Times New Roman" w:hAnsi="Times New Roman" w:cs="Times New Roman"/>
          <w:sz w:val="24"/>
          <w:szCs w:val="24"/>
        </w:rPr>
        <w:t>(</w:t>
      </w:r>
      <w:r w:rsidR="0067454E" w:rsidRPr="00AE265F">
        <w:rPr>
          <w:rFonts w:ascii="Times New Roman" w:hAnsi="Times New Roman" w:cs="Times New Roman"/>
          <w:sz w:val="24"/>
          <w:szCs w:val="24"/>
        </w:rPr>
        <w:t>lub miast na prawach powiatów</w:t>
      </w:r>
      <w:r w:rsidR="00AE265F">
        <w:rPr>
          <w:rFonts w:ascii="Times New Roman" w:hAnsi="Times New Roman" w:cs="Times New Roman"/>
          <w:sz w:val="24"/>
          <w:szCs w:val="24"/>
        </w:rPr>
        <w:t>)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: </w:t>
      </w:r>
      <w:r w:rsidR="00A677B5" w:rsidRPr="00AE265F">
        <w:rPr>
          <w:rFonts w:ascii="Times New Roman" w:hAnsi="Times New Roman" w:cs="Times New Roman"/>
          <w:sz w:val="24"/>
          <w:szCs w:val="24"/>
        </w:rPr>
        <w:t xml:space="preserve">m. 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Rzeszowa – </w:t>
      </w:r>
      <w:r w:rsidR="00A677B5" w:rsidRPr="00AE265F">
        <w:rPr>
          <w:rFonts w:ascii="Times New Roman" w:hAnsi="Times New Roman" w:cs="Times New Roman"/>
          <w:sz w:val="24"/>
          <w:szCs w:val="24"/>
        </w:rPr>
        <w:t>1</w:t>
      </w:r>
      <w:r w:rsidR="00AE265F">
        <w:rPr>
          <w:rFonts w:ascii="Times New Roman" w:hAnsi="Times New Roman" w:cs="Times New Roman"/>
          <w:sz w:val="24"/>
          <w:szCs w:val="24"/>
        </w:rPr>
        <w:t>2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AE265F">
        <w:rPr>
          <w:rFonts w:ascii="Times New Roman" w:hAnsi="Times New Roman" w:cs="Times New Roman"/>
          <w:sz w:val="24"/>
          <w:szCs w:val="24"/>
        </w:rPr>
        <w:t>921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AE265F">
        <w:rPr>
          <w:rFonts w:ascii="Times New Roman" w:hAnsi="Times New Roman" w:cs="Times New Roman"/>
          <w:sz w:val="24"/>
          <w:szCs w:val="24"/>
        </w:rPr>
        <w:t xml:space="preserve"> i </w:t>
      </w:r>
      <w:r w:rsidR="0067454E" w:rsidRPr="00AE265F">
        <w:rPr>
          <w:rFonts w:ascii="Times New Roman" w:hAnsi="Times New Roman" w:cs="Times New Roman"/>
          <w:sz w:val="24"/>
          <w:szCs w:val="24"/>
        </w:rPr>
        <w:t>miejsc aktywizacji zawodowej,</w:t>
      </w:r>
      <w:r w:rsidR="00AD036F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A677B5" w:rsidRPr="00AE265F">
        <w:rPr>
          <w:rFonts w:ascii="Times New Roman" w:hAnsi="Times New Roman" w:cs="Times New Roman"/>
          <w:sz w:val="24"/>
          <w:szCs w:val="24"/>
        </w:rPr>
        <w:t xml:space="preserve">powiatu 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mieleckiego – </w:t>
      </w:r>
      <w:r w:rsidR="00A55EC1">
        <w:rPr>
          <w:rFonts w:ascii="Times New Roman" w:hAnsi="Times New Roman" w:cs="Times New Roman"/>
          <w:sz w:val="24"/>
          <w:szCs w:val="24"/>
        </w:rPr>
        <w:t>8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 </w:t>
      </w:r>
      <w:r w:rsidR="00A55EC1">
        <w:rPr>
          <w:rFonts w:ascii="Times New Roman" w:hAnsi="Times New Roman" w:cs="Times New Roman"/>
          <w:sz w:val="24"/>
          <w:szCs w:val="24"/>
        </w:rPr>
        <w:t>249</w:t>
      </w:r>
      <w:r w:rsidR="0067454E" w:rsidRPr="00AE265F">
        <w:rPr>
          <w:rFonts w:ascii="Times New Roman" w:hAnsi="Times New Roman" w:cs="Times New Roman"/>
          <w:sz w:val="24"/>
          <w:szCs w:val="24"/>
        </w:rPr>
        <w:t xml:space="preserve">, </w:t>
      </w:r>
      <w:r w:rsidR="00772F51" w:rsidRPr="00AE265F">
        <w:rPr>
          <w:rFonts w:ascii="Times New Roman" w:hAnsi="Times New Roman" w:cs="Times New Roman"/>
          <w:sz w:val="24"/>
          <w:szCs w:val="24"/>
        </w:rPr>
        <w:t xml:space="preserve">powiatu </w:t>
      </w:r>
      <w:r w:rsidR="0091033A" w:rsidRPr="00AE265F">
        <w:rPr>
          <w:rFonts w:ascii="Times New Roman" w:hAnsi="Times New Roman" w:cs="Times New Roman"/>
          <w:sz w:val="24"/>
          <w:szCs w:val="24"/>
        </w:rPr>
        <w:t>dębickiego – 4 </w:t>
      </w:r>
      <w:r w:rsidR="00A55EC1">
        <w:rPr>
          <w:rFonts w:ascii="Times New Roman" w:hAnsi="Times New Roman" w:cs="Times New Roman"/>
          <w:sz w:val="24"/>
          <w:szCs w:val="24"/>
        </w:rPr>
        <w:t>780</w:t>
      </w:r>
      <w:r w:rsidR="0091033A" w:rsidRPr="00AE265F">
        <w:rPr>
          <w:rFonts w:ascii="Times New Roman" w:hAnsi="Times New Roman" w:cs="Times New Roman"/>
          <w:sz w:val="24"/>
          <w:szCs w:val="24"/>
        </w:rPr>
        <w:t>.</w:t>
      </w:r>
    </w:p>
    <w:p w:rsidR="0067454E" w:rsidRPr="00A55EC1" w:rsidRDefault="001B5D0B" w:rsidP="001B5D0B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77FF">
        <w:rPr>
          <w:rFonts w:ascii="Times New Roman" w:hAnsi="Times New Roman" w:cs="Times New Roman"/>
          <w:sz w:val="24"/>
          <w:szCs w:val="24"/>
        </w:rPr>
        <w:t>Najmniej zaś</w:t>
      </w:r>
      <w:r w:rsidR="00AE5712" w:rsidRPr="000177FF">
        <w:rPr>
          <w:rFonts w:ascii="Times New Roman" w:hAnsi="Times New Roman" w:cs="Times New Roman"/>
          <w:sz w:val="24"/>
          <w:szCs w:val="24"/>
        </w:rPr>
        <w:t xml:space="preserve"> z </w:t>
      </w:r>
      <w:r w:rsidRPr="000177FF">
        <w:rPr>
          <w:rFonts w:ascii="Times New Roman" w:hAnsi="Times New Roman" w:cs="Times New Roman"/>
          <w:sz w:val="24"/>
          <w:szCs w:val="24"/>
        </w:rPr>
        <w:t xml:space="preserve">powiatów: </w:t>
      </w:r>
      <w:r w:rsidR="00A55EC1" w:rsidRPr="00A55EC1">
        <w:rPr>
          <w:rFonts w:ascii="Times New Roman" w:hAnsi="Times New Roman" w:cs="Times New Roman"/>
          <w:sz w:val="24"/>
          <w:szCs w:val="24"/>
        </w:rPr>
        <w:t>leskiego</w:t>
      </w:r>
      <w:r w:rsidR="00970857" w:rsidRPr="00A55EC1">
        <w:rPr>
          <w:rFonts w:ascii="Times New Roman" w:hAnsi="Times New Roman" w:cs="Times New Roman"/>
          <w:sz w:val="24"/>
          <w:szCs w:val="24"/>
        </w:rPr>
        <w:t xml:space="preserve"> – 6</w:t>
      </w:r>
      <w:r w:rsidR="00A55EC1" w:rsidRPr="00A55EC1">
        <w:rPr>
          <w:rFonts w:ascii="Times New Roman" w:hAnsi="Times New Roman" w:cs="Times New Roman"/>
          <w:sz w:val="24"/>
          <w:szCs w:val="24"/>
        </w:rPr>
        <w:t>65</w:t>
      </w:r>
      <w:r w:rsidR="00970857" w:rsidRPr="00A55EC1">
        <w:rPr>
          <w:rFonts w:ascii="Times New Roman" w:hAnsi="Times New Roman" w:cs="Times New Roman"/>
          <w:sz w:val="24"/>
          <w:szCs w:val="24"/>
        </w:rPr>
        <w:t xml:space="preserve"> wolnych miejsc pracy</w:t>
      </w:r>
      <w:r w:rsidR="00AE5712" w:rsidRPr="00A55EC1">
        <w:rPr>
          <w:rFonts w:ascii="Times New Roman" w:hAnsi="Times New Roman" w:cs="Times New Roman"/>
          <w:sz w:val="24"/>
          <w:szCs w:val="24"/>
        </w:rPr>
        <w:t xml:space="preserve"> i</w:t>
      </w:r>
      <w:r w:rsidR="00AD036F" w:rsidRPr="00A55EC1">
        <w:rPr>
          <w:rFonts w:ascii="Times New Roman" w:hAnsi="Times New Roman" w:cs="Times New Roman"/>
          <w:sz w:val="24"/>
          <w:szCs w:val="24"/>
        </w:rPr>
        <w:t xml:space="preserve"> </w:t>
      </w:r>
      <w:r w:rsidR="00970857" w:rsidRPr="00A55EC1">
        <w:rPr>
          <w:rFonts w:ascii="Times New Roman" w:hAnsi="Times New Roman" w:cs="Times New Roman"/>
          <w:sz w:val="24"/>
          <w:szCs w:val="24"/>
        </w:rPr>
        <w:t xml:space="preserve">aktywizacji zawodowej, </w:t>
      </w:r>
      <w:r w:rsidR="00A55EC1" w:rsidRPr="00A55EC1">
        <w:rPr>
          <w:rFonts w:ascii="Times New Roman" w:hAnsi="Times New Roman" w:cs="Times New Roman"/>
          <w:sz w:val="24"/>
          <w:szCs w:val="24"/>
        </w:rPr>
        <w:t xml:space="preserve">bieszczadzkiego </w:t>
      </w:r>
      <w:r w:rsidR="0067454E" w:rsidRPr="00A55EC1">
        <w:rPr>
          <w:rFonts w:ascii="Times New Roman" w:hAnsi="Times New Roman" w:cs="Times New Roman"/>
          <w:sz w:val="24"/>
          <w:szCs w:val="24"/>
        </w:rPr>
        <w:t xml:space="preserve">– </w:t>
      </w:r>
      <w:r w:rsidR="00A55EC1" w:rsidRPr="00A55EC1">
        <w:rPr>
          <w:rFonts w:ascii="Times New Roman" w:hAnsi="Times New Roman" w:cs="Times New Roman"/>
          <w:sz w:val="24"/>
          <w:szCs w:val="24"/>
        </w:rPr>
        <w:t>704</w:t>
      </w:r>
      <w:r w:rsidR="0067454E" w:rsidRPr="00A55EC1">
        <w:rPr>
          <w:rFonts w:ascii="Times New Roman" w:hAnsi="Times New Roman" w:cs="Times New Roman"/>
          <w:sz w:val="24"/>
          <w:szCs w:val="24"/>
        </w:rPr>
        <w:t xml:space="preserve">, przemyskiego – </w:t>
      </w:r>
      <w:r w:rsidR="00A55EC1" w:rsidRPr="00A55EC1">
        <w:rPr>
          <w:rFonts w:ascii="Times New Roman" w:hAnsi="Times New Roman" w:cs="Times New Roman"/>
          <w:sz w:val="24"/>
          <w:szCs w:val="24"/>
        </w:rPr>
        <w:t>900</w:t>
      </w:r>
      <w:r w:rsidR="0091033A" w:rsidRPr="00A55EC1">
        <w:rPr>
          <w:rFonts w:ascii="Times New Roman" w:hAnsi="Times New Roman" w:cs="Times New Roman"/>
          <w:sz w:val="24"/>
          <w:szCs w:val="24"/>
        </w:rPr>
        <w:t>.</w:t>
      </w:r>
    </w:p>
    <w:p w:rsidR="00450DA8" w:rsidRPr="00866DE9" w:rsidRDefault="0067454E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DE9">
        <w:rPr>
          <w:rFonts w:ascii="Times New Roman" w:hAnsi="Times New Roman" w:cs="Times New Roman"/>
          <w:sz w:val="24"/>
          <w:szCs w:val="24"/>
        </w:rPr>
        <w:t>Wolne miejsca pracy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i </w:t>
      </w:r>
      <w:r w:rsidRPr="00866DE9">
        <w:rPr>
          <w:rFonts w:ascii="Times New Roman" w:hAnsi="Times New Roman" w:cs="Times New Roman"/>
          <w:sz w:val="24"/>
          <w:szCs w:val="24"/>
        </w:rPr>
        <w:t>miejsca aktywizacji zawodowej, które zostały subsydiowane ze środków Funduszu Pracy</w:t>
      </w:r>
      <w:r w:rsidR="00C71750" w:rsidRPr="00866DE9">
        <w:rPr>
          <w:rFonts w:ascii="Times New Roman" w:hAnsi="Times New Roman" w:cs="Times New Roman"/>
          <w:sz w:val="24"/>
          <w:szCs w:val="24"/>
        </w:rPr>
        <w:t>,</w:t>
      </w:r>
      <w:r w:rsidRPr="00866DE9">
        <w:rPr>
          <w:rFonts w:ascii="Times New Roman" w:hAnsi="Times New Roman" w:cs="Times New Roman"/>
          <w:sz w:val="24"/>
          <w:szCs w:val="24"/>
        </w:rPr>
        <w:t xml:space="preserve"> łagodziły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w </w:t>
      </w:r>
      <w:r w:rsidRPr="00866DE9">
        <w:rPr>
          <w:rFonts w:ascii="Times New Roman" w:hAnsi="Times New Roman" w:cs="Times New Roman"/>
          <w:sz w:val="24"/>
          <w:szCs w:val="24"/>
        </w:rPr>
        <w:t xml:space="preserve">pewnym </w:t>
      </w:r>
      <w:r w:rsidR="00C71750" w:rsidRPr="00866DE9">
        <w:rPr>
          <w:rFonts w:ascii="Times New Roman" w:hAnsi="Times New Roman" w:cs="Times New Roman"/>
          <w:sz w:val="24"/>
          <w:szCs w:val="24"/>
        </w:rPr>
        <w:t>zakresie,</w:t>
      </w:r>
      <w:r w:rsidRPr="00866DE9">
        <w:rPr>
          <w:rFonts w:ascii="Times New Roman" w:hAnsi="Times New Roman" w:cs="Times New Roman"/>
          <w:sz w:val="24"/>
          <w:szCs w:val="24"/>
        </w:rPr>
        <w:t xml:space="preserve"> trudną sytuację na </w:t>
      </w:r>
      <w:r w:rsidR="00450DA8" w:rsidRPr="00866DE9">
        <w:rPr>
          <w:rFonts w:ascii="Times New Roman" w:hAnsi="Times New Roman" w:cs="Times New Roman"/>
          <w:sz w:val="24"/>
          <w:szCs w:val="24"/>
        </w:rPr>
        <w:t xml:space="preserve">lokalnych </w:t>
      </w:r>
      <w:r w:rsidRPr="00866DE9">
        <w:rPr>
          <w:rFonts w:ascii="Times New Roman" w:hAnsi="Times New Roman" w:cs="Times New Roman"/>
          <w:sz w:val="24"/>
          <w:szCs w:val="24"/>
        </w:rPr>
        <w:t>rynk</w:t>
      </w:r>
      <w:r w:rsidR="00450DA8" w:rsidRPr="00866DE9">
        <w:rPr>
          <w:rFonts w:ascii="Times New Roman" w:hAnsi="Times New Roman" w:cs="Times New Roman"/>
          <w:sz w:val="24"/>
          <w:szCs w:val="24"/>
        </w:rPr>
        <w:t>ach</w:t>
      </w:r>
      <w:r w:rsidRPr="00866DE9">
        <w:rPr>
          <w:rFonts w:ascii="Times New Roman" w:hAnsi="Times New Roman" w:cs="Times New Roman"/>
          <w:sz w:val="24"/>
          <w:szCs w:val="24"/>
        </w:rPr>
        <w:t xml:space="preserve"> pracy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w </w:t>
      </w:r>
      <w:r w:rsidR="00450DA8" w:rsidRPr="00866DE9">
        <w:rPr>
          <w:rFonts w:ascii="Times New Roman" w:hAnsi="Times New Roman" w:cs="Times New Roman"/>
          <w:sz w:val="24"/>
          <w:szCs w:val="24"/>
        </w:rPr>
        <w:t xml:space="preserve">poszczególnych </w:t>
      </w:r>
      <w:r w:rsidRPr="00866DE9">
        <w:rPr>
          <w:rFonts w:ascii="Times New Roman" w:hAnsi="Times New Roman" w:cs="Times New Roman"/>
          <w:sz w:val="24"/>
          <w:szCs w:val="24"/>
        </w:rPr>
        <w:t>powiatach.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</w:t>
      </w:r>
      <w:r w:rsidR="00C71750" w:rsidRPr="00866DE9">
        <w:rPr>
          <w:rFonts w:ascii="Times New Roman" w:hAnsi="Times New Roman" w:cs="Times New Roman"/>
          <w:sz w:val="24"/>
          <w:szCs w:val="24"/>
        </w:rPr>
        <w:t>W</w:t>
      </w:r>
      <w:r w:rsidR="007120B2" w:rsidRPr="00866DE9">
        <w:rPr>
          <w:rFonts w:ascii="Times New Roman" w:hAnsi="Times New Roman" w:cs="Times New Roman"/>
          <w:sz w:val="24"/>
          <w:szCs w:val="24"/>
        </w:rPr>
        <w:t xml:space="preserve"> 20</w:t>
      </w:r>
      <w:r w:rsidRPr="00866DE9">
        <w:rPr>
          <w:rFonts w:ascii="Times New Roman" w:hAnsi="Times New Roman" w:cs="Times New Roman"/>
          <w:sz w:val="24"/>
          <w:szCs w:val="24"/>
        </w:rPr>
        <w:t>1</w:t>
      </w:r>
      <w:r w:rsidR="000177FF" w:rsidRPr="00866DE9">
        <w:rPr>
          <w:rFonts w:ascii="Times New Roman" w:hAnsi="Times New Roman" w:cs="Times New Roman"/>
          <w:sz w:val="24"/>
          <w:szCs w:val="24"/>
        </w:rPr>
        <w:t>6</w:t>
      </w:r>
      <w:r w:rsidR="007120B2" w:rsidRPr="00866DE9">
        <w:rPr>
          <w:rFonts w:ascii="Times New Roman" w:hAnsi="Times New Roman" w:cs="Times New Roman"/>
          <w:sz w:val="24"/>
          <w:szCs w:val="24"/>
        </w:rPr>
        <w:t xml:space="preserve"> </w:t>
      </w:r>
      <w:r w:rsidRPr="00866DE9">
        <w:rPr>
          <w:rFonts w:ascii="Times New Roman" w:hAnsi="Times New Roman" w:cs="Times New Roman"/>
          <w:sz w:val="24"/>
          <w:szCs w:val="24"/>
        </w:rPr>
        <w:t>r</w:t>
      </w:r>
      <w:r w:rsidR="007120B2" w:rsidRPr="00866DE9">
        <w:rPr>
          <w:rFonts w:ascii="Times New Roman" w:hAnsi="Times New Roman" w:cs="Times New Roman"/>
          <w:sz w:val="24"/>
          <w:szCs w:val="24"/>
        </w:rPr>
        <w:t>.</w:t>
      </w:r>
      <w:r w:rsidRPr="00866DE9">
        <w:rPr>
          <w:rFonts w:ascii="Times New Roman" w:hAnsi="Times New Roman" w:cs="Times New Roman"/>
          <w:sz w:val="24"/>
          <w:szCs w:val="24"/>
        </w:rPr>
        <w:t xml:space="preserve"> największy udział ofert subsydiowanych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w </w:t>
      </w:r>
      <w:r w:rsidRPr="00866DE9">
        <w:rPr>
          <w:rFonts w:ascii="Times New Roman" w:hAnsi="Times New Roman" w:cs="Times New Roman"/>
          <w:sz w:val="24"/>
          <w:szCs w:val="24"/>
        </w:rPr>
        <w:t>ogólnej liczbie wolnych miejsc pracy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i </w:t>
      </w:r>
      <w:r w:rsidRPr="00866DE9">
        <w:rPr>
          <w:rFonts w:ascii="Times New Roman" w:hAnsi="Times New Roman" w:cs="Times New Roman"/>
          <w:sz w:val="24"/>
          <w:szCs w:val="24"/>
        </w:rPr>
        <w:t>aktywizacji zawodowej odnotowano</w:t>
      </w:r>
      <w:r w:rsidR="00AE5712" w:rsidRPr="00866DE9">
        <w:rPr>
          <w:rFonts w:ascii="Times New Roman" w:hAnsi="Times New Roman" w:cs="Times New Roman"/>
          <w:sz w:val="24"/>
          <w:szCs w:val="24"/>
        </w:rPr>
        <w:t xml:space="preserve"> w </w:t>
      </w:r>
      <w:r w:rsidRPr="00866DE9">
        <w:rPr>
          <w:rFonts w:ascii="Times New Roman" w:hAnsi="Times New Roman" w:cs="Times New Roman"/>
          <w:sz w:val="24"/>
          <w:szCs w:val="24"/>
        </w:rPr>
        <w:t>powiatach: brzozowskim – 8</w:t>
      </w:r>
      <w:r w:rsidR="007120B2" w:rsidRPr="00866DE9">
        <w:rPr>
          <w:rFonts w:ascii="Times New Roman" w:hAnsi="Times New Roman" w:cs="Times New Roman"/>
          <w:sz w:val="24"/>
          <w:szCs w:val="24"/>
        </w:rPr>
        <w:t>2</w:t>
      </w:r>
      <w:r w:rsidRPr="00866DE9">
        <w:rPr>
          <w:rFonts w:ascii="Times New Roman" w:hAnsi="Times New Roman" w:cs="Times New Roman"/>
          <w:sz w:val="24"/>
          <w:szCs w:val="24"/>
        </w:rPr>
        <w:t>,</w:t>
      </w:r>
      <w:r w:rsidR="007120B2" w:rsidRPr="00866DE9">
        <w:rPr>
          <w:rFonts w:ascii="Times New Roman" w:hAnsi="Times New Roman" w:cs="Times New Roman"/>
          <w:sz w:val="24"/>
          <w:szCs w:val="24"/>
        </w:rPr>
        <w:t>9</w:t>
      </w:r>
      <w:r w:rsidRPr="00866DE9">
        <w:rPr>
          <w:rFonts w:ascii="Times New Roman" w:hAnsi="Times New Roman" w:cs="Times New Roman"/>
          <w:sz w:val="24"/>
          <w:szCs w:val="24"/>
        </w:rPr>
        <w:t xml:space="preserve">%, przemyskim – </w:t>
      </w:r>
      <w:r w:rsidR="00450DA8" w:rsidRPr="00866DE9">
        <w:rPr>
          <w:rFonts w:ascii="Times New Roman" w:hAnsi="Times New Roman" w:cs="Times New Roman"/>
          <w:sz w:val="24"/>
          <w:szCs w:val="24"/>
        </w:rPr>
        <w:t>7</w:t>
      </w:r>
      <w:r w:rsidR="00866DE9" w:rsidRPr="00866DE9">
        <w:rPr>
          <w:rFonts w:ascii="Times New Roman" w:hAnsi="Times New Roman" w:cs="Times New Roman"/>
          <w:sz w:val="24"/>
          <w:szCs w:val="24"/>
        </w:rPr>
        <w:t>7</w:t>
      </w:r>
      <w:r w:rsidRPr="00866DE9">
        <w:rPr>
          <w:rFonts w:ascii="Times New Roman" w:hAnsi="Times New Roman" w:cs="Times New Roman"/>
          <w:sz w:val="24"/>
          <w:szCs w:val="24"/>
        </w:rPr>
        <w:t>,</w:t>
      </w:r>
      <w:r w:rsidR="00866DE9" w:rsidRPr="00866DE9">
        <w:rPr>
          <w:rFonts w:ascii="Times New Roman" w:hAnsi="Times New Roman" w:cs="Times New Roman"/>
          <w:sz w:val="24"/>
          <w:szCs w:val="24"/>
        </w:rPr>
        <w:t>7</w:t>
      </w:r>
      <w:r w:rsidRPr="00866DE9">
        <w:rPr>
          <w:rFonts w:ascii="Times New Roman" w:hAnsi="Times New Roman" w:cs="Times New Roman"/>
          <w:sz w:val="24"/>
          <w:szCs w:val="24"/>
        </w:rPr>
        <w:t xml:space="preserve">%, </w:t>
      </w:r>
      <w:r w:rsidR="0091033A" w:rsidRPr="00866DE9">
        <w:rPr>
          <w:rFonts w:ascii="Times New Roman" w:hAnsi="Times New Roman" w:cs="Times New Roman"/>
          <w:sz w:val="24"/>
          <w:szCs w:val="24"/>
        </w:rPr>
        <w:t>jasielskim – 7</w:t>
      </w:r>
      <w:r w:rsidR="00866DE9" w:rsidRPr="00866DE9">
        <w:rPr>
          <w:rFonts w:ascii="Times New Roman" w:hAnsi="Times New Roman" w:cs="Times New Roman"/>
          <w:sz w:val="24"/>
          <w:szCs w:val="24"/>
        </w:rPr>
        <w:t>6</w:t>
      </w:r>
      <w:r w:rsidR="0091033A" w:rsidRPr="00866DE9">
        <w:rPr>
          <w:rFonts w:ascii="Times New Roman" w:hAnsi="Times New Roman" w:cs="Times New Roman"/>
          <w:sz w:val="24"/>
          <w:szCs w:val="24"/>
        </w:rPr>
        <w:t>,4%.</w:t>
      </w:r>
    </w:p>
    <w:p w:rsidR="00C540B1" w:rsidRDefault="0067454E" w:rsidP="001B5D0B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77FF">
        <w:rPr>
          <w:rFonts w:ascii="Times New Roman" w:hAnsi="Times New Roman" w:cs="Times New Roman"/>
          <w:sz w:val="24"/>
          <w:szCs w:val="24"/>
        </w:rPr>
        <w:t xml:space="preserve">Najniższy </w:t>
      </w:r>
      <w:r w:rsidR="00D3271D" w:rsidRPr="000177FF">
        <w:rPr>
          <w:rFonts w:ascii="Times New Roman" w:hAnsi="Times New Roman" w:cs="Times New Roman"/>
          <w:sz w:val="24"/>
          <w:szCs w:val="24"/>
        </w:rPr>
        <w:t>udział miejsc pracy subsydiowanej</w:t>
      </w:r>
      <w:r w:rsidR="00AE5712" w:rsidRPr="000177FF">
        <w:rPr>
          <w:rFonts w:ascii="Times New Roman" w:hAnsi="Times New Roman" w:cs="Times New Roman"/>
          <w:sz w:val="24"/>
          <w:szCs w:val="24"/>
        </w:rPr>
        <w:t xml:space="preserve"> w </w:t>
      </w:r>
      <w:r w:rsidR="00D3271D" w:rsidRPr="000177FF">
        <w:rPr>
          <w:rFonts w:ascii="Times New Roman" w:hAnsi="Times New Roman" w:cs="Times New Roman"/>
          <w:sz w:val="24"/>
          <w:szCs w:val="24"/>
        </w:rPr>
        <w:t>ogólnej liczbie ofert pracy zgłoszonych do PUP przez pracodawców odnotowano w:</w:t>
      </w:r>
      <w:r w:rsidRPr="000177FF">
        <w:rPr>
          <w:rFonts w:ascii="Times New Roman" w:hAnsi="Times New Roman" w:cs="Times New Roman"/>
          <w:sz w:val="24"/>
          <w:szCs w:val="24"/>
        </w:rPr>
        <w:t xml:space="preserve"> </w:t>
      </w:r>
      <w:r w:rsidR="0091033A" w:rsidRPr="00866DE9">
        <w:rPr>
          <w:rFonts w:ascii="Times New Roman" w:hAnsi="Times New Roman" w:cs="Times New Roman"/>
          <w:sz w:val="24"/>
          <w:szCs w:val="24"/>
        </w:rPr>
        <w:t xml:space="preserve">m. </w:t>
      </w:r>
      <w:r w:rsidR="00D3271D" w:rsidRPr="00866DE9">
        <w:rPr>
          <w:rFonts w:ascii="Times New Roman" w:hAnsi="Times New Roman" w:cs="Times New Roman"/>
          <w:sz w:val="24"/>
          <w:szCs w:val="24"/>
        </w:rPr>
        <w:t>Rzesz</w:t>
      </w:r>
      <w:r w:rsidR="0091033A" w:rsidRPr="00866DE9">
        <w:rPr>
          <w:rFonts w:ascii="Times New Roman" w:hAnsi="Times New Roman" w:cs="Times New Roman"/>
          <w:sz w:val="24"/>
          <w:szCs w:val="24"/>
        </w:rPr>
        <w:t>owie</w:t>
      </w:r>
      <w:r w:rsidRPr="00866DE9">
        <w:rPr>
          <w:rFonts w:ascii="Times New Roman" w:hAnsi="Times New Roman" w:cs="Times New Roman"/>
          <w:sz w:val="24"/>
          <w:szCs w:val="24"/>
        </w:rPr>
        <w:t xml:space="preserve"> – 1</w:t>
      </w:r>
      <w:r w:rsidR="00866DE9" w:rsidRPr="00866DE9">
        <w:rPr>
          <w:rFonts w:ascii="Times New Roman" w:hAnsi="Times New Roman" w:cs="Times New Roman"/>
          <w:sz w:val="24"/>
          <w:szCs w:val="24"/>
        </w:rPr>
        <w:t>8</w:t>
      </w:r>
      <w:r w:rsidRPr="00866DE9">
        <w:rPr>
          <w:rFonts w:ascii="Times New Roman" w:hAnsi="Times New Roman" w:cs="Times New Roman"/>
          <w:sz w:val="24"/>
          <w:szCs w:val="24"/>
        </w:rPr>
        <w:t>,</w:t>
      </w:r>
      <w:r w:rsidR="00866DE9" w:rsidRPr="00866DE9">
        <w:rPr>
          <w:rFonts w:ascii="Times New Roman" w:hAnsi="Times New Roman" w:cs="Times New Roman"/>
          <w:sz w:val="24"/>
          <w:szCs w:val="24"/>
        </w:rPr>
        <w:t>2</w:t>
      </w:r>
      <w:r w:rsidRPr="00866DE9">
        <w:rPr>
          <w:rFonts w:ascii="Times New Roman" w:hAnsi="Times New Roman" w:cs="Times New Roman"/>
          <w:sz w:val="24"/>
          <w:szCs w:val="24"/>
        </w:rPr>
        <w:t>%,</w:t>
      </w:r>
      <w:r w:rsidR="001B5D0B" w:rsidRPr="00866DE9">
        <w:rPr>
          <w:rFonts w:ascii="Times New Roman" w:hAnsi="Times New Roman" w:cs="Times New Roman"/>
          <w:sz w:val="24"/>
          <w:szCs w:val="24"/>
        </w:rPr>
        <w:t xml:space="preserve"> </w:t>
      </w:r>
      <w:r w:rsidR="00C540B1" w:rsidRPr="008F787A">
        <w:rPr>
          <w:rFonts w:ascii="Times New Roman" w:hAnsi="Times New Roman" w:cs="Times New Roman"/>
          <w:sz w:val="24"/>
          <w:szCs w:val="24"/>
        </w:rPr>
        <w:t>powi</w:t>
      </w:r>
      <w:r w:rsidR="0091033A" w:rsidRPr="008F787A">
        <w:rPr>
          <w:rFonts w:ascii="Times New Roman" w:hAnsi="Times New Roman" w:cs="Times New Roman"/>
          <w:sz w:val="24"/>
          <w:szCs w:val="24"/>
        </w:rPr>
        <w:t>ecie</w:t>
      </w:r>
      <w:r w:rsidR="00C540B1" w:rsidRPr="008F787A">
        <w:rPr>
          <w:rFonts w:ascii="Times New Roman" w:hAnsi="Times New Roman" w:cs="Times New Roman"/>
          <w:sz w:val="24"/>
          <w:szCs w:val="24"/>
        </w:rPr>
        <w:t xml:space="preserve"> rzeszowski</w:t>
      </w:r>
      <w:r w:rsidR="0091033A" w:rsidRPr="008F787A">
        <w:rPr>
          <w:rFonts w:ascii="Times New Roman" w:hAnsi="Times New Roman" w:cs="Times New Roman"/>
          <w:sz w:val="24"/>
          <w:szCs w:val="24"/>
        </w:rPr>
        <w:t>m</w:t>
      </w:r>
      <w:r w:rsidR="00C540B1" w:rsidRPr="008F787A">
        <w:rPr>
          <w:rFonts w:ascii="Times New Roman" w:hAnsi="Times New Roman" w:cs="Times New Roman"/>
          <w:sz w:val="24"/>
          <w:szCs w:val="24"/>
        </w:rPr>
        <w:t xml:space="preserve"> –</w:t>
      </w:r>
      <w:r w:rsidRPr="008F787A">
        <w:rPr>
          <w:rFonts w:ascii="Times New Roman" w:hAnsi="Times New Roman" w:cs="Times New Roman"/>
          <w:sz w:val="24"/>
          <w:szCs w:val="24"/>
        </w:rPr>
        <w:t xml:space="preserve"> </w:t>
      </w:r>
      <w:r w:rsidR="00C540B1" w:rsidRPr="008F787A">
        <w:rPr>
          <w:rFonts w:ascii="Times New Roman" w:hAnsi="Times New Roman" w:cs="Times New Roman"/>
          <w:sz w:val="24"/>
          <w:szCs w:val="24"/>
        </w:rPr>
        <w:t>2</w:t>
      </w:r>
      <w:r w:rsidR="008F787A" w:rsidRPr="008F787A">
        <w:rPr>
          <w:rFonts w:ascii="Times New Roman" w:hAnsi="Times New Roman" w:cs="Times New Roman"/>
          <w:sz w:val="24"/>
          <w:szCs w:val="24"/>
        </w:rPr>
        <w:t>7</w:t>
      </w:r>
      <w:r w:rsidR="00C540B1" w:rsidRPr="008F787A">
        <w:rPr>
          <w:rFonts w:ascii="Times New Roman" w:hAnsi="Times New Roman" w:cs="Times New Roman"/>
          <w:sz w:val="24"/>
          <w:szCs w:val="24"/>
        </w:rPr>
        <w:t>,</w:t>
      </w:r>
      <w:r w:rsidR="008F787A" w:rsidRPr="008F787A">
        <w:rPr>
          <w:rFonts w:ascii="Times New Roman" w:hAnsi="Times New Roman" w:cs="Times New Roman"/>
          <w:sz w:val="24"/>
          <w:szCs w:val="24"/>
        </w:rPr>
        <w:t>8</w:t>
      </w:r>
      <w:r w:rsidR="00C540B1" w:rsidRPr="008F787A">
        <w:rPr>
          <w:rFonts w:ascii="Times New Roman" w:hAnsi="Times New Roman" w:cs="Times New Roman"/>
          <w:sz w:val="24"/>
          <w:szCs w:val="24"/>
        </w:rPr>
        <w:t>%,</w:t>
      </w:r>
      <w:r w:rsidR="001B5D0B" w:rsidRPr="008F787A">
        <w:rPr>
          <w:rFonts w:ascii="Times New Roman" w:hAnsi="Times New Roman" w:cs="Times New Roman"/>
          <w:sz w:val="24"/>
          <w:szCs w:val="24"/>
        </w:rPr>
        <w:t xml:space="preserve"> </w:t>
      </w:r>
      <w:r w:rsidR="0091033A" w:rsidRPr="00AA2532">
        <w:rPr>
          <w:rFonts w:ascii="Times New Roman" w:hAnsi="Times New Roman" w:cs="Times New Roman"/>
          <w:sz w:val="24"/>
          <w:szCs w:val="24"/>
        </w:rPr>
        <w:t>powiecie</w:t>
      </w:r>
      <w:r w:rsidR="00C540B1" w:rsidRPr="00AA2532">
        <w:rPr>
          <w:rFonts w:ascii="Times New Roman" w:hAnsi="Times New Roman" w:cs="Times New Roman"/>
          <w:sz w:val="24"/>
          <w:szCs w:val="24"/>
        </w:rPr>
        <w:t xml:space="preserve"> </w:t>
      </w:r>
      <w:r w:rsidR="00AA2532" w:rsidRPr="00AA2532">
        <w:rPr>
          <w:rFonts w:ascii="Times New Roman" w:hAnsi="Times New Roman" w:cs="Times New Roman"/>
          <w:sz w:val="24"/>
          <w:szCs w:val="24"/>
        </w:rPr>
        <w:t>mieleckim</w:t>
      </w:r>
      <w:r w:rsidR="0091033A" w:rsidRPr="00AA2532">
        <w:rPr>
          <w:rFonts w:ascii="Times New Roman" w:hAnsi="Times New Roman" w:cs="Times New Roman"/>
          <w:sz w:val="24"/>
          <w:szCs w:val="24"/>
        </w:rPr>
        <w:t xml:space="preserve"> – 3</w:t>
      </w:r>
      <w:r w:rsidR="00AA2532" w:rsidRPr="00AA2532">
        <w:rPr>
          <w:rFonts w:ascii="Times New Roman" w:hAnsi="Times New Roman" w:cs="Times New Roman"/>
          <w:sz w:val="24"/>
          <w:szCs w:val="24"/>
        </w:rPr>
        <w:t>0</w:t>
      </w:r>
      <w:r w:rsidR="0091033A" w:rsidRPr="00AA2532">
        <w:rPr>
          <w:rFonts w:ascii="Times New Roman" w:hAnsi="Times New Roman" w:cs="Times New Roman"/>
          <w:sz w:val="24"/>
          <w:szCs w:val="24"/>
        </w:rPr>
        <w:t>,</w:t>
      </w:r>
      <w:r w:rsidR="00AA2532" w:rsidRPr="00AA2532">
        <w:rPr>
          <w:rFonts w:ascii="Times New Roman" w:hAnsi="Times New Roman" w:cs="Times New Roman"/>
          <w:sz w:val="24"/>
          <w:szCs w:val="24"/>
        </w:rPr>
        <w:t>0</w:t>
      </w:r>
      <w:r w:rsidR="00AA2532">
        <w:rPr>
          <w:rFonts w:ascii="Times New Roman" w:hAnsi="Times New Roman" w:cs="Times New Roman"/>
          <w:sz w:val="24"/>
          <w:szCs w:val="24"/>
        </w:rPr>
        <w:t>% i powiecie dębickim – 31,5%.</w:t>
      </w:r>
    </w:p>
    <w:p w:rsidR="00AA2532" w:rsidRPr="00AA2532" w:rsidRDefault="00AA2532" w:rsidP="001B5D0B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7454E" w:rsidRPr="00AA2532" w:rsidRDefault="00726157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2532">
        <w:rPr>
          <w:rFonts w:ascii="Times New Roman" w:hAnsi="Times New Roman" w:cs="Times New Roman"/>
          <w:sz w:val="24"/>
          <w:szCs w:val="24"/>
        </w:rPr>
        <w:lastRenderedPageBreak/>
        <w:t>W województwie podkarpackim</w:t>
      </w:r>
      <w:r w:rsidR="00AE5712" w:rsidRPr="00AA2532">
        <w:rPr>
          <w:rFonts w:ascii="Times New Roman" w:hAnsi="Times New Roman" w:cs="Times New Roman"/>
          <w:sz w:val="24"/>
          <w:szCs w:val="24"/>
        </w:rPr>
        <w:t xml:space="preserve"> w </w:t>
      </w:r>
      <w:r w:rsidR="000177FF" w:rsidRPr="00AA2532">
        <w:rPr>
          <w:rFonts w:ascii="Times New Roman" w:hAnsi="Times New Roman" w:cs="Times New Roman"/>
          <w:sz w:val="24"/>
          <w:szCs w:val="24"/>
        </w:rPr>
        <w:t>‘</w:t>
      </w:r>
      <w:r w:rsidRPr="00AA2532">
        <w:rPr>
          <w:rFonts w:ascii="Times New Roman" w:hAnsi="Times New Roman" w:cs="Times New Roman"/>
          <w:sz w:val="24"/>
          <w:szCs w:val="24"/>
        </w:rPr>
        <w:t>1</w:t>
      </w:r>
      <w:r w:rsidR="000177FF" w:rsidRPr="00AA2532">
        <w:rPr>
          <w:rFonts w:ascii="Times New Roman" w:hAnsi="Times New Roman" w:cs="Times New Roman"/>
          <w:sz w:val="24"/>
          <w:szCs w:val="24"/>
        </w:rPr>
        <w:t>6</w:t>
      </w:r>
      <w:r w:rsidRPr="00AA2532">
        <w:rPr>
          <w:rFonts w:ascii="Times New Roman" w:hAnsi="Times New Roman" w:cs="Times New Roman"/>
          <w:sz w:val="24"/>
          <w:szCs w:val="24"/>
        </w:rPr>
        <w:t xml:space="preserve"> r</w:t>
      </w:r>
      <w:r w:rsidR="002D13B7" w:rsidRPr="00AA2532">
        <w:rPr>
          <w:rFonts w:ascii="Times New Roman" w:hAnsi="Times New Roman" w:cs="Times New Roman"/>
          <w:sz w:val="24"/>
          <w:szCs w:val="24"/>
        </w:rPr>
        <w:t>oku</w:t>
      </w:r>
      <w:r w:rsidRPr="00AA2532">
        <w:rPr>
          <w:rFonts w:ascii="Times New Roman" w:hAnsi="Times New Roman" w:cs="Times New Roman"/>
          <w:sz w:val="24"/>
          <w:szCs w:val="24"/>
        </w:rPr>
        <w:t xml:space="preserve"> na jedno wolne miejsce pracy</w:t>
      </w:r>
      <w:r w:rsidR="00AE5712" w:rsidRPr="00AA2532">
        <w:rPr>
          <w:rFonts w:ascii="Times New Roman" w:hAnsi="Times New Roman" w:cs="Times New Roman"/>
          <w:sz w:val="24"/>
          <w:szCs w:val="24"/>
        </w:rPr>
        <w:t xml:space="preserve"> i </w:t>
      </w:r>
      <w:r w:rsidRPr="00AA2532">
        <w:rPr>
          <w:rFonts w:ascii="Times New Roman" w:hAnsi="Times New Roman" w:cs="Times New Roman"/>
          <w:sz w:val="24"/>
          <w:szCs w:val="24"/>
        </w:rPr>
        <w:t xml:space="preserve">miejsce aktywizacji zawodowej przypadało średnio </w:t>
      </w:r>
      <w:r w:rsidR="00AA2532" w:rsidRPr="00AA2532">
        <w:rPr>
          <w:rFonts w:ascii="Times New Roman" w:hAnsi="Times New Roman" w:cs="Times New Roman"/>
          <w:sz w:val="24"/>
          <w:szCs w:val="24"/>
        </w:rPr>
        <w:t xml:space="preserve">19 </w:t>
      </w:r>
      <w:r w:rsidRPr="00AA2532">
        <w:rPr>
          <w:rFonts w:ascii="Times New Roman" w:hAnsi="Times New Roman" w:cs="Times New Roman"/>
          <w:sz w:val="24"/>
          <w:szCs w:val="24"/>
        </w:rPr>
        <w:t xml:space="preserve">bezrobotnych (w </w:t>
      </w:r>
      <w:r w:rsidR="000177FF" w:rsidRPr="00AA2532">
        <w:rPr>
          <w:rFonts w:ascii="Times New Roman" w:hAnsi="Times New Roman" w:cs="Times New Roman"/>
          <w:sz w:val="24"/>
          <w:szCs w:val="24"/>
        </w:rPr>
        <w:t>‘</w:t>
      </w:r>
      <w:r w:rsidRPr="00AA2532">
        <w:rPr>
          <w:rFonts w:ascii="Times New Roman" w:hAnsi="Times New Roman" w:cs="Times New Roman"/>
          <w:sz w:val="24"/>
          <w:szCs w:val="24"/>
        </w:rPr>
        <w:t>1</w:t>
      </w:r>
      <w:r w:rsidR="000177FF" w:rsidRPr="00AA2532">
        <w:rPr>
          <w:rFonts w:ascii="Times New Roman" w:hAnsi="Times New Roman" w:cs="Times New Roman"/>
          <w:sz w:val="24"/>
          <w:szCs w:val="24"/>
        </w:rPr>
        <w:t>5</w:t>
      </w:r>
      <w:r w:rsidRPr="00AA2532">
        <w:rPr>
          <w:rFonts w:ascii="Times New Roman" w:hAnsi="Times New Roman" w:cs="Times New Roman"/>
          <w:sz w:val="24"/>
          <w:szCs w:val="24"/>
        </w:rPr>
        <w:t xml:space="preserve"> roku – </w:t>
      </w:r>
      <w:r w:rsidR="00FB7861" w:rsidRPr="00AA2532">
        <w:rPr>
          <w:rFonts w:ascii="Times New Roman" w:hAnsi="Times New Roman" w:cs="Times New Roman"/>
          <w:sz w:val="24"/>
          <w:szCs w:val="24"/>
        </w:rPr>
        <w:t>2</w:t>
      </w:r>
      <w:r w:rsidR="000177FF" w:rsidRPr="00AA2532">
        <w:rPr>
          <w:rFonts w:ascii="Times New Roman" w:hAnsi="Times New Roman" w:cs="Times New Roman"/>
          <w:sz w:val="24"/>
          <w:szCs w:val="24"/>
        </w:rPr>
        <w:t>5</w:t>
      </w:r>
      <w:r w:rsidRPr="00AA2532">
        <w:rPr>
          <w:rFonts w:ascii="Times New Roman" w:hAnsi="Times New Roman" w:cs="Times New Roman"/>
          <w:sz w:val="24"/>
          <w:szCs w:val="24"/>
        </w:rPr>
        <w:t xml:space="preserve"> bezrobotnych). Sytuacja</w:t>
      </w:r>
      <w:r w:rsidR="00AE5712" w:rsidRPr="00AA2532">
        <w:rPr>
          <w:rFonts w:ascii="Times New Roman" w:hAnsi="Times New Roman" w:cs="Times New Roman"/>
          <w:sz w:val="24"/>
          <w:szCs w:val="24"/>
        </w:rPr>
        <w:t xml:space="preserve"> w </w:t>
      </w:r>
      <w:r w:rsidRPr="00AA2532">
        <w:rPr>
          <w:rFonts w:ascii="Times New Roman" w:hAnsi="Times New Roman" w:cs="Times New Roman"/>
          <w:sz w:val="24"/>
          <w:szCs w:val="24"/>
        </w:rPr>
        <w:t xml:space="preserve">tym zakresie była najkorzystniejsza w: </w:t>
      </w:r>
      <w:r w:rsidR="001B5D0B" w:rsidRPr="00AA2532">
        <w:rPr>
          <w:rFonts w:ascii="Times New Roman" w:hAnsi="Times New Roman" w:cs="Times New Roman"/>
          <w:sz w:val="24"/>
          <w:szCs w:val="24"/>
        </w:rPr>
        <w:t xml:space="preserve">m. </w:t>
      </w:r>
      <w:r w:rsidRPr="00AA2532">
        <w:rPr>
          <w:rFonts w:ascii="Times New Roman" w:hAnsi="Times New Roman" w:cs="Times New Roman"/>
          <w:sz w:val="24"/>
          <w:szCs w:val="24"/>
        </w:rPr>
        <w:t xml:space="preserve">Rzeszowie </w:t>
      </w:r>
      <w:r w:rsidR="00AA2532" w:rsidRPr="00AA2532">
        <w:rPr>
          <w:rFonts w:ascii="Times New Roman" w:hAnsi="Times New Roman" w:cs="Times New Roman"/>
          <w:sz w:val="24"/>
          <w:szCs w:val="24"/>
        </w:rPr>
        <w:t>i</w:t>
      </w:r>
      <w:r w:rsidR="00AA2532">
        <w:rPr>
          <w:rFonts w:ascii="Times New Roman" w:hAnsi="Times New Roman" w:cs="Times New Roman"/>
          <w:sz w:val="24"/>
          <w:szCs w:val="24"/>
        </w:rPr>
        <w:t> </w:t>
      </w:r>
      <w:r w:rsidR="00AA2532" w:rsidRPr="00AA2532">
        <w:rPr>
          <w:rFonts w:ascii="Times New Roman" w:hAnsi="Times New Roman" w:cs="Times New Roman"/>
          <w:sz w:val="24"/>
          <w:szCs w:val="24"/>
        </w:rPr>
        <w:t xml:space="preserve">powiecie mieleckim </w:t>
      </w:r>
      <w:r w:rsidR="0091033A" w:rsidRPr="00AA2532">
        <w:rPr>
          <w:rFonts w:ascii="Times New Roman" w:hAnsi="Times New Roman" w:cs="Times New Roman"/>
          <w:sz w:val="24"/>
          <w:szCs w:val="24"/>
        </w:rPr>
        <w:t xml:space="preserve">– </w:t>
      </w:r>
      <w:r w:rsidR="00AA2532" w:rsidRPr="00AA2532">
        <w:rPr>
          <w:rFonts w:ascii="Times New Roman" w:hAnsi="Times New Roman" w:cs="Times New Roman"/>
          <w:sz w:val="24"/>
          <w:szCs w:val="24"/>
        </w:rPr>
        <w:t>po 8</w:t>
      </w:r>
      <w:r w:rsidRPr="00AA2532">
        <w:rPr>
          <w:rFonts w:ascii="Times New Roman" w:hAnsi="Times New Roman" w:cs="Times New Roman"/>
          <w:sz w:val="24"/>
          <w:szCs w:val="24"/>
        </w:rPr>
        <w:t xml:space="preserve"> bezrobotnych</w:t>
      </w:r>
      <w:r w:rsidR="0091033A" w:rsidRPr="00AA2532">
        <w:rPr>
          <w:rFonts w:ascii="Times New Roman" w:hAnsi="Times New Roman" w:cs="Times New Roman"/>
          <w:sz w:val="24"/>
          <w:szCs w:val="24"/>
        </w:rPr>
        <w:t xml:space="preserve"> na jedno wolne miejsce pracy lub aktywizacji zawodowej</w:t>
      </w:r>
      <w:r w:rsidRPr="00AA2532">
        <w:rPr>
          <w:rFonts w:ascii="Times New Roman" w:hAnsi="Times New Roman" w:cs="Times New Roman"/>
          <w:sz w:val="24"/>
          <w:szCs w:val="24"/>
        </w:rPr>
        <w:t>.</w:t>
      </w:r>
    </w:p>
    <w:p w:rsidR="00EC56D5" w:rsidRPr="00EC56D5" w:rsidRDefault="00EC56D5" w:rsidP="00EC56D5">
      <w:pPr>
        <w:pStyle w:val="Bezodstpw"/>
        <w:spacing w:line="36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94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2"/>
        <w:gridCol w:w="1134"/>
        <w:gridCol w:w="618"/>
        <w:gridCol w:w="516"/>
        <w:gridCol w:w="757"/>
        <w:gridCol w:w="185"/>
      </w:tblGrid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9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Tabela XXVII.WOLNE MIEJSCA PRACY I MIEJSCA AKTYWIZACJI ZAWODOWEJ   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063539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    </w:t>
            </w: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ZGŁOSZONE</w:t>
            </w:r>
            <w:r w:rsidR="00BC5E80"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PRZEZ PRACODAWCÓW DO PUP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C5E80" w:rsidRPr="00BC5E80" w:rsidTr="00BC5E80">
        <w:trPr>
          <w:gridAfter w:val="1"/>
          <w:wAfter w:w="160" w:type="dxa"/>
          <w:trHeight w:val="315"/>
        </w:trPr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0635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</w:t>
            </w:r>
            <w:r w:rsidR="0006353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</w:t>
            </w: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w okresie roku, województwo podkarpackie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BC5E80" w:rsidRPr="00BC5E80" w:rsidTr="00BC5E80">
        <w:trPr>
          <w:gridAfter w:val="1"/>
          <w:wAfter w:w="160" w:type="dxa"/>
          <w:trHeight w:val="915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grupy zawodów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kody zawodów (wg KZiS)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4DFEC"/>
            <w:vAlign w:val="center"/>
            <w:hideMark/>
          </w:tcPr>
          <w:p w:rsid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oferty pracy</w:t>
            </w:r>
          </w:p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 '16 r.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4DFEC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%*</w:t>
            </w:r>
          </w:p>
        </w:tc>
      </w:tr>
      <w:tr w:rsidR="00BC5E80" w:rsidRPr="00BC5E80" w:rsidTr="00BC5E80">
        <w:trPr>
          <w:gridAfter w:val="1"/>
          <w:wAfter w:w="160" w:type="dxa"/>
          <w:trHeight w:val="57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PRZEDSTAWICIELE WŁADZ PUBLICZNYCH, WYŻSI URZĘDNICY I KIEROWNICY*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0,6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Przedstawiciele władz publicznych, wyżsi urzędnicy i dyrektorzy generalni**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zarządzania i handlu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do spraw produkcji i usług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36,5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Kierownicy w branży hotelarskiej, handlu i innych branżach usługowych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SPECJALIŚCI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4 808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nauk fizycznych, matematycznych i technicznych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23,4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zdrowia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674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14,0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nauczania i wychowania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894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18,6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ekonomicznych i zarządzania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29,8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do spraw technologii informacyjno-komunikacyjnych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Specjaliści z dziedziny prawa, dziedzin społecznych i kultury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10,6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TECHNICY I INNY ŚREDNI PERSONEL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7 560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nauk fizycznych, chemicznych i technicznych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2 395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zdrowia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900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11,9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do spraw biznesu i administracji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2 943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38,9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Średni personel z dziedziny prawa, spraw społecznych, kultury i pokrewny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Technicy informatycy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2,8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PRACOWNICY BIUROWI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8 428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11,7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Sekretarki, operatorzy urządzeń biurowych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4 309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51,1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obsługi klienta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662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7,9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do spraw finansowo-statystycznych i ewidencji materiałowej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2 880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34,2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Pozostali pracownicy obsługi biura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577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6,8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PRACOWNICY USŁUG I SPRZEDAWCY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17 172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23,8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usług osobistych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6 917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40,3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8 465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49,3</w:t>
            </w:r>
          </w:p>
        </w:tc>
      </w:tr>
      <w:tr w:rsidR="00BC5E80" w:rsidRPr="00BC5E80" w:rsidTr="00063539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opieki osobistej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5,4</w:t>
            </w:r>
          </w:p>
        </w:tc>
      </w:tr>
      <w:tr w:rsidR="00BC5E80" w:rsidRPr="00BC5E80" w:rsidTr="00063539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Pracownicy usług ochrony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856</w:t>
            </w:r>
          </w:p>
        </w:tc>
        <w:tc>
          <w:tcPr>
            <w:tcW w:w="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5,0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ROLNICY, OGRODNICY, LEŚNICY I RYBACY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413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0,6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produkcji towarowej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69,7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Leśnicy i rybacy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29,8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Rolnicy i rybacy pracujący na własne potrzeby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ROBOTNICY PRZEMYSŁOWI I RZEMIEŚLNICY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15 349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21,3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budowlani i pokrewni (z wyłączeniem elektryków)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5 387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35,1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obróbki metali, mechanicy maszyn i urządzeń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5 376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35,0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Rzemieślnicy i robotnicy poligraficzni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378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Elektrycy i elektronicy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1 461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9,5</w:t>
            </w:r>
          </w:p>
        </w:tc>
      </w:tr>
      <w:tr w:rsidR="00BC5E80" w:rsidRPr="00BC5E80" w:rsidTr="00BC5E80">
        <w:trPr>
          <w:gridAfter w:val="1"/>
          <w:wAfter w:w="160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 przetwórstwie spożywczym, obróbce drewna, produkcji wyrobów tekstylnych i pokrewni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2 747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17,9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OPERATORZY I MONTERZY MASZYN I URZĄDZEŃ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8 887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12,3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Operatorzy maszyn i urządzeń wydobywczych i przetwórczych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3 848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43,3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Monterzy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636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7,2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Kierowcy i operatorzy pojazdów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4 403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49,5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PRACOWNICY WYKONUJĄCY PRACE PROSTE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8 968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12,4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Pomoce domowe i sprzątaczki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1 613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18,0</w:t>
            </w:r>
          </w:p>
        </w:tc>
      </w:tr>
      <w:tr w:rsidR="00BC5E80" w:rsidRPr="00BC5E80" w:rsidTr="00BC5E80">
        <w:trPr>
          <w:gridAfter w:val="1"/>
          <w:wAfter w:w="160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rolnictwie, leśnictwie, leśnictwie i rybactwie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531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5,9</w:t>
            </w:r>
          </w:p>
        </w:tc>
      </w:tr>
      <w:tr w:rsidR="00BC5E80" w:rsidRPr="00BC5E80" w:rsidTr="00BC5E80">
        <w:trPr>
          <w:gridAfter w:val="1"/>
          <w:wAfter w:w="160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Robotnicy wykonujący prace proste w górnictwie, przemyśle, budownictwie i transporcie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4 351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48,5</w:t>
            </w:r>
          </w:p>
        </w:tc>
      </w:tr>
      <w:tr w:rsidR="00BC5E80" w:rsidRPr="00BC5E80" w:rsidTr="00BC5E80">
        <w:trPr>
          <w:gridAfter w:val="1"/>
          <w:wAfter w:w="160" w:type="dxa"/>
          <w:trHeight w:val="6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Pracownicy wykonujący prace proste związane z przygotowywaniem posiłków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1322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14,7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Sprzedawcy uliczni i pracownicy świadczący usługi na ulicach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0,3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Ładowacze nieczystości i inni pracownicy wykonujący prace proste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1 125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12,5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SIŁY ZBROJNE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0,0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Oficerowie sił zbrojnych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---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Podoficerowie sił zbrojnych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---</w:t>
            </w:r>
          </w:p>
        </w:tc>
      </w:tr>
      <w:tr w:rsidR="00BC5E80" w:rsidRPr="00BC5E80" w:rsidTr="00BC5E80">
        <w:trPr>
          <w:gridAfter w:val="1"/>
          <w:wAfter w:w="160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Żołnierze szeregowi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---</w:t>
            </w:r>
          </w:p>
        </w:tc>
      </w:tr>
      <w:tr w:rsidR="00BC5E80" w:rsidRPr="00BC5E80" w:rsidTr="00BC5E80">
        <w:trPr>
          <w:gridAfter w:val="1"/>
          <w:wAfter w:w="160" w:type="dxa"/>
          <w:trHeight w:val="300"/>
        </w:trPr>
        <w:tc>
          <w:tcPr>
            <w:tcW w:w="6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OFERTY BEZ ZAWODU***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0,0</w:t>
            </w:r>
          </w:p>
        </w:tc>
      </w:tr>
      <w:tr w:rsidR="00BC5E80" w:rsidRPr="00BC5E80" w:rsidTr="00BC5E80">
        <w:trPr>
          <w:gridAfter w:val="1"/>
          <w:wAfter w:w="160" w:type="dxa"/>
          <w:trHeight w:val="315"/>
        </w:trPr>
        <w:tc>
          <w:tcPr>
            <w:tcW w:w="625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OFERTY Z ZAWODEM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B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72 037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100,0</w:t>
            </w:r>
          </w:p>
        </w:tc>
      </w:tr>
      <w:tr w:rsidR="00BC5E80" w:rsidRPr="00BC5E80" w:rsidTr="00BC5E80">
        <w:trPr>
          <w:gridAfter w:val="1"/>
          <w:wAfter w:w="160" w:type="dxa"/>
          <w:trHeight w:val="390"/>
        </w:trPr>
        <w:tc>
          <w:tcPr>
            <w:tcW w:w="6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Ogółem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AB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72 037</w:t>
            </w:r>
          </w:p>
        </w:tc>
        <w:tc>
          <w:tcPr>
            <w:tcW w:w="7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5E80" w:rsidRPr="00BC5E80" w:rsidRDefault="00BC5E80" w:rsidP="00BC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BC5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---</w:t>
            </w:r>
          </w:p>
        </w:tc>
      </w:tr>
      <w:tr w:rsidR="00BC5E80" w:rsidRPr="00EF4A76" w:rsidTr="00BC5E80">
        <w:trPr>
          <w:gridAfter w:val="1"/>
          <w:wAfter w:w="160" w:type="dxa"/>
          <w:trHeight w:val="300"/>
        </w:trPr>
        <w:tc>
          <w:tcPr>
            <w:tcW w:w="9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EF4A76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F4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* W jednocyfrowych grupach zawodów, odsetek w stosunku do liczby ofert ogółem z zawodem (B=100%). </w:t>
            </w:r>
          </w:p>
        </w:tc>
      </w:tr>
      <w:tr w:rsidR="00BC5E80" w:rsidRPr="00EF4A76" w:rsidTr="00BC5E80">
        <w:trPr>
          <w:gridAfter w:val="1"/>
          <w:wAfter w:w="160" w:type="dxa"/>
          <w:trHeight w:val="300"/>
        </w:trPr>
        <w:tc>
          <w:tcPr>
            <w:tcW w:w="9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EF4A76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F4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 Wartości procentowe odpowiadające grupom dwucyfrowym obliczono dla danej grupy jednocyfrowej (GJ=100%).</w:t>
            </w:r>
          </w:p>
        </w:tc>
      </w:tr>
      <w:tr w:rsidR="00BC5E80" w:rsidRPr="00EF4A76" w:rsidTr="00BC5E80">
        <w:trPr>
          <w:trHeight w:val="300"/>
        </w:trPr>
        <w:tc>
          <w:tcPr>
            <w:tcW w:w="80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EF4A76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F4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*** Odsetek dla ofert bez zawodu w stosunku do "ogółem" (A+B=100%).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EF4A76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F4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C5E80" w:rsidRPr="00EF4A76" w:rsidRDefault="00BC5E80" w:rsidP="00BC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F4A7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0F18FF" w:rsidRDefault="000F18FF" w:rsidP="00614E9A">
      <w:pPr>
        <w:pStyle w:val="Default"/>
        <w:pBdr>
          <w:bottom w:val="single" w:sz="4" w:space="1" w:color="auto"/>
        </w:pBdr>
        <w:jc w:val="both"/>
      </w:pPr>
    </w:p>
    <w:p w:rsidR="00AC4ECD" w:rsidRPr="00614E9A" w:rsidRDefault="003775BD" w:rsidP="00614E9A">
      <w:pPr>
        <w:pStyle w:val="Default"/>
        <w:pBdr>
          <w:bottom w:val="single" w:sz="4" w:space="1" w:color="auto"/>
        </w:pBdr>
        <w:jc w:val="both"/>
      </w:pPr>
      <w:r w:rsidRPr="00614E9A">
        <w:t>Wnioski:</w:t>
      </w:r>
    </w:p>
    <w:p w:rsidR="00AC4ECD" w:rsidRPr="00063539" w:rsidRDefault="00AC4ECD" w:rsidP="00AC4ECD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063539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063539">
        <w:rPr>
          <w:rFonts w:ascii="Times New Roman" w:hAnsi="Times New Roman" w:cs="Times New Roman"/>
          <w:sz w:val="16"/>
          <w:szCs w:val="16"/>
        </w:rPr>
        <w:t xml:space="preserve"> z </w:t>
      </w:r>
      <w:r w:rsidRPr="00063539">
        <w:rPr>
          <w:rFonts w:ascii="Times New Roman" w:hAnsi="Times New Roman" w:cs="Times New Roman"/>
          <w:sz w:val="16"/>
          <w:szCs w:val="16"/>
        </w:rPr>
        <w:t xml:space="preserve">Tabeli </w:t>
      </w:r>
      <w:r w:rsidR="00BC5E80" w:rsidRPr="00063539">
        <w:rPr>
          <w:rFonts w:ascii="Times New Roman" w:hAnsi="Times New Roman" w:cs="Times New Roman"/>
          <w:sz w:val="16"/>
          <w:szCs w:val="16"/>
        </w:rPr>
        <w:t>XXVII</w:t>
      </w:r>
      <w:r w:rsidR="003775BD" w:rsidRPr="00063539">
        <w:rPr>
          <w:rFonts w:ascii="Times New Roman" w:hAnsi="Times New Roman" w:cs="Times New Roman"/>
          <w:sz w:val="16"/>
          <w:szCs w:val="16"/>
        </w:rPr>
        <w:t>)</w:t>
      </w:r>
    </w:p>
    <w:p w:rsidR="00AC4ECD" w:rsidRPr="009426A0" w:rsidRDefault="00AC4ECD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6A0">
        <w:rPr>
          <w:rFonts w:ascii="Times New Roman" w:hAnsi="Times New Roman" w:cs="Times New Roman"/>
          <w:sz w:val="24"/>
          <w:szCs w:val="24"/>
        </w:rPr>
        <w:t>Wolne miejsca pracy</w:t>
      </w:r>
      <w:r w:rsidR="003B23E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9426A0">
        <w:rPr>
          <w:rFonts w:ascii="Times New Roman" w:hAnsi="Times New Roman" w:cs="Times New Roman"/>
          <w:sz w:val="24"/>
          <w:szCs w:val="24"/>
        </w:rPr>
        <w:t>i</w:t>
      </w:r>
      <w:r w:rsidR="003B23E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Pr="009426A0">
        <w:rPr>
          <w:rFonts w:ascii="Times New Roman" w:hAnsi="Times New Roman" w:cs="Times New Roman"/>
          <w:sz w:val="24"/>
          <w:szCs w:val="24"/>
        </w:rPr>
        <w:t>miejsca aktywizacji zawodowej adresowane były najczęściej do osób bezrobotnych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9426A0">
        <w:rPr>
          <w:rFonts w:ascii="Times New Roman" w:hAnsi="Times New Roman" w:cs="Times New Roman"/>
          <w:sz w:val="24"/>
          <w:szCs w:val="24"/>
        </w:rPr>
        <w:t>z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Pr="009426A0">
        <w:rPr>
          <w:rFonts w:ascii="Times New Roman" w:hAnsi="Times New Roman" w:cs="Times New Roman"/>
          <w:sz w:val="24"/>
          <w:szCs w:val="24"/>
        </w:rPr>
        <w:t>następujących grup zawodów: pracownicy usług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9426A0">
        <w:rPr>
          <w:rFonts w:ascii="Times New Roman" w:hAnsi="Times New Roman" w:cs="Times New Roman"/>
          <w:sz w:val="24"/>
          <w:szCs w:val="24"/>
        </w:rPr>
        <w:t>i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Pr="009426A0">
        <w:rPr>
          <w:rFonts w:ascii="Times New Roman" w:hAnsi="Times New Roman" w:cs="Times New Roman"/>
          <w:sz w:val="24"/>
          <w:szCs w:val="24"/>
        </w:rPr>
        <w:t>sprzedawcy – 1</w:t>
      </w:r>
      <w:r w:rsidR="009426A0" w:rsidRPr="009426A0">
        <w:rPr>
          <w:rFonts w:ascii="Times New Roman" w:hAnsi="Times New Roman" w:cs="Times New Roman"/>
          <w:sz w:val="24"/>
          <w:szCs w:val="24"/>
        </w:rPr>
        <w:t>7 172</w:t>
      </w:r>
      <w:r w:rsidRPr="009426A0">
        <w:rPr>
          <w:rFonts w:ascii="Times New Roman" w:hAnsi="Times New Roman" w:cs="Times New Roman"/>
          <w:sz w:val="24"/>
          <w:szCs w:val="24"/>
        </w:rPr>
        <w:t xml:space="preserve"> (2</w:t>
      </w:r>
      <w:r w:rsidR="009426A0" w:rsidRPr="009426A0">
        <w:rPr>
          <w:rFonts w:ascii="Times New Roman" w:hAnsi="Times New Roman" w:cs="Times New Roman"/>
          <w:sz w:val="24"/>
          <w:szCs w:val="24"/>
        </w:rPr>
        <w:t>3</w:t>
      </w:r>
      <w:r w:rsidRPr="009426A0">
        <w:rPr>
          <w:rFonts w:ascii="Times New Roman" w:hAnsi="Times New Roman" w:cs="Times New Roman"/>
          <w:sz w:val="24"/>
          <w:szCs w:val="24"/>
        </w:rPr>
        <w:t>,</w:t>
      </w:r>
      <w:r w:rsidR="009426A0" w:rsidRPr="009426A0">
        <w:rPr>
          <w:rFonts w:ascii="Times New Roman" w:hAnsi="Times New Roman" w:cs="Times New Roman"/>
          <w:sz w:val="24"/>
          <w:szCs w:val="24"/>
        </w:rPr>
        <w:t>8</w:t>
      </w:r>
      <w:r w:rsidRPr="009426A0">
        <w:rPr>
          <w:rFonts w:ascii="Times New Roman" w:hAnsi="Times New Roman" w:cs="Times New Roman"/>
          <w:sz w:val="24"/>
          <w:szCs w:val="24"/>
        </w:rPr>
        <w:t>% ogółu zgłoszonych do PUP ofert pracy), robotnicy przemysłowi</w:t>
      </w:r>
      <w:r w:rsidR="00AE5712" w:rsidRPr="009426A0">
        <w:rPr>
          <w:rFonts w:ascii="Times New Roman" w:hAnsi="Times New Roman" w:cs="Times New Roman"/>
          <w:sz w:val="24"/>
          <w:szCs w:val="24"/>
        </w:rPr>
        <w:t xml:space="preserve"> i </w:t>
      </w:r>
      <w:r w:rsidRPr="009426A0">
        <w:rPr>
          <w:rFonts w:ascii="Times New Roman" w:hAnsi="Times New Roman" w:cs="Times New Roman"/>
          <w:sz w:val="24"/>
          <w:szCs w:val="24"/>
        </w:rPr>
        <w:t>rzemieślnicy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Pr="009426A0">
        <w:rPr>
          <w:rFonts w:ascii="Times New Roman" w:hAnsi="Times New Roman" w:cs="Times New Roman"/>
          <w:sz w:val="24"/>
          <w:szCs w:val="24"/>
        </w:rPr>
        <w:t>–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Pr="009426A0">
        <w:rPr>
          <w:rFonts w:ascii="Times New Roman" w:hAnsi="Times New Roman" w:cs="Times New Roman"/>
          <w:sz w:val="24"/>
          <w:szCs w:val="24"/>
        </w:rPr>
        <w:t>1</w:t>
      </w:r>
      <w:r w:rsidR="009426A0" w:rsidRPr="009426A0">
        <w:rPr>
          <w:rFonts w:ascii="Times New Roman" w:hAnsi="Times New Roman" w:cs="Times New Roman"/>
          <w:sz w:val="24"/>
          <w:szCs w:val="24"/>
        </w:rPr>
        <w:t>5</w:t>
      </w:r>
      <w:r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9426A0">
        <w:rPr>
          <w:rFonts w:ascii="Times New Roman" w:hAnsi="Times New Roman" w:cs="Times New Roman"/>
          <w:sz w:val="24"/>
          <w:szCs w:val="24"/>
        </w:rPr>
        <w:t>349</w:t>
      </w:r>
      <w:r w:rsidRPr="009426A0">
        <w:rPr>
          <w:rFonts w:ascii="Times New Roman" w:hAnsi="Times New Roman" w:cs="Times New Roman"/>
          <w:sz w:val="24"/>
          <w:szCs w:val="24"/>
        </w:rPr>
        <w:t xml:space="preserve"> (</w:t>
      </w:r>
      <w:r w:rsidR="009426A0" w:rsidRPr="009426A0">
        <w:rPr>
          <w:rFonts w:ascii="Times New Roman" w:hAnsi="Times New Roman" w:cs="Times New Roman"/>
          <w:sz w:val="24"/>
          <w:szCs w:val="24"/>
        </w:rPr>
        <w:t>21</w:t>
      </w:r>
      <w:r w:rsidRPr="009426A0">
        <w:rPr>
          <w:rFonts w:ascii="Times New Roman" w:hAnsi="Times New Roman" w:cs="Times New Roman"/>
          <w:sz w:val="24"/>
          <w:szCs w:val="24"/>
        </w:rPr>
        <w:t>,</w:t>
      </w:r>
      <w:r w:rsidR="009426A0" w:rsidRPr="009426A0">
        <w:rPr>
          <w:rFonts w:ascii="Times New Roman" w:hAnsi="Times New Roman" w:cs="Times New Roman"/>
          <w:sz w:val="24"/>
          <w:szCs w:val="24"/>
        </w:rPr>
        <w:t>3</w:t>
      </w:r>
      <w:r w:rsidRPr="009426A0">
        <w:rPr>
          <w:rFonts w:ascii="Times New Roman" w:hAnsi="Times New Roman" w:cs="Times New Roman"/>
          <w:sz w:val="24"/>
          <w:szCs w:val="24"/>
        </w:rPr>
        <w:t>%),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pracownicy przy pracach prostych </w:t>
      </w:r>
      <w:r w:rsidRPr="009426A0">
        <w:rPr>
          <w:rFonts w:ascii="Times New Roman" w:hAnsi="Times New Roman" w:cs="Times New Roman"/>
          <w:sz w:val="24"/>
          <w:szCs w:val="24"/>
        </w:rPr>
        <w:t>–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 8</w:t>
      </w:r>
      <w:r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9426A0">
        <w:rPr>
          <w:rFonts w:ascii="Times New Roman" w:hAnsi="Times New Roman" w:cs="Times New Roman"/>
          <w:sz w:val="24"/>
          <w:szCs w:val="24"/>
        </w:rPr>
        <w:t>96</w:t>
      </w:r>
      <w:r w:rsidRPr="009426A0">
        <w:rPr>
          <w:rFonts w:ascii="Times New Roman" w:hAnsi="Times New Roman" w:cs="Times New Roman"/>
          <w:sz w:val="24"/>
          <w:szCs w:val="24"/>
        </w:rPr>
        <w:t>8 (12,</w:t>
      </w:r>
      <w:r w:rsidR="009426A0" w:rsidRPr="009426A0">
        <w:rPr>
          <w:rFonts w:ascii="Times New Roman" w:hAnsi="Times New Roman" w:cs="Times New Roman"/>
          <w:sz w:val="24"/>
          <w:szCs w:val="24"/>
        </w:rPr>
        <w:t>4</w:t>
      </w:r>
      <w:r w:rsidRPr="009426A0">
        <w:rPr>
          <w:rFonts w:ascii="Times New Roman" w:hAnsi="Times New Roman" w:cs="Times New Roman"/>
          <w:sz w:val="24"/>
          <w:szCs w:val="24"/>
        </w:rPr>
        <w:t xml:space="preserve">%), </w:t>
      </w:r>
      <w:r w:rsidRPr="009426A0">
        <w:rPr>
          <w:rFonts w:ascii="Times New Roman" w:hAnsi="Times New Roman" w:cs="Times New Roman"/>
          <w:sz w:val="24"/>
          <w:szCs w:val="24"/>
        </w:rPr>
        <w:lastRenderedPageBreak/>
        <w:t>operatorzy</w:t>
      </w:r>
      <w:r w:rsidR="00AE5712" w:rsidRPr="009426A0">
        <w:rPr>
          <w:rFonts w:ascii="Times New Roman" w:hAnsi="Times New Roman" w:cs="Times New Roman"/>
          <w:sz w:val="24"/>
          <w:szCs w:val="24"/>
        </w:rPr>
        <w:t xml:space="preserve"> i </w:t>
      </w:r>
      <w:r w:rsidRPr="009426A0">
        <w:rPr>
          <w:rFonts w:ascii="Times New Roman" w:hAnsi="Times New Roman" w:cs="Times New Roman"/>
          <w:sz w:val="24"/>
          <w:szCs w:val="24"/>
        </w:rPr>
        <w:t>monterzy ma</w:t>
      </w:r>
      <w:r w:rsidR="00FA0C9C" w:rsidRPr="009426A0">
        <w:rPr>
          <w:rFonts w:ascii="Times New Roman" w:hAnsi="Times New Roman" w:cs="Times New Roman"/>
          <w:sz w:val="24"/>
          <w:szCs w:val="24"/>
        </w:rPr>
        <w:t>szyn</w:t>
      </w:r>
      <w:r w:rsidR="00AE5712" w:rsidRPr="009426A0">
        <w:rPr>
          <w:rFonts w:ascii="Times New Roman" w:hAnsi="Times New Roman" w:cs="Times New Roman"/>
          <w:sz w:val="24"/>
          <w:szCs w:val="24"/>
        </w:rPr>
        <w:t xml:space="preserve"> i 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urządzeń – </w:t>
      </w:r>
      <w:r w:rsidR="009426A0" w:rsidRPr="009426A0">
        <w:rPr>
          <w:rFonts w:ascii="Times New Roman" w:hAnsi="Times New Roman" w:cs="Times New Roman"/>
          <w:sz w:val="24"/>
          <w:szCs w:val="24"/>
        </w:rPr>
        <w:t>8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9426A0">
        <w:rPr>
          <w:rFonts w:ascii="Times New Roman" w:hAnsi="Times New Roman" w:cs="Times New Roman"/>
          <w:sz w:val="24"/>
          <w:szCs w:val="24"/>
        </w:rPr>
        <w:t>887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 (1</w:t>
      </w:r>
      <w:r w:rsidR="009426A0" w:rsidRPr="009426A0">
        <w:rPr>
          <w:rFonts w:ascii="Times New Roman" w:hAnsi="Times New Roman" w:cs="Times New Roman"/>
          <w:sz w:val="24"/>
          <w:szCs w:val="24"/>
        </w:rPr>
        <w:t>2</w:t>
      </w:r>
      <w:r w:rsidR="00FA0C9C" w:rsidRPr="009426A0">
        <w:rPr>
          <w:rFonts w:ascii="Times New Roman" w:hAnsi="Times New Roman" w:cs="Times New Roman"/>
          <w:sz w:val="24"/>
          <w:szCs w:val="24"/>
        </w:rPr>
        <w:t>,</w:t>
      </w:r>
      <w:r w:rsidR="009426A0" w:rsidRPr="009426A0">
        <w:rPr>
          <w:rFonts w:ascii="Times New Roman" w:hAnsi="Times New Roman" w:cs="Times New Roman"/>
          <w:sz w:val="24"/>
          <w:szCs w:val="24"/>
        </w:rPr>
        <w:t>3</w:t>
      </w:r>
      <w:r w:rsidR="00FA0C9C" w:rsidRPr="009426A0">
        <w:rPr>
          <w:rFonts w:ascii="Times New Roman" w:hAnsi="Times New Roman" w:cs="Times New Roman"/>
          <w:sz w:val="24"/>
          <w:szCs w:val="24"/>
        </w:rPr>
        <w:t>%),</w:t>
      </w:r>
      <w:r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9426A0">
        <w:rPr>
          <w:rFonts w:ascii="Times New Roman" w:hAnsi="Times New Roman" w:cs="Times New Roman"/>
          <w:sz w:val="24"/>
          <w:szCs w:val="24"/>
        </w:rPr>
        <w:t xml:space="preserve">pracownicy biurowi 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– </w:t>
      </w:r>
      <w:r w:rsidR="009426A0" w:rsidRPr="009426A0">
        <w:rPr>
          <w:rFonts w:ascii="Times New Roman" w:hAnsi="Times New Roman" w:cs="Times New Roman"/>
          <w:sz w:val="24"/>
          <w:szCs w:val="24"/>
        </w:rPr>
        <w:t>8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 </w:t>
      </w:r>
      <w:r w:rsidR="009426A0" w:rsidRPr="009426A0">
        <w:rPr>
          <w:rFonts w:ascii="Times New Roman" w:hAnsi="Times New Roman" w:cs="Times New Roman"/>
          <w:sz w:val="24"/>
          <w:szCs w:val="24"/>
        </w:rPr>
        <w:t>428</w:t>
      </w:r>
      <w:r w:rsidR="00FA0C9C" w:rsidRPr="009426A0">
        <w:rPr>
          <w:rFonts w:ascii="Times New Roman" w:hAnsi="Times New Roman" w:cs="Times New Roman"/>
          <w:sz w:val="24"/>
          <w:szCs w:val="24"/>
        </w:rPr>
        <w:t xml:space="preserve"> (1</w:t>
      </w:r>
      <w:r w:rsidR="009426A0" w:rsidRPr="009426A0">
        <w:rPr>
          <w:rFonts w:ascii="Times New Roman" w:hAnsi="Times New Roman" w:cs="Times New Roman"/>
          <w:sz w:val="24"/>
          <w:szCs w:val="24"/>
        </w:rPr>
        <w:t>1</w:t>
      </w:r>
      <w:r w:rsidR="00FA0C9C" w:rsidRPr="009426A0">
        <w:rPr>
          <w:rFonts w:ascii="Times New Roman" w:hAnsi="Times New Roman" w:cs="Times New Roman"/>
          <w:sz w:val="24"/>
          <w:szCs w:val="24"/>
        </w:rPr>
        <w:t>,</w:t>
      </w:r>
      <w:r w:rsidR="009426A0" w:rsidRPr="009426A0">
        <w:rPr>
          <w:rFonts w:ascii="Times New Roman" w:hAnsi="Times New Roman" w:cs="Times New Roman"/>
          <w:sz w:val="24"/>
          <w:szCs w:val="24"/>
        </w:rPr>
        <w:t>7</w:t>
      </w:r>
      <w:r w:rsidR="00FA0C9C" w:rsidRPr="009426A0">
        <w:rPr>
          <w:rFonts w:ascii="Times New Roman" w:hAnsi="Times New Roman" w:cs="Times New Roman"/>
          <w:sz w:val="24"/>
          <w:szCs w:val="24"/>
        </w:rPr>
        <w:t>%).</w:t>
      </w:r>
    </w:p>
    <w:p w:rsidR="00AA68D0" w:rsidRPr="00A42316" w:rsidRDefault="00AA68D0" w:rsidP="00D27A37">
      <w:pPr>
        <w:pStyle w:val="Default"/>
        <w:spacing w:line="360" w:lineRule="auto"/>
        <w:jc w:val="both"/>
        <w:rPr>
          <w:bCs/>
          <w:sz w:val="16"/>
          <w:szCs w:val="16"/>
          <w:highlight w:val="yellow"/>
        </w:rPr>
      </w:pPr>
    </w:p>
    <w:p w:rsidR="00614E9A" w:rsidRDefault="002648C9" w:rsidP="00614E9A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3" w:name="_Toc477160368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Wydatki</w:t>
      </w:r>
      <w:r w:rsidR="00AE5712"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Funduszu Pracy na aktywne formy promocji</w:t>
      </w:r>
      <w:bookmarkEnd w:id="23"/>
    </w:p>
    <w:p w:rsidR="002648C9" w:rsidRPr="00614E9A" w:rsidRDefault="002648C9" w:rsidP="00614E9A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4" w:name="_Toc477160369"/>
      <w:r w:rsidRPr="00614E9A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zatrudnienia</w:t>
      </w:r>
      <w:bookmarkEnd w:id="24"/>
    </w:p>
    <w:p w:rsidR="00A05D34" w:rsidRPr="00E613EA" w:rsidRDefault="00EF4A76" w:rsidP="00DD4FBC">
      <w:pPr>
        <w:pStyle w:val="Default"/>
        <w:jc w:val="center"/>
        <w:rPr>
          <w:highlight w:val="yellow"/>
        </w:rPr>
      </w:pPr>
      <w:r w:rsidRPr="00EF4A76">
        <w:rPr>
          <w:noProof/>
          <w:lang w:eastAsia="pl-PL"/>
        </w:rPr>
        <w:drawing>
          <wp:inline distT="0" distB="0" distL="0" distR="0" wp14:anchorId="7E1F075A" wp14:editId="076A0833">
            <wp:extent cx="5124611" cy="3896435"/>
            <wp:effectExtent l="0" t="0" r="0" b="8890"/>
            <wp:docPr id="682" name="Obraz 6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805" cy="3896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0D0" w:rsidRDefault="005A2876" w:rsidP="00DD4FBC">
      <w:pPr>
        <w:pStyle w:val="Bezodstpw"/>
        <w:ind w:left="1410" w:hanging="1410"/>
        <w:jc w:val="center"/>
        <w:rPr>
          <w:rFonts w:ascii="Times New Roman" w:hAnsi="Times New Roman" w:cs="Times New Roman"/>
          <w:highlight w:val="yellow"/>
        </w:rPr>
      </w:pPr>
      <w:r w:rsidRPr="005A2876">
        <w:rPr>
          <w:noProof/>
          <w:lang w:eastAsia="pl-PL"/>
        </w:rPr>
        <w:drawing>
          <wp:inline distT="0" distB="0" distL="0" distR="0" wp14:anchorId="770D058A" wp14:editId="499A6D80">
            <wp:extent cx="4892634" cy="3800104"/>
            <wp:effectExtent l="0" t="0" r="381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34" cy="3800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48D" w:rsidRPr="00333DBD" w:rsidRDefault="00DD4FBC" w:rsidP="00333DBD">
      <w:pPr>
        <w:pStyle w:val="Default"/>
        <w:pBdr>
          <w:bottom w:val="single" w:sz="4" w:space="1" w:color="auto"/>
        </w:pBdr>
        <w:jc w:val="both"/>
      </w:pPr>
      <w:r>
        <w:lastRenderedPageBreak/>
        <w:t>W</w:t>
      </w:r>
      <w:r w:rsidR="008260E7" w:rsidRPr="00333DBD">
        <w:t>nioski:</w:t>
      </w:r>
    </w:p>
    <w:p w:rsidR="003F048D" w:rsidRPr="005A2876" w:rsidRDefault="003F048D" w:rsidP="003F048D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A2876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5A2876">
        <w:rPr>
          <w:rFonts w:ascii="Times New Roman" w:hAnsi="Times New Roman" w:cs="Times New Roman"/>
          <w:sz w:val="16"/>
          <w:szCs w:val="16"/>
        </w:rPr>
        <w:t xml:space="preserve"> z </w:t>
      </w:r>
      <w:r w:rsidR="008E60D0" w:rsidRPr="005A2876">
        <w:rPr>
          <w:rFonts w:ascii="Times New Roman" w:hAnsi="Times New Roman" w:cs="Times New Roman"/>
          <w:sz w:val="16"/>
          <w:szCs w:val="16"/>
        </w:rPr>
        <w:t>t</w:t>
      </w:r>
      <w:r w:rsidRPr="005A2876">
        <w:rPr>
          <w:rFonts w:ascii="Times New Roman" w:hAnsi="Times New Roman" w:cs="Times New Roman"/>
          <w:sz w:val="16"/>
          <w:szCs w:val="16"/>
        </w:rPr>
        <w:t>abel</w:t>
      </w:r>
      <w:r w:rsidR="008E60D0" w:rsidRPr="005A2876">
        <w:rPr>
          <w:rFonts w:ascii="Times New Roman" w:hAnsi="Times New Roman" w:cs="Times New Roman"/>
          <w:sz w:val="16"/>
          <w:szCs w:val="16"/>
        </w:rPr>
        <w:t>:</w:t>
      </w:r>
      <w:r w:rsidRPr="005A2876">
        <w:rPr>
          <w:rFonts w:ascii="Times New Roman" w:hAnsi="Times New Roman" w:cs="Times New Roman"/>
          <w:sz w:val="16"/>
          <w:szCs w:val="16"/>
        </w:rPr>
        <w:t xml:space="preserve"> </w:t>
      </w:r>
      <w:r w:rsidR="000177FF" w:rsidRPr="005A2876">
        <w:rPr>
          <w:rFonts w:ascii="Times New Roman" w:hAnsi="Times New Roman" w:cs="Times New Roman"/>
          <w:sz w:val="16"/>
          <w:szCs w:val="16"/>
        </w:rPr>
        <w:t>XXVIII i XXIX</w:t>
      </w:r>
      <w:r w:rsidRPr="005A2876">
        <w:rPr>
          <w:rFonts w:ascii="Times New Roman" w:hAnsi="Times New Roman" w:cs="Times New Roman"/>
          <w:sz w:val="16"/>
          <w:szCs w:val="16"/>
        </w:rPr>
        <w:t>)</w:t>
      </w:r>
    </w:p>
    <w:p w:rsidR="00DD4FBC" w:rsidRPr="00DD4FBC" w:rsidRDefault="00DD4FBC" w:rsidP="003F048D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DD4FBC" w:rsidRDefault="002648C9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77FF">
        <w:rPr>
          <w:rFonts w:ascii="Times New Roman" w:hAnsi="Times New Roman" w:cs="Times New Roman"/>
          <w:sz w:val="24"/>
          <w:szCs w:val="24"/>
        </w:rPr>
        <w:t>Na działania</w:t>
      </w:r>
      <w:r w:rsidR="00AE5712" w:rsidRPr="000177FF">
        <w:rPr>
          <w:rFonts w:ascii="Times New Roman" w:hAnsi="Times New Roman" w:cs="Times New Roman"/>
          <w:sz w:val="24"/>
          <w:szCs w:val="24"/>
        </w:rPr>
        <w:t xml:space="preserve"> w</w:t>
      </w:r>
      <w:r w:rsidR="00DD4FBC">
        <w:rPr>
          <w:rFonts w:ascii="Times New Roman" w:hAnsi="Times New Roman" w:cs="Times New Roman"/>
          <w:sz w:val="24"/>
          <w:szCs w:val="24"/>
        </w:rPr>
        <w:t xml:space="preserve"> </w:t>
      </w:r>
      <w:r w:rsidR="008260E7" w:rsidRPr="000177FF">
        <w:rPr>
          <w:rFonts w:ascii="Times New Roman" w:hAnsi="Times New Roman" w:cs="Times New Roman"/>
          <w:sz w:val="24"/>
          <w:szCs w:val="24"/>
        </w:rPr>
        <w:t xml:space="preserve">zakresie realizacji </w:t>
      </w:r>
      <w:r w:rsidR="008260E7" w:rsidRPr="00EF4A76">
        <w:rPr>
          <w:rFonts w:ascii="Times New Roman" w:hAnsi="Times New Roman" w:cs="Times New Roman"/>
          <w:b/>
          <w:sz w:val="24"/>
          <w:szCs w:val="24"/>
        </w:rPr>
        <w:t>aktywnych form promocji zatrudnienia</w:t>
      </w:r>
      <w:r w:rsidR="008260E7" w:rsidRPr="000177FF">
        <w:rPr>
          <w:rFonts w:ascii="Times New Roman" w:hAnsi="Times New Roman" w:cs="Times New Roman"/>
          <w:sz w:val="24"/>
          <w:szCs w:val="24"/>
        </w:rPr>
        <w:t xml:space="preserve"> </w:t>
      </w:r>
      <w:r w:rsidRPr="000177FF">
        <w:rPr>
          <w:rFonts w:ascii="Times New Roman" w:hAnsi="Times New Roman" w:cs="Times New Roman"/>
          <w:sz w:val="24"/>
          <w:szCs w:val="24"/>
        </w:rPr>
        <w:t>wydatkowano</w:t>
      </w:r>
      <w:r w:rsidR="00AE5712" w:rsidRPr="000177FF">
        <w:rPr>
          <w:rFonts w:ascii="Times New Roman" w:hAnsi="Times New Roman" w:cs="Times New Roman"/>
          <w:sz w:val="24"/>
          <w:szCs w:val="24"/>
        </w:rPr>
        <w:t xml:space="preserve"> z</w:t>
      </w:r>
      <w:r w:rsidR="00DD4FBC">
        <w:rPr>
          <w:rFonts w:ascii="Times New Roman" w:hAnsi="Times New Roman" w:cs="Times New Roman"/>
          <w:sz w:val="24"/>
          <w:szCs w:val="24"/>
        </w:rPr>
        <w:t xml:space="preserve"> </w:t>
      </w:r>
      <w:r w:rsidRPr="000177FF">
        <w:rPr>
          <w:rFonts w:ascii="Times New Roman" w:hAnsi="Times New Roman" w:cs="Times New Roman"/>
          <w:sz w:val="24"/>
          <w:szCs w:val="24"/>
        </w:rPr>
        <w:t xml:space="preserve">Funduszu Pracy łącznie </w:t>
      </w:r>
      <w:r w:rsidR="007A4452" w:rsidRPr="007A4452">
        <w:rPr>
          <w:rFonts w:ascii="Times New Roman" w:hAnsi="Times New Roman" w:cs="Times New Roman"/>
          <w:sz w:val="24"/>
          <w:szCs w:val="24"/>
        </w:rPr>
        <w:t>3</w:t>
      </w:r>
      <w:r w:rsidR="00EF4A76">
        <w:rPr>
          <w:rFonts w:ascii="Times New Roman" w:hAnsi="Times New Roman" w:cs="Times New Roman"/>
          <w:sz w:val="24"/>
          <w:szCs w:val="24"/>
        </w:rPr>
        <w:t>34</w:t>
      </w:r>
      <w:r w:rsidRPr="007A4452">
        <w:rPr>
          <w:rFonts w:ascii="Times New Roman" w:hAnsi="Times New Roman" w:cs="Times New Roman"/>
          <w:sz w:val="24"/>
          <w:szCs w:val="24"/>
        </w:rPr>
        <w:t>,</w:t>
      </w:r>
      <w:r w:rsidR="00EF4A76">
        <w:rPr>
          <w:rFonts w:ascii="Times New Roman" w:hAnsi="Times New Roman" w:cs="Times New Roman"/>
          <w:sz w:val="24"/>
          <w:szCs w:val="24"/>
        </w:rPr>
        <w:t>56</w:t>
      </w:r>
      <w:r w:rsidR="008260E7" w:rsidRPr="007A4452">
        <w:rPr>
          <w:rFonts w:ascii="Times New Roman" w:hAnsi="Times New Roman" w:cs="Times New Roman"/>
          <w:sz w:val="24"/>
          <w:szCs w:val="24"/>
        </w:rPr>
        <w:t xml:space="preserve"> mln zł</w:t>
      </w:r>
      <w:r w:rsidRPr="007A4452">
        <w:rPr>
          <w:rFonts w:ascii="Times New Roman" w:hAnsi="Times New Roman" w:cs="Times New Roman"/>
          <w:sz w:val="24"/>
          <w:szCs w:val="24"/>
        </w:rPr>
        <w:t xml:space="preserve"> (w 201</w:t>
      </w:r>
      <w:r w:rsidR="007A4452" w:rsidRPr="007A4452">
        <w:rPr>
          <w:rFonts w:ascii="Times New Roman" w:hAnsi="Times New Roman" w:cs="Times New Roman"/>
          <w:sz w:val="24"/>
          <w:szCs w:val="24"/>
        </w:rPr>
        <w:t>5</w:t>
      </w:r>
      <w:r w:rsidR="009C4968" w:rsidRPr="007A4452">
        <w:rPr>
          <w:rFonts w:ascii="Times New Roman" w:hAnsi="Times New Roman" w:cs="Times New Roman"/>
          <w:sz w:val="24"/>
          <w:szCs w:val="24"/>
        </w:rPr>
        <w:t xml:space="preserve"> r</w:t>
      </w:r>
      <w:r w:rsidR="007A4452" w:rsidRPr="007A4452">
        <w:rPr>
          <w:rFonts w:ascii="Times New Roman" w:hAnsi="Times New Roman" w:cs="Times New Roman"/>
          <w:sz w:val="24"/>
          <w:szCs w:val="24"/>
        </w:rPr>
        <w:t>.</w:t>
      </w:r>
      <w:r w:rsidR="00EF4A76">
        <w:rPr>
          <w:rFonts w:ascii="Times New Roman" w:hAnsi="Times New Roman" w:cs="Times New Roman"/>
          <w:sz w:val="24"/>
          <w:szCs w:val="24"/>
        </w:rPr>
        <w:t xml:space="preserve"> </w:t>
      </w:r>
      <w:r w:rsidR="009C4968" w:rsidRPr="007A4452">
        <w:rPr>
          <w:rFonts w:ascii="Times New Roman" w:hAnsi="Times New Roman" w:cs="Times New Roman"/>
          <w:sz w:val="24"/>
          <w:szCs w:val="24"/>
        </w:rPr>
        <w:t>–</w:t>
      </w:r>
      <w:r w:rsidR="00EF4A76">
        <w:rPr>
          <w:rFonts w:ascii="Times New Roman" w:hAnsi="Times New Roman" w:cs="Times New Roman"/>
          <w:sz w:val="24"/>
          <w:szCs w:val="24"/>
        </w:rPr>
        <w:t xml:space="preserve"> </w:t>
      </w:r>
      <w:r w:rsidRPr="007A4452">
        <w:rPr>
          <w:rFonts w:ascii="Times New Roman" w:hAnsi="Times New Roman" w:cs="Times New Roman"/>
          <w:sz w:val="24"/>
          <w:szCs w:val="24"/>
        </w:rPr>
        <w:t>2</w:t>
      </w:r>
      <w:r w:rsidR="007A4452" w:rsidRPr="007A4452">
        <w:rPr>
          <w:rFonts w:ascii="Times New Roman" w:hAnsi="Times New Roman" w:cs="Times New Roman"/>
          <w:sz w:val="24"/>
          <w:szCs w:val="24"/>
        </w:rPr>
        <w:t>98</w:t>
      </w:r>
      <w:r w:rsidRPr="007A4452">
        <w:rPr>
          <w:rFonts w:ascii="Times New Roman" w:hAnsi="Times New Roman" w:cs="Times New Roman"/>
          <w:sz w:val="24"/>
          <w:szCs w:val="24"/>
        </w:rPr>
        <w:t>,</w:t>
      </w:r>
      <w:r w:rsidR="007A4452" w:rsidRPr="007A4452">
        <w:rPr>
          <w:rFonts w:ascii="Times New Roman" w:hAnsi="Times New Roman" w:cs="Times New Roman"/>
          <w:sz w:val="24"/>
          <w:szCs w:val="24"/>
        </w:rPr>
        <w:t>24</w:t>
      </w:r>
      <w:r w:rsidRPr="007A4452">
        <w:rPr>
          <w:rFonts w:ascii="Times New Roman" w:hAnsi="Times New Roman" w:cs="Times New Roman"/>
          <w:sz w:val="24"/>
          <w:szCs w:val="24"/>
        </w:rPr>
        <w:t xml:space="preserve"> mln zł).</w:t>
      </w:r>
    </w:p>
    <w:p w:rsidR="002648C9" w:rsidRPr="007A4452" w:rsidRDefault="00A05D34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4452">
        <w:rPr>
          <w:rFonts w:ascii="Times New Roman" w:hAnsi="Times New Roman" w:cs="Times New Roman"/>
          <w:sz w:val="24"/>
          <w:szCs w:val="24"/>
        </w:rPr>
        <w:t>Z</w:t>
      </w:r>
      <w:r w:rsidR="00DD4FBC">
        <w:rPr>
          <w:rFonts w:ascii="Times New Roman" w:hAnsi="Times New Roman" w:cs="Times New Roman"/>
          <w:sz w:val="24"/>
          <w:szCs w:val="24"/>
        </w:rPr>
        <w:t xml:space="preserve"> </w:t>
      </w:r>
      <w:r w:rsidR="002648C9" w:rsidRPr="007A4452">
        <w:rPr>
          <w:rFonts w:ascii="Times New Roman" w:hAnsi="Times New Roman" w:cs="Times New Roman"/>
          <w:sz w:val="24"/>
          <w:szCs w:val="24"/>
        </w:rPr>
        <w:t>tej kwoty</w:t>
      </w:r>
      <w:r w:rsidR="007E17AF" w:rsidRPr="007A4452">
        <w:rPr>
          <w:rFonts w:ascii="Times New Roman" w:hAnsi="Times New Roman" w:cs="Times New Roman"/>
          <w:sz w:val="24"/>
          <w:szCs w:val="24"/>
        </w:rPr>
        <w:t xml:space="preserve"> </w:t>
      </w:r>
      <w:r w:rsidR="00830271">
        <w:rPr>
          <w:rFonts w:ascii="Times New Roman" w:hAnsi="Times New Roman" w:cs="Times New Roman"/>
          <w:sz w:val="24"/>
          <w:szCs w:val="24"/>
        </w:rPr>
        <w:t>najbardziej istotnymi były wydatki w zakresie następujących aktywnych form</w:t>
      </w:r>
      <w:r w:rsidR="002648C9" w:rsidRPr="007A4452">
        <w:rPr>
          <w:rFonts w:ascii="Times New Roman" w:hAnsi="Times New Roman" w:cs="Times New Roman"/>
          <w:sz w:val="24"/>
          <w:szCs w:val="24"/>
        </w:rPr>
        <w:t>:</w:t>
      </w:r>
    </w:p>
    <w:p w:rsidR="00034D1E" w:rsidRPr="007A4452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EF4A76">
        <w:rPr>
          <w:b/>
        </w:rPr>
        <w:t>finansowani</w:t>
      </w:r>
      <w:r w:rsidR="00EF4A76">
        <w:rPr>
          <w:b/>
        </w:rPr>
        <w:t>a</w:t>
      </w:r>
      <w:r w:rsidRPr="00EF4A76">
        <w:rPr>
          <w:b/>
        </w:rPr>
        <w:t xml:space="preserve"> staży </w:t>
      </w:r>
      <w:r w:rsidR="007A4452" w:rsidRPr="00EF4A76">
        <w:rPr>
          <w:b/>
        </w:rPr>
        <w:t>99</w:t>
      </w:r>
      <w:r w:rsidR="002648C9" w:rsidRPr="00EF4A76">
        <w:rPr>
          <w:b/>
        </w:rPr>
        <w:t>,</w:t>
      </w:r>
      <w:r w:rsidR="007A4452" w:rsidRPr="00EF4A76">
        <w:rPr>
          <w:b/>
        </w:rPr>
        <w:t>01</w:t>
      </w:r>
      <w:r w:rsidR="008260E7" w:rsidRPr="00EF4A76">
        <w:rPr>
          <w:b/>
        </w:rPr>
        <w:t xml:space="preserve"> mln zł</w:t>
      </w:r>
      <w:r w:rsidR="008260E7" w:rsidRPr="007A4452">
        <w:t xml:space="preserve"> </w:t>
      </w:r>
      <w:r>
        <w:t xml:space="preserve">tj. </w:t>
      </w:r>
      <w:r w:rsidR="007A4452" w:rsidRPr="007A4452">
        <w:t>19</w:t>
      </w:r>
      <w:r w:rsidR="003F048D" w:rsidRPr="007A4452">
        <w:t>,</w:t>
      </w:r>
      <w:r w:rsidR="007A4452" w:rsidRPr="007A4452">
        <w:t>36</w:t>
      </w:r>
      <w:r w:rsidR="003F048D" w:rsidRPr="007A4452">
        <w:t xml:space="preserve">% </w:t>
      </w:r>
      <w:r w:rsidR="00EF4A76">
        <w:t xml:space="preserve">ogółu </w:t>
      </w:r>
      <w:r w:rsidR="003F048D" w:rsidRPr="007A4452">
        <w:t>wydatków</w:t>
      </w:r>
      <w:r w:rsidR="00AE5712" w:rsidRPr="007A4452">
        <w:t xml:space="preserve"> w </w:t>
      </w:r>
      <w:r w:rsidR="003F048D" w:rsidRPr="007A4452">
        <w:t>ramach FP</w:t>
      </w:r>
      <w:r w:rsidR="007A4452">
        <w:t>, co</w:t>
      </w:r>
      <w:r w:rsidR="003F048D" w:rsidRPr="007A4452">
        <w:t xml:space="preserve"> </w:t>
      </w:r>
      <w:r w:rsidR="007A4452">
        <w:t>s</w:t>
      </w:r>
      <w:r w:rsidR="003F048D" w:rsidRPr="007A4452">
        <w:t>tanowi</w:t>
      </w:r>
      <w:r w:rsidR="007A4452">
        <w:t xml:space="preserve"> </w:t>
      </w:r>
      <w:r w:rsidR="003F048D" w:rsidRPr="007A4452">
        <w:t xml:space="preserve">jednocześnie </w:t>
      </w:r>
      <w:r w:rsidR="007A4452">
        <w:t>28</w:t>
      </w:r>
      <w:r w:rsidR="002648C9" w:rsidRPr="007A4452">
        <w:t>,</w:t>
      </w:r>
      <w:r w:rsidR="00EF4A76">
        <w:t>59</w:t>
      </w:r>
      <w:r w:rsidR="002648C9" w:rsidRPr="007A4452">
        <w:t>%</w:t>
      </w:r>
      <w:r w:rsidR="00EF4A76">
        <w:t xml:space="preserve"> </w:t>
      </w:r>
      <w:r w:rsidR="002648C9" w:rsidRPr="007A4452">
        <w:t>wydatków na aktywne formy,</w:t>
      </w:r>
    </w:p>
    <w:p w:rsidR="00034D1E" w:rsidRPr="00A96872" w:rsidRDefault="00830271" w:rsidP="00A96872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 xml:space="preserve">w ramach podjęć działalności gospodarczej przez bezrobotnych </w:t>
      </w:r>
      <w:r w:rsidR="00C177DA" w:rsidRPr="00830271">
        <w:rPr>
          <w:b/>
        </w:rPr>
        <w:t>59</w:t>
      </w:r>
      <w:r w:rsidR="008260E7" w:rsidRPr="00830271">
        <w:rPr>
          <w:b/>
        </w:rPr>
        <w:t>,</w:t>
      </w:r>
      <w:r w:rsidR="00C177DA" w:rsidRPr="00830271">
        <w:rPr>
          <w:b/>
        </w:rPr>
        <w:t>86</w:t>
      </w:r>
      <w:r w:rsidR="008260E7" w:rsidRPr="00830271">
        <w:rPr>
          <w:b/>
        </w:rPr>
        <w:t xml:space="preserve"> mln zł</w:t>
      </w:r>
      <w:r>
        <w:rPr>
          <w:b/>
        </w:rPr>
        <w:t xml:space="preserve"> </w:t>
      </w:r>
      <w:r w:rsidRPr="00830271">
        <w:t>tj.</w:t>
      </w:r>
      <w:r>
        <w:t xml:space="preserve"> </w:t>
      </w:r>
      <w:r w:rsidR="00C177DA" w:rsidRPr="00A96872">
        <w:t>11</w:t>
      </w:r>
      <w:r w:rsidR="00034D1E" w:rsidRPr="00A96872">
        <w:t>,7</w:t>
      </w:r>
      <w:r w:rsidR="00C177DA" w:rsidRPr="00A96872">
        <w:t>1</w:t>
      </w:r>
      <w:r w:rsidR="00034D1E" w:rsidRPr="00A96872">
        <w:t>%</w:t>
      </w:r>
      <w:r>
        <w:t xml:space="preserve"> wydatków w ramach FP i jednocześnie </w:t>
      </w:r>
      <w:r w:rsidR="00A96872" w:rsidRPr="00A96872">
        <w:t>17,</w:t>
      </w:r>
      <w:r w:rsidR="00EF4A76">
        <w:t>89</w:t>
      </w:r>
      <w:r w:rsidR="00A96872" w:rsidRPr="00A96872">
        <w:t>% ogółu aktywnych form</w:t>
      </w:r>
      <w:r w:rsidR="00034D1E" w:rsidRPr="00A96872">
        <w:t>,</w:t>
      </w:r>
    </w:p>
    <w:p w:rsidR="002648C9" w:rsidRPr="000211FE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>dla pracodawców: na wyposażenie i doposażenie  utworzonych miejsc pracy</w:t>
      </w:r>
      <w:r>
        <w:rPr>
          <w:b/>
        </w:rPr>
        <w:t xml:space="preserve"> </w:t>
      </w:r>
      <w:r w:rsidR="000211FE" w:rsidRPr="00830271">
        <w:rPr>
          <w:b/>
        </w:rPr>
        <w:t>48</w:t>
      </w:r>
      <w:r w:rsidR="002648C9" w:rsidRPr="00830271">
        <w:rPr>
          <w:b/>
        </w:rPr>
        <w:t>,</w:t>
      </w:r>
      <w:r w:rsidR="000211FE" w:rsidRPr="00830271">
        <w:rPr>
          <w:b/>
        </w:rPr>
        <w:t>57</w:t>
      </w:r>
      <w:r w:rsidR="008260E7" w:rsidRPr="00830271">
        <w:rPr>
          <w:b/>
        </w:rPr>
        <w:t xml:space="preserve"> mln zł</w:t>
      </w:r>
      <w:r w:rsidR="008260E7" w:rsidRPr="000211FE">
        <w:t xml:space="preserve"> (</w:t>
      </w:r>
      <w:r w:rsidR="00034D1E" w:rsidRPr="000211FE">
        <w:t>9</w:t>
      </w:r>
      <w:r w:rsidR="002648C9" w:rsidRPr="000211FE">
        <w:t>,</w:t>
      </w:r>
      <w:r w:rsidR="000211FE" w:rsidRPr="000211FE">
        <w:t>5</w:t>
      </w:r>
      <w:r w:rsidR="002648C9" w:rsidRPr="000211FE">
        <w:t xml:space="preserve">%) </w:t>
      </w:r>
      <w:r w:rsidR="008260E7" w:rsidRPr="000211FE">
        <w:t>–</w:t>
      </w:r>
      <w:r w:rsidR="00EF4A76">
        <w:t xml:space="preserve"> </w:t>
      </w:r>
      <w:r w:rsidR="000211FE" w:rsidRPr="000211FE">
        <w:t>(14,</w:t>
      </w:r>
      <w:r w:rsidR="00EF4A76">
        <w:t>52</w:t>
      </w:r>
      <w:r w:rsidR="000211FE" w:rsidRPr="000211FE">
        <w:t>% aktywnych form)</w:t>
      </w:r>
      <w:r w:rsidR="002648C9" w:rsidRPr="000211FE">
        <w:t xml:space="preserve">, </w:t>
      </w:r>
    </w:p>
    <w:p w:rsidR="000211FE" w:rsidRPr="000211FE" w:rsidRDefault="00830271" w:rsidP="000211FE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>rob</w:t>
      </w:r>
      <w:r w:rsidR="00EF4A76">
        <w:rPr>
          <w:b/>
        </w:rPr>
        <w:t>ó</w:t>
      </w:r>
      <w:r w:rsidRPr="00830271">
        <w:rPr>
          <w:b/>
        </w:rPr>
        <w:t>t publiczn</w:t>
      </w:r>
      <w:r w:rsidR="00EF4A76">
        <w:rPr>
          <w:b/>
        </w:rPr>
        <w:t>ych</w:t>
      </w:r>
      <w:r w:rsidRPr="00830271">
        <w:rPr>
          <w:b/>
        </w:rPr>
        <w:t xml:space="preserve"> </w:t>
      </w:r>
      <w:r w:rsidR="000211FE" w:rsidRPr="00830271">
        <w:rPr>
          <w:b/>
        </w:rPr>
        <w:t>25,24 mln zł</w:t>
      </w:r>
      <w:r w:rsidR="000211FE" w:rsidRPr="000211FE">
        <w:t xml:space="preserve"> (4,94%) – (7,</w:t>
      </w:r>
      <w:r w:rsidR="00EF4A76">
        <w:t>54</w:t>
      </w:r>
      <w:r w:rsidR="000211FE" w:rsidRPr="000211FE">
        <w:t xml:space="preserve">% aktywnych form), </w:t>
      </w:r>
    </w:p>
    <w:p w:rsidR="00034D1E" w:rsidRPr="000211FE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>prac interwencyjn</w:t>
      </w:r>
      <w:r w:rsidR="00EF4A76">
        <w:rPr>
          <w:b/>
        </w:rPr>
        <w:t>ych</w:t>
      </w:r>
      <w:r w:rsidRPr="00830271">
        <w:rPr>
          <w:b/>
        </w:rPr>
        <w:t xml:space="preserve"> </w:t>
      </w:r>
      <w:r w:rsidR="008260E7" w:rsidRPr="00830271">
        <w:rPr>
          <w:b/>
        </w:rPr>
        <w:t>2</w:t>
      </w:r>
      <w:r w:rsidR="000211FE" w:rsidRPr="00830271">
        <w:rPr>
          <w:b/>
        </w:rPr>
        <w:t>2</w:t>
      </w:r>
      <w:r w:rsidR="008260E7" w:rsidRPr="00830271">
        <w:rPr>
          <w:b/>
        </w:rPr>
        <w:t>,</w:t>
      </w:r>
      <w:r w:rsidR="000211FE" w:rsidRPr="00830271">
        <w:rPr>
          <w:b/>
        </w:rPr>
        <w:t>05</w:t>
      </w:r>
      <w:r w:rsidR="008260E7" w:rsidRPr="00830271">
        <w:rPr>
          <w:b/>
        </w:rPr>
        <w:t xml:space="preserve"> ml</w:t>
      </w:r>
      <w:r>
        <w:rPr>
          <w:b/>
        </w:rPr>
        <w:t>n</w:t>
      </w:r>
      <w:r w:rsidR="008260E7" w:rsidRPr="00830271">
        <w:rPr>
          <w:b/>
        </w:rPr>
        <w:t xml:space="preserve"> zł</w:t>
      </w:r>
      <w:r w:rsidR="008260E7" w:rsidRPr="000211FE">
        <w:t xml:space="preserve"> (</w:t>
      </w:r>
      <w:r w:rsidR="000211FE" w:rsidRPr="000211FE">
        <w:t>4</w:t>
      </w:r>
      <w:r w:rsidR="00034D1E" w:rsidRPr="000211FE">
        <w:t>,</w:t>
      </w:r>
      <w:r w:rsidR="000211FE" w:rsidRPr="000211FE">
        <w:t>31</w:t>
      </w:r>
      <w:r w:rsidR="00034D1E" w:rsidRPr="000211FE">
        <w:t xml:space="preserve">%) </w:t>
      </w:r>
      <w:r w:rsidR="008260E7" w:rsidRPr="000211FE">
        <w:t xml:space="preserve">– </w:t>
      </w:r>
      <w:r w:rsidR="000211FE" w:rsidRPr="000211FE">
        <w:t>(6,</w:t>
      </w:r>
      <w:r w:rsidR="006D11DA">
        <w:t>59</w:t>
      </w:r>
      <w:r w:rsidR="000211FE" w:rsidRPr="000211FE">
        <w:t>% aktywnych form)</w:t>
      </w:r>
      <w:r w:rsidR="00034D1E" w:rsidRPr="000211FE">
        <w:t xml:space="preserve">, </w:t>
      </w:r>
    </w:p>
    <w:p w:rsidR="003D6041" w:rsidRPr="00830271" w:rsidRDefault="00830271" w:rsidP="00160DBC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>szkole</w:t>
      </w:r>
      <w:r w:rsidR="006D11DA">
        <w:rPr>
          <w:b/>
        </w:rPr>
        <w:t>ń</w:t>
      </w:r>
      <w:r w:rsidRPr="00830271">
        <w:rPr>
          <w:b/>
        </w:rPr>
        <w:t xml:space="preserve"> </w:t>
      </w:r>
      <w:r w:rsidR="000211FE" w:rsidRPr="00830271">
        <w:rPr>
          <w:b/>
        </w:rPr>
        <w:t>5</w:t>
      </w:r>
      <w:r w:rsidR="008260E7" w:rsidRPr="00830271">
        <w:rPr>
          <w:b/>
        </w:rPr>
        <w:t>,4</w:t>
      </w:r>
      <w:r w:rsidR="000211FE" w:rsidRPr="00830271">
        <w:rPr>
          <w:b/>
        </w:rPr>
        <w:t>8</w:t>
      </w:r>
      <w:r w:rsidR="008260E7" w:rsidRPr="00830271">
        <w:rPr>
          <w:b/>
        </w:rPr>
        <w:t xml:space="preserve"> mln z</w:t>
      </w:r>
      <w:r>
        <w:rPr>
          <w:b/>
        </w:rPr>
        <w:t xml:space="preserve">ł </w:t>
      </w:r>
      <w:r w:rsidR="008260E7" w:rsidRPr="00830271">
        <w:t>(</w:t>
      </w:r>
      <w:r w:rsidR="000211FE" w:rsidRPr="00830271">
        <w:t>1</w:t>
      </w:r>
      <w:r w:rsidR="003D6041" w:rsidRPr="00830271">
        <w:t>,</w:t>
      </w:r>
      <w:r w:rsidR="000211FE" w:rsidRPr="00830271">
        <w:t>07</w:t>
      </w:r>
      <w:r w:rsidR="003D6041" w:rsidRPr="00830271">
        <w:t xml:space="preserve">%) </w:t>
      </w:r>
      <w:r w:rsidR="008260E7" w:rsidRPr="00830271">
        <w:t xml:space="preserve">– </w:t>
      </w:r>
      <w:r w:rsidR="000211FE" w:rsidRPr="00830271">
        <w:t xml:space="preserve"> (1,6</w:t>
      </w:r>
      <w:r w:rsidR="00754F8F">
        <w:t>4</w:t>
      </w:r>
      <w:r w:rsidR="000211FE" w:rsidRPr="00830271">
        <w:t>% aktywnych form)</w:t>
      </w:r>
      <w:r w:rsidR="003D6041" w:rsidRPr="00830271">
        <w:t xml:space="preserve">, </w:t>
      </w:r>
    </w:p>
    <w:p w:rsidR="008260E7" w:rsidRDefault="00830271" w:rsidP="00D226A3">
      <w:pPr>
        <w:pStyle w:val="Default"/>
        <w:numPr>
          <w:ilvl w:val="0"/>
          <w:numId w:val="15"/>
        </w:numPr>
        <w:spacing w:line="360" w:lineRule="auto"/>
        <w:jc w:val="both"/>
      </w:pPr>
      <w:r w:rsidRPr="00830271">
        <w:rPr>
          <w:b/>
        </w:rPr>
        <w:t>stypendi</w:t>
      </w:r>
      <w:r w:rsidR="00754F8F">
        <w:rPr>
          <w:b/>
        </w:rPr>
        <w:t>ów</w:t>
      </w:r>
      <w:r w:rsidRPr="00830271">
        <w:rPr>
          <w:b/>
        </w:rPr>
        <w:t xml:space="preserve"> i skład</w:t>
      </w:r>
      <w:r w:rsidR="00754F8F">
        <w:rPr>
          <w:b/>
        </w:rPr>
        <w:t>ek</w:t>
      </w:r>
      <w:r w:rsidRPr="00830271">
        <w:rPr>
          <w:b/>
        </w:rPr>
        <w:t xml:space="preserve"> na ubezpieczenia społeczne 4</w:t>
      </w:r>
      <w:r w:rsidR="002648C9" w:rsidRPr="00830271">
        <w:rPr>
          <w:b/>
        </w:rPr>
        <w:t>,</w:t>
      </w:r>
      <w:r w:rsidRPr="00830271">
        <w:rPr>
          <w:b/>
        </w:rPr>
        <w:t>35</w:t>
      </w:r>
      <w:r w:rsidR="002648C9" w:rsidRPr="00830271">
        <w:rPr>
          <w:b/>
        </w:rPr>
        <w:t xml:space="preserve"> mln</w:t>
      </w:r>
      <w:r w:rsidR="008260E7" w:rsidRPr="00830271">
        <w:rPr>
          <w:b/>
        </w:rPr>
        <w:t xml:space="preserve"> z</w:t>
      </w:r>
      <w:r w:rsidRPr="00830271">
        <w:rPr>
          <w:b/>
        </w:rPr>
        <w:t xml:space="preserve">ł </w:t>
      </w:r>
      <w:r w:rsidR="008260E7" w:rsidRPr="00830271">
        <w:t>(</w:t>
      </w:r>
      <w:r w:rsidR="00754F8F">
        <w:t>0</w:t>
      </w:r>
      <w:r w:rsidR="002648C9" w:rsidRPr="00830271">
        <w:t>,</w:t>
      </w:r>
      <w:r w:rsidR="00754F8F">
        <w:t>85</w:t>
      </w:r>
      <w:r w:rsidR="002648C9" w:rsidRPr="00830271">
        <w:t>%)</w:t>
      </w:r>
      <w:r>
        <w:t xml:space="preserve"> – </w:t>
      </w:r>
      <w:r w:rsidRPr="00830271">
        <w:t>(1,3% aktywnych form)</w:t>
      </w:r>
      <w:r w:rsidR="00EB2644" w:rsidRPr="00830271">
        <w:t>.</w:t>
      </w:r>
    </w:p>
    <w:p w:rsidR="00DD4FBC" w:rsidRPr="00830271" w:rsidRDefault="00DD4FBC" w:rsidP="00DD4FBC">
      <w:pPr>
        <w:pStyle w:val="Default"/>
        <w:spacing w:line="360" w:lineRule="auto"/>
        <w:jc w:val="both"/>
      </w:pPr>
    </w:p>
    <w:p w:rsidR="00830271" w:rsidRDefault="00830271" w:rsidP="00830271">
      <w:pPr>
        <w:pStyle w:val="Default"/>
        <w:numPr>
          <w:ilvl w:val="0"/>
          <w:numId w:val="10"/>
        </w:numPr>
        <w:spacing w:line="360" w:lineRule="auto"/>
        <w:jc w:val="both"/>
      </w:pPr>
      <w:r w:rsidRPr="007A4452">
        <w:t>Staże były najczęściej realizowaną formą aktywizacji we wszystkich powiatach i miastach na prawach powiatu.</w:t>
      </w:r>
    </w:p>
    <w:p w:rsidR="00830271" w:rsidRPr="00830271" w:rsidRDefault="008515B9" w:rsidP="00830271">
      <w:pPr>
        <w:pStyle w:val="Default"/>
        <w:spacing w:line="360" w:lineRule="auto"/>
        <w:ind w:left="360"/>
        <w:jc w:val="both"/>
      </w:pPr>
      <w:r w:rsidRPr="00830271">
        <w:t>Najwięcej osób bezrobotnych skorzystało</w:t>
      </w:r>
      <w:r w:rsidR="00AE5712" w:rsidRPr="00830271">
        <w:t xml:space="preserve"> z </w:t>
      </w:r>
      <w:r w:rsidRPr="00830271">
        <w:t>następujących form aktywizacji zawodowej:</w:t>
      </w:r>
    </w:p>
    <w:p w:rsidR="00830271" w:rsidRPr="00830271" w:rsidRDefault="008515B9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830271">
        <w:t>staż</w:t>
      </w:r>
      <w:r w:rsidR="00754F8F">
        <w:t>y</w:t>
      </w:r>
      <w:r w:rsidRPr="00830271">
        <w:t xml:space="preserve"> (1</w:t>
      </w:r>
      <w:r w:rsidR="00830271" w:rsidRPr="00830271">
        <w:t>4</w:t>
      </w:r>
      <w:r w:rsidRPr="00830271">
        <w:t> </w:t>
      </w:r>
      <w:r w:rsidR="00830271" w:rsidRPr="00830271">
        <w:t>194</w:t>
      </w:r>
      <w:r w:rsidRPr="00830271">
        <w:t>),</w:t>
      </w:r>
    </w:p>
    <w:p w:rsidR="00830271" w:rsidRPr="00830271" w:rsidRDefault="00830271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830271">
        <w:t>refundacj</w:t>
      </w:r>
      <w:r w:rsidR="00754F8F">
        <w:t>i</w:t>
      </w:r>
      <w:r w:rsidRPr="00830271">
        <w:t xml:space="preserve"> kosztów utworzenia stanowiska pracy (3 892)</w:t>
      </w:r>
      <w:r w:rsidR="003E3617">
        <w:t>,</w:t>
      </w:r>
    </w:p>
    <w:p w:rsidR="00830271" w:rsidRPr="003E3617" w:rsidRDefault="008515B9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3E3617">
        <w:t>prac interwencyjn</w:t>
      </w:r>
      <w:r w:rsidR="00754F8F">
        <w:t>ych</w:t>
      </w:r>
      <w:r w:rsidRPr="003E3617">
        <w:t xml:space="preserve"> (</w:t>
      </w:r>
      <w:r w:rsidR="00830271" w:rsidRPr="003E3617">
        <w:t>3</w:t>
      </w:r>
      <w:r w:rsidRPr="003E3617">
        <w:t> 8</w:t>
      </w:r>
      <w:r w:rsidR="00830271" w:rsidRPr="003E3617">
        <w:t>79</w:t>
      </w:r>
      <w:r w:rsidRPr="003E3617">
        <w:t>)</w:t>
      </w:r>
      <w:r w:rsidR="003E3617" w:rsidRPr="003E3617">
        <w:t>,</w:t>
      </w:r>
    </w:p>
    <w:p w:rsidR="003E3617" w:rsidRDefault="00754F8F" w:rsidP="003E3617">
      <w:pPr>
        <w:pStyle w:val="Default"/>
        <w:numPr>
          <w:ilvl w:val="0"/>
          <w:numId w:val="27"/>
        </w:numPr>
        <w:spacing w:line="360" w:lineRule="auto"/>
        <w:jc w:val="both"/>
      </w:pPr>
      <w:r>
        <w:t>utworzenia własnej działalności g</w:t>
      </w:r>
      <w:r w:rsidR="003E3617" w:rsidRPr="003E3617">
        <w:t>ospodarcz</w:t>
      </w:r>
      <w:r>
        <w:t>ej</w:t>
      </w:r>
      <w:r w:rsidR="003E3617" w:rsidRPr="003E3617">
        <w:t xml:space="preserve"> (2 992)</w:t>
      </w:r>
      <w:r w:rsidR="003E3617">
        <w:t>,</w:t>
      </w:r>
    </w:p>
    <w:p w:rsidR="00201D31" w:rsidRDefault="00201D31" w:rsidP="003E3617">
      <w:pPr>
        <w:pStyle w:val="Default"/>
        <w:numPr>
          <w:ilvl w:val="0"/>
          <w:numId w:val="27"/>
        </w:numPr>
        <w:spacing w:line="360" w:lineRule="auto"/>
        <w:jc w:val="both"/>
      </w:pPr>
      <w:r w:rsidRPr="00754F8F">
        <w:t>zatrudnienia bezrobotnych przy realizacji robót publicznych (2 670).</w:t>
      </w:r>
    </w:p>
    <w:p w:rsidR="00201D31" w:rsidRDefault="00201D31" w:rsidP="00201D31">
      <w:pPr>
        <w:pStyle w:val="Default"/>
        <w:numPr>
          <w:ilvl w:val="0"/>
          <w:numId w:val="10"/>
        </w:numPr>
        <w:spacing w:line="360" w:lineRule="auto"/>
        <w:jc w:val="both"/>
      </w:pPr>
      <w:r>
        <w:t>Wzrost udziału pozostałych aktywnych form wynikał głownie z refundacji wynagrodzeń osobom do 30 roku życia.</w:t>
      </w:r>
    </w:p>
    <w:p w:rsidR="00201D31" w:rsidRDefault="00201D31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 w:rsidP="00201D31">
      <w:pPr>
        <w:pStyle w:val="Default"/>
        <w:jc w:val="both"/>
        <w:rPr>
          <w:sz w:val="16"/>
          <w:szCs w:val="16"/>
        </w:rPr>
      </w:pPr>
    </w:p>
    <w:p w:rsidR="00DD4FBC" w:rsidRDefault="00DD4FBC">
      <w:pPr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sz w:val="16"/>
          <w:szCs w:val="16"/>
        </w:rPr>
        <w:br w:type="page"/>
      </w:r>
    </w:p>
    <w:p w:rsidR="0096006B" w:rsidRPr="00333DBD" w:rsidRDefault="0096006B" w:rsidP="00D87433">
      <w:pPr>
        <w:pStyle w:val="Default"/>
        <w:jc w:val="both"/>
        <w:outlineLvl w:val="1"/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5" w:name="_Toc477160370"/>
      <w:r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lastRenderedPageBreak/>
        <w:t>Zwolnienia</w:t>
      </w:r>
      <w:r w:rsidR="00AE5712"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z </w:t>
      </w:r>
      <w:r w:rsidRPr="00333DBD">
        <w:rPr>
          <w:b/>
          <w:bCs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przyczyn niedotyczących pracowników</w:t>
      </w:r>
      <w:bookmarkEnd w:id="25"/>
    </w:p>
    <w:p w:rsidR="0096006B" w:rsidRPr="00DD4FBC" w:rsidRDefault="0096006B" w:rsidP="009A1F42">
      <w:pPr>
        <w:pStyle w:val="Default"/>
        <w:jc w:val="both"/>
        <w:rPr>
          <w:bCs/>
          <w:sz w:val="16"/>
          <w:szCs w:val="16"/>
          <w:highlight w:val="yellow"/>
        </w:rPr>
      </w:pPr>
    </w:p>
    <w:p w:rsidR="007A067F" w:rsidRDefault="007A067F" w:rsidP="007A067F">
      <w:pPr>
        <w:autoSpaceDE w:val="0"/>
        <w:autoSpaceDN w:val="0"/>
        <w:adjustRightInd w:val="0"/>
        <w:spacing w:after="0" w:line="240" w:lineRule="auto"/>
        <w:ind w:left="1410" w:hanging="1410"/>
        <w:jc w:val="center"/>
        <w:rPr>
          <w:rFonts w:ascii="Times New Roman" w:hAnsi="Times New Roman" w:cs="Times New Roman"/>
          <w:bCs/>
          <w:color w:val="000000"/>
          <w:szCs w:val="24"/>
          <w:highlight w:val="yellow"/>
        </w:rPr>
      </w:pPr>
      <w:r w:rsidRPr="007A067F">
        <w:rPr>
          <w:noProof/>
          <w:lang w:eastAsia="pl-PL"/>
        </w:rPr>
        <w:drawing>
          <wp:inline distT="0" distB="0" distL="0" distR="0" wp14:anchorId="1774BDCC" wp14:editId="74A1F926">
            <wp:extent cx="4592470" cy="3800902"/>
            <wp:effectExtent l="0" t="0" r="0" b="9525"/>
            <wp:docPr id="680" name="Obraz 6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547" cy="3800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FBC" w:rsidRDefault="00DD4FBC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Cs w:val="24"/>
        </w:rPr>
      </w:pPr>
    </w:p>
    <w:p w:rsidR="00B50749" w:rsidRDefault="008121C5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Cs w:val="24"/>
        </w:rPr>
      </w:pPr>
      <w:r w:rsidRPr="003E3617">
        <w:rPr>
          <w:rFonts w:ascii="Times New Roman" w:hAnsi="Times New Roman" w:cs="Times New Roman"/>
          <w:bCs/>
          <w:color w:val="000000"/>
          <w:szCs w:val="24"/>
        </w:rPr>
        <w:t>Wykres 1</w:t>
      </w:r>
      <w:r w:rsidR="003E3617" w:rsidRPr="003E3617">
        <w:rPr>
          <w:rFonts w:ascii="Times New Roman" w:hAnsi="Times New Roman" w:cs="Times New Roman"/>
          <w:bCs/>
          <w:color w:val="000000"/>
          <w:szCs w:val="24"/>
        </w:rPr>
        <w:t>2</w:t>
      </w:r>
      <w:r w:rsidRPr="003E3617">
        <w:rPr>
          <w:rFonts w:ascii="Times New Roman" w:hAnsi="Times New Roman" w:cs="Times New Roman"/>
          <w:bCs/>
          <w:color w:val="000000"/>
          <w:szCs w:val="24"/>
        </w:rPr>
        <w:t xml:space="preserve">. </w:t>
      </w:r>
      <w:r w:rsidR="0083581A" w:rsidRPr="003E3617">
        <w:rPr>
          <w:rFonts w:ascii="Times New Roman" w:hAnsi="Times New Roman" w:cs="Times New Roman"/>
          <w:bCs/>
          <w:color w:val="000000"/>
          <w:szCs w:val="24"/>
        </w:rPr>
        <w:tab/>
      </w:r>
      <w:r w:rsidRPr="003E3617">
        <w:rPr>
          <w:rFonts w:ascii="Times New Roman" w:hAnsi="Times New Roman" w:cs="Times New Roman"/>
          <w:bCs/>
          <w:color w:val="000000"/>
          <w:szCs w:val="24"/>
        </w:rPr>
        <w:t>Osoby zgłoszone oraz zwolnione</w:t>
      </w:r>
      <w:r w:rsidR="00AE5712" w:rsidRPr="003E3617">
        <w:rPr>
          <w:rFonts w:ascii="Times New Roman" w:hAnsi="Times New Roman" w:cs="Times New Roman"/>
          <w:bCs/>
          <w:color w:val="000000"/>
          <w:szCs w:val="24"/>
        </w:rPr>
        <w:t xml:space="preserve"> z </w:t>
      </w:r>
      <w:r w:rsidRPr="003E3617">
        <w:rPr>
          <w:rFonts w:ascii="Times New Roman" w:hAnsi="Times New Roman" w:cs="Times New Roman"/>
          <w:bCs/>
          <w:color w:val="000000"/>
          <w:szCs w:val="24"/>
        </w:rPr>
        <w:t>przyczyn niedotyczących pracowników</w:t>
      </w:r>
    </w:p>
    <w:p w:rsidR="008121C5" w:rsidRPr="003E3617" w:rsidRDefault="00B50749" w:rsidP="0083581A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ascii="Times New Roman" w:hAnsi="Times New Roman" w:cs="Times New Roman"/>
          <w:bCs/>
          <w:color w:val="000000"/>
          <w:szCs w:val="24"/>
        </w:rPr>
        <w:t xml:space="preserve">                         </w:t>
      </w:r>
      <w:r w:rsidR="00AE5712" w:rsidRPr="003E3617">
        <w:rPr>
          <w:rFonts w:ascii="Times New Roman" w:hAnsi="Times New Roman" w:cs="Times New Roman"/>
          <w:bCs/>
          <w:color w:val="000000"/>
          <w:szCs w:val="24"/>
        </w:rPr>
        <w:t xml:space="preserve"> w </w:t>
      </w:r>
      <w:r w:rsidR="008121C5" w:rsidRPr="003E3617">
        <w:rPr>
          <w:rFonts w:ascii="Times New Roman" w:hAnsi="Times New Roman" w:cs="Times New Roman"/>
          <w:bCs/>
          <w:color w:val="000000"/>
          <w:szCs w:val="24"/>
        </w:rPr>
        <w:t>województwie podkarpackim</w:t>
      </w:r>
      <w:r w:rsidR="00AE5712" w:rsidRPr="003E3617">
        <w:rPr>
          <w:rFonts w:ascii="Times New Roman" w:hAnsi="Times New Roman" w:cs="Times New Roman"/>
          <w:bCs/>
          <w:color w:val="000000"/>
          <w:szCs w:val="24"/>
        </w:rPr>
        <w:t xml:space="preserve"> w </w:t>
      </w:r>
      <w:r w:rsidR="008121C5" w:rsidRPr="003E3617">
        <w:rPr>
          <w:rFonts w:ascii="Times New Roman" w:hAnsi="Times New Roman" w:cs="Times New Roman"/>
          <w:bCs/>
          <w:color w:val="000000"/>
          <w:szCs w:val="24"/>
        </w:rPr>
        <w:t>latach 2010 – 201</w:t>
      </w:r>
      <w:r w:rsidR="003E3617" w:rsidRPr="003E3617">
        <w:rPr>
          <w:rFonts w:ascii="Times New Roman" w:hAnsi="Times New Roman" w:cs="Times New Roman"/>
          <w:bCs/>
          <w:color w:val="000000"/>
          <w:szCs w:val="24"/>
        </w:rPr>
        <w:t>6</w:t>
      </w:r>
    </w:p>
    <w:p w:rsidR="008121C5" w:rsidRPr="00E613EA" w:rsidRDefault="00201D31" w:rsidP="008121C5">
      <w:pPr>
        <w:pStyle w:val="Default"/>
        <w:jc w:val="both"/>
        <w:rPr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765760" behindDoc="1" locked="0" layoutInCell="1" allowOverlap="1" wp14:anchorId="04E00FEF" wp14:editId="22CFF14F">
            <wp:simplePos x="0" y="0"/>
            <wp:positionH relativeFrom="column">
              <wp:posOffset>143510</wp:posOffset>
            </wp:positionH>
            <wp:positionV relativeFrom="paragraph">
              <wp:posOffset>22860</wp:posOffset>
            </wp:positionV>
            <wp:extent cx="5486400" cy="2729230"/>
            <wp:effectExtent l="0" t="0" r="0" b="0"/>
            <wp:wrapTight wrapText="bothSides">
              <wp:wrapPolygon edited="0">
                <wp:start x="5475" y="151"/>
                <wp:lineTo x="1950" y="1357"/>
                <wp:lineTo x="2025" y="8895"/>
                <wp:lineTo x="2550" y="10101"/>
                <wp:lineTo x="2400" y="10101"/>
                <wp:lineTo x="2250" y="10554"/>
                <wp:lineTo x="2475" y="15831"/>
                <wp:lineTo x="3825" y="17338"/>
                <wp:lineTo x="3825" y="17941"/>
                <wp:lineTo x="10200" y="19751"/>
                <wp:lineTo x="12075" y="19901"/>
                <wp:lineTo x="16125" y="20806"/>
                <wp:lineTo x="16575" y="21107"/>
                <wp:lineTo x="17700" y="21107"/>
                <wp:lineTo x="17775" y="20806"/>
                <wp:lineTo x="18675" y="19751"/>
                <wp:lineTo x="19050" y="17791"/>
                <wp:lineTo x="19200" y="10101"/>
                <wp:lineTo x="19200" y="2865"/>
                <wp:lineTo x="18675" y="2865"/>
                <wp:lineTo x="19200" y="1206"/>
                <wp:lineTo x="18150" y="1055"/>
                <wp:lineTo x="6675" y="151"/>
                <wp:lineTo x="5475" y="151"/>
              </wp:wrapPolygon>
            </wp:wrapTight>
            <wp:docPr id="6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Default="008121C5" w:rsidP="008121C5">
      <w:pPr>
        <w:pStyle w:val="Default"/>
        <w:jc w:val="both"/>
        <w:rPr>
          <w:highlight w:val="yellow"/>
        </w:rPr>
      </w:pPr>
    </w:p>
    <w:p w:rsidR="00DD4FBC" w:rsidRDefault="00DD4FBC" w:rsidP="008121C5">
      <w:pPr>
        <w:pStyle w:val="Default"/>
        <w:jc w:val="both"/>
        <w:rPr>
          <w:highlight w:val="yellow"/>
        </w:rPr>
      </w:pPr>
    </w:p>
    <w:p w:rsidR="00DD4FBC" w:rsidRDefault="00DD4FBC" w:rsidP="008121C5">
      <w:pPr>
        <w:pStyle w:val="Default"/>
        <w:jc w:val="both"/>
        <w:rPr>
          <w:highlight w:val="yellow"/>
        </w:rPr>
      </w:pPr>
    </w:p>
    <w:p w:rsidR="00DD4FBC" w:rsidRDefault="00DD4FBC" w:rsidP="008121C5">
      <w:pPr>
        <w:pStyle w:val="Default"/>
        <w:jc w:val="both"/>
        <w:rPr>
          <w:highlight w:val="yellow"/>
        </w:rPr>
      </w:pPr>
    </w:p>
    <w:p w:rsidR="00DD4FBC" w:rsidRPr="00E613EA" w:rsidRDefault="00DD4FBC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8121C5" w:rsidRPr="00E613EA" w:rsidRDefault="008121C5" w:rsidP="008121C5">
      <w:pPr>
        <w:pStyle w:val="Default"/>
        <w:jc w:val="both"/>
        <w:rPr>
          <w:highlight w:val="yellow"/>
        </w:rPr>
      </w:pPr>
    </w:p>
    <w:p w:rsidR="00201D31" w:rsidRDefault="00201D31" w:rsidP="007A067F">
      <w:pPr>
        <w:pStyle w:val="Default"/>
        <w:pBdr>
          <w:bottom w:val="single" w:sz="4" w:space="1" w:color="auto"/>
        </w:pBdr>
        <w:jc w:val="both"/>
      </w:pPr>
    </w:p>
    <w:p w:rsidR="00DD4FBC" w:rsidRDefault="00DD4FBC" w:rsidP="007A067F">
      <w:pPr>
        <w:pStyle w:val="Default"/>
        <w:pBdr>
          <w:bottom w:val="single" w:sz="4" w:space="1" w:color="auto"/>
        </w:pBdr>
        <w:jc w:val="both"/>
      </w:pPr>
    </w:p>
    <w:p w:rsidR="008121C5" w:rsidRPr="007A067F" w:rsidRDefault="00492E52" w:rsidP="007A067F">
      <w:pPr>
        <w:pStyle w:val="Default"/>
        <w:pBdr>
          <w:bottom w:val="single" w:sz="4" w:space="1" w:color="auto"/>
        </w:pBdr>
        <w:jc w:val="both"/>
      </w:pPr>
      <w:r w:rsidRPr="007A067F">
        <w:t>Wnioski</w:t>
      </w:r>
      <w:r w:rsidR="00F261F7" w:rsidRPr="007A067F">
        <w:t>:</w:t>
      </w:r>
    </w:p>
    <w:p w:rsidR="008121C5" w:rsidRPr="005A2876" w:rsidRDefault="008121C5" w:rsidP="008121C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5A2876">
        <w:rPr>
          <w:rFonts w:ascii="Times New Roman" w:hAnsi="Times New Roman" w:cs="Times New Roman"/>
          <w:sz w:val="16"/>
          <w:szCs w:val="16"/>
        </w:rPr>
        <w:t>(na podstawie danych</w:t>
      </w:r>
      <w:r w:rsidR="00AE5712" w:rsidRPr="005A2876">
        <w:rPr>
          <w:rFonts w:ascii="Times New Roman" w:hAnsi="Times New Roman" w:cs="Times New Roman"/>
          <w:sz w:val="16"/>
          <w:szCs w:val="16"/>
        </w:rPr>
        <w:t xml:space="preserve"> z </w:t>
      </w:r>
      <w:r w:rsidR="003E3617" w:rsidRPr="005A2876">
        <w:rPr>
          <w:rFonts w:ascii="Times New Roman" w:hAnsi="Times New Roman" w:cs="Times New Roman"/>
          <w:sz w:val="16"/>
          <w:szCs w:val="16"/>
        </w:rPr>
        <w:t>t</w:t>
      </w:r>
      <w:r w:rsidRPr="005A2876">
        <w:rPr>
          <w:rFonts w:ascii="Times New Roman" w:hAnsi="Times New Roman" w:cs="Times New Roman"/>
          <w:sz w:val="16"/>
          <w:szCs w:val="16"/>
        </w:rPr>
        <w:t xml:space="preserve">abeli </w:t>
      </w:r>
      <w:r w:rsidR="003E3617" w:rsidRPr="005A2876">
        <w:rPr>
          <w:rFonts w:ascii="Times New Roman" w:hAnsi="Times New Roman" w:cs="Times New Roman"/>
          <w:sz w:val="16"/>
          <w:szCs w:val="16"/>
        </w:rPr>
        <w:t>XXX</w:t>
      </w:r>
      <w:r w:rsidR="00AE5712" w:rsidRPr="005A2876">
        <w:rPr>
          <w:rFonts w:ascii="Times New Roman" w:hAnsi="Times New Roman" w:cs="Times New Roman"/>
          <w:sz w:val="16"/>
          <w:szCs w:val="16"/>
        </w:rPr>
        <w:t xml:space="preserve"> i </w:t>
      </w:r>
      <w:r w:rsidR="003E3617" w:rsidRPr="005A2876">
        <w:rPr>
          <w:rFonts w:ascii="Times New Roman" w:hAnsi="Times New Roman" w:cs="Times New Roman"/>
          <w:sz w:val="16"/>
          <w:szCs w:val="16"/>
        </w:rPr>
        <w:t>w</w:t>
      </w:r>
      <w:r w:rsidR="00F261F7" w:rsidRPr="005A2876">
        <w:rPr>
          <w:rFonts w:ascii="Times New Roman" w:hAnsi="Times New Roman" w:cs="Times New Roman"/>
          <w:sz w:val="16"/>
          <w:szCs w:val="16"/>
        </w:rPr>
        <w:t>ykresu 1</w:t>
      </w:r>
      <w:r w:rsidR="003E3617" w:rsidRPr="005A2876">
        <w:rPr>
          <w:rFonts w:ascii="Times New Roman" w:hAnsi="Times New Roman" w:cs="Times New Roman"/>
          <w:sz w:val="16"/>
          <w:szCs w:val="16"/>
        </w:rPr>
        <w:t>2</w:t>
      </w:r>
      <w:r w:rsidRPr="005A2876">
        <w:rPr>
          <w:rFonts w:ascii="Times New Roman" w:hAnsi="Times New Roman" w:cs="Times New Roman"/>
          <w:sz w:val="16"/>
          <w:szCs w:val="16"/>
        </w:rPr>
        <w:t>)</w:t>
      </w:r>
    </w:p>
    <w:p w:rsidR="00201D31" w:rsidRPr="00916BC0" w:rsidRDefault="00201D31" w:rsidP="008121C5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8121C5" w:rsidRPr="00C837FF" w:rsidRDefault="0096006B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7FF">
        <w:rPr>
          <w:rFonts w:ascii="Times New Roman" w:hAnsi="Times New Roman" w:cs="Times New Roman"/>
          <w:sz w:val="24"/>
          <w:szCs w:val="24"/>
        </w:rPr>
        <w:t>Zamiar zwolnienia</w:t>
      </w:r>
      <w:r w:rsidR="00AE5712" w:rsidRPr="00C837FF">
        <w:rPr>
          <w:rFonts w:ascii="Times New Roman" w:hAnsi="Times New Roman" w:cs="Times New Roman"/>
          <w:sz w:val="24"/>
          <w:szCs w:val="24"/>
        </w:rPr>
        <w:t xml:space="preserve"> z </w:t>
      </w:r>
      <w:r w:rsidRPr="00C837FF">
        <w:rPr>
          <w:rFonts w:ascii="Times New Roman" w:hAnsi="Times New Roman" w:cs="Times New Roman"/>
          <w:sz w:val="24"/>
          <w:szCs w:val="24"/>
        </w:rPr>
        <w:t xml:space="preserve">przyczyn </w:t>
      </w:r>
      <w:r w:rsidR="008121C5" w:rsidRPr="00C837FF">
        <w:rPr>
          <w:rFonts w:ascii="Times New Roman" w:hAnsi="Times New Roman" w:cs="Times New Roman"/>
          <w:sz w:val="24"/>
          <w:szCs w:val="24"/>
        </w:rPr>
        <w:t xml:space="preserve">dotyczących zakładu pracy </w:t>
      </w:r>
      <w:r w:rsidRPr="00C837FF">
        <w:rPr>
          <w:rFonts w:ascii="Times New Roman" w:hAnsi="Times New Roman" w:cs="Times New Roman"/>
          <w:sz w:val="24"/>
          <w:szCs w:val="24"/>
        </w:rPr>
        <w:t xml:space="preserve">zgłosiło ogółem </w:t>
      </w:r>
      <w:r w:rsidR="00C837FF" w:rsidRPr="00C837FF">
        <w:rPr>
          <w:rFonts w:ascii="Times New Roman" w:hAnsi="Times New Roman" w:cs="Times New Roman"/>
          <w:sz w:val="24"/>
          <w:szCs w:val="24"/>
        </w:rPr>
        <w:t>31</w:t>
      </w:r>
      <w:r w:rsidRPr="00C837FF">
        <w:rPr>
          <w:rFonts w:ascii="Times New Roman" w:hAnsi="Times New Roman" w:cs="Times New Roman"/>
          <w:sz w:val="24"/>
          <w:szCs w:val="24"/>
        </w:rPr>
        <w:t xml:space="preserve"> zakładów planujących zwolnienie </w:t>
      </w:r>
      <w:r w:rsidR="00C837FF" w:rsidRPr="00C837FF">
        <w:rPr>
          <w:rFonts w:ascii="Times New Roman" w:hAnsi="Times New Roman" w:cs="Times New Roman"/>
          <w:sz w:val="24"/>
          <w:szCs w:val="24"/>
        </w:rPr>
        <w:t>720</w:t>
      </w:r>
      <w:r w:rsidRPr="00C837FF">
        <w:rPr>
          <w:rFonts w:ascii="Times New Roman" w:hAnsi="Times New Roman" w:cs="Times New Roman"/>
          <w:sz w:val="24"/>
          <w:szCs w:val="24"/>
        </w:rPr>
        <w:t xml:space="preserve"> pracowników (w 201</w:t>
      </w:r>
      <w:r w:rsidR="00C837FF" w:rsidRPr="00C837FF">
        <w:rPr>
          <w:rFonts w:ascii="Times New Roman" w:hAnsi="Times New Roman" w:cs="Times New Roman"/>
          <w:sz w:val="24"/>
          <w:szCs w:val="24"/>
        </w:rPr>
        <w:t>5</w:t>
      </w:r>
      <w:r w:rsidR="00AE5712" w:rsidRPr="00C837FF">
        <w:rPr>
          <w:rFonts w:ascii="Times New Roman" w:hAnsi="Times New Roman" w:cs="Times New Roman"/>
          <w:sz w:val="24"/>
          <w:szCs w:val="24"/>
        </w:rPr>
        <w:t> r.</w:t>
      </w:r>
      <w:r w:rsidR="00087226" w:rsidRPr="00C837FF">
        <w:rPr>
          <w:rFonts w:ascii="Times New Roman" w:hAnsi="Times New Roman" w:cs="Times New Roman"/>
          <w:sz w:val="24"/>
          <w:szCs w:val="24"/>
        </w:rPr>
        <w:t xml:space="preserve"> – </w:t>
      </w:r>
      <w:r w:rsidR="00C837FF" w:rsidRPr="00C837FF">
        <w:rPr>
          <w:rFonts w:ascii="Times New Roman" w:hAnsi="Times New Roman" w:cs="Times New Roman"/>
          <w:sz w:val="24"/>
          <w:szCs w:val="24"/>
        </w:rPr>
        <w:t>17</w:t>
      </w:r>
      <w:r w:rsidRPr="00C837FF">
        <w:rPr>
          <w:rFonts w:ascii="Times New Roman" w:hAnsi="Times New Roman" w:cs="Times New Roman"/>
          <w:sz w:val="24"/>
          <w:szCs w:val="24"/>
        </w:rPr>
        <w:t xml:space="preserve"> zakład</w:t>
      </w:r>
      <w:r w:rsidR="00C837FF" w:rsidRPr="00C837FF">
        <w:rPr>
          <w:rFonts w:ascii="Times New Roman" w:hAnsi="Times New Roman" w:cs="Times New Roman"/>
          <w:sz w:val="24"/>
          <w:szCs w:val="24"/>
        </w:rPr>
        <w:t xml:space="preserve">ów i </w:t>
      </w:r>
      <w:r w:rsidRPr="00C837FF">
        <w:rPr>
          <w:rFonts w:ascii="Times New Roman" w:hAnsi="Times New Roman" w:cs="Times New Roman"/>
          <w:sz w:val="24"/>
          <w:szCs w:val="24"/>
        </w:rPr>
        <w:t>1</w:t>
      </w:r>
      <w:r w:rsidR="00C837FF">
        <w:rPr>
          <w:rFonts w:ascii="Times New Roman" w:hAnsi="Times New Roman" w:cs="Times New Roman"/>
          <w:sz w:val="24"/>
          <w:szCs w:val="24"/>
        </w:rPr>
        <w:t> </w:t>
      </w:r>
      <w:r w:rsidR="00C837FF" w:rsidRPr="00C837FF">
        <w:rPr>
          <w:rFonts w:ascii="Times New Roman" w:hAnsi="Times New Roman" w:cs="Times New Roman"/>
          <w:sz w:val="24"/>
          <w:szCs w:val="24"/>
        </w:rPr>
        <w:t>204</w:t>
      </w:r>
      <w:r w:rsidRPr="00C837FF">
        <w:rPr>
          <w:rFonts w:ascii="Times New Roman" w:hAnsi="Times New Roman" w:cs="Times New Roman"/>
          <w:sz w:val="24"/>
          <w:szCs w:val="24"/>
        </w:rPr>
        <w:t xml:space="preserve"> pracowników). </w:t>
      </w:r>
    </w:p>
    <w:p w:rsidR="008121C5" w:rsidRPr="00365760" w:rsidRDefault="0096006B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760">
        <w:rPr>
          <w:rFonts w:ascii="Times New Roman" w:hAnsi="Times New Roman" w:cs="Times New Roman"/>
          <w:sz w:val="24"/>
          <w:szCs w:val="24"/>
        </w:rPr>
        <w:lastRenderedPageBreak/>
        <w:t>Wypowiedzenia umów</w:t>
      </w:r>
      <w:r w:rsidR="00AE5712" w:rsidRPr="00365760">
        <w:rPr>
          <w:rFonts w:ascii="Times New Roman" w:hAnsi="Times New Roman" w:cs="Times New Roman"/>
          <w:sz w:val="24"/>
          <w:szCs w:val="24"/>
        </w:rPr>
        <w:t xml:space="preserve"> o </w:t>
      </w:r>
      <w:r w:rsidRPr="00365760">
        <w:rPr>
          <w:rFonts w:ascii="Times New Roman" w:hAnsi="Times New Roman" w:cs="Times New Roman"/>
          <w:sz w:val="24"/>
          <w:szCs w:val="24"/>
        </w:rPr>
        <w:t>pracę</w:t>
      </w:r>
      <w:r w:rsidR="00AE5712" w:rsidRPr="00365760">
        <w:rPr>
          <w:rFonts w:ascii="Times New Roman" w:hAnsi="Times New Roman" w:cs="Times New Roman"/>
          <w:sz w:val="24"/>
          <w:szCs w:val="24"/>
        </w:rPr>
        <w:t xml:space="preserve"> z </w:t>
      </w:r>
      <w:r w:rsidRPr="00365760">
        <w:rPr>
          <w:rFonts w:ascii="Times New Roman" w:hAnsi="Times New Roman" w:cs="Times New Roman"/>
          <w:sz w:val="24"/>
          <w:szCs w:val="24"/>
        </w:rPr>
        <w:t>przyczyn niedotyczących pracowników</w:t>
      </w:r>
      <w:r w:rsidR="00C837FF" w:rsidRPr="00365760">
        <w:rPr>
          <w:rFonts w:ascii="Times New Roman" w:hAnsi="Times New Roman" w:cs="Times New Roman"/>
          <w:sz w:val="24"/>
          <w:szCs w:val="24"/>
        </w:rPr>
        <w:t xml:space="preserve"> </w:t>
      </w:r>
      <w:r w:rsidR="00AE5712" w:rsidRPr="00365760">
        <w:rPr>
          <w:rFonts w:ascii="Times New Roman" w:hAnsi="Times New Roman" w:cs="Times New Roman"/>
          <w:sz w:val="24"/>
          <w:szCs w:val="24"/>
        </w:rPr>
        <w:t>w</w:t>
      </w:r>
      <w:r w:rsidR="00C837FF" w:rsidRPr="00365760">
        <w:rPr>
          <w:rFonts w:ascii="Times New Roman" w:hAnsi="Times New Roman" w:cs="Times New Roman"/>
          <w:sz w:val="24"/>
          <w:szCs w:val="24"/>
        </w:rPr>
        <w:t xml:space="preserve"> ‘</w:t>
      </w:r>
      <w:r w:rsidRPr="00365760">
        <w:rPr>
          <w:rFonts w:ascii="Times New Roman" w:hAnsi="Times New Roman" w:cs="Times New Roman"/>
          <w:sz w:val="24"/>
          <w:szCs w:val="24"/>
        </w:rPr>
        <w:t>1</w:t>
      </w:r>
      <w:r w:rsidR="00C837FF" w:rsidRPr="00365760">
        <w:rPr>
          <w:rFonts w:ascii="Times New Roman" w:hAnsi="Times New Roman" w:cs="Times New Roman"/>
          <w:sz w:val="24"/>
          <w:szCs w:val="24"/>
        </w:rPr>
        <w:t>6</w:t>
      </w:r>
      <w:r w:rsidR="00AE5712" w:rsidRPr="00365760">
        <w:rPr>
          <w:rFonts w:ascii="Times New Roman" w:hAnsi="Times New Roman" w:cs="Times New Roman"/>
          <w:sz w:val="24"/>
          <w:szCs w:val="24"/>
        </w:rPr>
        <w:t> r.</w:t>
      </w:r>
      <w:r w:rsidRPr="00365760">
        <w:rPr>
          <w:rFonts w:ascii="Times New Roman" w:hAnsi="Times New Roman" w:cs="Times New Roman"/>
          <w:sz w:val="24"/>
          <w:szCs w:val="24"/>
        </w:rPr>
        <w:t xml:space="preserve"> otrzymało </w:t>
      </w:r>
      <w:r w:rsidR="00C837FF" w:rsidRPr="00365760">
        <w:rPr>
          <w:rFonts w:ascii="Times New Roman" w:hAnsi="Times New Roman" w:cs="Times New Roman"/>
          <w:sz w:val="24"/>
          <w:szCs w:val="24"/>
        </w:rPr>
        <w:t>609</w:t>
      </w:r>
      <w:r w:rsidRPr="00365760">
        <w:rPr>
          <w:rFonts w:ascii="Times New Roman" w:hAnsi="Times New Roman" w:cs="Times New Roman"/>
          <w:sz w:val="24"/>
          <w:szCs w:val="24"/>
        </w:rPr>
        <w:t xml:space="preserve"> osób (z tego </w:t>
      </w:r>
      <w:r w:rsidR="00C837FF" w:rsidRPr="00365760">
        <w:rPr>
          <w:rFonts w:ascii="Times New Roman" w:hAnsi="Times New Roman" w:cs="Times New Roman"/>
          <w:sz w:val="24"/>
          <w:szCs w:val="24"/>
        </w:rPr>
        <w:t>22</w:t>
      </w:r>
      <w:r w:rsidRPr="00365760">
        <w:rPr>
          <w:rFonts w:ascii="Times New Roman" w:hAnsi="Times New Roman" w:cs="Times New Roman"/>
          <w:sz w:val="24"/>
          <w:szCs w:val="24"/>
        </w:rPr>
        <w:t xml:space="preserve"> pracowników</w:t>
      </w:r>
      <w:r w:rsidR="00AE5712" w:rsidRPr="00365760">
        <w:rPr>
          <w:rFonts w:ascii="Times New Roman" w:hAnsi="Times New Roman" w:cs="Times New Roman"/>
          <w:sz w:val="24"/>
          <w:szCs w:val="24"/>
        </w:rPr>
        <w:t xml:space="preserve"> z </w:t>
      </w:r>
      <w:r w:rsidR="007066E6" w:rsidRPr="00365760">
        <w:rPr>
          <w:rFonts w:ascii="Times New Roman" w:hAnsi="Times New Roman" w:cs="Times New Roman"/>
          <w:sz w:val="24"/>
          <w:szCs w:val="24"/>
        </w:rPr>
        <w:t>2</w:t>
      </w:r>
      <w:r w:rsidRPr="00365760">
        <w:rPr>
          <w:rFonts w:ascii="Times New Roman" w:hAnsi="Times New Roman" w:cs="Times New Roman"/>
          <w:sz w:val="24"/>
          <w:szCs w:val="24"/>
        </w:rPr>
        <w:t xml:space="preserve"> zakł</w:t>
      </w:r>
      <w:r w:rsidR="008121C5" w:rsidRPr="00365760">
        <w:rPr>
          <w:rFonts w:ascii="Times New Roman" w:hAnsi="Times New Roman" w:cs="Times New Roman"/>
          <w:sz w:val="24"/>
          <w:szCs w:val="24"/>
        </w:rPr>
        <w:t xml:space="preserve">adów sektora publicznego oraz </w:t>
      </w:r>
      <w:r w:rsidR="00C837FF" w:rsidRPr="00365760">
        <w:rPr>
          <w:rFonts w:ascii="Times New Roman" w:hAnsi="Times New Roman" w:cs="Times New Roman"/>
          <w:sz w:val="24"/>
          <w:szCs w:val="24"/>
        </w:rPr>
        <w:t>587</w:t>
      </w:r>
      <w:r w:rsidRPr="00365760">
        <w:rPr>
          <w:rFonts w:ascii="Times New Roman" w:hAnsi="Times New Roman" w:cs="Times New Roman"/>
          <w:sz w:val="24"/>
          <w:szCs w:val="24"/>
        </w:rPr>
        <w:t xml:space="preserve"> pracowników</w:t>
      </w:r>
      <w:r w:rsidR="00AE5712" w:rsidRPr="00365760">
        <w:rPr>
          <w:rFonts w:ascii="Times New Roman" w:hAnsi="Times New Roman" w:cs="Times New Roman"/>
          <w:sz w:val="24"/>
          <w:szCs w:val="24"/>
        </w:rPr>
        <w:t xml:space="preserve"> z </w:t>
      </w:r>
      <w:r w:rsidR="00C837FF" w:rsidRPr="00365760">
        <w:rPr>
          <w:rFonts w:ascii="Times New Roman" w:hAnsi="Times New Roman" w:cs="Times New Roman"/>
          <w:sz w:val="24"/>
          <w:szCs w:val="24"/>
        </w:rPr>
        <w:t>28</w:t>
      </w:r>
      <w:r w:rsidRPr="00365760">
        <w:rPr>
          <w:rFonts w:ascii="Times New Roman" w:hAnsi="Times New Roman" w:cs="Times New Roman"/>
          <w:sz w:val="24"/>
          <w:szCs w:val="24"/>
        </w:rPr>
        <w:t xml:space="preserve"> zakładów sektora prywatnego).</w:t>
      </w:r>
      <w:r w:rsidR="007066E6" w:rsidRPr="00365760">
        <w:rPr>
          <w:rFonts w:ascii="Times New Roman" w:hAnsi="Times New Roman" w:cs="Times New Roman"/>
          <w:sz w:val="24"/>
          <w:szCs w:val="24"/>
        </w:rPr>
        <w:t xml:space="preserve"> </w:t>
      </w:r>
      <w:r w:rsidRPr="00365760">
        <w:rPr>
          <w:rFonts w:ascii="Times New Roman" w:hAnsi="Times New Roman" w:cs="Times New Roman"/>
          <w:sz w:val="24"/>
          <w:szCs w:val="24"/>
        </w:rPr>
        <w:t xml:space="preserve">Ponadto na </w:t>
      </w:r>
      <w:r w:rsidR="00087226" w:rsidRPr="00365760">
        <w:rPr>
          <w:rFonts w:ascii="Times New Roman" w:hAnsi="Times New Roman" w:cs="Times New Roman"/>
          <w:sz w:val="24"/>
          <w:szCs w:val="24"/>
        </w:rPr>
        <w:t>31</w:t>
      </w:r>
      <w:r w:rsidR="00365760" w:rsidRPr="00365760">
        <w:rPr>
          <w:rFonts w:ascii="Times New Roman" w:hAnsi="Times New Roman" w:cs="Times New Roman"/>
          <w:sz w:val="24"/>
          <w:szCs w:val="24"/>
        </w:rPr>
        <w:t xml:space="preserve"> XII ‘</w:t>
      </w:r>
      <w:r w:rsidRPr="00365760">
        <w:rPr>
          <w:rFonts w:ascii="Times New Roman" w:hAnsi="Times New Roman" w:cs="Times New Roman"/>
          <w:sz w:val="24"/>
          <w:szCs w:val="24"/>
        </w:rPr>
        <w:t>1</w:t>
      </w:r>
      <w:r w:rsidR="00365760" w:rsidRPr="00365760">
        <w:rPr>
          <w:rFonts w:ascii="Times New Roman" w:hAnsi="Times New Roman" w:cs="Times New Roman"/>
          <w:sz w:val="24"/>
          <w:szCs w:val="24"/>
        </w:rPr>
        <w:t>6</w:t>
      </w:r>
      <w:r w:rsidRPr="00365760">
        <w:rPr>
          <w:rFonts w:ascii="Times New Roman" w:hAnsi="Times New Roman" w:cs="Times New Roman"/>
          <w:sz w:val="24"/>
          <w:szCs w:val="24"/>
        </w:rPr>
        <w:t xml:space="preserve"> roku na dalsze wypowiedzenia oczekiwało jeszcze ogółem </w:t>
      </w:r>
      <w:r w:rsidR="00365760" w:rsidRPr="00365760">
        <w:rPr>
          <w:rFonts w:ascii="Times New Roman" w:hAnsi="Times New Roman" w:cs="Times New Roman"/>
          <w:sz w:val="24"/>
          <w:szCs w:val="24"/>
        </w:rPr>
        <w:t>113</w:t>
      </w:r>
      <w:r w:rsidRPr="00365760">
        <w:rPr>
          <w:rFonts w:ascii="Times New Roman" w:hAnsi="Times New Roman" w:cs="Times New Roman"/>
          <w:sz w:val="24"/>
          <w:szCs w:val="24"/>
        </w:rPr>
        <w:t xml:space="preserve"> pracowników. </w:t>
      </w:r>
    </w:p>
    <w:p w:rsidR="008121C5" w:rsidRPr="00AC724C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24C">
        <w:rPr>
          <w:rFonts w:ascii="Times New Roman" w:hAnsi="Times New Roman" w:cs="Times New Roman"/>
          <w:sz w:val="24"/>
          <w:szCs w:val="24"/>
        </w:rPr>
        <w:t>Osoby zwolnione</w:t>
      </w:r>
      <w:r w:rsidR="00AE5712" w:rsidRPr="00AC724C">
        <w:rPr>
          <w:rFonts w:ascii="Times New Roman" w:hAnsi="Times New Roman" w:cs="Times New Roman"/>
          <w:sz w:val="24"/>
          <w:szCs w:val="24"/>
        </w:rPr>
        <w:t xml:space="preserve"> z </w:t>
      </w:r>
      <w:r w:rsidRPr="00AC724C">
        <w:rPr>
          <w:rFonts w:ascii="Times New Roman" w:hAnsi="Times New Roman" w:cs="Times New Roman"/>
          <w:sz w:val="24"/>
          <w:szCs w:val="24"/>
        </w:rPr>
        <w:t xml:space="preserve">przyczyn niedotyczących pracowników stanowiły </w:t>
      </w:r>
      <w:r w:rsidR="00D47256" w:rsidRPr="00AC724C">
        <w:rPr>
          <w:rFonts w:ascii="Times New Roman" w:hAnsi="Times New Roman" w:cs="Times New Roman"/>
          <w:sz w:val="24"/>
          <w:szCs w:val="24"/>
        </w:rPr>
        <w:t>4</w:t>
      </w:r>
      <w:r w:rsidRPr="00AC724C">
        <w:rPr>
          <w:rFonts w:ascii="Times New Roman" w:hAnsi="Times New Roman" w:cs="Times New Roman"/>
          <w:sz w:val="24"/>
          <w:szCs w:val="24"/>
        </w:rPr>
        <w:t>,</w:t>
      </w:r>
      <w:r w:rsidR="00AC724C" w:rsidRPr="00AC724C">
        <w:rPr>
          <w:rFonts w:ascii="Times New Roman" w:hAnsi="Times New Roman" w:cs="Times New Roman"/>
          <w:sz w:val="24"/>
          <w:szCs w:val="24"/>
        </w:rPr>
        <w:t>0</w:t>
      </w:r>
      <w:r w:rsidRPr="00AC724C">
        <w:rPr>
          <w:rFonts w:ascii="Times New Roman" w:hAnsi="Times New Roman" w:cs="Times New Roman"/>
          <w:sz w:val="24"/>
          <w:szCs w:val="24"/>
        </w:rPr>
        <w:t>%</w:t>
      </w:r>
      <w:r w:rsidR="00365760" w:rsidRPr="00AC724C">
        <w:rPr>
          <w:rFonts w:ascii="Times New Roman" w:hAnsi="Times New Roman" w:cs="Times New Roman"/>
          <w:sz w:val="24"/>
          <w:szCs w:val="24"/>
        </w:rPr>
        <w:t xml:space="preserve"> </w:t>
      </w:r>
      <w:r w:rsidRPr="00AC724C">
        <w:rPr>
          <w:rFonts w:ascii="Times New Roman" w:hAnsi="Times New Roman" w:cs="Times New Roman"/>
          <w:sz w:val="24"/>
          <w:szCs w:val="24"/>
        </w:rPr>
        <w:t>ogółu bezrobotnych zarejestrowanych</w:t>
      </w:r>
      <w:r w:rsidR="00AE5712" w:rsidRPr="00AC724C">
        <w:rPr>
          <w:rFonts w:ascii="Times New Roman" w:hAnsi="Times New Roman" w:cs="Times New Roman"/>
          <w:sz w:val="24"/>
          <w:szCs w:val="24"/>
        </w:rPr>
        <w:t xml:space="preserve"> w </w:t>
      </w:r>
      <w:r w:rsidRPr="00AC724C">
        <w:rPr>
          <w:rFonts w:ascii="Times New Roman" w:hAnsi="Times New Roman" w:cs="Times New Roman"/>
          <w:sz w:val="24"/>
          <w:szCs w:val="24"/>
        </w:rPr>
        <w:t xml:space="preserve">województwie podkarpackim według stanu na </w:t>
      </w:r>
      <w:r w:rsidR="00244A0E" w:rsidRPr="00AC724C">
        <w:rPr>
          <w:rFonts w:ascii="Times New Roman" w:hAnsi="Times New Roman" w:cs="Times New Roman"/>
          <w:sz w:val="24"/>
          <w:szCs w:val="24"/>
        </w:rPr>
        <w:t>31</w:t>
      </w:r>
      <w:r w:rsidR="00365760" w:rsidRPr="00AC724C">
        <w:rPr>
          <w:rFonts w:ascii="Times New Roman" w:hAnsi="Times New Roman" w:cs="Times New Roman"/>
          <w:sz w:val="24"/>
          <w:szCs w:val="24"/>
        </w:rPr>
        <w:t> XII ‘</w:t>
      </w:r>
      <w:r w:rsidRPr="00AC724C">
        <w:rPr>
          <w:rFonts w:ascii="Times New Roman" w:hAnsi="Times New Roman" w:cs="Times New Roman"/>
          <w:sz w:val="24"/>
          <w:szCs w:val="24"/>
        </w:rPr>
        <w:t>1</w:t>
      </w:r>
      <w:r w:rsidR="00365760" w:rsidRPr="00AC724C">
        <w:rPr>
          <w:rFonts w:ascii="Times New Roman" w:hAnsi="Times New Roman" w:cs="Times New Roman"/>
          <w:sz w:val="24"/>
          <w:szCs w:val="24"/>
        </w:rPr>
        <w:t>6</w:t>
      </w:r>
      <w:r w:rsidR="008121C5" w:rsidRPr="00AC724C">
        <w:rPr>
          <w:rFonts w:ascii="Times New Roman" w:hAnsi="Times New Roman" w:cs="Times New Roman"/>
          <w:sz w:val="24"/>
          <w:szCs w:val="24"/>
        </w:rPr>
        <w:t> </w:t>
      </w:r>
      <w:r w:rsidRPr="00AC724C">
        <w:rPr>
          <w:rFonts w:ascii="Times New Roman" w:hAnsi="Times New Roman" w:cs="Times New Roman"/>
          <w:sz w:val="24"/>
          <w:szCs w:val="24"/>
        </w:rPr>
        <w:t>roku (</w:t>
      </w:r>
      <w:r w:rsidR="008121C5" w:rsidRPr="00AC724C">
        <w:rPr>
          <w:rFonts w:ascii="Times New Roman" w:hAnsi="Times New Roman" w:cs="Times New Roman"/>
          <w:sz w:val="24"/>
          <w:szCs w:val="24"/>
        </w:rPr>
        <w:t>31</w:t>
      </w:r>
      <w:r w:rsidR="00365760" w:rsidRPr="00AC724C">
        <w:rPr>
          <w:rFonts w:ascii="Times New Roman" w:hAnsi="Times New Roman" w:cs="Times New Roman"/>
          <w:sz w:val="24"/>
          <w:szCs w:val="24"/>
        </w:rPr>
        <w:t xml:space="preserve"> XII ‘</w:t>
      </w:r>
      <w:r w:rsidRPr="00AC724C">
        <w:rPr>
          <w:rFonts w:ascii="Times New Roman" w:hAnsi="Times New Roman" w:cs="Times New Roman"/>
          <w:sz w:val="24"/>
          <w:szCs w:val="24"/>
        </w:rPr>
        <w:t>1</w:t>
      </w:r>
      <w:r w:rsidR="00365760" w:rsidRPr="00AC724C">
        <w:rPr>
          <w:rFonts w:ascii="Times New Roman" w:hAnsi="Times New Roman" w:cs="Times New Roman"/>
          <w:sz w:val="24"/>
          <w:szCs w:val="24"/>
        </w:rPr>
        <w:t>5</w:t>
      </w:r>
      <w:r w:rsidR="00AE5712" w:rsidRPr="00AC724C">
        <w:rPr>
          <w:rFonts w:ascii="Times New Roman" w:hAnsi="Times New Roman" w:cs="Times New Roman"/>
          <w:sz w:val="24"/>
          <w:szCs w:val="24"/>
        </w:rPr>
        <w:t> r.</w:t>
      </w:r>
      <w:r w:rsidRPr="00AC724C">
        <w:rPr>
          <w:rFonts w:ascii="Times New Roman" w:hAnsi="Times New Roman" w:cs="Times New Roman"/>
          <w:sz w:val="24"/>
          <w:szCs w:val="24"/>
        </w:rPr>
        <w:t xml:space="preserve"> – </w:t>
      </w:r>
      <w:r w:rsidR="00D47256" w:rsidRPr="00AC724C">
        <w:rPr>
          <w:rFonts w:ascii="Times New Roman" w:hAnsi="Times New Roman" w:cs="Times New Roman"/>
          <w:sz w:val="24"/>
          <w:szCs w:val="24"/>
        </w:rPr>
        <w:t>4,</w:t>
      </w:r>
      <w:r w:rsidR="00365760" w:rsidRPr="00AC724C">
        <w:rPr>
          <w:rFonts w:ascii="Times New Roman" w:hAnsi="Times New Roman" w:cs="Times New Roman"/>
          <w:sz w:val="24"/>
          <w:szCs w:val="24"/>
        </w:rPr>
        <w:t>3</w:t>
      </w:r>
      <w:r w:rsidRPr="00AC724C">
        <w:rPr>
          <w:rFonts w:ascii="Times New Roman" w:hAnsi="Times New Roman" w:cs="Times New Roman"/>
          <w:sz w:val="24"/>
          <w:szCs w:val="24"/>
        </w:rPr>
        <w:t>%).</w:t>
      </w:r>
    </w:p>
    <w:p w:rsidR="0096006B" w:rsidRPr="00AC724C" w:rsidRDefault="005C14D0" w:rsidP="00160DBC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24C">
        <w:rPr>
          <w:rFonts w:ascii="Times New Roman" w:hAnsi="Times New Roman" w:cs="Times New Roman"/>
          <w:sz w:val="24"/>
          <w:szCs w:val="24"/>
        </w:rPr>
        <w:t>Z łącznej liczby nowo zarejestrowanych bezrobotnych</w:t>
      </w:r>
      <w:r w:rsidR="00AE5712" w:rsidRPr="00AC724C">
        <w:rPr>
          <w:rFonts w:ascii="Times New Roman" w:hAnsi="Times New Roman" w:cs="Times New Roman"/>
          <w:sz w:val="24"/>
          <w:szCs w:val="24"/>
        </w:rPr>
        <w:t xml:space="preserve"> w </w:t>
      </w:r>
      <w:r w:rsidRPr="0094096D">
        <w:rPr>
          <w:rFonts w:ascii="Times New Roman" w:hAnsi="Times New Roman" w:cs="Times New Roman"/>
          <w:sz w:val="24"/>
          <w:szCs w:val="24"/>
        </w:rPr>
        <w:t>201</w:t>
      </w:r>
      <w:r w:rsidR="00AC724C" w:rsidRPr="0094096D">
        <w:rPr>
          <w:rFonts w:ascii="Times New Roman" w:hAnsi="Times New Roman" w:cs="Times New Roman"/>
          <w:sz w:val="24"/>
          <w:szCs w:val="24"/>
        </w:rPr>
        <w:t>6</w:t>
      </w:r>
      <w:r w:rsidRPr="0094096D">
        <w:rPr>
          <w:rFonts w:ascii="Times New Roman" w:hAnsi="Times New Roman" w:cs="Times New Roman"/>
          <w:sz w:val="24"/>
          <w:szCs w:val="24"/>
        </w:rPr>
        <w:t xml:space="preserve"> roku </w:t>
      </w:r>
      <w:r w:rsidR="008121C5" w:rsidRPr="0094096D">
        <w:rPr>
          <w:rFonts w:ascii="Times New Roman" w:hAnsi="Times New Roman" w:cs="Times New Roman"/>
          <w:sz w:val="24"/>
          <w:szCs w:val="24"/>
        </w:rPr>
        <w:t>(</w:t>
      </w:r>
      <w:r w:rsidR="00D47256" w:rsidRPr="0094096D">
        <w:rPr>
          <w:rFonts w:ascii="Times New Roman" w:hAnsi="Times New Roman" w:cs="Times New Roman"/>
          <w:sz w:val="24"/>
          <w:szCs w:val="24"/>
        </w:rPr>
        <w:t>1</w:t>
      </w:r>
      <w:r w:rsidR="007F683E" w:rsidRPr="0094096D">
        <w:rPr>
          <w:rFonts w:ascii="Times New Roman" w:hAnsi="Times New Roman" w:cs="Times New Roman"/>
          <w:sz w:val="24"/>
          <w:szCs w:val="24"/>
        </w:rPr>
        <w:t>49</w:t>
      </w:r>
      <w:r w:rsidR="008121C5" w:rsidRPr="0094096D">
        <w:rPr>
          <w:rFonts w:ascii="Times New Roman" w:hAnsi="Times New Roman" w:cs="Times New Roman"/>
          <w:sz w:val="24"/>
          <w:szCs w:val="24"/>
        </w:rPr>
        <w:t> </w:t>
      </w:r>
      <w:r w:rsidR="007F683E" w:rsidRPr="0094096D">
        <w:rPr>
          <w:rFonts w:ascii="Times New Roman" w:hAnsi="Times New Roman" w:cs="Times New Roman"/>
          <w:sz w:val="24"/>
          <w:szCs w:val="24"/>
        </w:rPr>
        <w:t>405</w:t>
      </w:r>
      <w:r w:rsidR="008121C5" w:rsidRPr="0094096D">
        <w:rPr>
          <w:rFonts w:ascii="Times New Roman" w:hAnsi="Times New Roman" w:cs="Times New Roman"/>
          <w:sz w:val="24"/>
          <w:szCs w:val="24"/>
        </w:rPr>
        <w:t xml:space="preserve"> osób)</w:t>
      </w:r>
      <w:r w:rsidR="009824F3" w:rsidRPr="0094096D">
        <w:rPr>
          <w:rFonts w:ascii="Times New Roman" w:hAnsi="Times New Roman" w:cs="Times New Roman"/>
          <w:sz w:val="24"/>
          <w:szCs w:val="24"/>
        </w:rPr>
        <w:t xml:space="preserve"> </w:t>
      </w:r>
      <w:r w:rsidR="0094096D" w:rsidRPr="0094096D">
        <w:rPr>
          <w:rFonts w:ascii="Times New Roman" w:hAnsi="Times New Roman" w:cs="Times New Roman"/>
          <w:sz w:val="24"/>
          <w:szCs w:val="24"/>
        </w:rPr>
        <w:t>4</w:t>
      </w:r>
      <w:r w:rsidR="008121C5" w:rsidRPr="0094096D">
        <w:rPr>
          <w:rFonts w:ascii="Times New Roman" w:hAnsi="Times New Roman" w:cs="Times New Roman"/>
          <w:sz w:val="24"/>
          <w:szCs w:val="24"/>
        </w:rPr>
        <w:t> </w:t>
      </w:r>
      <w:r w:rsidR="0094096D" w:rsidRPr="0094096D">
        <w:rPr>
          <w:rFonts w:ascii="Times New Roman" w:hAnsi="Times New Roman" w:cs="Times New Roman"/>
          <w:sz w:val="24"/>
          <w:szCs w:val="24"/>
        </w:rPr>
        <w:t>906</w:t>
      </w:r>
      <w:r w:rsidRPr="0094096D">
        <w:rPr>
          <w:rFonts w:ascii="Times New Roman" w:hAnsi="Times New Roman" w:cs="Times New Roman"/>
          <w:sz w:val="24"/>
          <w:szCs w:val="24"/>
        </w:rPr>
        <w:t xml:space="preserve"> osób </w:t>
      </w:r>
      <w:r w:rsidR="00F40634" w:rsidRPr="0094096D">
        <w:rPr>
          <w:rFonts w:ascii="Times New Roman" w:hAnsi="Times New Roman" w:cs="Times New Roman"/>
          <w:sz w:val="24"/>
          <w:szCs w:val="24"/>
        </w:rPr>
        <w:t>(</w:t>
      </w:r>
      <w:r w:rsidR="0094096D" w:rsidRPr="0094096D">
        <w:rPr>
          <w:rFonts w:ascii="Times New Roman" w:hAnsi="Times New Roman" w:cs="Times New Roman"/>
          <w:sz w:val="24"/>
          <w:szCs w:val="24"/>
        </w:rPr>
        <w:t>3</w:t>
      </w:r>
      <w:r w:rsidR="004F1CA8" w:rsidRPr="0094096D">
        <w:rPr>
          <w:rFonts w:ascii="Times New Roman" w:hAnsi="Times New Roman" w:cs="Times New Roman"/>
          <w:sz w:val="24"/>
          <w:szCs w:val="24"/>
        </w:rPr>
        <w:t>,</w:t>
      </w:r>
      <w:r w:rsidR="0094096D" w:rsidRPr="0094096D">
        <w:rPr>
          <w:rFonts w:ascii="Times New Roman" w:hAnsi="Times New Roman" w:cs="Times New Roman"/>
          <w:sz w:val="24"/>
          <w:szCs w:val="24"/>
        </w:rPr>
        <w:t>3</w:t>
      </w:r>
      <w:r w:rsidRPr="0094096D">
        <w:rPr>
          <w:rFonts w:ascii="Times New Roman" w:hAnsi="Times New Roman" w:cs="Times New Roman"/>
          <w:sz w:val="24"/>
          <w:szCs w:val="24"/>
        </w:rPr>
        <w:t>%</w:t>
      </w:r>
      <w:r w:rsidR="00F40634" w:rsidRPr="0094096D">
        <w:rPr>
          <w:rFonts w:ascii="Times New Roman" w:hAnsi="Times New Roman" w:cs="Times New Roman"/>
          <w:sz w:val="24"/>
          <w:szCs w:val="24"/>
        </w:rPr>
        <w:t>)</w:t>
      </w:r>
      <w:r w:rsidRPr="0094096D">
        <w:rPr>
          <w:rFonts w:ascii="Times New Roman" w:hAnsi="Times New Roman" w:cs="Times New Roman"/>
          <w:sz w:val="24"/>
          <w:szCs w:val="24"/>
        </w:rPr>
        <w:t xml:space="preserve"> przed zarejestrowaniem</w:t>
      </w:r>
      <w:r w:rsidR="00AE5712" w:rsidRPr="0094096D">
        <w:rPr>
          <w:rFonts w:ascii="Times New Roman" w:hAnsi="Times New Roman" w:cs="Times New Roman"/>
          <w:sz w:val="24"/>
          <w:szCs w:val="24"/>
        </w:rPr>
        <w:t xml:space="preserve"> w </w:t>
      </w:r>
      <w:r w:rsidRPr="0094096D">
        <w:rPr>
          <w:rFonts w:ascii="Times New Roman" w:hAnsi="Times New Roman" w:cs="Times New Roman"/>
          <w:sz w:val="24"/>
          <w:szCs w:val="24"/>
        </w:rPr>
        <w:t>powiatowym urzędzie pracy</w:t>
      </w:r>
      <w:r w:rsidRPr="00AC724C">
        <w:rPr>
          <w:rFonts w:ascii="Times New Roman" w:hAnsi="Times New Roman" w:cs="Times New Roman"/>
          <w:sz w:val="24"/>
          <w:szCs w:val="24"/>
        </w:rPr>
        <w:t xml:space="preserve"> było uprz</w:t>
      </w:r>
      <w:r w:rsidR="00FA0C9C" w:rsidRPr="00AC724C">
        <w:rPr>
          <w:rFonts w:ascii="Times New Roman" w:hAnsi="Times New Roman" w:cs="Times New Roman"/>
          <w:sz w:val="24"/>
          <w:szCs w:val="24"/>
        </w:rPr>
        <w:t>ednio zwolnionych</w:t>
      </w:r>
      <w:r w:rsidR="00AE5712" w:rsidRPr="00AC724C">
        <w:rPr>
          <w:rFonts w:ascii="Times New Roman" w:hAnsi="Times New Roman" w:cs="Times New Roman"/>
          <w:sz w:val="24"/>
          <w:szCs w:val="24"/>
        </w:rPr>
        <w:t xml:space="preserve"> z </w:t>
      </w:r>
      <w:r w:rsidR="00FA0C9C" w:rsidRPr="00AC724C">
        <w:rPr>
          <w:rFonts w:ascii="Times New Roman" w:hAnsi="Times New Roman" w:cs="Times New Roman"/>
          <w:sz w:val="24"/>
          <w:szCs w:val="24"/>
        </w:rPr>
        <w:t>przyczyn leż</w:t>
      </w:r>
      <w:r w:rsidRPr="00AC724C">
        <w:rPr>
          <w:rFonts w:ascii="Times New Roman" w:hAnsi="Times New Roman" w:cs="Times New Roman"/>
          <w:sz w:val="24"/>
          <w:szCs w:val="24"/>
        </w:rPr>
        <w:t>ących po stronie zakładu pracy (w okresie 201</w:t>
      </w:r>
      <w:r w:rsidR="00AC724C" w:rsidRPr="00AC724C">
        <w:rPr>
          <w:rFonts w:ascii="Times New Roman" w:hAnsi="Times New Roman" w:cs="Times New Roman"/>
          <w:sz w:val="24"/>
          <w:szCs w:val="24"/>
        </w:rPr>
        <w:t>5</w:t>
      </w:r>
      <w:r w:rsidR="00AE5712" w:rsidRPr="00AC724C">
        <w:rPr>
          <w:rFonts w:ascii="Times New Roman" w:hAnsi="Times New Roman" w:cs="Times New Roman"/>
          <w:sz w:val="24"/>
          <w:szCs w:val="24"/>
        </w:rPr>
        <w:t> r.</w:t>
      </w:r>
      <w:r w:rsidRPr="00AC724C">
        <w:rPr>
          <w:rFonts w:ascii="Times New Roman" w:hAnsi="Times New Roman" w:cs="Times New Roman"/>
          <w:sz w:val="24"/>
          <w:szCs w:val="24"/>
        </w:rPr>
        <w:t xml:space="preserve"> </w:t>
      </w:r>
      <w:r w:rsidR="00147AD0" w:rsidRPr="00AC724C">
        <w:rPr>
          <w:rFonts w:ascii="Times New Roman" w:hAnsi="Times New Roman" w:cs="Times New Roman"/>
          <w:sz w:val="24"/>
          <w:szCs w:val="24"/>
        </w:rPr>
        <w:t xml:space="preserve">odsetek </w:t>
      </w:r>
      <w:r w:rsidR="00FA0C9C" w:rsidRPr="00AC724C">
        <w:rPr>
          <w:rFonts w:ascii="Times New Roman" w:hAnsi="Times New Roman" w:cs="Times New Roman"/>
          <w:sz w:val="24"/>
          <w:szCs w:val="24"/>
        </w:rPr>
        <w:t xml:space="preserve">ten </w:t>
      </w:r>
      <w:r w:rsidR="00147AD0" w:rsidRPr="00AC724C">
        <w:rPr>
          <w:rFonts w:ascii="Times New Roman" w:hAnsi="Times New Roman" w:cs="Times New Roman"/>
          <w:sz w:val="24"/>
          <w:szCs w:val="24"/>
        </w:rPr>
        <w:t>wyniósł 4</w:t>
      </w:r>
      <w:r w:rsidRPr="00AC724C">
        <w:rPr>
          <w:rFonts w:ascii="Times New Roman" w:hAnsi="Times New Roman" w:cs="Times New Roman"/>
          <w:sz w:val="24"/>
          <w:szCs w:val="24"/>
        </w:rPr>
        <w:t>,</w:t>
      </w:r>
      <w:r w:rsidR="00AC724C" w:rsidRPr="00AC724C">
        <w:rPr>
          <w:rFonts w:ascii="Times New Roman" w:hAnsi="Times New Roman" w:cs="Times New Roman"/>
          <w:sz w:val="24"/>
          <w:szCs w:val="24"/>
        </w:rPr>
        <w:t>4</w:t>
      </w:r>
      <w:r w:rsidRPr="00AC724C">
        <w:rPr>
          <w:rFonts w:ascii="Times New Roman" w:hAnsi="Times New Roman" w:cs="Times New Roman"/>
          <w:sz w:val="24"/>
          <w:szCs w:val="24"/>
        </w:rPr>
        <w:t>%).</w:t>
      </w:r>
    </w:p>
    <w:p w:rsidR="00C30EC7" w:rsidRPr="00B50749" w:rsidRDefault="00C30EC7" w:rsidP="00821092">
      <w:pPr>
        <w:pStyle w:val="Bezodstpw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C30EC7" w:rsidRPr="007A067F" w:rsidRDefault="00C30EC7" w:rsidP="00D87433">
      <w:pPr>
        <w:pStyle w:val="Bezodstpw"/>
        <w:spacing w:line="360" w:lineRule="auto"/>
        <w:jc w:val="both"/>
        <w:outlineLvl w:val="1"/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6" w:name="_Toc477160371"/>
      <w:r w:rsidRPr="007A067F">
        <w:rPr>
          <w:rFonts w:ascii="Times New Roman" w:hAnsi="Times New Roman" w:cs="Times New Roman"/>
          <w:b/>
          <w:caps/>
          <w:sz w:val="28"/>
          <w:szCs w:val="2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Fundusz Gwarantowanych Świadczeń Pracowniczych</w:t>
      </w:r>
      <w:bookmarkEnd w:id="26"/>
    </w:p>
    <w:p w:rsidR="00B50749" w:rsidRPr="00821092" w:rsidRDefault="00B5074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18"/>
          <w:szCs w:val="18"/>
        </w:rPr>
      </w:pPr>
      <w:r w:rsidRPr="00821092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Tabela XXXI. </w:t>
      </w:r>
      <w:r w:rsidRPr="00821092">
        <w:rPr>
          <w:rFonts w:ascii="Times New Roman" w:hAnsi="Times New Roman" w:cs="Times New Roman"/>
          <w:bCs/>
          <w:color w:val="000000"/>
          <w:sz w:val="18"/>
          <w:szCs w:val="18"/>
        </w:rPr>
        <w:tab/>
        <w:t>Wypłaty świadczeń w związku z niewypłacalnością pracodawcy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5211"/>
        <w:gridCol w:w="1134"/>
        <w:gridCol w:w="851"/>
        <w:gridCol w:w="1276"/>
        <w:gridCol w:w="992"/>
      </w:tblGrid>
      <w:tr w:rsidR="00B50749" w:rsidRPr="00546964" w:rsidTr="00B50749">
        <w:tc>
          <w:tcPr>
            <w:tcW w:w="5211" w:type="dxa"/>
            <w:shd w:val="clear" w:color="auto" w:fill="E5DFEC" w:themeFill="accent4" w:themeFillTint="33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Realizacja wsparcia w ramach Funduszu Gwarantowanych Świadczeń </w:t>
            </w: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Pracowniczych w województwie podkarpackim</w:t>
            </w: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5DFEC" w:themeFill="accent4" w:themeFillTint="33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2015</w:t>
            </w:r>
          </w:p>
        </w:tc>
        <w:tc>
          <w:tcPr>
            <w:tcW w:w="851" w:type="dxa"/>
            <w:shd w:val="clear" w:color="auto" w:fill="E5DFEC" w:themeFill="accent4" w:themeFillTint="33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2016</w:t>
            </w:r>
          </w:p>
        </w:tc>
        <w:tc>
          <w:tcPr>
            <w:tcW w:w="1276" w:type="dxa"/>
            <w:shd w:val="clear" w:color="auto" w:fill="E5DFEC" w:themeFill="accent4" w:themeFillTint="33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Wzrost/spadek w liczbach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Wzrost/spadek w %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Wypłaty świadczeń w związku z niewypłacalnością pracodawcy (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tys. </w:t>
            </w: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7214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,2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495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-2259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,2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68,68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w tym wynagrodzenia za pracę (tys. z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ł</w:t>
            </w: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1720,9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2008,1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287,2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116,68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w tym składki na ubezpieczenie społeczne należne od pracodawcy (tys. 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368,7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437,4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118,63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w tym odszkodowania z art. 36 par.1 </w:t>
            </w:r>
            <w:proofErr w:type="spellStart"/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Kp</w:t>
            </w:r>
            <w:proofErr w:type="spellEnd"/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. (tys. 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311,7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427,4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137,11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B507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W tym odprawy pienię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ż</w:t>
            </w: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ne</w:t>
            </w: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(tys. 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4132,5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1521,6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-2610,9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36,82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    w tym na rzecz ochrony miejsc pracy  (tys. 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231,0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4,4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-226,6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1,90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Ilość świadczeń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2346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2222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-124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94,71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pracodawców, których pracownikom  wypłacono świadczenia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-2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94,73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osób, którym wypłacono świadczenia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1065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785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</w:t>
            </w: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280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73,70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pracodawców objętych ochroną miejsc pracy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50,00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pracowników korzystających z dopłat do wynagrodzeń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-181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B50749" w:rsidRPr="00546964" w:rsidTr="00100704">
        <w:trPr>
          <w:trHeight w:val="242"/>
        </w:trPr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Liczba ochronionych miejsc pracy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-181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2,16</w:t>
            </w:r>
          </w:p>
        </w:tc>
      </w:tr>
      <w:tr w:rsidR="00B50749" w:rsidRPr="00546964" w:rsidTr="00100704">
        <w:tc>
          <w:tcPr>
            <w:tcW w:w="521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Kwoty należności FGŚP odzyskane w wyniku windykacji (tys. zł)</w:t>
            </w:r>
          </w:p>
        </w:tc>
        <w:tc>
          <w:tcPr>
            <w:tcW w:w="1134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5144,5</w:t>
            </w:r>
          </w:p>
        </w:tc>
        <w:tc>
          <w:tcPr>
            <w:tcW w:w="851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20478,8</w:t>
            </w:r>
          </w:p>
        </w:tc>
        <w:tc>
          <w:tcPr>
            <w:tcW w:w="1276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15334,30</w:t>
            </w:r>
          </w:p>
        </w:tc>
        <w:tc>
          <w:tcPr>
            <w:tcW w:w="992" w:type="dxa"/>
          </w:tcPr>
          <w:p w:rsidR="00B50749" w:rsidRPr="00546964" w:rsidRDefault="00B50749" w:rsidP="0010070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546964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398,07</w:t>
            </w:r>
          </w:p>
        </w:tc>
      </w:tr>
    </w:tbl>
    <w:p w:rsidR="00B50749" w:rsidRPr="00821092" w:rsidRDefault="00B50749" w:rsidP="00B50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50749" w:rsidRPr="00546964" w:rsidRDefault="00B50749" w:rsidP="00B50749">
      <w:pPr>
        <w:pStyle w:val="Default"/>
        <w:pBdr>
          <w:bottom w:val="single" w:sz="4" w:space="1" w:color="auto"/>
        </w:pBdr>
        <w:jc w:val="both"/>
      </w:pPr>
      <w:r w:rsidRPr="00546964">
        <w:t>Wnioski:</w:t>
      </w:r>
    </w:p>
    <w:p w:rsidR="00B50749" w:rsidRPr="00821092" w:rsidRDefault="00B50749" w:rsidP="00B50749">
      <w:pPr>
        <w:pStyle w:val="Tekstpodstawowywcity"/>
        <w:spacing w:after="0" w:line="36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  <w:r w:rsidRPr="00821092">
        <w:rPr>
          <w:rFonts w:ascii="Times New Roman" w:hAnsi="Times New Roman" w:cs="Times New Roman"/>
          <w:sz w:val="16"/>
          <w:szCs w:val="16"/>
        </w:rPr>
        <w:t>(na podstawie danych z tabeli XXXI)</w:t>
      </w:r>
    </w:p>
    <w:p w:rsidR="00B50749" w:rsidRPr="00546964" w:rsidRDefault="00B50749" w:rsidP="00B50749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 xml:space="preserve">Wielkość wypłat z Funduszu Gwarantowanych Świadczeń Pracowniczych na podstawie </w:t>
      </w:r>
      <w:r w:rsidRPr="00546964">
        <w:rPr>
          <w:rFonts w:ascii="Times New Roman" w:hAnsi="Times New Roman" w:cs="Times New Roman"/>
          <w:i/>
          <w:sz w:val="24"/>
          <w:szCs w:val="24"/>
        </w:rPr>
        <w:t>ustawy z dnia 13 lipca 2006 r. o ochronie roszczeń pracowniczych w razie niewypłacalności pracodawcy</w:t>
      </w:r>
      <w:r w:rsidRPr="005469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46964">
        <w:rPr>
          <w:rFonts w:ascii="Times New Roman" w:hAnsi="Times New Roman" w:cs="Times New Roman"/>
          <w:i/>
          <w:sz w:val="24"/>
          <w:szCs w:val="24"/>
        </w:rPr>
        <w:t>(</w:t>
      </w:r>
      <w:r w:rsidRPr="00546964">
        <w:rPr>
          <w:rFonts w:ascii="Times New Roman" w:hAnsi="Times New Roman" w:cs="Times New Roman"/>
        </w:rPr>
        <w:t xml:space="preserve">Dz.U.2016.1256 </w:t>
      </w:r>
      <w:proofErr w:type="spellStart"/>
      <w:r w:rsidRPr="00546964">
        <w:rPr>
          <w:rFonts w:ascii="Times New Roman" w:hAnsi="Times New Roman" w:cs="Times New Roman"/>
        </w:rPr>
        <w:t>t.j</w:t>
      </w:r>
      <w:proofErr w:type="spellEnd"/>
      <w:r w:rsidRPr="00546964">
        <w:rPr>
          <w:rFonts w:ascii="Times New Roman" w:hAnsi="Times New Roman" w:cs="Times New Roman"/>
        </w:rPr>
        <w:t>.</w:t>
      </w:r>
      <w:r w:rsidRPr="00546964">
        <w:rPr>
          <w:rFonts w:ascii="Times New Roman" w:hAnsi="Times New Roman" w:cs="Times New Roman"/>
          <w:i/>
          <w:sz w:val="24"/>
          <w:szCs w:val="24"/>
        </w:rPr>
        <w:t>)</w:t>
      </w:r>
      <w:r w:rsidRPr="0054696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46964">
        <w:rPr>
          <w:rFonts w:ascii="Times New Roman" w:hAnsi="Times New Roman" w:cs="Times New Roman"/>
          <w:sz w:val="24"/>
          <w:szCs w:val="24"/>
        </w:rPr>
        <w:t>ma ścisły związek ze zjawiskami zachodzącymi w gospodarce</w:t>
      </w:r>
      <w:r w:rsidR="00916BC0">
        <w:rPr>
          <w:rFonts w:ascii="Times New Roman" w:hAnsi="Times New Roman" w:cs="Times New Roman"/>
          <w:sz w:val="24"/>
          <w:szCs w:val="24"/>
        </w:rPr>
        <w:t xml:space="preserve"> </w:t>
      </w:r>
      <w:r w:rsidRPr="00546964">
        <w:rPr>
          <w:rFonts w:ascii="Times New Roman" w:hAnsi="Times New Roman" w:cs="Times New Roman"/>
          <w:sz w:val="24"/>
          <w:szCs w:val="24"/>
        </w:rPr>
        <w:t>i</w:t>
      </w:r>
      <w:r w:rsidR="00916BC0">
        <w:rPr>
          <w:rFonts w:ascii="Times New Roman" w:hAnsi="Times New Roman" w:cs="Times New Roman"/>
          <w:sz w:val="24"/>
          <w:szCs w:val="24"/>
        </w:rPr>
        <w:t xml:space="preserve"> </w:t>
      </w:r>
      <w:r w:rsidRPr="00546964">
        <w:rPr>
          <w:rFonts w:ascii="Times New Roman" w:hAnsi="Times New Roman" w:cs="Times New Roman"/>
          <w:sz w:val="24"/>
          <w:szCs w:val="24"/>
        </w:rPr>
        <w:t xml:space="preserve">bezpośrednio oddziałuje na rynek pracy. Każde pogorszenie </w:t>
      </w:r>
      <w:r>
        <w:rPr>
          <w:rFonts w:ascii="Times New Roman" w:hAnsi="Times New Roman" w:cs="Times New Roman"/>
          <w:sz w:val="24"/>
          <w:szCs w:val="24"/>
        </w:rPr>
        <w:t xml:space="preserve">lub poprawa </w:t>
      </w:r>
      <w:r w:rsidRPr="00546964">
        <w:rPr>
          <w:rFonts w:ascii="Times New Roman" w:hAnsi="Times New Roman" w:cs="Times New Roman"/>
          <w:sz w:val="24"/>
          <w:szCs w:val="24"/>
        </w:rPr>
        <w:t xml:space="preserve">koniunktury w gospodarce niemal natychmiast skutkuje </w:t>
      </w:r>
      <w:r>
        <w:rPr>
          <w:rFonts w:ascii="Times New Roman" w:hAnsi="Times New Roman" w:cs="Times New Roman"/>
          <w:sz w:val="24"/>
          <w:szCs w:val="24"/>
        </w:rPr>
        <w:t>odpowiednio wzrostem lub spadkiem</w:t>
      </w:r>
      <w:r w:rsidRPr="00546964">
        <w:rPr>
          <w:rFonts w:ascii="Times New Roman" w:hAnsi="Times New Roman" w:cs="Times New Roman"/>
          <w:sz w:val="24"/>
          <w:szCs w:val="24"/>
        </w:rPr>
        <w:t xml:space="preserve"> wypłacanych świadczeń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0749" w:rsidRPr="00546964" w:rsidRDefault="00B50749" w:rsidP="00B50749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 xml:space="preserve">W roku 2016 utrzymywała się tendencja do spadku (w porównaniu z latami poprzednimi) liczby osób objętych wypłatą świadczeń z FGŚP, zarówno na podstawie wykazów składanych do Funduszu przez pracodawców, syndyków, jak i w oparciu o wnioski </w:t>
      </w:r>
      <w:r w:rsidRPr="00546964">
        <w:rPr>
          <w:rFonts w:ascii="Times New Roman" w:hAnsi="Times New Roman" w:cs="Times New Roman"/>
          <w:sz w:val="24"/>
          <w:szCs w:val="24"/>
        </w:rPr>
        <w:lastRenderedPageBreak/>
        <w:t xml:space="preserve">indywidualne samych pracowników, co wynikało ze zmniejszenia liczby podmiotów niewypłacalnych i zagrożonych niewypłacalnością, zwłaszcza wśród dużych firm. </w:t>
      </w:r>
    </w:p>
    <w:p w:rsidR="00B50749" w:rsidRPr="00546964" w:rsidRDefault="00B50749" w:rsidP="00B50749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W okresie 2016 r. Dyrektor Wojewódzkiego Urzędu Pracy w Rzeszowie dokonał wypłat ze środków Funduszu na kwotę 4,95 mln zł, na rzecz pracowników i byłych pracowników 36 podmiotów gospodarczych. Wypłacone świadczenia dotyczyły łącznie 785 osób.</w:t>
      </w:r>
    </w:p>
    <w:p w:rsidR="00B50749" w:rsidRPr="00546964" w:rsidRDefault="00B50749" w:rsidP="00B50749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Liczby te wykazują, że sytuacja gospodarcza pod względem niewypłacalności pracodawców w województwie podkarpackim w ostatnich  latach ulegała systematycznej poprawie. Jeszcze w 2013 r. Fundusz dokonał wypłat na rzecz 4100 pracowników od 37 niewypłacalnych pracodawców na łączną kwotę 29,6 mln zł. w roku 2014 odnotowano obniżenie wypłat świadczeń do 11,8 mln zł, a objęte nimi były 1994 osoby zatrudnione u 36 pracodawców. Rok 2015 okazał się kolejnym rokiem obniżenia zwolnień grupowych wynikłych z niewypłacalności pracodawców. Podobna tendencja występowała także w</w:t>
      </w:r>
      <w:r w:rsidR="00916BC0">
        <w:rPr>
          <w:rFonts w:ascii="Times New Roman" w:hAnsi="Times New Roman" w:cs="Times New Roman"/>
          <w:sz w:val="24"/>
          <w:szCs w:val="24"/>
        </w:rPr>
        <w:t> </w:t>
      </w:r>
      <w:r w:rsidRPr="00546964">
        <w:rPr>
          <w:rFonts w:ascii="Times New Roman" w:hAnsi="Times New Roman" w:cs="Times New Roman"/>
          <w:sz w:val="24"/>
          <w:szCs w:val="24"/>
        </w:rPr>
        <w:t>2016 r.</w:t>
      </w:r>
    </w:p>
    <w:p w:rsidR="00B50749" w:rsidRPr="00546964" w:rsidRDefault="00B50749" w:rsidP="00B50749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 xml:space="preserve">W ostatnich  latach obserwowana jest również korzystna </w:t>
      </w:r>
      <w:r>
        <w:rPr>
          <w:rFonts w:ascii="Times New Roman" w:hAnsi="Times New Roman" w:cs="Times New Roman"/>
          <w:sz w:val="24"/>
          <w:szCs w:val="24"/>
        </w:rPr>
        <w:t>sytuacja</w:t>
      </w:r>
      <w:r w:rsidRPr="00546964">
        <w:rPr>
          <w:rFonts w:ascii="Times New Roman" w:hAnsi="Times New Roman" w:cs="Times New Roman"/>
          <w:sz w:val="24"/>
          <w:szCs w:val="24"/>
        </w:rPr>
        <w:t xml:space="preserve"> w zakresie spadku liczby niewypłacalnych pracodawców na terenie województwa podkarpackiego wg kryterium wielkości. W roku 2013 liczba niewypłacalnych pracodawców zatrudniających ponad 100 osób wynosiła 7, w 2014 r. spadła do 3-ch, a w 2015 r. nie odnotowano upadłości żadnego dużego podmiotu gospodarczego, mającego siedzibę w województwie. W roku 2016 spośród 10 niewypłacalnych pracodawców, tylko jeden zatrudniał ponad 100 pracowników.</w:t>
      </w:r>
    </w:p>
    <w:p w:rsidR="00B50749" w:rsidRPr="00546964" w:rsidRDefault="00B50749" w:rsidP="00B50749">
      <w:pPr>
        <w:pStyle w:val="Bezodstpw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W ostatnich 2 latach największe wypłaty dotyczyły pracowników następujących pracodawców:</w:t>
      </w:r>
    </w:p>
    <w:p w:rsidR="00821092" w:rsidRDefault="00821092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50749" w:rsidRDefault="00B50749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6964">
        <w:rPr>
          <w:rFonts w:ascii="Times New Roman" w:hAnsi="Times New Roman" w:cs="Times New Roman"/>
          <w:sz w:val="24"/>
          <w:szCs w:val="24"/>
          <w:u w:val="single"/>
        </w:rPr>
        <w:t>Rok 2015:</w:t>
      </w:r>
    </w:p>
    <w:p w:rsidR="00821092" w:rsidRPr="00546964" w:rsidRDefault="00821092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50749" w:rsidRPr="00546964" w:rsidRDefault="00B50749" w:rsidP="00B50749">
      <w:pPr>
        <w:numPr>
          <w:ilvl w:val="0"/>
          <w:numId w:val="12"/>
        </w:numPr>
        <w:spacing w:after="0" w:line="360" w:lineRule="auto"/>
        <w:ind w:left="709" w:hanging="319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Fabryka Wagonów Gniewczyna SA w upadłości likwidacyjnej – kontynuacja wypłat rozpoczętych w 2014 r. objęła 418 osób, w łącznej kwocie 3,2 mln zł,</w:t>
      </w:r>
    </w:p>
    <w:p w:rsidR="00B50749" w:rsidRPr="00546964" w:rsidRDefault="00B50749" w:rsidP="00B50749">
      <w:pPr>
        <w:numPr>
          <w:ilvl w:val="0"/>
          <w:numId w:val="12"/>
        </w:numPr>
        <w:spacing w:after="0" w:line="360" w:lineRule="auto"/>
        <w:ind w:left="709" w:hanging="319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Ceramika Polska Sp. z o.o. w upadłości likwidacyjnej w Hadykówce – wypłaty dla 79 osób w kwocie 409,2 tys. zł,</w:t>
      </w:r>
    </w:p>
    <w:p w:rsidR="00B50749" w:rsidRPr="00546964" w:rsidRDefault="00B50749" w:rsidP="00B50749">
      <w:pPr>
        <w:numPr>
          <w:ilvl w:val="0"/>
          <w:numId w:val="12"/>
        </w:numPr>
        <w:spacing w:after="0" w:line="360" w:lineRule="auto"/>
        <w:ind w:left="709" w:hanging="319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WIMET Sp. z o. o. w upadłości likwidacyjnej w Mielcu – wypłaty dla 68 osób w kwocie 598,3 tys. zł,</w:t>
      </w:r>
    </w:p>
    <w:p w:rsidR="00B50749" w:rsidRPr="00546964" w:rsidRDefault="00B50749" w:rsidP="00B50749">
      <w:pPr>
        <w:numPr>
          <w:ilvl w:val="0"/>
          <w:numId w:val="12"/>
        </w:numPr>
        <w:spacing w:after="0" w:line="360" w:lineRule="auto"/>
        <w:ind w:left="709" w:hanging="319"/>
        <w:jc w:val="both"/>
        <w:rPr>
          <w:rFonts w:ascii="Times New Roman" w:hAnsi="Times New Roman" w:cs="Times New Roman"/>
          <w:sz w:val="24"/>
          <w:szCs w:val="24"/>
        </w:rPr>
      </w:pPr>
      <w:r w:rsidRPr="00546964">
        <w:rPr>
          <w:rFonts w:ascii="Times New Roman" w:hAnsi="Times New Roman" w:cs="Times New Roman"/>
          <w:sz w:val="24"/>
          <w:szCs w:val="24"/>
        </w:rPr>
        <w:t>Budownictwo Naftowo-Gazownicze NAFTOMONTAŻ Sp. z o. o. w upadłości likwidacyjnej w Przemyślu – wypłaty dla 55 osób w kwocie 435,2 tys. zł.</w:t>
      </w:r>
    </w:p>
    <w:p w:rsidR="00821092" w:rsidRDefault="00821092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21092" w:rsidRDefault="00821092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50749" w:rsidRDefault="00B50749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6964">
        <w:rPr>
          <w:rFonts w:ascii="Times New Roman" w:hAnsi="Times New Roman" w:cs="Times New Roman"/>
          <w:sz w:val="24"/>
          <w:szCs w:val="24"/>
          <w:u w:val="single"/>
        </w:rPr>
        <w:lastRenderedPageBreak/>
        <w:t>Rok 2016:</w:t>
      </w:r>
    </w:p>
    <w:p w:rsidR="00821092" w:rsidRPr="00546964" w:rsidRDefault="00821092" w:rsidP="00821092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50749" w:rsidRPr="00775FA0" w:rsidRDefault="00B50749" w:rsidP="00B50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   </w:t>
      </w:r>
      <w:r w:rsidRPr="00775FA0">
        <w:rPr>
          <w:rFonts w:ascii="Times New Roman" w:eastAsia="Times New Roman" w:hAnsi="Times New Roman" w:cs="Times New Roman"/>
          <w:sz w:val="24"/>
          <w:szCs w:val="24"/>
          <w:lang w:eastAsia="pl-PL"/>
        </w:rPr>
        <w:t>TAP Sp. z o.o. w Lesku w upadłości – wypłaty dla 190 osób w kwocie 2,46 mln zł.</w:t>
      </w:r>
    </w:p>
    <w:p w:rsidR="00B50749" w:rsidRPr="00546964" w:rsidRDefault="00B50749" w:rsidP="00B50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-    </w:t>
      </w:r>
      <w:r w:rsidRPr="00775F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PATENTUS S.A. w Stalowej Woli w upadłości – wypłaty dla 58 osób na łączną kwotę </w:t>
      </w:r>
    </w:p>
    <w:p w:rsidR="00B50749" w:rsidRPr="00775FA0" w:rsidRDefault="00B50749" w:rsidP="00B507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Pr="00775FA0">
        <w:rPr>
          <w:rFonts w:ascii="Times New Roman" w:eastAsia="Times New Roman" w:hAnsi="Times New Roman" w:cs="Times New Roman"/>
          <w:sz w:val="24"/>
          <w:szCs w:val="24"/>
          <w:lang w:eastAsia="pl-PL"/>
        </w:rPr>
        <w:t>534,5 tys. zł</w:t>
      </w:r>
    </w:p>
    <w:p w:rsidR="00B50749" w:rsidRPr="00B50749" w:rsidRDefault="00B50749" w:rsidP="00B50749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50749" w:rsidRPr="00546964" w:rsidRDefault="00B50749" w:rsidP="00B5074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</w:t>
      </w:r>
      <w:r w:rsidRPr="005469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ustawy z dnia 11 października 2013 r. o szczególnych rozwiązaniach związanych z ochroną miejsc pracy ( tj. Dz. U. z 2015 r. </w:t>
      </w:r>
      <w:proofErr w:type="spellStart"/>
      <w:r w:rsidRPr="005469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poz</w:t>
      </w:r>
      <w:proofErr w:type="spellEnd"/>
      <w:r w:rsidRPr="0054696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385) </w:t>
      </w: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roku 2016 kontynuowane były 2 umowy z pracodawcami, obejmujące dofinansowanie wynagrodzeń z tytułu obniżenia wymiaru czasu pracy w związku z przejściowymi spadkami obrotów gospodarczych. </w:t>
      </w:r>
      <w:r w:rsidRPr="003622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okresie 2015-2016 r. poniesiono na ten cel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wydatki</w:t>
      </w: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pl-PL"/>
          <w14:textFill>
            <w14:noFill/>
          </w14:textFill>
        </w:rPr>
        <w:t xml:space="preserve">   </w:t>
      </w:r>
      <w:r w:rsidRPr="0036227F">
        <w:rPr>
          <w:rFonts w:ascii="Times New Roman" w:eastAsia="Times New Roman" w:hAnsi="Times New Roman" w:cs="Times New Roman"/>
          <w:sz w:val="24"/>
          <w:szCs w:val="24"/>
          <w:lang w:eastAsia="pl-PL"/>
        </w:rPr>
        <w:t>w łącznej kwocie 235,5 tys. zł, a wypłacone z FGŚP świadczenia pozwoliły na utrzymanie 185 zagrożonych stanowisk pracy.</w:t>
      </w:r>
    </w:p>
    <w:p w:rsidR="00B50749" w:rsidRPr="00821092" w:rsidRDefault="00B50749" w:rsidP="00821092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50749" w:rsidRPr="00546964" w:rsidRDefault="00B50749" w:rsidP="00B50749">
      <w:pPr>
        <w:pStyle w:val="Akapitzlist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przepisami ustawy z dnia 13 lipca 2006 r. o ochronie roszczeń pracowniczych w razie niewypłacalności pracodawcy(…) kwoty świadczeń wypłaconych z Funduszu podlegają zwrotowi, a roszczenia pracowników wobec pracodawcy, po dokonanych wypłatach przechodzą z mocy prawa na Fundusz.</w:t>
      </w:r>
    </w:p>
    <w:p w:rsidR="00B50749" w:rsidRPr="00546964" w:rsidRDefault="00B50749" w:rsidP="00B50749">
      <w:pPr>
        <w:pStyle w:val="Akapitzlist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>Wg stanu na koniec grudnia 2016 r. wobec 250 dłużników prowadzonych było ponad 270 postępowań windykacyjnych.</w:t>
      </w:r>
    </w:p>
    <w:p w:rsidR="00B50749" w:rsidRDefault="00B50749" w:rsidP="00B50749">
      <w:pPr>
        <w:pStyle w:val="Akapitzlist"/>
        <w:spacing w:after="0" w:line="36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6964">
        <w:rPr>
          <w:rFonts w:ascii="Times New Roman" w:eastAsia="Times New Roman" w:hAnsi="Times New Roman" w:cs="Times New Roman"/>
          <w:sz w:val="24"/>
          <w:szCs w:val="24"/>
          <w:lang w:eastAsia="pl-PL"/>
        </w:rPr>
        <w:t>W ciągu ostatnich lat WUP w Rzeszowie uzyskuje dobre wyniki w zakresie wykonania planu windykacji, wysoki jest również wskaźnik skuteczności prowadzonej windykacji mierzony wysokością kwot  odzyskanych do wypłaconych. W roku 2016 Fundusz odzyskał w ramach windykacji  20,5 mln zł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tj 4</w:t>
      </w:r>
      <w:r w:rsidR="00CC326C">
        <w:rPr>
          <w:rFonts w:ascii="Times New Roman" w:eastAsia="Times New Roman" w:hAnsi="Times New Roman" w:cs="Times New Roman"/>
          <w:sz w:val="24"/>
          <w:szCs w:val="24"/>
          <w:lang w:eastAsia="pl-PL"/>
        </w:rPr>
        <w:t> –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krotnie więcej niż w roku poprzednim.</w:t>
      </w:r>
    </w:p>
    <w:p w:rsidR="00452A1B" w:rsidRPr="00B1523C" w:rsidRDefault="00452A1B" w:rsidP="00156F4A">
      <w:pPr>
        <w:pStyle w:val="Default"/>
        <w:outlineLvl w:val="0"/>
        <w:rPr>
          <w:bCs/>
          <w:caps/>
          <w:sz w:val="16"/>
          <w:szCs w:val="16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</w:p>
    <w:p w:rsidR="00156F4A" w:rsidRPr="00452A1B" w:rsidRDefault="00156F4A" w:rsidP="00156F4A">
      <w:pPr>
        <w:pStyle w:val="Default"/>
        <w:outlineLvl w:val="0"/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27" w:name="_Toc477160372"/>
      <w:r w:rsidRPr="00452A1B">
        <w:rPr>
          <w:b/>
          <w:bCs/>
          <w:caps/>
          <w:sz w:val="32"/>
          <w:szCs w:val="3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Podsumowanie</w:t>
      </w:r>
      <w:bookmarkEnd w:id="27"/>
    </w:p>
    <w:p w:rsidR="00156F4A" w:rsidRPr="00B1523C" w:rsidRDefault="00156F4A" w:rsidP="00156F4A">
      <w:pPr>
        <w:pStyle w:val="Default"/>
        <w:rPr>
          <w:sz w:val="16"/>
          <w:szCs w:val="16"/>
          <w:highlight w:val="yellow"/>
        </w:rPr>
      </w:pPr>
    </w:p>
    <w:p w:rsidR="00156F4A" w:rsidRPr="00EC39E6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EC39E6">
        <w:rPr>
          <w:b/>
        </w:rPr>
        <w:t>Zmniejszające się bezrobocie</w:t>
      </w:r>
      <w:r w:rsidRPr="00EC39E6">
        <w:t>: stopa bezrobocia rejestrowanego w województwie podkarpackim wyniosła na dzień 31</w:t>
      </w:r>
      <w:r w:rsidR="00D91141" w:rsidRPr="00EC39E6">
        <w:t xml:space="preserve"> XII ‘</w:t>
      </w:r>
      <w:r w:rsidRPr="00EC39E6">
        <w:t>1</w:t>
      </w:r>
      <w:r w:rsidR="00D91141" w:rsidRPr="00EC39E6">
        <w:t>6</w:t>
      </w:r>
      <w:r w:rsidRPr="00EC39E6">
        <w:t xml:space="preserve"> r. </w:t>
      </w:r>
      <w:r w:rsidR="00EC39E6" w:rsidRPr="00EC39E6">
        <w:t>11</w:t>
      </w:r>
      <w:r w:rsidRPr="00EC39E6">
        <w:t>,</w:t>
      </w:r>
      <w:r w:rsidR="00EC39E6" w:rsidRPr="00EC39E6">
        <w:t>6</w:t>
      </w:r>
      <w:r w:rsidRPr="00EC39E6">
        <w:t>% (31</w:t>
      </w:r>
      <w:r w:rsidR="00D91141" w:rsidRPr="00EC39E6">
        <w:t xml:space="preserve"> XII ‘</w:t>
      </w:r>
      <w:r w:rsidRPr="00EC39E6">
        <w:t>1</w:t>
      </w:r>
      <w:r w:rsidR="00D91141" w:rsidRPr="00EC39E6">
        <w:t>5</w:t>
      </w:r>
      <w:r w:rsidRPr="00EC39E6">
        <w:t xml:space="preserve"> r. – 1</w:t>
      </w:r>
      <w:r w:rsidR="00D91141" w:rsidRPr="00EC39E6">
        <w:t>3</w:t>
      </w:r>
      <w:r w:rsidRPr="00EC39E6">
        <w:t>,</w:t>
      </w:r>
      <w:r w:rsidR="00D91141" w:rsidRPr="00EC39E6">
        <w:t>2</w:t>
      </w:r>
      <w:r w:rsidRPr="00EC39E6">
        <w:t xml:space="preserve">%), co oznacza zmniejszenie w </w:t>
      </w:r>
      <w:r w:rsidR="00EC39E6" w:rsidRPr="00EC39E6">
        <w:t>20</w:t>
      </w:r>
      <w:r w:rsidRPr="00EC39E6">
        <w:t>1</w:t>
      </w:r>
      <w:r w:rsidR="00EC39E6" w:rsidRPr="00EC39E6">
        <w:t>6</w:t>
      </w:r>
      <w:r w:rsidRPr="00EC39E6">
        <w:t xml:space="preserve"> r. o 1,</w:t>
      </w:r>
      <w:r w:rsidR="00EC39E6" w:rsidRPr="00EC39E6">
        <w:t>6</w:t>
      </w:r>
      <w:r w:rsidRPr="00EC39E6">
        <w:t xml:space="preserve"> punktu procentowego. W kraju stopa bezrobocia wyniosła na dzień 31</w:t>
      </w:r>
      <w:r w:rsidR="00EC39E6" w:rsidRPr="00EC39E6">
        <w:t xml:space="preserve"> XII ‘</w:t>
      </w:r>
      <w:r w:rsidRPr="00EC39E6">
        <w:t>1</w:t>
      </w:r>
      <w:r w:rsidR="00EC39E6" w:rsidRPr="00EC39E6">
        <w:t>6</w:t>
      </w:r>
      <w:r w:rsidRPr="00EC39E6">
        <w:t xml:space="preserve"> r. </w:t>
      </w:r>
      <w:r w:rsidR="00EC39E6" w:rsidRPr="00EC39E6">
        <w:t>8,3</w:t>
      </w:r>
      <w:r w:rsidRPr="00EC39E6">
        <w:t xml:space="preserve">% i w </w:t>
      </w:r>
      <w:r w:rsidR="00EC39E6" w:rsidRPr="00EC39E6">
        <w:t>20</w:t>
      </w:r>
      <w:r w:rsidRPr="00EC39E6">
        <w:t>1</w:t>
      </w:r>
      <w:r w:rsidR="00EC39E6" w:rsidRPr="00EC39E6">
        <w:t>6</w:t>
      </w:r>
      <w:r w:rsidRPr="00EC39E6">
        <w:t xml:space="preserve"> r. zmniejszyła się o </w:t>
      </w:r>
      <w:r w:rsidR="00EC39E6" w:rsidRPr="00EC39E6">
        <w:t>1</w:t>
      </w:r>
      <w:r w:rsidRPr="00EC39E6">
        <w:t>,</w:t>
      </w:r>
      <w:r w:rsidR="00EC39E6" w:rsidRPr="00EC39E6">
        <w:t xml:space="preserve">4 </w:t>
      </w:r>
      <w:r w:rsidRPr="00EC39E6">
        <w:t>pk</w:t>
      </w:r>
      <w:r w:rsidR="007E72CE">
        <w:t>t.</w:t>
      </w:r>
      <w:r w:rsidRPr="00EC39E6">
        <w:t xml:space="preserve"> proc</w:t>
      </w:r>
      <w:r w:rsidR="007E72CE">
        <w:t>.</w:t>
      </w:r>
      <w:r w:rsidRPr="00EC39E6">
        <w:t xml:space="preserve"> (31</w:t>
      </w:r>
      <w:r w:rsidR="00EC39E6" w:rsidRPr="00EC39E6">
        <w:t xml:space="preserve"> XII ‘</w:t>
      </w:r>
      <w:r w:rsidRPr="00EC39E6">
        <w:t>1</w:t>
      </w:r>
      <w:r w:rsidR="00EC39E6" w:rsidRPr="00EC39E6">
        <w:t>5</w:t>
      </w:r>
      <w:r w:rsidRPr="00EC39E6">
        <w:t xml:space="preserve"> r. – </w:t>
      </w:r>
      <w:r w:rsidR="00EC39E6" w:rsidRPr="00EC39E6">
        <w:t>9</w:t>
      </w:r>
      <w:r w:rsidRPr="00EC39E6">
        <w:t>,</w:t>
      </w:r>
      <w:r w:rsidR="00EC39E6" w:rsidRPr="00EC39E6">
        <w:t>7</w:t>
      </w:r>
      <w:r w:rsidRPr="00EC39E6">
        <w:t>%).</w:t>
      </w:r>
    </w:p>
    <w:p w:rsidR="00156F4A" w:rsidRPr="007E72CE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7E72CE">
        <w:rPr>
          <w:b/>
        </w:rPr>
        <w:t>Spadek liczby bezrobotnych</w:t>
      </w:r>
      <w:r w:rsidRPr="007E72CE">
        <w:t>: w 201</w:t>
      </w:r>
      <w:r w:rsidR="007E72CE" w:rsidRPr="007E72CE">
        <w:t>6</w:t>
      </w:r>
      <w:r w:rsidRPr="007E72CE">
        <w:t xml:space="preserve"> r. więcej osób wyrejestrowano z ewidencji powiatowych urzędów pracy (1</w:t>
      </w:r>
      <w:r w:rsidR="007E72CE" w:rsidRPr="007E72CE">
        <w:t>65</w:t>
      </w:r>
      <w:r w:rsidRPr="007E72CE">
        <w:t> 3</w:t>
      </w:r>
      <w:r w:rsidR="007E72CE" w:rsidRPr="007E72CE">
        <w:t>52</w:t>
      </w:r>
      <w:r w:rsidRPr="007E72CE">
        <w:t>) niż zarejestrowano (1</w:t>
      </w:r>
      <w:r w:rsidR="007E72CE" w:rsidRPr="007E72CE">
        <w:t>49</w:t>
      </w:r>
      <w:r w:rsidRPr="007E72CE">
        <w:t> </w:t>
      </w:r>
      <w:r w:rsidR="007E72CE" w:rsidRPr="007E72CE">
        <w:t>405</w:t>
      </w:r>
      <w:r w:rsidRPr="007E72CE">
        <w:t>). Różnica wyniosła 1</w:t>
      </w:r>
      <w:r w:rsidR="007E72CE" w:rsidRPr="007E72CE">
        <w:t>5</w:t>
      </w:r>
      <w:r w:rsidRPr="007E72CE">
        <w:t> </w:t>
      </w:r>
      <w:r w:rsidR="007E72CE" w:rsidRPr="007E72CE">
        <w:t>947</w:t>
      </w:r>
      <w:r w:rsidRPr="007E72CE">
        <w:t xml:space="preserve"> osób. </w:t>
      </w:r>
    </w:p>
    <w:p w:rsidR="00156F4A" w:rsidRPr="00177BFE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7E72CE">
        <w:rPr>
          <w:b/>
        </w:rPr>
        <w:lastRenderedPageBreak/>
        <w:t>Bezrobocie kobiet</w:t>
      </w:r>
      <w:r w:rsidRPr="007E72CE">
        <w:t>: powyżej ½ ogólnej populacji bezrobocia rejestrowanego stanowiły kobiety, tj. 5</w:t>
      </w:r>
      <w:r w:rsidR="007E72CE" w:rsidRPr="007E72CE">
        <w:t>2</w:t>
      </w:r>
      <w:r w:rsidRPr="007E72CE">
        <w:t>,</w:t>
      </w:r>
      <w:r w:rsidR="007E72CE" w:rsidRPr="007E72CE">
        <w:t>4</w:t>
      </w:r>
      <w:r w:rsidRPr="007E72CE">
        <w:t>%, podczas gdy rok wcześniej 51,</w:t>
      </w:r>
      <w:r w:rsidR="007E72CE" w:rsidRPr="007E72CE">
        <w:t>5</w:t>
      </w:r>
      <w:r w:rsidRPr="007E72CE">
        <w:t xml:space="preserve">%. Bezrobotne kobiety to nadal głównie osoby młode w wieku od 18 do 34 </w:t>
      </w:r>
      <w:r w:rsidRPr="00177BFE">
        <w:t>lat (</w:t>
      </w:r>
      <w:r w:rsidR="00177BFE" w:rsidRPr="00177BFE">
        <w:t>49</w:t>
      </w:r>
      <w:r w:rsidRPr="00177BFE">
        <w:t>,</w:t>
      </w:r>
      <w:r w:rsidR="00177BFE" w:rsidRPr="00177BFE">
        <w:t>8</w:t>
      </w:r>
      <w:r w:rsidRPr="00177BFE">
        <w:t>%</w:t>
      </w:r>
      <w:r w:rsidRPr="007E72CE">
        <w:t xml:space="preserve"> ogółu bezrobotnych kobiet). Przeważają wśród ogółu długotrwale bezrobotnych – </w:t>
      </w:r>
      <w:r w:rsidR="003E09CE" w:rsidRPr="00177BFE">
        <w:t xml:space="preserve">stanowiąc </w:t>
      </w:r>
      <w:r w:rsidRPr="00177BFE">
        <w:t>5</w:t>
      </w:r>
      <w:r w:rsidR="00177BFE" w:rsidRPr="00177BFE">
        <w:t>6</w:t>
      </w:r>
      <w:r w:rsidRPr="00177BFE">
        <w:t>,</w:t>
      </w:r>
      <w:r w:rsidR="00177BFE" w:rsidRPr="00177BFE">
        <w:t>4</w:t>
      </w:r>
      <w:r w:rsidRPr="00177BFE">
        <w:t>% (rok wcześniej 5</w:t>
      </w:r>
      <w:r w:rsidR="00177BFE" w:rsidRPr="00177BFE">
        <w:t>5</w:t>
      </w:r>
      <w:r w:rsidRPr="00177BFE">
        <w:t>,</w:t>
      </w:r>
      <w:r w:rsidR="007E72CE" w:rsidRPr="00177BFE">
        <w:t>1</w:t>
      </w:r>
      <w:r w:rsidRPr="00177BFE">
        <w:t>%).</w:t>
      </w:r>
    </w:p>
    <w:p w:rsidR="00156F4A" w:rsidRPr="007E72CE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7B1031">
        <w:rPr>
          <w:b/>
        </w:rPr>
        <w:t>Bezrobocie na wsi</w:t>
      </w:r>
      <w:r w:rsidRPr="007E72CE">
        <w:t xml:space="preserve">: od dłuższego czasu utrzymuje się wysoki poziom bezrobotnych zamieszkałych na terenach wiejskich </w:t>
      </w:r>
      <w:r w:rsidRPr="00816676">
        <w:t>(63</w:t>
      </w:r>
      <w:r w:rsidR="00816676" w:rsidRPr="00816676">
        <w:t>,0</w:t>
      </w:r>
      <w:r w:rsidRPr="00816676">
        <w:t xml:space="preserve">% </w:t>
      </w:r>
      <w:r w:rsidRPr="007E72CE">
        <w:t xml:space="preserve">bezrobotnych ogółem). Bezrobotni na terenach wiejskich to głównie osoby młode w </w:t>
      </w:r>
      <w:r w:rsidRPr="00816676">
        <w:t xml:space="preserve">wieku </w:t>
      </w:r>
      <w:r w:rsidR="00816676" w:rsidRPr="00816676">
        <w:t>18–</w:t>
      </w:r>
      <w:r w:rsidRPr="00816676">
        <w:t>34 lat (</w:t>
      </w:r>
      <w:r w:rsidR="00816676" w:rsidRPr="00816676">
        <w:t>49</w:t>
      </w:r>
      <w:r w:rsidRPr="00816676">
        <w:t>,</w:t>
      </w:r>
      <w:r w:rsidR="00816676" w:rsidRPr="00816676">
        <w:t>0</w:t>
      </w:r>
      <w:r w:rsidRPr="00816676">
        <w:t>% ogółu</w:t>
      </w:r>
      <w:r w:rsidRPr="007E72CE">
        <w:t xml:space="preserve"> bezrobotnych zamieszkałych na wsi), posiadające wykształcenie zasadnicze zawodowe </w:t>
      </w:r>
      <w:r w:rsidRPr="00366BD5">
        <w:t>(32,</w:t>
      </w:r>
      <w:r w:rsidR="00366BD5" w:rsidRPr="00366BD5">
        <w:t>3</w:t>
      </w:r>
      <w:r w:rsidRPr="00366BD5">
        <w:t>% osób bezrobotnych na wsi) lub</w:t>
      </w:r>
      <w:r w:rsidRPr="007E72CE">
        <w:t xml:space="preserve"> policealne i średnie zawodowe </w:t>
      </w:r>
      <w:r w:rsidRPr="00366BD5">
        <w:t>(25,</w:t>
      </w:r>
      <w:r w:rsidR="00366BD5" w:rsidRPr="00366BD5">
        <w:t>2</w:t>
      </w:r>
      <w:r w:rsidRPr="00366BD5">
        <w:t xml:space="preserve">%). </w:t>
      </w:r>
      <w:r w:rsidRPr="007E72CE">
        <w:t>Posiadają krótki staż zawodowy</w:t>
      </w:r>
      <w:r w:rsidRPr="00366BD5">
        <w:t>: 4</w:t>
      </w:r>
      <w:r w:rsidR="00366BD5" w:rsidRPr="00366BD5">
        <w:t>3</w:t>
      </w:r>
      <w:r w:rsidRPr="00366BD5">
        <w:t>,</w:t>
      </w:r>
      <w:r w:rsidR="00366BD5" w:rsidRPr="00366BD5">
        <w:t>5</w:t>
      </w:r>
      <w:r w:rsidRPr="00366BD5">
        <w:t>%</w:t>
      </w:r>
      <w:r w:rsidR="00366BD5">
        <w:t xml:space="preserve"> - </w:t>
      </w:r>
      <w:r w:rsidRPr="007E72CE">
        <w:t xml:space="preserve">do 5 lat, a </w:t>
      </w:r>
      <w:r w:rsidRPr="00366BD5">
        <w:t>1</w:t>
      </w:r>
      <w:r w:rsidR="00366BD5" w:rsidRPr="00366BD5">
        <w:t>8</w:t>
      </w:r>
      <w:r w:rsidRPr="00366BD5">
        <w:t>,</w:t>
      </w:r>
      <w:r w:rsidR="00366BD5" w:rsidRPr="00366BD5">
        <w:t>9</w:t>
      </w:r>
      <w:r w:rsidRPr="00366BD5">
        <w:t>% przed rejestracją</w:t>
      </w:r>
      <w:r w:rsidR="00366BD5">
        <w:t xml:space="preserve"> </w:t>
      </w:r>
      <w:r w:rsidRPr="007E72CE">
        <w:t>w</w:t>
      </w:r>
      <w:r w:rsidR="00366BD5">
        <w:t xml:space="preserve"> PUP</w:t>
      </w:r>
      <w:r w:rsidRPr="007E72CE">
        <w:t xml:space="preserve"> jeszcze nie </w:t>
      </w:r>
      <w:r w:rsidRPr="00366BD5">
        <w:t>pracowało (łącznie 6</w:t>
      </w:r>
      <w:r w:rsidR="00366BD5" w:rsidRPr="00366BD5">
        <w:t>2</w:t>
      </w:r>
      <w:r w:rsidRPr="00366BD5">
        <w:t>,</w:t>
      </w:r>
      <w:r w:rsidR="00366BD5" w:rsidRPr="00366BD5">
        <w:t>4</w:t>
      </w:r>
      <w:r w:rsidRPr="00366BD5">
        <w:t>% ogółu bezrobotnych</w:t>
      </w:r>
      <w:r w:rsidRPr="007E72CE">
        <w:t xml:space="preserve"> na wsi). </w:t>
      </w:r>
      <w:r w:rsidR="00015531">
        <w:t>B</w:t>
      </w:r>
      <w:r w:rsidR="00015531" w:rsidRPr="007E72CE">
        <w:t>ez pracy powyżej 12 miesięcy</w:t>
      </w:r>
      <w:r w:rsidR="00015531">
        <w:t xml:space="preserve"> pozostaje </w:t>
      </w:r>
      <w:r w:rsidRPr="00DA7086">
        <w:t>4</w:t>
      </w:r>
      <w:r w:rsidR="00DA7086" w:rsidRPr="00DA7086">
        <w:t>4</w:t>
      </w:r>
      <w:r w:rsidRPr="00DA7086">
        <w:t>,</w:t>
      </w:r>
      <w:r w:rsidR="00DA7086" w:rsidRPr="00DA7086">
        <w:t>1</w:t>
      </w:r>
      <w:r w:rsidRPr="00DA7086">
        <w:t>% bezrobotnych</w:t>
      </w:r>
      <w:r w:rsidRPr="007E72CE">
        <w:t xml:space="preserve"> zam</w:t>
      </w:r>
      <w:r w:rsidR="00753452">
        <w:t>.</w:t>
      </w:r>
      <w:r w:rsidRPr="007E72CE">
        <w:t xml:space="preserve"> na wsi</w:t>
      </w:r>
      <w:r w:rsidR="00753452">
        <w:t xml:space="preserve">. </w:t>
      </w:r>
    </w:p>
    <w:p w:rsidR="00156F4A" w:rsidRPr="00816676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816676">
        <w:rPr>
          <w:b/>
        </w:rPr>
        <w:t>Bezrobocie długotrwałe</w:t>
      </w:r>
      <w:r w:rsidR="00753452">
        <w:t>:</w:t>
      </w:r>
      <w:r w:rsidRPr="00816676">
        <w:t xml:space="preserve"> </w:t>
      </w:r>
      <w:r w:rsidR="00753452">
        <w:t>o</w:t>
      </w:r>
      <w:r w:rsidRPr="00816676">
        <w:t xml:space="preserve">dnotowano spadek (o </w:t>
      </w:r>
      <w:r w:rsidR="00816676" w:rsidRPr="00816676">
        <w:t>0,2</w:t>
      </w:r>
      <w:r w:rsidRPr="00816676">
        <w:t xml:space="preserve"> pkt</w:t>
      </w:r>
      <w:r w:rsidR="00816676" w:rsidRPr="00816676">
        <w:t>.</w:t>
      </w:r>
      <w:r w:rsidRPr="00816676">
        <w:t xml:space="preserve"> proc</w:t>
      </w:r>
      <w:r w:rsidR="00816676" w:rsidRPr="00816676">
        <w:t>.</w:t>
      </w:r>
      <w:r w:rsidRPr="00816676">
        <w:t>) liczby osób bezrobotnych powyżej 12 miesięcy, jednak nadal osoby długotrwale bezrobotne stanowiły 60,</w:t>
      </w:r>
      <w:r w:rsidR="00816676" w:rsidRPr="00816676">
        <w:t>3</w:t>
      </w:r>
      <w:r w:rsidRPr="00816676">
        <w:t>% ogólnej liczby bezrobotnych (w 201</w:t>
      </w:r>
      <w:r w:rsidR="007E72CE" w:rsidRPr="00816676">
        <w:t>5</w:t>
      </w:r>
      <w:r w:rsidRPr="00816676">
        <w:t xml:space="preserve"> r. – 6</w:t>
      </w:r>
      <w:r w:rsidR="007E72CE" w:rsidRPr="00816676">
        <w:t>0</w:t>
      </w:r>
      <w:r w:rsidRPr="00816676">
        <w:t>,5% ogółu).</w:t>
      </w:r>
    </w:p>
    <w:p w:rsidR="00156F4A" w:rsidRPr="0075743F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75743F">
        <w:rPr>
          <w:b/>
        </w:rPr>
        <w:t>Bezrobocie wykształconych zawodowo</w:t>
      </w:r>
      <w:r w:rsidRPr="0075743F">
        <w:t>: ponad ½ bezrobotnych (5</w:t>
      </w:r>
      <w:r w:rsidR="0075743F" w:rsidRPr="0075743F">
        <w:t>4</w:t>
      </w:r>
      <w:r w:rsidRPr="0075743F">
        <w:t>,</w:t>
      </w:r>
      <w:r w:rsidR="0075743F" w:rsidRPr="0075743F">
        <w:t>6</w:t>
      </w:r>
      <w:r w:rsidRPr="0075743F">
        <w:t>% ogółu</w:t>
      </w:r>
      <w:r w:rsidR="004A3BF8">
        <w:t xml:space="preserve"> osób</w:t>
      </w:r>
      <w:r w:rsidRPr="0075743F">
        <w:t xml:space="preserve"> bezrobotnych) posiadała wykształcenie o charakterze zawodowym: zasadnicze zawodowe (29,</w:t>
      </w:r>
      <w:r w:rsidR="0075743F" w:rsidRPr="0075743F">
        <w:t>2</w:t>
      </w:r>
      <w:r w:rsidRPr="0075743F">
        <w:t>%) oraz policealne i średnie zawodowe (25,</w:t>
      </w:r>
      <w:r w:rsidR="0075743F" w:rsidRPr="0075743F">
        <w:t>4</w:t>
      </w:r>
      <w:r w:rsidRPr="0075743F">
        <w:t>%). Należy zaznaczyć, że trzecią</w:t>
      </w:r>
      <w:r w:rsidR="0075743F" w:rsidRPr="0075743F">
        <w:t xml:space="preserve"> kumulacją </w:t>
      </w:r>
      <w:r w:rsidRPr="0075743F">
        <w:t xml:space="preserve">były osoby bezrobotne z wykształceniem gimnazjalnym i niższym (20,1%). </w:t>
      </w:r>
    </w:p>
    <w:p w:rsidR="00156F4A" w:rsidRPr="007E72CE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7E72CE">
        <w:rPr>
          <w:b/>
        </w:rPr>
        <w:t>Bezrobocie osób o wyższym wykształceniu</w:t>
      </w:r>
      <w:r w:rsidRPr="007E72CE">
        <w:t xml:space="preserve">: wykształcenie wyższe posiadało </w:t>
      </w:r>
      <w:r w:rsidRPr="0075743F">
        <w:t>1</w:t>
      </w:r>
      <w:r w:rsidR="0075743F" w:rsidRPr="0075743F">
        <w:t>5,0</w:t>
      </w:r>
      <w:r w:rsidRPr="0075743F">
        <w:t xml:space="preserve">% </w:t>
      </w:r>
      <w:r w:rsidRPr="007E72CE">
        <w:t>osób bezrobotnych zarejestrowanych w PUP. Odsetek ten ulega wzrostowi</w:t>
      </w:r>
      <w:r w:rsidR="004A3BF8">
        <w:t>,</w:t>
      </w:r>
      <w:r w:rsidRPr="007E72CE">
        <w:t xml:space="preserve"> wraz</w:t>
      </w:r>
      <w:r w:rsidR="007E72CE">
        <w:t xml:space="preserve"> </w:t>
      </w:r>
      <w:r w:rsidRPr="007E72CE">
        <w:t>z</w:t>
      </w:r>
      <w:r w:rsidR="007E72CE">
        <w:t xml:space="preserve"> </w:t>
      </w:r>
      <w:r w:rsidRPr="007E72CE">
        <w:t xml:space="preserve">coraz większą ilością </w:t>
      </w:r>
      <w:r w:rsidR="0075743F" w:rsidRPr="007E72CE">
        <w:t>osób</w:t>
      </w:r>
      <w:r w:rsidR="0075743F">
        <w:t xml:space="preserve"> </w:t>
      </w:r>
      <w:r w:rsidRPr="007E72CE">
        <w:t>w ogólnej strukturze ludności</w:t>
      </w:r>
      <w:r w:rsidR="007E72CE">
        <w:t xml:space="preserve"> kończących studia wyższe</w:t>
      </w:r>
      <w:r w:rsidRPr="007E72CE">
        <w:t>.</w:t>
      </w:r>
    </w:p>
    <w:p w:rsidR="00156F4A" w:rsidRPr="00DE0A46" w:rsidRDefault="00E95936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DE0A46">
        <w:rPr>
          <w:b/>
        </w:rPr>
        <w:t>Osoby bezrobotne wg wieku</w:t>
      </w:r>
      <w:r w:rsidR="00156F4A" w:rsidRPr="00DE0A46">
        <w:t>: osoby będące w wieku 25</w:t>
      </w:r>
      <w:r w:rsidR="009D4603" w:rsidRPr="00DE0A46">
        <w:t>–</w:t>
      </w:r>
      <w:r w:rsidR="00156F4A" w:rsidRPr="00DE0A46">
        <w:t>34 lat to 30,</w:t>
      </w:r>
      <w:r w:rsidR="009D4603" w:rsidRPr="00DE0A46">
        <w:t>6</w:t>
      </w:r>
      <w:r w:rsidR="00156F4A" w:rsidRPr="00DE0A46">
        <w:t>% ogółu bezrobotnych w PUP</w:t>
      </w:r>
      <w:r w:rsidR="009D4603" w:rsidRPr="00DE0A46">
        <w:t>.</w:t>
      </w:r>
      <w:r w:rsidR="00156F4A" w:rsidRPr="00DE0A46">
        <w:t xml:space="preserve"> </w:t>
      </w:r>
      <w:r w:rsidR="009D4603" w:rsidRPr="00DE0A46">
        <w:t>O</w:t>
      </w:r>
      <w:r w:rsidR="00156F4A" w:rsidRPr="00DE0A46">
        <w:t>soby w wieku 35</w:t>
      </w:r>
      <w:r w:rsidR="009D4603" w:rsidRPr="00DE0A46">
        <w:t>–</w:t>
      </w:r>
      <w:r w:rsidR="00156F4A" w:rsidRPr="00DE0A46">
        <w:t>44 lat to 2</w:t>
      </w:r>
      <w:r w:rsidR="009D4603" w:rsidRPr="00DE0A46">
        <w:t>2</w:t>
      </w:r>
      <w:r w:rsidR="00156F4A" w:rsidRPr="00DE0A46">
        <w:t>,</w:t>
      </w:r>
      <w:r w:rsidR="009D4603" w:rsidRPr="00DE0A46">
        <w:t>1</w:t>
      </w:r>
      <w:r w:rsidR="00156F4A" w:rsidRPr="00DE0A46">
        <w:t xml:space="preserve">%, </w:t>
      </w:r>
      <w:r w:rsidR="009D4603" w:rsidRPr="00DE0A46">
        <w:t>a</w:t>
      </w:r>
      <w:r w:rsidR="00156F4A" w:rsidRPr="00DE0A46">
        <w:t xml:space="preserve"> w</w:t>
      </w:r>
      <w:r w:rsidR="00EC2F44" w:rsidRPr="00DE0A46">
        <w:t> </w:t>
      </w:r>
      <w:r w:rsidR="00156F4A" w:rsidRPr="00DE0A46">
        <w:t>wieku 45</w:t>
      </w:r>
      <w:r w:rsidR="009D4603" w:rsidRPr="00DE0A46">
        <w:t>–</w:t>
      </w:r>
      <w:r w:rsidR="00156F4A" w:rsidRPr="00DE0A46">
        <w:t>54 lat – 1</w:t>
      </w:r>
      <w:r w:rsidR="009D4603" w:rsidRPr="00DE0A46">
        <w:t>7</w:t>
      </w:r>
      <w:r w:rsidR="00156F4A" w:rsidRPr="00DE0A46">
        <w:t>,</w:t>
      </w:r>
      <w:r w:rsidR="009D4603" w:rsidRPr="00DE0A46">
        <w:t>9</w:t>
      </w:r>
      <w:r w:rsidR="00156F4A" w:rsidRPr="00DE0A46">
        <w:t xml:space="preserve">%. </w:t>
      </w:r>
      <w:r w:rsidR="009D4603" w:rsidRPr="00DE0A46">
        <w:t xml:space="preserve">Są to najbardziej liczne grupy wiekowe. </w:t>
      </w:r>
      <w:r w:rsidR="00156F4A" w:rsidRPr="00DE0A46">
        <w:t xml:space="preserve">Osoby </w:t>
      </w:r>
      <w:r w:rsidR="009D4603" w:rsidRPr="00DE0A46">
        <w:t xml:space="preserve">będące </w:t>
      </w:r>
      <w:r w:rsidR="00156F4A" w:rsidRPr="00DE0A46">
        <w:t>w wieku 18</w:t>
      </w:r>
      <w:r w:rsidR="009D4603" w:rsidRPr="00DE0A46">
        <w:t>–</w:t>
      </w:r>
      <w:r w:rsidR="00156F4A" w:rsidRPr="00DE0A46">
        <w:t>24 lat obejmowały 1</w:t>
      </w:r>
      <w:r w:rsidR="009D4603" w:rsidRPr="00DE0A46">
        <w:t>5</w:t>
      </w:r>
      <w:r w:rsidR="00156F4A" w:rsidRPr="00DE0A46">
        <w:t>,</w:t>
      </w:r>
      <w:r w:rsidR="009D4603" w:rsidRPr="00DE0A46">
        <w:t>1</w:t>
      </w:r>
      <w:r w:rsidR="00156F4A" w:rsidRPr="00DE0A46">
        <w:t xml:space="preserve">% ogółu osób bezrobotnych. </w:t>
      </w:r>
      <w:r w:rsidR="009D4603" w:rsidRPr="00DE0A46">
        <w:t>B</w:t>
      </w:r>
      <w:r w:rsidR="00156F4A" w:rsidRPr="00DE0A46">
        <w:t>ezrobotn</w:t>
      </w:r>
      <w:r w:rsidR="009D4603" w:rsidRPr="00DE0A46">
        <w:t>i</w:t>
      </w:r>
      <w:r w:rsidR="00156F4A" w:rsidRPr="00DE0A46">
        <w:t xml:space="preserve"> w wieku 18</w:t>
      </w:r>
      <w:r w:rsidR="009D4603" w:rsidRPr="00DE0A46">
        <w:t>–</w:t>
      </w:r>
      <w:r w:rsidR="00156F4A" w:rsidRPr="00DE0A46">
        <w:t>44 lat stanowi</w:t>
      </w:r>
      <w:r w:rsidR="009D4603" w:rsidRPr="00DE0A46">
        <w:t>li</w:t>
      </w:r>
      <w:r w:rsidR="00156F4A" w:rsidRPr="00DE0A46">
        <w:t xml:space="preserve"> prawie ¾ ogółu</w:t>
      </w:r>
      <w:r w:rsidR="009D4603" w:rsidRPr="00DE0A46">
        <w:t xml:space="preserve"> </w:t>
      </w:r>
      <w:r w:rsidR="00DE0A46">
        <w:t>(</w:t>
      </w:r>
      <w:r w:rsidR="009D4603" w:rsidRPr="00DE0A46">
        <w:t>67</w:t>
      </w:r>
      <w:r w:rsidR="00156F4A" w:rsidRPr="00DE0A46">
        <w:t>,</w:t>
      </w:r>
      <w:r w:rsidR="009D4603" w:rsidRPr="00DE0A46">
        <w:t>9</w:t>
      </w:r>
      <w:r w:rsidR="00156F4A" w:rsidRPr="00DE0A46">
        <w:t>%).</w:t>
      </w:r>
    </w:p>
    <w:p w:rsidR="00156F4A" w:rsidRPr="009D4603" w:rsidRDefault="00E95936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9D4603">
        <w:rPr>
          <w:b/>
        </w:rPr>
        <w:t>Osoby bezrobotne</w:t>
      </w:r>
      <w:r w:rsidR="00156F4A" w:rsidRPr="009D4603">
        <w:rPr>
          <w:b/>
        </w:rPr>
        <w:t xml:space="preserve"> bez doświadczenia</w:t>
      </w:r>
      <w:r w:rsidR="00156F4A" w:rsidRPr="009D4603">
        <w:t>:</w:t>
      </w:r>
      <w:r w:rsidR="00156F4A" w:rsidRPr="009D4603">
        <w:rPr>
          <w:b/>
        </w:rPr>
        <w:t xml:space="preserve"> </w:t>
      </w:r>
      <w:r w:rsidR="00156F4A" w:rsidRPr="009D4603">
        <w:t>1</w:t>
      </w:r>
      <w:r w:rsidR="009D4603" w:rsidRPr="009D4603">
        <w:t>7</w:t>
      </w:r>
      <w:r w:rsidR="00156F4A" w:rsidRPr="009D4603">
        <w:t>,</w:t>
      </w:r>
      <w:r w:rsidR="009D4603" w:rsidRPr="009D4603">
        <w:t>3</w:t>
      </w:r>
      <w:r w:rsidR="00156F4A" w:rsidRPr="009D4603">
        <w:t>%</w:t>
      </w:r>
      <w:r w:rsidR="00AE279C">
        <w:t xml:space="preserve"> </w:t>
      </w:r>
      <w:r w:rsidR="00156F4A" w:rsidRPr="009D4603">
        <w:t>bezrobotnych nie posiadało udokumentowanego doświadczenia zawodowego, 4</w:t>
      </w:r>
      <w:r w:rsidR="009D4603" w:rsidRPr="009D4603">
        <w:t>2</w:t>
      </w:r>
      <w:r w:rsidR="00156F4A" w:rsidRPr="009D4603">
        <w:t>,</w:t>
      </w:r>
      <w:r w:rsidR="009D4603" w:rsidRPr="009D4603">
        <w:t>8</w:t>
      </w:r>
      <w:r w:rsidR="00156F4A" w:rsidRPr="009D4603">
        <w:t>% bezrobotnych zarejestrowanych w PUP posiadało krótki staż (do 5 lat)</w:t>
      </w:r>
      <w:r w:rsidR="009D4603">
        <w:t>.</w:t>
      </w:r>
      <w:r w:rsidR="00156F4A" w:rsidRPr="009D4603">
        <w:t xml:space="preserve"> </w:t>
      </w:r>
      <w:r w:rsidR="009D4603">
        <w:t>D</w:t>
      </w:r>
      <w:r w:rsidR="00156F4A" w:rsidRPr="009D4603">
        <w:t>odatkowo w przypadku części osób zdezaktualizowało się ono ze względu na znaczne odłożenie w czasie ostatniego zatrudnienia.</w:t>
      </w:r>
    </w:p>
    <w:p w:rsidR="00156F4A" w:rsidRPr="009D4603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9D4603">
        <w:rPr>
          <w:b/>
        </w:rPr>
        <w:lastRenderedPageBreak/>
        <w:t>Odpływ do zatrudnienia</w:t>
      </w:r>
      <w:r w:rsidRPr="009D4603">
        <w:t>: z powodu podjęcia pracy wyłączono 85 6</w:t>
      </w:r>
      <w:r w:rsidR="009D4603" w:rsidRPr="009D4603">
        <w:t>17</w:t>
      </w:r>
      <w:r w:rsidRPr="009D4603">
        <w:t xml:space="preserve"> osób bezrobotnych, co stanowiło </w:t>
      </w:r>
      <w:r w:rsidR="009D4603" w:rsidRPr="009D4603">
        <w:t>51</w:t>
      </w:r>
      <w:r w:rsidRPr="009D4603">
        <w:t>,</w:t>
      </w:r>
      <w:r w:rsidR="009D4603" w:rsidRPr="009D4603">
        <w:t>8</w:t>
      </w:r>
      <w:r w:rsidRPr="009D4603">
        <w:t>% wszystkich wyłączeń z ewidencji w 201</w:t>
      </w:r>
      <w:r w:rsidR="009D4603" w:rsidRPr="009D4603">
        <w:t>6</w:t>
      </w:r>
      <w:r w:rsidRPr="009D4603">
        <w:t xml:space="preserve"> r.</w:t>
      </w:r>
    </w:p>
    <w:p w:rsidR="00156F4A" w:rsidRPr="00EA61F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EA61F9">
        <w:rPr>
          <w:b/>
        </w:rPr>
        <w:t>Bezrobocie wielokrotne</w:t>
      </w:r>
      <w:r w:rsidRPr="00EA61F9">
        <w:t>: od dłuższego czasu odnotowywany jest wysoki napływ do urzędów pracy osób już wcześniej posiadających status bezrobotnego w PUP, tj. rejestrujących się po raz kolejny. Osoby te stanowiły 83,</w:t>
      </w:r>
      <w:r w:rsidR="00EA61F9" w:rsidRPr="00EA61F9">
        <w:t>7</w:t>
      </w:r>
      <w:r w:rsidRPr="00EA61F9">
        <w:t>% ogólnej liczby napływu do statystyk bezrobotnych w PUP w okresie 201</w:t>
      </w:r>
      <w:r w:rsidR="00EA61F9" w:rsidRPr="00EA61F9">
        <w:t>6</w:t>
      </w:r>
      <w:r w:rsidRPr="00EA61F9">
        <w:t xml:space="preserve"> r. (w 201</w:t>
      </w:r>
      <w:r w:rsidR="00EA61F9" w:rsidRPr="00EA61F9">
        <w:t>5</w:t>
      </w:r>
      <w:r w:rsidRPr="00EA61F9">
        <w:t xml:space="preserve"> – 8</w:t>
      </w:r>
      <w:r w:rsidR="00EA61F9" w:rsidRPr="00EA61F9">
        <w:t>3</w:t>
      </w:r>
      <w:r w:rsidRPr="00EA61F9">
        <w:t xml:space="preserve">,1%). </w:t>
      </w:r>
    </w:p>
    <w:p w:rsidR="00156F4A" w:rsidRPr="00EA61F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EA61F9">
        <w:rPr>
          <w:b/>
        </w:rPr>
        <w:t>Odpływ z powodu samodzielnej rezygnacji</w:t>
      </w:r>
      <w:r w:rsidRPr="00EA61F9">
        <w:t>: zmniejsza się liczba bezrobotnych, którzy nie potwierdzali w urzędach pracy swojej gotowości do podjęcia zatrudnienia (w 201</w:t>
      </w:r>
      <w:r w:rsidR="00EA61F9" w:rsidRPr="00EA61F9">
        <w:t>6</w:t>
      </w:r>
      <w:r w:rsidRPr="00EA61F9">
        <w:t xml:space="preserve"> r. było to 3</w:t>
      </w:r>
      <w:r w:rsidR="00EA61F9" w:rsidRPr="00EA61F9">
        <w:t>2</w:t>
      </w:r>
      <w:r w:rsidRPr="00EA61F9">
        <w:t> </w:t>
      </w:r>
      <w:r w:rsidR="00EA61F9" w:rsidRPr="00EA61F9">
        <w:t>937</w:t>
      </w:r>
      <w:r w:rsidRPr="00EA61F9">
        <w:t xml:space="preserve"> osób, co stanowiło </w:t>
      </w:r>
      <w:r w:rsidR="00EA61F9" w:rsidRPr="00EA61F9">
        <w:t>19</w:t>
      </w:r>
      <w:r w:rsidRPr="00EA61F9">
        <w:t>,</w:t>
      </w:r>
      <w:r w:rsidR="00EA61F9" w:rsidRPr="00EA61F9">
        <w:t>9</w:t>
      </w:r>
      <w:r w:rsidRPr="00EA61F9">
        <w:t>% ogółu wyrejestrowanych osób bezrobotnych</w:t>
      </w:r>
      <w:r w:rsidR="00EA61F9" w:rsidRPr="00EA61F9">
        <w:t xml:space="preserve"> w</w:t>
      </w:r>
      <w:r w:rsidR="00AE279C">
        <w:t> </w:t>
      </w:r>
      <w:r w:rsidR="00EA61F9" w:rsidRPr="00EA61F9">
        <w:t>roku</w:t>
      </w:r>
      <w:r w:rsidRPr="00EA61F9">
        <w:t xml:space="preserve">, </w:t>
      </w:r>
      <w:r w:rsidR="00EA61F9" w:rsidRPr="00EA61F9">
        <w:t xml:space="preserve">a </w:t>
      </w:r>
      <w:r w:rsidRPr="00EA61F9">
        <w:t>w 201</w:t>
      </w:r>
      <w:r w:rsidR="00EA61F9" w:rsidRPr="00EA61F9">
        <w:t>5</w:t>
      </w:r>
      <w:r w:rsidRPr="00EA61F9">
        <w:t xml:space="preserve"> r. – 2</w:t>
      </w:r>
      <w:r w:rsidR="00EA61F9" w:rsidRPr="00EA61F9">
        <w:t>2</w:t>
      </w:r>
      <w:r w:rsidRPr="00EA61F9">
        <w:t>,</w:t>
      </w:r>
      <w:r w:rsidR="00EA61F9" w:rsidRPr="00EA61F9">
        <w:t>1</w:t>
      </w:r>
      <w:r w:rsidRPr="00EA61F9">
        <w:t xml:space="preserve">%). </w:t>
      </w:r>
    </w:p>
    <w:p w:rsidR="00156F4A" w:rsidRPr="00BF2BE7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395101">
        <w:rPr>
          <w:b/>
        </w:rPr>
        <w:t>Osoby bezrobotne z prawem do zasiłku</w:t>
      </w:r>
      <w:r w:rsidRPr="00BF2BE7">
        <w:t xml:space="preserve">: nastąpił </w:t>
      </w:r>
      <w:r w:rsidR="00395101">
        <w:t xml:space="preserve">nieznaczny </w:t>
      </w:r>
      <w:r w:rsidRPr="00BF2BE7">
        <w:t>wzrost</w:t>
      </w:r>
      <w:r w:rsidR="00395101">
        <w:t xml:space="preserve"> – </w:t>
      </w:r>
      <w:r w:rsidRPr="00BF2BE7">
        <w:t>o 0,</w:t>
      </w:r>
      <w:r w:rsidR="00BF2BE7" w:rsidRPr="00BF2BE7">
        <w:t>9</w:t>
      </w:r>
      <w:r w:rsidRPr="00BF2BE7">
        <w:t xml:space="preserve"> punktu procentowego</w:t>
      </w:r>
      <w:r w:rsidR="00395101">
        <w:t>,</w:t>
      </w:r>
      <w:r w:rsidRPr="00BF2BE7">
        <w:t xml:space="preserve"> liczby bezrobotnych uprawnionych do pobierania zasiłku (z 11,</w:t>
      </w:r>
      <w:r w:rsidR="00BF2BE7" w:rsidRPr="00BF2BE7">
        <w:t>7</w:t>
      </w:r>
      <w:r w:rsidRPr="00BF2BE7">
        <w:t>% na koniec 201</w:t>
      </w:r>
      <w:r w:rsidR="00BF2BE7" w:rsidRPr="00BF2BE7">
        <w:t>5</w:t>
      </w:r>
      <w:r w:rsidRPr="00BF2BE7">
        <w:t xml:space="preserve"> r. do 1</w:t>
      </w:r>
      <w:r w:rsidR="00BF2BE7" w:rsidRPr="00BF2BE7">
        <w:t>2</w:t>
      </w:r>
      <w:r w:rsidRPr="00BF2BE7">
        <w:t>,</w:t>
      </w:r>
      <w:r w:rsidR="00BF2BE7" w:rsidRPr="00BF2BE7">
        <w:t>6</w:t>
      </w:r>
      <w:r w:rsidRPr="00BF2BE7">
        <w:t>%</w:t>
      </w:r>
      <w:r w:rsidR="00BF2BE7">
        <w:t xml:space="preserve"> - </w:t>
      </w:r>
      <w:r w:rsidRPr="00BF2BE7">
        <w:t>na koniec 201</w:t>
      </w:r>
      <w:r w:rsidR="00BF2BE7">
        <w:t>6</w:t>
      </w:r>
      <w:r w:rsidRPr="00BF2BE7">
        <w:t xml:space="preserve"> r.).</w:t>
      </w:r>
    </w:p>
    <w:p w:rsidR="00156F4A" w:rsidRPr="002A161D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C9656E">
        <w:rPr>
          <w:b/>
        </w:rPr>
        <w:t>Zwolnienia grupowe</w:t>
      </w:r>
      <w:r w:rsidRPr="002A161D">
        <w:t xml:space="preserve">: odnotowano </w:t>
      </w:r>
      <w:r w:rsidR="007E72CE" w:rsidRPr="002A161D">
        <w:t>niższą</w:t>
      </w:r>
      <w:r w:rsidRPr="002A161D">
        <w:t xml:space="preserve"> </w:t>
      </w:r>
      <w:r w:rsidR="007D4AF1" w:rsidRPr="002A161D">
        <w:t xml:space="preserve">niż </w:t>
      </w:r>
      <w:r w:rsidRPr="002A161D">
        <w:t>w roku wcześniejszym liczbę osób zwolnionych z przyczyn leżących po stronie pracodawcy (w 201</w:t>
      </w:r>
      <w:r w:rsidR="007E72CE" w:rsidRPr="002A161D">
        <w:t>6</w:t>
      </w:r>
      <w:r w:rsidRPr="002A161D">
        <w:t xml:space="preserve"> roku wypowiedzenia umów o pracę z powodów niedotyczących pracowników otrzymało łącznie </w:t>
      </w:r>
      <w:r w:rsidR="007E72CE" w:rsidRPr="002A161D">
        <w:t>609</w:t>
      </w:r>
      <w:r w:rsidRPr="002A161D">
        <w:t xml:space="preserve"> osób</w:t>
      </w:r>
      <w:r w:rsidR="00C9656E">
        <w:t xml:space="preserve"> – </w:t>
      </w:r>
      <w:r w:rsidRPr="002A161D">
        <w:t>w</w:t>
      </w:r>
      <w:r w:rsidR="00EC2F44" w:rsidRPr="002A161D">
        <w:t> </w:t>
      </w:r>
      <w:r w:rsidRPr="002A161D">
        <w:t>201</w:t>
      </w:r>
      <w:r w:rsidR="002A161D" w:rsidRPr="002A161D">
        <w:t>5</w:t>
      </w:r>
      <w:r w:rsidRPr="002A161D">
        <w:t xml:space="preserve"> r. – </w:t>
      </w:r>
      <w:r w:rsidR="002A161D" w:rsidRPr="002A161D">
        <w:t>1 108</w:t>
      </w:r>
      <w:r w:rsidRPr="002A161D">
        <w:t xml:space="preserve"> pracowników).</w:t>
      </w:r>
    </w:p>
    <w:p w:rsidR="00156F4A" w:rsidRPr="00246F26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246F26">
        <w:rPr>
          <w:b/>
        </w:rPr>
        <w:t>Oferty pracy</w:t>
      </w:r>
      <w:r w:rsidR="00246F26">
        <w:rPr>
          <w:b/>
        </w:rPr>
        <w:t xml:space="preserve"> </w:t>
      </w:r>
      <w:r w:rsidRPr="00246F26">
        <w:rPr>
          <w:b/>
        </w:rPr>
        <w:t>i</w:t>
      </w:r>
      <w:r w:rsidR="00246F26">
        <w:rPr>
          <w:b/>
        </w:rPr>
        <w:t xml:space="preserve"> </w:t>
      </w:r>
      <w:r w:rsidRPr="00246F26">
        <w:rPr>
          <w:b/>
        </w:rPr>
        <w:t>aktywizacji zawodowej</w:t>
      </w:r>
      <w:r w:rsidRPr="00246F26">
        <w:t>: nastąpił wzrost ilości ofert pracy</w:t>
      </w:r>
      <w:r w:rsidR="00246F26">
        <w:t xml:space="preserve"> </w:t>
      </w:r>
      <w:r w:rsidRPr="00246F26">
        <w:t>i</w:t>
      </w:r>
      <w:r w:rsidR="00246F26">
        <w:t xml:space="preserve"> </w:t>
      </w:r>
      <w:r w:rsidRPr="00246F26">
        <w:t xml:space="preserve">aktywizacji zawodowej, mocno zróżnicowany w poszczególnych powiatach: </w:t>
      </w:r>
      <w:r w:rsidR="00616AAF" w:rsidRPr="00246F26">
        <w:t>w 201</w:t>
      </w:r>
      <w:r w:rsidR="006616C4" w:rsidRPr="00246F26">
        <w:t>6</w:t>
      </w:r>
      <w:r w:rsidR="00616AAF" w:rsidRPr="00246F26">
        <w:t xml:space="preserve"> r. zgłoszono łącznie </w:t>
      </w:r>
      <w:r w:rsidR="006616C4" w:rsidRPr="00246F26">
        <w:t>72</w:t>
      </w:r>
      <w:r w:rsidR="00616AAF" w:rsidRPr="00246F26">
        <w:t> </w:t>
      </w:r>
      <w:r w:rsidR="006616C4" w:rsidRPr="00246F26">
        <w:t>410</w:t>
      </w:r>
      <w:r w:rsidRPr="00246F26">
        <w:t xml:space="preserve"> (o </w:t>
      </w:r>
      <w:r w:rsidR="006616C4" w:rsidRPr="00246F26">
        <w:t>11 134</w:t>
      </w:r>
      <w:r w:rsidRPr="00246F26">
        <w:t xml:space="preserve"> więcej </w:t>
      </w:r>
      <w:r w:rsidR="00616AAF" w:rsidRPr="00246F26">
        <w:t xml:space="preserve">niż </w:t>
      </w:r>
      <w:r w:rsidRPr="00246F26">
        <w:t>w 201</w:t>
      </w:r>
      <w:r w:rsidR="006616C4" w:rsidRPr="00246F26">
        <w:t>5</w:t>
      </w:r>
      <w:r w:rsidRPr="00246F26">
        <w:t xml:space="preserve"> r. – 6</w:t>
      </w:r>
      <w:r w:rsidR="006616C4" w:rsidRPr="00246F26">
        <w:t>1</w:t>
      </w:r>
      <w:r w:rsidRPr="00246F26">
        <w:t> </w:t>
      </w:r>
      <w:r w:rsidR="006616C4" w:rsidRPr="00246F26">
        <w:t>276</w:t>
      </w:r>
      <w:r w:rsidRPr="00246F26">
        <w:t xml:space="preserve">). </w:t>
      </w:r>
    </w:p>
    <w:p w:rsidR="00156F4A" w:rsidRPr="00C176A9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C176A9">
        <w:rPr>
          <w:b/>
        </w:rPr>
        <w:t>Wolne miejsca pracy</w:t>
      </w:r>
      <w:r w:rsidRPr="00C176A9">
        <w:t>: w 201</w:t>
      </w:r>
      <w:r w:rsidR="00246F26" w:rsidRPr="00C176A9">
        <w:t>6</w:t>
      </w:r>
      <w:r w:rsidRPr="00C176A9">
        <w:t xml:space="preserve"> r. odnotowano </w:t>
      </w:r>
      <w:r w:rsidR="00C176A9" w:rsidRPr="00C176A9">
        <w:t>55</w:t>
      </w:r>
      <w:r w:rsidRPr="00C176A9">
        <w:t xml:space="preserve"> </w:t>
      </w:r>
      <w:r w:rsidR="00C176A9" w:rsidRPr="00C176A9">
        <w:t>83</w:t>
      </w:r>
      <w:r w:rsidRPr="00C176A9">
        <w:t xml:space="preserve">7 miejsc zatrudnienia </w:t>
      </w:r>
      <w:r w:rsidR="00C176A9">
        <w:t>(</w:t>
      </w:r>
      <w:r w:rsidRPr="00C176A9">
        <w:t>lub innej pracy zarobkowej</w:t>
      </w:r>
      <w:r w:rsidR="00C176A9">
        <w:t>), a w</w:t>
      </w:r>
      <w:r w:rsidRPr="00C176A9">
        <w:t> 201</w:t>
      </w:r>
      <w:r w:rsidR="00C176A9" w:rsidRPr="00C176A9">
        <w:t>5</w:t>
      </w:r>
      <w:r w:rsidRPr="00C176A9">
        <w:t xml:space="preserve"> r</w:t>
      </w:r>
      <w:r w:rsidR="00C176A9">
        <w:t>.</w:t>
      </w:r>
      <w:r w:rsidR="00994F30">
        <w:t xml:space="preserve"> </w:t>
      </w:r>
      <w:r w:rsidRPr="00C176A9">
        <w:t>–</w:t>
      </w:r>
      <w:r w:rsidR="00994F30">
        <w:t xml:space="preserve"> </w:t>
      </w:r>
      <w:r w:rsidRPr="00C176A9">
        <w:t>4</w:t>
      </w:r>
      <w:r w:rsidR="00C176A9" w:rsidRPr="00C176A9">
        <w:t>3</w:t>
      </w:r>
      <w:r w:rsidR="00C176A9">
        <w:t> </w:t>
      </w:r>
      <w:r w:rsidR="00C176A9" w:rsidRPr="00C176A9">
        <w:t>377</w:t>
      </w:r>
      <w:r w:rsidR="00C176A9">
        <w:t xml:space="preserve"> </w:t>
      </w:r>
      <w:r w:rsidRPr="00C176A9">
        <w:t xml:space="preserve">tj. więcej o </w:t>
      </w:r>
      <w:r w:rsidR="00C176A9" w:rsidRPr="00C176A9">
        <w:t>12 460</w:t>
      </w:r>
      <w:r w:rsidRPr="00C176A9">
        <w:t xml:space="preserve"> niż rok wcześniej. </w:t>
      </w:r>
    </w:p>
    <w:p w:rsidR="00156F4A" w:rsidRPr="00C30F25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C30F25">
        <w:rPr>
          <w:b/>
        </w:rPr>
        <w:t>Wolne miejsca aktywizacji zawodowej</w:t>
      </w:r>
      <w:r w:rsidRPr="00C30F25">
        <w:t>: w 201</w:t>
      </w:r>
      <w:r w:rsidR="00994F30" w:rsidRPr="00C30F25">
        <w:t>6</w:t>
      </w:r>
      <w:r w:rsidRPr="00C30F25">
        <w:t xml:space="preserve"> r. odnotowano 1</w:t>
      </w:r>
      <w:r w:rsidR="00C30F25" w:rsidRPr="00C30F25">
        <w:t>6</w:t>
      </w:r>
      <w:r w:rsidRPr="00C30F25">
        <w:t xml:space="preserve"> </w:t>
      </w:r>
      <w:r w:rsidR="00C30F25" w:rsidRPr="00C30F25">
        <w:t>573</w:t>
      </w:r>
      <w:r w:rsidRPr="00C30F25">
        <w:t xml:space="preserve"> miejsc aktywizacji zawodowej</w:t>
      </w:r>
      <w:r w:rsidR="00994F30" w:rsidRPr="00C30F25">
        <w:t xml:space="preserve">, a w </w:t>
      </w:r>
      <w:r w:rsidRPr="00C30F25">
        <w:t>201</w:t>
      </w:r>
      <w:r w:rsidR="00994F30" w:rsidRPr="00C30F25">
        <w:t>5</w:t>
      </w:r>
      <w:r w:rsidRPr="00C30F25">
        <w:t xml:space="preserve"> r. – 17 8</w:t>
      </w:r>
      <w:r w:rsidR="00994F30" w:rsidRPr="00C30F25">
        <w:t>99</w:t>
      </w:r>
      <w:r w:rsidRPr="00C30F25">
        <w:t xml:space="preserve"> tj. </w:t>
      </w:r>
      <w:r w:rsidR="00C30F25">
        <w:t>mniej</w:t>
      </w:r>
      <w:r w:rsidRPr="00C30F25">
        <w:t xml:space="preserve"> o </w:t>
      </w:r>
      <w:r w:rsidR="00C30F25" w:rsidRPr="00C30F25">
        <w:t>1 3</w:t>
      </w:r>
      <w:r w:rsidRPr="00C30F25">
        <w:t>2</w:t>
      </w:r>
      <w:r w:rsidR="00C30F25" w:rsidRPr="00C30F25">
        <w:t xml:space="preserve">6 </w:t>
      </w:r>
      <w:r w:rsidR="00C30F25">
        <w:t>niż</w:t>
      </w:r>
      <w:r w:rsidRPr="00C30F25">
        <w:t xml:space="preserve"> w roku poprzednim.</w:t>
      </w:r>
    </w:p>
    <w:p w:rsidR="00156F4A" w:rsidRPr="00C6309D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C6309D">
        <w:rPr>
          <w:b/>
        </w:rPr>
        <w:t>Oferty pracy subsydiowanej</w:t>
      </w:r>
      <w:r w:rsidRPr="00C6309D">
        <w:t>: w okresie 201</w:t>
      </w:r>
      <w:r w:rsidR="00E83DCD" w:rsidRPr="00C6309D">
        <w:t>6</w:t>
      </w:r>
      <w:r w:rsidRPr="00C6309D">
        <w:t xml:space="preserve"> r.</w:t>
      </w:r>
      <w:r w:rsidR="00593EB6">
        <w:t xml:space="preserve"> </w:t>
      </w:r>
      <w:r w:rsidRPr="00C6309D">
        <w:t>nastąpił wzrost liczby ofert pracy subsydiowanej wśród wszystkich zgłaszanych (</w:t>
      </w:r>
      <w:r w:rsidR="00C6309D" w:rsidRPr="00C6309D">
        <w:t>31</w:t>
      </w:r>
      <w:r w:rsidR="00C6309D">
        <w:t> </w:t>
      </w:r>
      <w:r w:rsidRPr="00C6309D">
        <w:t>4</w:t>
      </w:r>
      <w:r w:rsidR="00C6309D" w:rsidRPr="00C6309D">
        <w:t>07</w:t>
      </w:r>
      <w:r w:rsidR="00C6309D">
        <w:t xml:space="preserve"> – </w:t>
      </w:r>
      <w:r w:rsidRPr="00C6309D">
        <w:t>4</w:t>
      </w:r>
      <w:r w:rsidR="00C6309D" w:rsidRPr="00C6309D">
        <w:t>3</w:t>
      </w:r>
      <w:r w:rsidRPr="00C6309D">
        <w:t>,</w:t>
      </w:r>
      <w:r w:rsidR="00C6309D" w:rsidRPr="00C6309D">
        <w:t>4</w:t>
      </w:r>
      <w:r w:rsidRPr="00C6309D">
        <w:t xml:space="preserve">% wszystkich zgłoszonych, </w:t>
      </w:r>
      <w:r w:rsidR="00E83DCD" w:rsidRPr="00C6309D">
        <w:t>a</w:t>
      </w:r>
      <w:r w:rsidR="00C6309D">
        <w:t> </w:t>
      </w:r>
      <w:r w:rsidRPr="00C6309D">
        <w:t>w 201</w:t>
      </w:r>
      <w:r w:rsidR="00E83DCD" w:rsidRPr="00C6309D">
        <w:t>5</w:t>
      </w:r>
      <w:r w:rsidRPr="00C6309D">
        <w:t xml:space="preserve"> r. – 2</w:t>
      </w:r>
      <w:r w:rsidR="00E83DCD" w:rsidRPr="00C6309D">
        <w:t>8</w:t>
      </w:r>
      <w:r w:rsidR="00C6309D">
        <w:t> </w:t>
      </w:r>
      <w:r w:rsidR="00E83DCD" w:rsidRPr="00C6309D">
        <w:t>848</w:t>
      </w:r>
      <w:r w:rsidR="00C6309D">
        <w:t xml:space="preserve"> – </w:t>
      </w:r>
      <w:r w:rsidRPr="00C6309D">
        <w:t>4</w:t>
      </w:r>
      <w:r w:rsidR="00E83DCD" w:rsidRPr="00C6309D">
        <w:t>7,1</w:t>
      </w:r>
      <w:r w:rsidRPr="00C6309D">
        <w:t xml:space="preserve">%). </w:t>
      </w:r>
    </w:p>
    <w:p w:rsidR="00156F4A" w:rsidRPr="009025A5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9025A5">
        <w:rPr>
          <w:b/>
        </w:rPr>
        <w:t>Staże</w:t>
      </w:r>
      <w:r w:rsidRPr="008C3FC1">
        <w:t xml:space="preserve">: w okresie </w:t>
      </w:r>
      <w:r w:rsidRPr="00D031D3">
        <w:t>201</w:t>
      </w:r>
      <w:r w:rsidR="00D031D3" w:rsidRPr="00D031D3">
        <w:t>6</w:t>
      </w:r>
      <w:r w:rsidRPr="00D031D3">
        <w:t xml:space="preserve"> r. </w:t>
      </w:r>
      <w:r w:rsidRPr="00766AE7">
        <w:t>1</w:t>
      </w:r>
      <w:r w:rsidR="00766AE7" w:rsidRPr="00766AE7">
        <w:t>4</w:t>
      </w:r>
      <w:r w:rsidRPr="00766AE7">
        <w:t> </w:t>
      </w:r>
      <w:r w:rsidR="00766AE7" w:rsidRPr="00766AE7">
        <w:t>194</w:t>
      </w:r>
      <w:r w:rsidRPr="008832B8">
        <w:t xml:space="preserve"> </w:t>
      </w:r>
      <w:r w:rsidR="00D031D3" w:rsidRPr="008832B8">
        <w:t>bezrobotnych</w:t>
      </w:r>
      <w:r w:rsidRPr="008832B8">
        <w:t xml:space="preserve"> został</w:t>
      </w:r>
      <w:r w:rsidR="00D031D3" w:rsidRPr="008832B8">
        <w:t>o</w:t>
      </w:r>
      <w:r w:rsidRPr="008832B8">
        <w:t xml:space="preserve"> skierowan</w:t>
      </w:r>
      <w:r w:rsidR="00D031D3" w:rsidRPr="008832B8">
        <w:t>ych</w:t>
      </w:r>
      <w:r w:rsidRPr="008832B8">
        <w:t xml:space="preserve"> </w:t>
      </w:r>
      <w:r w:rsidR="00D031D3" w:rsidRPr="008832B8">
        <w:t>w celu</w:t>
      </w:r>
      <w:r w:rsidRPr="008832B8">
        <w:t xml:space="preserve"> odbycia staż</w:t>
      </w:r>
      <w:r w:rsidR="00D031D3" w:rsidRPr="008832B8">
        <w:t>y u pracodawców</w:t>
      </w:r>
      <w:r w:rsidRPr="008832B8">
        <w:t xml:space="preserve"> (w 20</w:t>
      </w:r>
      <w:r w:rsidR="009025A5" w:rsidRPr="008832B8">
        <w:t>15</w:t>
      </w:r>
      <w:r w:rsidRPr="008832B8">
        <w:t xml:space="preserve"> r. 1</w:t>
      </w:r>
      <w:r w:rsidR="008832B8" w:rsidRPr="008832B8">
        <w:t>5</w:t>
      </w:r>
      <w:r w:rsidRPr="008832B8">
        <w:t> </w:t>
      </w:r>
      <w:r w:rsidR="008832B8" w:rsidRPr="008832B8">
        <w:t>923</w:t>
      </w:r>
      <w:r w:rsidRPr="008832B8">
        <w:t>)</w:t>
      </w:r>
      <w:r w:rsidR="00766AE7">
        <w:t>.</w:t>
      </w:r>
      <w:r w:rsidRPr="009025A5">
        <w:rPr>
          <w:b/>
        </w:rPr>
        <w:t xml:space="preserve"> </w:t>
      </w:r>
    </w:p>
    <w:p w:rsidR="00156F4A" w:rsidRPr="008A39CC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FB2D04">
        <w:rPr>
          <w:b/>
        </w:rPr>
        <w:t>Wsparcie samozatrudnienia</w:t>
      </w:r>
      <w:r w:rsidRPr="008A39CC">
        <w:t xml:space="preserve">: nastąpił </w:t>
      </w:r>
      <w:r w:rsidR="000F785F" w:rsidRPr="008A39CC">
        <w:t xml:space="preserve">wzrost </w:t>
      </w:r>
      <w:r w:rsidRPr="008A39CC">
        <w:t>liczby bezrobotnych wyrejestrowanych z</w:t>
      </w:r>
      <w:r w:rsidR="000F785F" w:rsidRPr="008A39CC">
        <w:t> </w:t>
      </w:r>
      <w:r w:rsidRPr="008A39CC">
        <w:t>powodu uzyskania dotacji na uruchomienie własnej działalności gospodarczej</w:t>
      </w:r>
      <w:r w:rsidR="00FB2D04">
        <w:t xml:space="preserve"> (w ’16 r</w:t>
      </w:r>
      <w:r w:rsidRPr="008A39CC">
        <w:t>.</w:t>
      </w:r>
      <w:r w:rsidR="00FB2D04">
        <w:t xml:space="preserve"> – 2 992 osoby, a w ‘15 r. – 2 841 osób). </w:t>
      </w:r>
      <w:r w:rsidR="000F785F" w:rsidRPr="008A39CC">
        <w:t xml:space="preserve">Na ten cel </w:t>
      </w:r>
      <w:r w:rsidR="009025A5">
        <w:t>wydatkowano</w:t>
      </w:r>
      <w:r w:rsidR="00FC1658">
        <w:t xml:space="preserve"> (w 2016 r.)</w:t>
      </w:r>
      <w:r w:rsidR="009025A5">
        <w:t xml:space="preserve"> </w:t>
      </w:r>
      <w:r w:rsidRPr="008A39CC">
        <w:t xml:space="preserve">11,71% środków </w:t>
      </w:r>
      <w:r w:rsidR="000F785F" w:rsidRPr="008A39CC">
        <w:t>z</w:t>
      </w:r>
      <w:r w:rsidR="00CD7FCF">
        <w:t> </w:t>
      </w:r>
      <w:r w:rsidRPr="008A39CC">
        <w:t>Funduszu Pracy.</w:t>
      </w:r>
    </w:p>
    <w:p w:rsidR="00156F4A" w:rsidRPr="00E34DD0" w:rsidRDefault="00156F4A" w:rsidP="00156F4A">
      <w:pPr>
        <w:pStyle w:val="Default"/>
        <w:numPr>
          <w:ilvl w:val="0"/>
          <w:numId w:val="26"/>
        </w:numPr>
        <w:spacing w:line="360" w:lineRule="auto"/>
        <w:jc w:val="both"/>
      </w:pPr>
      <w:r w:rsidRPr="00E34DD0">
        <w:rPr>
          <w:b/>
        </w:rPr>
        <w:lastRenderedPageBreak/>
        <w:t xml:space="preserve">Wsparcie tworzenia </w:t>
      </w:r>
      <w:r w:rsidR="00E34DD0" w:rsidRPr="00E34DD0">
        <w:rPr>
          <w:b/>
        </w:rPr>
        <w:t>miejsc</w:t>
      </w:r>
      <w:r w:rsidRPr="00E34DD0">
        <w:rPr>
          <w:b/>
        </w:rPr>
        <w:t xml:space="preserve"> pracy</w:t>
      </w:r>
      <w:r w:rsidRPr="00E34DD0">
        <w:t>: nastąpił spadek liczby bezrobotnych</w:t>
      </w:r>
      <w:r w:rsidR="00FC1658">
        <w:t>,</w:t>
      </w:r>
      <w:r w:rsidRPr="00E34DD0">
        <w:t xml:space="preserve"> skierowanych przez PUP do pracodawców w ramach refundacji kosztów na wyposażenie i doposażenie stanowisk pracy (</w:t>
      </w:r>
      <w:r w:rsidR="00E34DD0">
        <w:t xml:space="preserve">w ’16 r. – </w:t>
      </w:r>
      <w:r w:rsidR="00E34DD0" w:rsidRPr="00E34DD0">
        <w:t>3</w:t>
      </w:r>
      <w:r w:rsidRPr="00E34DD0">
        <w:t> 8</w:t>
      </w:r>
      <w:r w:rsidR="00E34DD0" w:rsidRPr="00E34DD0">
        <w:t>92</w:t>
      </w:r>
      <w:r w:rsidRPr="00E34DD0">
        <w:t xml:space="preserve"> osób bezrobotnych, </w:t>
      </w:r>
      <w:r w:rsidR="00E34DD0">
        <w:t>a</w:t>
      </w:r>
      <w:r w:rsidRPr="00E34DD0">
        <w:t xml:space="preserve"> </w:t>
      </w:r>
      <w:r w:rsidR="00E34DD0">
        <w:t>w ‘</w:t>
      </w:r>
      <w:r w:rsidRPr="00E34DD0">
        <w:t>1</w:t>
      </w:r>
      <w:r w:rsidR="00E34DD0" w:rsidRPr="00E34DD0">
        <w:t>5</w:t>
      </w:r>
      <w:r w:rsidRPr="00E34DD0">
        <w:t xml:space="preserve"> r.</w:t>
      </w:r>
      <w:r w:rsidR="00E34DD0" w:rsidRPr="00E34DD0">
        <w:t xml:space="preserve"> – 4 204 bezrobotnych</w:t>
      </w:r>
      <w:r w:rsidRPr="00E34DD0">
        <w:t xml:space="preserve">). Przeznaczono na ten cel </w:t>
      </w:r>
      <w:r w:rsidR="00FC1658">
        <w:t xml:space="preserve">w 2016 r. </w:t>
      </w:r>
      <w:r w:rsidR="00E34DD0" w:rsidRPr="00E34DD0">
        <w:t>9</w:t>
      </w:r>
      <w:r w:rsidRPr="00E34DD0">
        <w:t xml:space="preserve">,5% środków </w:t>
      </w:r>
      <w:r w:rsidR="00FC1658">
        <w:t xml:space="preserve">z </w:t>
      </w:r>
      <w:r w:rsidRPr="00E34DD0">
        <w:t>Funduszu Pracy.</w:t>
      </w:r>
    </w:p>
    <w:p w:rsidR="00926D4D" w:rsidRPr="00926D4D" w:rsidRDefault="00156F4A" w:rsidP="00926D4D">
      <w:pPr>
        <w:pStyle w:val="Default"/>
        <w:numPr>
          <w:ilvl w:val="0"/>
          <w:numId w:val="26"/>
        </w:numPr>
        <w:spacing w:line="360" w:lineRule="auto"/>
        <w:jc w:val="both"/>
        <w:rPr>
          <w:bCs/>
        </w:rPr>
      </w:pPr>
      <w:r w:rsidRPr="00D66D8E">
        <w:rPr>
          <w:b/>
        </w:rPr>
        <w:t>Szkolenia</w:t>
      </w:r>
      <w:r w:rsidRPr="00E34DD0">
        <w:t>: niewielkie środki Funduszu Pracy (tylko 1,</w:t>
      </w:r>
      <w:r w:rsidR="008C3FC1" w:rsidRPr="00E34DD0">
        <w:t>07</w:t>
      </w:r>
      <w:r w:rsidRPr="00E34DD0">
        <w:t>%</w:t>
      </w:r>
      <w:r w:rsidR="008C3FC1" w:rsidRPr="00E34DD0">
        <w:t xml:space="preserve"> ogółu</w:t>
      </w:r>
      <w:r w:rsidRPr="00E34DD0">
        <w:t xml:space="preserve">) </w:t>
      </w:r>
      <w:r w:rsidR="005978CD">
        <w:t xml:space="preserve">PUP </w:t>
      </w:r>
      <w:r w:rsidR="00FC1658">
        <w:t>wydatkowa</w:t>
      </w:r>
      <w:r w:rsidR="005978CD">
        <w:t>ły</w:t>
      </w:r>
      <w:r w:rsidRPr="00E34DD0">
        <w:t xml:space="preserve"> na </w:t>
      </w:r>
      <w:r w:rsidR="005978CD">
        <w:t xml:space="preserve">realizację </w:t>
      </w:r>
      <w:r w:rsidR="00FC1658">
        <w:t>szkole</w:t>
      </w:r>
      <w:r w:rsidR="005978CD">
        <w:t>ń</w:t>
      </w:r>
      <w:r w:rsidRPr="00E34DD0">
        <w:t>.</w:t>
      </w:r>
      <w:bookmarkStart w:id="28" w:name="_GoBack"/>
      <w:bookmarkEnd w:id="28"/>
    </w:p>
    <w:sectPr w:rsidR="00926D4D" w:rsidRPr="00926D4D" w:rsidSect="00063539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ACF" w:rsidRDefault="00071ACF" w:rsidP="00644EBC">
      <w:pPr>
        <w:spacing w:after="0" w:line="240" w:lineRule="auto"/>
      </w:pPr>
      <w:r>
        <w:separator/>
      </w:r>
    </w:p>
  </w:endnote>
  <w:endnote w:type="continuationSeparator" w:id="0">
    <w:p w:rsidR="00071ACF" w:rsidRDefault="00071ACF" w:rsidP="0064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2234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023B2A" w:rsidRPr="002B03E5" w:rsidRDefault="00023B2A">
        <w:pPr>
          <w:pStyle w:val="Stopka"/>
          <w:jc w:val="center"/>
          <w:rPr>
            <w:rFonts w:ascii="Times New Roman" w:hAnsi="Times New Roman"/>
          </w:rPr>
        </w:pPr>
        <w:r w:rsidRPr="002B03E5">
          <w:rPr>
            <w:rFonts w:ascii="Times New Roman" w:hAnsi="Times New Roman"/>
          </w:rPr>
          <w:fldChar w:fldCharType="begin"/>
        </w:r>
        <w:r w:rsidRPr="002B03E5">
          <w:rPr>
            <w:rFonts w:ascii="Times New Roman" w:hAnsi="Times New Roman"/>
          </w:rPr>
          <w:instrText>PAGE   \* MERGEFORMAT</w:instrText>
        </w:r>
        <w:r w:rsidRPr="002B03E5">
          <w:rPr>
            <w:rFonts w:ascii="Times New Roman" w:hAnsi="Times New Roman"/>
          </w:rPr>
          <w:fldChar w:fldCharType="separate"/>
        </w:r>
        <w:r w:rsidR="000C27C0">
          <w:rPr>
            <w:rFonts w:ascii="Times New Roman" w:hAnsi="Times New Roman"/>
            <w:noProof/>
          </w:rPr>
          <w:t>57</w:t>
        </w:r>
        <w:r w:rsidRPr="002B03E5">
          <w:rPr>
            <w:rFonts w:ascii="Times New Roman" w:hAnsi="Times New Roman"/>
            <w:noProof/>
          </w:rPr>
          <w:fldChar w:fldCharType="end"/>
        </w:r>
      </w:p>
    </w:sdtContent>
  </w:sdt>
  <w:p w:rsidR="00023B2A" w:rsidRDefault="00023B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ACF" w:rsidRDefault="00071ACF" w:rsidP="00644EBC">
      <w:pPr>
        <w:spacing w:after="0" w:line="240" w:lineRule="auto"/>
      </w:pPr>
      <w:r>
        <w:separator/>
      </w:r>
    </w:p>
  </w:footnote>
  <w:footnote w:type="continuationSeparator" w:id="0">
    <w:p w:rsidR="00071ACF" w:rsidRDefault="00071ACF" w:rsidP="00644EBC">
      <w:pPr>
        <w:spacing w:after="0" w:line="240" w:lineRule="auto"/>
      </w:pPr>
      <w:r>
        <w:continuationSeparator/>
      </w:r>
    </w:p>
  </w:footnote>
  <w:footnote w:id="1">
    <w:p w:rsidR="00023B2A" w:rsidRPr="00E943DB" w:rsidRDefault="00023B2A" w:rsidP="00B92E45">
      <w:pPr>
        <w:pStyle w:val="Tekstprzypisudolnego"/>
        <w:jc w:val="both"/>
        <w:rPr>
          <w:rFonts w:ascii="Times New Roman" w:hAnsi="Times New Roman" w:cs="Times New Roman"/>
        </w:rPr>
      </w:pPr>
      <w:r w:rsidRPr="00392003">
        <w:rPr>
          <w:rStyle w:val="Odwoanieprzypisudolnego"/>
          <w:rFonts w:ascii="Times New Roman" w:hAnsi="Times New Roman" w:cs="Times New Roman"/>
        </w:rPr>
        <w:footnoteRef/>
      </w:r>
      <w:r w:rsidRPr="00392003">
        <w:rPr>
          <w:rFonts w:ascii="Times New Roman" w:hAnsi="Times New Roman" w:cs="Times New Roman"/>
        </w:rPr>
        <w:t xml:space="preserve"> Opracowano na podstawie danych GUS</w:t>
      </w:r>
      <w:r>
        <w:rPr>
          <w:rFonts w:ascii="Times New Roman" w:hAnsi="Times New Roman" w:cs="Times New Roman"/>
        </w:rPr>
        <w:t>,</w:t>
      </w:r>
      <w:r w:rsidRPr="00392003">
        <w:rPr>
          <w:rFonts w:ascii="Times New Roman" w:hAnsi="Times New Roman" w:cs="Times New Roman"/>
        </w:rPr>
        <w:t xml:space="preserve"> dostępnych</w:t>
      </w:r>
      <w:r>
        <w:rPr>
          <w:rFonts w:ascii="Times New Roman" w:hAnsi="Times New Roman" w:cs="Times New Roman"/>
        </w:rPr>
        <w:t xml:space="preserve"> w </w:t>
      </w:r>
      <w:r w:rsidRPr="00392003">
        <w:rPr>
          <w:rFonts w:ascii="Times New Roman" w:hAnsi="Times New Roman" w:cs="Times New Roman"/>
        </w:rPr>
        <w:t>Internecie [dostęp</w:t>
      </w:r>
      <w:r w:rsidRPr="002C5D42">
        <w:rPr>
          <w:rFonts w:ascii="Times New Roman" w:hAnsi="Times New Roman" w:cs="Times New Roman"/>
        </w:rPr>
        <w:t>: 7 II ‘16 r.] B</w:t>
      </w:r>
      <w:r>
        <w:rPr>
          <w:rFonts w:ascii="Times New Roman" w:hAnsi="Times New Roman" w:cs="Times New Roman"/>
        </w:rPr>
        <w:t xml:space="preserve">ank </w:t>
      </w:r>
      <w:r w:rsidRPr="002C5D42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anych </w:t>
      </w:r>
      <w:r w:rsidRPr="002C5D42">
        <w:rPr>
          <w:rFonts w:ascii="Times New Roman" w:hAnsi="Times New Roman" w:cs="Times New Roman"/>
        </w:rPr>
        <w:t>L</w:t>
      </w:r>
      <w:r>
        <w:rPr>
          <w:rFonts w:ascii="Times New Roman" w:hAnsi="Times New Roman" w:cs="Times New Roman"/>
        </w:rPr>
        <w:t>okalnych</w:t>
      </w:r>
      <w:r w:rsidRPr="00392003">
        <w:rPr>
          <w:rFonts w:ascii="Times New Roman" w:hAnsi="Times New Roman" w:cs="Times New Roman"/>
        </w:rPr>
        <w:t xml:space="preserve"> (</w:t>
      </w:r>
      <w:hyperlink r:id="rId1" w:history="1">
        <w:r w:rsidRPr="00392003">
          <w:rPr>
            <w:rStyle w:val="Hipercze"/>
            <w:rFonts w:ascii="Times New Roman" w:hAnsi="Times New Roman" w:cs="Times New Roman"/>
          </w:rPr>
          <w:t>https://bdl.stat.gov.pl/BDL/start</w:t>
        </w:r>
      </w:hyperlink>
      <w:r w:rsidRPr="00392003">
        <w:rPr>
          <w:rFonts w:ascii="Times New Roman" w:hAnsi="Times New Roman" w:cs="Times New Roman"/>
        </w:rPr>
        <w:t xml:space="preserve">); </w:t>
      </w:r>
      <w:r w:rsidRPr="002C5D42">
        <w:rPr>
          <w:rFonts w:ascii="Times New Roman" w:hAnsi="Times New Roman" w:cs="Times New Roman"/>
        </w:rPr>
        <w:t xml:space="preserve">Krajowy Rejestr Urzędowy Podziału Terytorialnego Kraju TERYT (dostępny w Internecie: </w:t>
      </w:r>
      <w:hyperlink r:id="rId2" w:history="1">
        <w:r w:rsidRPr="002C5D42">
          <w:rPr>
            <w:rStyle w:val="Hipercze"/>
            <w:rFonts w:ascii="Times New Roman" w:hAnsi="Times New Roman" w:cs="Times New Roman"/>
          </w:rPr>
          <w:t>http://www.stat.gov.pl/broker/access/index.jspa</w:t>
        </w:r>
      </w:hyperlink>
      <w:r w:rsidRPr="002C5D42">
        <w:rPr>
          <w:rFonts w:ascii="Times New Roman" w:hAnsi="Times New Roman" w:cs="Times New Roman"/>
        </w:rPr>
        <w:t xml:space="preserve">); </w:t>
      </w:r>
      <w:r w:rsidRPr="002C5D42">
        <w:rPr>
          <w:rFonts w:ascii="Times New Roman" w:hAnsi="Times New Roman" w:cs="Times New Roman"/>
          <w:i/>
        </w:rPr>
        <w:t>Stan, ruch naturalny i migracje ludności w województwie podkarpackim w 201</w:t>
      </w:r>
      <w:r>
        <w:rPr>
          <w:rFonts w:ascii="Times New Roman" w:hAnsi="Times New Roman" w:cs="Times New Roman"/>
          <w:i/>
        </w:rPr>
        <w:t>5</w:t>
      </w:r>
      <w:r w:rsidRPr="002C5D42">
        <w:rPr>
          <w:rFonts w:ascii="Times New Roman" w:hAnsi="Times New Roman" w:cs="Times New Roman"/>
          <w:i/>
        </w:rPr>
        <w:t xml:space="preserve"> roku, Rocznik demograficzny </w:t>
      </w:r>
      <w:r w:rsidRPr="009C19F8">
        <w:rPr>
          <w:rFonts w:ascii="Times New Roman" w:hAnsi="Times New Roman" w:cs="Times New Roman"/>
          <w:i/>
        </w:rPr>
        <w:t>2015</w:t>
      </w:r>
      <w:r w:rsidRPr="009C19F8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Pr="002C5D42">
        <w:rPr>
          <w:rFonts w:ascii="Times New Roman" w:hAnsi="Times New Roman" w:cs="Times New Roman"/>
          <w:i/>
        </w:rPr>
        <w:t>Rocznik Statystyczny Województwa Podkarpackiego 2016</w:t>
      </w:r>
      <w:r w:rsidRPr="002C5D42">
        <w:rPr>
          <w:rFonts w:ascii="Times New Roman" w:hAnsi="Times New Roman" w:cs="Times New Roman"/>
        </w:rPr>
        <w:t xml:space="preserve">; </w:t>
      </w:r>
      <w:r w:rsidRPr="002C5D42">
        <w:rPr>
          <w:rFonts w:ascii="Times New Roman" w:hAnsi="Times New Roman" w:cs="Times New Roman"/>
          <w:i/>
        </w:rPr>
        <w:t>Produkt krajowy brutto</w:t>
      </w:r>
      <w:r>
        <w:rPr>
          <w:rFonts w:ascii="Times New Roman" w:hAnsi="Times New Roman" w:cs="Times New Roman"/>
          <w:i/>
        </w:rPr>
        <w:t>.</w:t>
      </w:r>
      <w:r w:rsidRPr="002C5D42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>R</w:t>
      </w:r>
      <w:r w:rsidRPr="002C5D42">
        <w:rPr>
          <w:rFonts w:ascii="Times New Roman" w:hAnsi="Times New Roman" w:cs="Times New Roman"/>
          <w:i/>
        </w:rPr>
        <w:t xml:space="preserve">achunki regionalne </w:t>
      </w:r>
      <w:r>
        <w:rPr>
          <w:rFonts w:ascii="Times New Roman" w:hAnsi="Times New Roman" w:cs="Times New Roman"/>
          <w:i/>
        </w:rPr>
        <w:t xml:space="preserve">w </w:t>
      </w:r>
      <w:r w:rsidRPr="009C19F8">
        <w:rPr>
          <w:rFonts w:ascii="Times New Roman" w:hAnsi="Times New Roman" w:cs="Times New Roman"/>
          <w:i/>
        </w:rPr>
        <w:t>2014</w:t>
      </w:r>
      <w:r>
        <w:rPr>
          <w:rFonts w:ascii="Times New Roman" w:hAnsi="Times New Roman" w:cs="Times New Roman"/>
          <w:i/>
        </w:rPr>
        <w:t> r</w:t>
      </w:r>
      <w:r w:rsidRPr="002C5D42">
        <w:rPr>
          <w:rFonts w:ascii="Times New Roman" w:hAnsi="Times New Roman" w:cs="Times New Roman"/>
        </w:rPr>
        <w:t>.</w:t>
      </w:r>
    </w:p>
  </w:footnote>
  <w:footnote w:id="2">
    <w:p w:rsidR="00023B2A" w:rsidRPr="00E84E16" w:rsidRDefault="00023B2A" w:rsidP="00E84E1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84E16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84E16">
        <w:rPr>
          <w:rFonts w:ascii="Times New Roman" w:hAnsi="Times New Roman" w:cs="Times New Roman"/>
          <w:sz w:val="16"/>
          <w:szCs w:val="16"/>
        </w:rPr>
        <w:t xml:space="preserve"> Odsłona strony </w:t>
      </w:r>
      <w:r w:rsidR="00421450">
        <w:rPr>
          <w:rFonts w:ascii="Times New Roman" w:hAnsi="Times New Roman" w:cs="Times New Roman"/>
          <w:sz w:val="16"/>
          <w:szCs w:val="16"/>
        </w:rPr>
        <w:t>1</w:t>
      </w:r>
      <w:r w:rsidRPr="00E84E16">
        <w:rPr>
          <w:rFonts w:ascii="Times New Roman" w:hAnsi="Times New Roman" w:cs="Times New Roman"/>
          <w:sz w:val="16"/>
          <w:szCs w:val="16"/>
        </w:rPr>
        <w:t>3 III ’17 r.</w:t>
      </w:r>
    </w:p>
  </w:footnote>
  <w:footnote w:id="3">
    <w:p w:rsidR="00023B2A" w:rsidRPr="000D62AE" w:rsidRDefault="00023B2A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62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D62AE">
        <w:rPr>
          <w:rFonts w:ascii="Times New Roman" w:hAnsi="Times New Roman" w:cs="Times New Roman"/>
          <w:sz w:val="16"/>
          <w:szCs w:val="16"/>
        </w:rPr>
        <w:t xml:space="preserve"> </w:t>
      </w:r>
      <w:r w:rsidRPr="000D62AE">
        <w:rPr>
          <w:rFonts w:ascii="Times New Roman" w:hAnsi="Times New Roman" w:cs="Times New Roman"/>
          <w:color w:val="000000"/>
          <w:sz w:val="16"/>
          <w:szCs w:val="16"/>
        </w:rPr>
        <w:t xml:space="preserve">Ludność w wieku przedprodukcyjnym wg metodologii Badania Aktywności Ekonomicznej Ludności: 14 lat i mniej. </w:t>
      </w:r>
      <w:r w:rsidRPr="000D62AE">
        <w:rPr>
          <w:rFonts w:ascii="Times New Roman" w:hAnsi="Times New Roman" w:cs="Times New Roman"/>
          <w:sz w:val="16"/>
          <w:szCs w:val="16"/>
        </w:rPr>
        <w:t>Za wiek produkcyjny przyjęto dla kobiet od 15 do 59 lat oraz dla mężczyzn od 15 do 64 lat.</w:t>
      </w:r>
    </w:p>
  </w:footnote>
  <w:footnote w:id="4">
    <w:p w:rsidR="00023B2A" w:rsidRPr="000D62AE" w:rsidRDefault="00023B2A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D62AE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0D62AE">
        <w:rPr>
          <w:rFonts w:ascii="Times New Roman" w:hAnsi="Times New Roman" w:cs="Times New Roman"/>
          <w:sz w:val="16"/>
          <w:szCs w:val="16"/>
        </w:rPr>
        <w:t xml:space="preserve"> </w:t>
      </w:r>
      <w:r w:rsidRPr="000D62AE">
        <w:rPr>
          <w:rFonts w:ascii="Times New Roman" w:hAnsi="Times New Roman" w:cs="Times New Roman"/>
          <w:color w:val="000000"/>
          <w:sz w:val="16"/>
          <w:szCs w:val="16"/>
        </w:rPr>
        <w:t xml:space="preserve">Ludność w wieku przedprodukcyjnym wg założeń stosowanych w demografii: 17 lat i mniej. </w:t>
      </w:r>
      <w:r w:rsidRPr="000D62AE">
        <w:rPr>
          <w:rFonts w:ascii="Times New Roman" w:hAnsi="Times New Roman" w:cs="Times New Roman"/>
          <w:sz w:val="16"/>
          <w:szCs w:val="16"/>
        </w:rPr>
        <w:t>Za wiek produkcyjny przyjęto dla kobiet od 18 do 59 lat oraz dla mężczyzn od 18 do 64 lat.</w:t>
      </w:r>
    </w:p>
  </w:footnote>
  <w:footnote w:id="5">
    <w:p w:rsidR="00023B2A" w:rsidRPr="009C5E5D" w:rsidRDefault="00023B2A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C5E5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9C5E5D">
        <w:rPr>
          <w:rFonts w:ascii="Times New Roman" w:hAnsi="Times New Roman" w:cs="Times New Roman"/>
          <w:sz w:val="16"/>
          <w:szCs w:val="16"/>
        </w:rPr>
        <w:t xml:space="preserve"> Opracowano na podstawie danych Głównego Urzędu Statystycznego dostępnych w Internecie [dostęp: 26 lutego 2016 r.]: Bank Danych Lokalnych (</w:t>
      </w:r>
      <w:hyperlink r:id="rId3" w:history="1">
        <w:r w:rsidRPr="009C5E5D">
          <w:rPr>
            <w:rStyle w:val="Hipercze"/>
            <w:rFonts w:ascii="Times New Roman" w:hAnsi="Times New Roman" w:cs="Times New Roman"/>
            <w:sz w:val="16"/>
            <w:szCs w:val="16"/>
          </w:rPr>
          <w:t>https://bdl.stat.gov.pl/BDL/start</w:t>
        </w:r>
      </w:hyperlink>
      <w:r w:rsidRPr="009C5E5D">
        <w:rPr>
          <w:rFonts w:ascii="Times New Roman" w:hAnsi="Times New Roman" w:cs="Times New Roman"/>
          <w:sz w:val="16"/>
          <w:szCs w:val="16"/>
        </w:rPr>
        <w:t xml:space="preserve">). </w:t>
      </w:r>
    </w:p>
    <w:p w:rsidR="00023B2A" w:rsidRPr="009C5E5D" w:rsidRDefault="00023B2A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9C5E5D">
        <w:rPr>
          <w:rFonts w:ascii="Times New Roman" w:hAnsi="Times New Roman" w:cs="Times New Roman"/>
          <w:sz w:val="16"/>
          <w:szCs w:val="16"/>
        </w:rPr>
        <w:t>Kategorie zgodnie z metodologią BAEL, tj. wiek przedprodukcyjny: 0-14 lat, wiek produkcyjny: 15 – 59 lat dla kobiet, 15-64 lat dla mężczyzn, wiek poprodukcyjny: powyżej wieku produkcyjnego.</w:t>
      </w:r>
    </w:p>
  </w:footnote>
  <w:footnote w:id="6">
    <w:p w:rsidR="00023B2A" w:rsidRPr="00ED2627" w:rsidRDefault="00023B2A" w:rsidP="0029625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D262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D2627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Do proporcji pomiędzy ludnością w wieku nieprodukcyjnym i produkcyjnym stosujemy nazwę współczynnik. Poniżej 1,0 oznacza przewagę ludności w wieku produkcyjnym, powyżej 1,0 ludności w wieku nieprodukcyjnym.</w:t>
      </w:r>
    </w:p>
  </w:footnote>
  <w:footnote w:id="7">
    <w:p w:rsidR="00023B2A" w:rsidRPr="00FC5974" w:rsidRDefault="00023B2A" w:rsidP="002D4EF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FC5974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FC5974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Wskaźnik obciążenia demograficznego pokazuje – ile osób w wieku nieprodukcyjnym (zarówno przed- jak i po-produkcyjnym) przypada na osoby w wieku produkcyjnym (w zależności od przyjętej stałej C w przeliczeniu na 100 – w % lub 1000 – w </w:t>
      </w:r>
      <w:r w:rsidRPr="00296256">
        <w:rPr>
          <w:rFonts w:ascii="Times New Roman" w:hAnsi="Times New Roman" w:cs="Times New Roman"/>
          <w:sz w:val="16"/>
          <w:szCs w:val="16"/>
        </w:rPr>
        <w:t>‰</w:t>
      </w:r>
      <w:r>
        <w:rPr>
          <w:rFonts w:ascii="Times New Roman" w:hAnsi="Times New Roman" w:cs="Times New Roman"/>
          <w:sz w:val="16"/>
          <w:szCs w:val="16"/>
        </w:rPr>
        <w:t xml:space="preserve"> osób produkcyjnych). </w:t>
      </w:r>
      <w:r w:rsidRPr="00FC5974">
        <w:rPr>
          <w:rFonts w:ascii="Times New Roman" w:hAnsi="Times New Roman" w:cs="Times New Roman"/>
          <w:sz w:val="16"/>
          <w:szCs w:val="16"/>
        </w:rPr>
        <w:t>Jak wynika z</w:t>
      </w:r>
      <w:r>
        <w:rPr>
          <w:rFonts w:ascii="Times New Roman" w:hAnsi="Times New Roman" w:cs="Times New Roman"/>
          <w:sz w:val="16"/>
          <w:szCs w:val="16"/>
        </w:rPr>
        <w:t> </w:t>
      </w:r>
      <w:r w:rsidRPr="00FC5974">
        <w:rPr>
          <w:rFonts w:ascii="Times New Roman" w:hAnsi="Times New Roman" w:cs="Times New Roman"/>
          <w:sz w:val="16"/>
          <w:szCs w:val="16"/>
        </w:rPr>
        <w:t>prognoz w 2025</w:t>
      </w:r>
      <w:r>
        <w:rPr>
          <w:rFonts w:ascii="Times New Roman" w:hAnsi="Times New Roman" w:cs="Times New Roman"/>
          <w:sz w:val="16"/>
          <w:szCs w:val="16"/>
        </w:rPr>
        <w:t xml:space="preserve"> r.</w:t>
      </w:r>
      <w:r w:rsidRPr="00FC5974">
        <w:rPr>
          <w:rFonts w:ascii="Times New Roman" w:hAnsi="Times New Roman" w:cs="Times New Roman"/>
          <w:sz w:val="16"/>
          <w:szCs w:val="16"/>
        </w:rPr>
        <w:t xml:space="preserve"> wskaźnik obciążenia demograficznego może przyjąć wartość z 1990</w:t>
      </w:r>
      <w:r>
        <w:rPr>
          <w:rFonts w:ascii="Times New Roman" w:hAnsi="Times New Roman" w:cs="Times New Roman"/>
          <w:sz w:val="16"/>
          <w:szCs w:val="16"/>
        </w:rPr>
        <w:t xml:space="preserve"> roku. Wysoka wartość wskaźnika nie będzie wynikać – tak jak to miało miejsce w początku lat 90. z dużej ilości młodej ludności (w wieku przedprodukcyjnym) tylko ze wzrostu populacji osób starszych (w wieku poprodukcyjnym).</w:t>
      </w:r>
    </w:p>
  </w:footnote>
  <w:footnote w:id="8">
    <w:p w:rsidR="00023B2A" w:rsidRPr="009C5E5D" w:rsidRDefault="00023B2A" w:rsidP="00B92E45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0078CD">
        <w:rPr>
          <w:rStyle w:val="Odwoanieprzypisudolnego"/>
          <w:rFonts w:ascii="Times New Roman" w:hAnsi="Times New Roman" w:cs="Times New Roman"/>
          <w:sz w:val="16"/>
          <w:szCs w:val="16"/>
          <w:shd w:val="clear" w:color="auto" w:fill="FFFFFF" w:themeFill="background1"/>
        </w:rPr>
        <w:footnoteRef/>
      </w:r>
      <w:r w:rsidRPr="000078CD">
        <w:rPr>
          <w:rFonts w:ascii="Times New Roman" w:hAnsi="Times New Roman" w:cs="Times New Roman"/>
          <w:sz w:val="16"/>
          <w:szCs w:val="16"/>
          <w:shd w:val="clear" w:color="auto" w:fill="FFFFFF" w:themeFill="background1"/>
        </w:rPr>
        <w:t xml:space="preserve"> Rozdział opracowany na podstawie danych GUS: </w:t>
      </w:r>
      <w:r w:rsidRPr="000078CD">
        <w:rPr>
          <w:rFonts w:ascii="Times New Roman" w:hAnsi="Times New Roman" w:cs="Times New Roman"/>
          <w:i/>
          <w:sz w:val="16"/>
          <w:szCs w:val="16"/>
          <w:shd w:val="clear" w:color="auto" w:fill="FFFFFF" w:themeFill="background1"/>
        </w:rPr>
        <w:t>Miesięczna informacja o podmiotach gospodarki narodowej w rejestrze REGON</w:t>
      </w:r>
      <w:r w:rsidRPr="000078CD">
        <w:rPr>
          <w:rFonts w:ascii="Times New Roman" w:hAnsi="Times New Roman" w:cs="Times New Roman"/>
          <w:sz w:val="16"/>
          <w:szCs w:val="16"/>
          <w:shd w:val="clear" w:color="auto" w:fill="FFFFFF" w:themeFill="background1"/>
        </w:rPr>
        <w:t xml:space="preserve"> (informacje miesięczne za okres wymienianych lat);</w:t>
      </w:r>
      <w:r w:rsidRPr="000078CD">
        <w:rPr>
          <w:rFonts w:ascii="Times New Roman" w:hAnsi="Times New Roman" w:cs="Times New Roman"/>
          <w:sz w:val="16"/>
          <w:szCs w:val="16"/>
        </w:rPr>
        <w:t xml:space="preserve"> </w:t>
      </w:r>
      <w:r w:rsidRPr="000078CD">
        <w:rPr>
          <w:rFonts w:ascii="Times New Roman" w:hAnsi="Times New Roman" w:cs="Times New Roman"/>
          <w:i/>
          <w:sz w:val="16"/>
          <w:szCs w:val="16"/>
        </w:rPr>
        <w:t>Podmioty gospodarki narodowej wpisane do rejestru REGON w województwie podkarpackim. Stan na koniec 2015 roku. Opracowanie sygnalne</w:t>
      </w:r>
      <w:r w:rsidRPr="000078CD">
        <w:rPr>
          <w:rFonts w:ascii="Times New Roman" w:hAnsi="Times New Roman" w:cs="Times New Roman"/>
          <w:sz w:val="16"/>
          <w:szCs w:val="16"/>
        </w:rPr>
        <w:t xml:space="preserve">; </w:t>
      </w:r>
      <w:r w:rsidRPr="000078CD">
        <w:rPr>
          <w:rFonts w:ascii="Times New Roman" w:hAnsi="Times New Roman" w:cs="Times New Roman"/>
          <w:i/>
          <w:sz w:val="16"/>
          <w:szCs w:val="16"/>
        </w:rPr>
        <w:t>Pracujący w gospodarce narodowej w 2015 r.</w:t>
      </w:r>
      <w:r w:rsidRPr="000078CD">
        <w:rPr>
          <w:rFonts w:ascii="Times New Roman" w:hAnsi="Times New Roman" w:cs="Times New Roman"/>
          <w:sz w:val="16"/>
          <w:szCs w:val="16"/>
        </w:rPr>
        <w:t xml:space="preserve"> oraz danych GUS dostępnych on-line [9 II ‘16 r.]: Bank Danych Lokalnych (dostępny w Internecie: </w:t>
      </w:r>
      <w:hyperlink r:id="rId4" w:history="1">
        <w:r w:rsidRPr="000078CD">
          <w:rPr>
            <w:rStyle w:val="Hipercze"/>
            <w:rFonts w:ascii="Times New Roman" w:hAnsi="Times New Roman" w:cs="Times New Roman"/>
            <w:sz w:val="16"/>
            <w:szCs w:val="16"/>
          </w:rPr>
          <w:t>https://bdl.stat.gov.pl/BDL/start</w:t>
        </w:r>
      </w:hyperlink>
      <w:r w:rsidRPr="000078CD">
        <w:rPr>
          <w:rFonts w:ascii="Times New Roman" w:hAnsi="Times New Roman" w:cs="Times New Roman"/>
          <w:sz w:val="16"/>
          <w:szCs w:val="16"/>
        </w:rPr>
        <w:t>).</w:t>
      </w:r>
    </w:p>
  </w:footnote>
  <w:footnote w:id="9">
    <w:p w:rsidR="00023B2A" w:rsidRPr="00A2160C" w:rsidRDefault="00023B2A" w:rsidP="00A2160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2160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A2160C">
        <w:rPr>
          <w:rFonts w:ascii="Times New Roman" w:hAnsi="Times New Roman" w:cs="Times New Roman"/>
          <w:sz w:val="18"/>
          <w:szCs w:val="18"/>
        </w:rPr>
        <w:t xml:space="preserve"> Liczba dotyczy pracujących cywili. Bez zatrudnionych w jednostkach obron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A2160C">
        <w:rPr>
          <w:rFonts w:ascii="Times New Roman" w:hAnsi="Times New Roman" w:cs="Times New Roman"/>
          <w:sz w:val="18"/>
          <w:szCs w:val="18"/>
        </w:rPr>
        <w:t xml:space="preserve"> narodow</w:t>
      </w:r>
      <w:r>
        <w:rPr>
          <w:rFonts w:ascii="Times New Roman" w:hAnsi="Times New Roman" w:cs="Times New Roman"/>
          <w:sz w:val="18"/>
          <w:szCs w:val="18"/>
        </w:rPr>
        <w:t>ej</w:t>
      </w:r>
      <w:r w:rsidRPr="00A2160C">
        <w:rPr>
          <w:rFonts w:ascii="Times New Roman" w:hAnsi="Times New Roman" w:cs="Times New Roman"/>
          <w:sz w:val="18"/>
          <w:szCs w:val="18"/>
        </w:rPr>
        <w:t>, bezpieczeństw</w:t>
      </w:r>
      <w:r>
        <w:rPr>
          <w:rFonts w:ascii="Times New Roman" w:hAnsi="Times New Roman" w:cs="Times New Roman"/>
          <w:sz w:val="18"/>
          <w:szCs w:val="18"/>
        </w:rPr>
        <w:t>a</w:t>
      </w:r>
      <w:r w:rsidRPr="00A2160C">
        <w:rPr>
          <w:rFonts w:ascii="Times New Roman" w:hAnsi="Times New Roman" w:cs="Times New Roman"/>
          <w:sz w:val="18"/>
          <w:szCs w:val="18"/>
        </w:rPr>
        <w:t xml:space="preserve"> publiczne</w:t>
      </w:r>
      <w:r>
        <w:rPr>
          <w:rFonts w:ascii="Times New Roman" w:hAnsi="Times New Roman" w:cs="Times New Roman"/>
          <w:sz w:val="18"/>
          <w:szCs w:val="18"/>
        </w:rPr>
        <w:t>go</w:t>
      </w:r>
      <w:r w:rsidRPr="00A2160C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858FC"/>
    <w:multiLevelType w:val="hybridMultilevel"/>
    <w:tmpl w:val="F70E980A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0E2E26">
      <w:start w:val="1"/>
      <w:numFmt w:val="bullet"/>
      <w:lvlText w:val="–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308DA"/>
    <w:multiLevelType w:val="hybridMultilevel"/>
    <w:tmpl w:val="AB7AF3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FC358F"/>
    <w:multiLevelType w:val="hybridMultilevel"/>
    <w:tmpl w:val="0BCE50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133001E"/>
    <w:multiLevelType w:val="multilevel"/>
    <w:tmpl w:val="AC3A9D4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4">
    <w:nsid w:val="116D374F"/>
    <w:multiLevelType w:val="hybridMultilevel"/>
    <w:tmpl w:val="0EC4BC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CA246F"/>
    <w:multiLevelType w:val="hybridMultilevel"/>
    <w:tmpl w:val="ECAACE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3C04DF"/>
    <w:multiLevelType w:val="hybridMultilevel"/>
    <w:tmpl w:val="384E86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326DEF"/>
    <w:multiLevelType w:val="hybridMultilevel"/>
    <w:tmpl w:val="73481AC6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C05AC4"/>
    <w:multiLevelType w:val="hybridMultilevel"/>
    <w:tmpl w:val="94E82C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980612C"/>
    <w:multiLevelType w:val="hybridMultilevel"/>
    <w:tmpl w:val="5496868E"/>
    <w:lvl w:ilvl="0" w:tplc="AF42FC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180895"/>
    <w:multiLevelType w:val="hybridMultilevel"/>
    <w:tmpl w:val="D222EB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2582444"/>
    <w:multiLevelType w:val="hybridMultilevel"/>
    <w:tmpl w:val="ED1E1FA2"/>
    <w:lvl w:ilvl="0" w:tplc="AF42FC96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>
    <w:nsid w:val="327F713B"/>
    <w:multiLevelType w:val="hybridMultilevel"/>
    <w:tmpl w:val="8304A0BE"/>
    <w:lvl w:ilvl="0" w:tplc="AF0E2E2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E03BBD"/>
    <w:multiLevelType w:val="hybridMultilevel"/>
    <w:tmpl w:val="114863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9F451FF"/>
    <w:multiLevelType w:val="hybridMultilevel"/>
    <w:tmpl w:val="D69CC9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1A3FAA"/>
    <w:multiLevelType w:val="hybridMultilevel"/>
    <w:tmpl w:val="B61E47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15C0DDC"/>
    <w:multiLevelType w:val="hybridMultilevel"/>
    <w:tmpl w:val="AB78C8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11988"/>
    <w:multiLevelType w:val="hybridMultilevel"/>
    <w:tmpl w:val="211444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4727398"/>
    <w:multiLevelType w:val="hybridMultilevel"/>
    <w:tmpl w:val="A8CE6F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6245EC3"/>
    <w:multiLevelType w:val="hybridMultilevel"/>
    <w:tmpl w:val="C144D90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40C57"/>
    <w:multiLevelType w:val="hybridMultilevel"/>
    <w:tmpl w:val="48C8A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29D70C6"/>
    <w:multiLevelType w:val="hybridMultilevel"/>
    <w:tmpl w:val="36024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5884C19"/>
    <w:multiLevelType w:val="hybridMultilevel"/>
    <w:tmpl w:val="3E384B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504D03"/>
    <w:multiLevelType w:val="hybridMultilevel"/>
    <w:tmpl w:val="3FF61F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3A7816"/>
    <w:multiLevelType w:val="hybridMultilevel"/>
    <w:tmpl w:val="7E5631CA"/>
    <w:lvl w:ilvl="0" w:tplc="AF0E2E26">
      <w:start w:val="1"/>
      <w:numFmt w:val="bullet"/>
      <w:lvlText w:val="–"/>
      <w:lvlJc w:val="left"/>
      <w:pPr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AFB66A2"/>
    <w:multiLevelType w:val="hybridMultilevel"/>
    <w:tmpl w:val="16BC77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1033B0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27">
    <w:nsid w:val="705B224F"/>
    <w:multiLevelType w:val="hybridMultilevel"/>
    <w:tmpl w:val="F61051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</w:num>
  <w:num w:numId="3">
    <w:abstractNumId w:val="25"/>
  </w:num>
  <w:num w:numId="4">
    <w:abstractNumId w:val="27"/>
  </w:num>
  <w:num w:numId="5">
    <w:abstractNumId w:val="20"/>
  </w:num>
  <w:num w:numId="6">
    <w:abstractNumId w:val="4"/>
  </w:num>
  <w:num w:numId="7">
    <w:abstractNumId w:val="18"/>
  </w:num>
  <w:num w:numId="8">
    <w:abstractNumId w:val="15"/>
  </w:num>
  <w:num w:numId="9">
    <w:abstractNumId w:val="14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1"/>
  </w:num>
  <w:num w:numId="17">
    <w:abstractNumId w:val="22"/>
  </w:num>
  <w:num w:numId="18">
    <w:abstractNumId w:val="17"/>
  </w:num>
  <w:num w:numId="19">
    <w:abstractNumId w:val="13"/>
  </w:num>
  <w:num w:numId="20">
    <w:abstractNumId w:val="16"/>
  </w:num>
  <w:num w:numId="21">
    <w:abstractNumId w:val="0"/>
  </w:num>
  <w:num w:numId="22">
    <w:abstractNumId w:val="21"/>
  </w:num>
  <w:num w:numId="23">
    <w:abstractNumId w:val="12"/>
  </w:num>
  <w:num w:numId="24">
    <w:abstractNumId w:val="5"/>
  </w:num>
  <w:num w:numId="25">
    <w:abstractNumId w:val="26"/>
  </w:num>
  <w:num w:numId="26">
    <w:abstractNumId w:val="6"/>
  </w:num>
  <w:num w:numId="27">
    <w:abstractNumId w:val="24"/>
  </w:num>
  <w:num w:numId="28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6E"/>
    <w:rsid w:val="00002834"/>
    <w:rsid w:val="000034DC"/>
    <w:rsid w:val="0000557E"/>
    <w:rsid w:val="000058EE"/>
    <w:rsid w:val="00006D81"/>
    <w:rsid w:val="00006E96"/>
    <w:rsid w:val="000078CD"/>
    <w:rsid w:val="00010B3D"/>
    <w:rsid w:val="00011D62"/>
    <w:rsid w:val="00011FA8"/>
    <w:rsid w:val="00013F6D"/>
    <w:rsid w:val="00015531"/>
    <w:rsid w:val="00015579"/>
    <w:rsid w:val="00017718"/>
    <w:rsid w:val="000177FF"/>
    <w:rsid w:val="00017EC0"/>
    <w:rsid w:val="000211FE"/>
    <w:rsid w:val="00021720"/>
    <w:rsid w:val="00023B2A"/>
    <w:rsid w:val="000246BF"/>
    <w:rsid w:val="000258C5"/>
    <w:rsid w:val="00025E6D"/>
    <w:rsid w:val="000307FD"/>
    <w:rsid w:val="00031F27"/>
    <w:rsid w:val="00032114"/>
    <w:rsid w:val="000324F3"/>
    <w:rsid w:val="000336A4"/>
    <w:rsid w:val="00034D1E"/>
    <w:rsid w:val="00035373"/>
    <w:rsid w:val="000361BE"/>
    <w:rsid w:val="000378C0"/>
    <w:rsid w:val="00037BD8"/>
    <w:rsid w:val="000408F3"/>
    <w:rsid w:val="0004293D"/>
    <w:rsid w:val="00044529"/>
    <w:rsid w:val="00044661"/>
    <w:rsid w:val="00044978"/>
    <w:rsid w:val="00045784"/>
    <w:rsid w:val="00045A93"/>
    <w:rsid w:val="0004667A"/>
    <w:rsid w:val="00046888"/>
    <w:rsid w:val="00046F19"/>
    <w:rsid w:val="000473EA"/>
    <w:rsid w:val="00047B02"/>
    <w:rsid w:val="0005008C"/>
    <w:rsid w:val="000503CA"/>
    <w:rsid w:val="0005052D"/>
    <w:rsid w:val="00051207"/>
    <w:rsid w:val="0005295A"/>
    <w:rsid w:val="00053DD5"/>
    <w:rsid w:val="0005421F"/>
    <w:rsid w:val="00055C65"/>
    <w:rsid w:val="000564AD"/>
    <w:rsid w:val="000566C4"/>
    <w:rsid w:val="00057CC1"/>
    <w:rsid w:val="00060DFF"/>
    <w:rsid w:val="00061DF6"/>
    <w:rsid w:val="00063539"/>
    <w:rsid w:val="000644BF"/>
    <w:rsid w:val="00065741"/>
    <w:rsid w:val="00067065"/>
    <w:rsid w:val="0007058F"/>
    <w:rsid w:val="000706F3"/>
    <w:rsid w:val="0007097F"/>
    <w:rsid w:val="00071101"/>
    <w:rsid w:val="00071760"/>
    <w:rsid w:val="00071ACF"/>
    <w:rsid w:val="000722BA"/>
    <w:rsid w:val="000726AB"/>
    <w:rsid w:val="00072D31"/>
    <w:rsid w:val="00073128"/>
    <w:rsid w:val="0007428E"/>
    <w:rsid w:val="000762C5"/>
    <w:rsid w:val="00076E79"/>
    <w:rsid w:val="0007707D"/>
    <w:rsid w:val="00077229"/>
    <w:rsid w:val="00080096"/>
    <w:rsid w:val="0008081B"/>
    <w:rsid w:val="0008397A"/>
    <w:rsid w:val="00084282"/>
    <w:rsid w:val="00087226"/>
    <w:rsid w:val="00090DEB"/>
    <w:rsid w:val="000912E1"/>
    <w:rsid w:val="0009289E"/>
    <w:rsid w:val="00093EFA"/>
    <w:rsid w:val="00095CCA"/>
    <w:rsid w:val="0009777C"/>
    <w:rsid w:val="000A07A4"/>
    <w:rsid w:val="000A0E30"/>
    <w:rsid w:val="000A23F1"/>
    <w:rsid w:val="000A2DBD"/>
    <w:rsid w:val="000A3BE5"/>
    <w:rsid w:val="000A4940"/>
    <w:rsid w:val="000A50E1"/>
    <w:rsid w:val="000A5B66"/>
    <w:rsid w:val="000A62D6"/>
    <w:rsid w:val="000A7312"/>
    <w:rsid w:val="000A7638"/>
    <w:rsid w:val="000B0AF1"/>
    <w:rsid w:val="000B5A88"/>
    <w:rsid w:val="000B5D76"/>
    <w:rsid w:val="000B6FA7"/>
    <w:rsid w:val="000C129C"/>
    <w:rsid w:val="000C157D"/>
    <w:rsid w:val="000C27C0"/>
    <w:rsid w:val="000C6395"/>
    <w:rsid w:val="000C656E"/>
    <w:rsid w:val="000C78B2"/>
    <w:rsid w:val="000D15E1"/>
    <w:rsid w:val="000D3236"/>
    <w:rsid w:val="000D62AE"/>
    <w:rsid w:val="000D7F87"/>
    <w:rsid w:val="000E4FF9"/>
    <w:rsid w:val="000E67A2"/>
    <w:rsid w:val="000E6FCA"/>
    <w:rsid w:val="000E7274"/>
    <w:rsid w:val="000F1185"/>
    <w:rsid w:val="000F18FF"/>
    <w:rsid w:val="000F1D4A"/>
    <w:rsid w:val="000F41D7"/>
    <w:rsid w:val="000F5A89"/>
    <w:rsid w:val="000F6265"/>
    <w:rsid w:val="000F785F"/>
    <w:rsid w:val="000F7DBB"/>
    <w:rsid w:val="00100704"/>
    <w:rsid w:val="00102D15"/>
    <w:rsid w:val="0010350D"/>
    <w:rsid w:val="00104AB6"/>
    <w:rsid w:val="00104B98"/>
    <w:rsid w:val="00105A0E"/>
    <w:rsid w:val="001073AA"/>
    <w:rsid w:val="00107D62"/>
    <w:rsid w:val="00112DC7"/>
    <w:rsid w:val="00113AC8"/>
    <w:rsid w:val="001153DE"/>
    <w:rsid w:val="00115840"/>
    <w:rsid w:val="00122719"/>
    <w:rsid w:val="00122BF4"/>
    <w:rsid w:val="00123D46"/>
    <w:rsid w:val="00123F48"/>
    <w:rsid w:val="00124250"/>
    <w:rsid w:val="00124E6A"/>
    <w:rsid w:val="001265FD"/>
    <w:rsid w:val="0012708B"/>
    <w:rsid w:val="001274B4"/>
    <w:rsid w:val="001278BA"/>
    <w:rsid w:val="00130586"/>
    <w:rsid w:val="00134E4A"/>
    <w:rsid w:val="00136027"/>
    <w:rsid w:val="00137ADF"/>
    <w:rsid w:val="00137EF8"/>
    <w:rsid w:val="001432AE"/>
    <w:rsid w:val="00143419"/>
    <w:rsid w:val="00144EEC"/>
    <w:rsid w:val="00145AAF"/>
    <w:rsid w:val="0014696F"/>
    <w:rsid w:val="001470C1"/>
    <w:rsid w:val="001477F2"/>
    <w:rsid w:val="00147AD0"/>
    <w:rsid w:val="00150999"/>
    <w:rsid w:val="00151148"/>
    <w:rsid w:val="001525D3"/>
    <w:rsid w:val="00152F3B"/>
    <w:rsid w:val="0015680F"/>
    <w:rsid w:val="00156F4A"/>
    <w:rsid w:val="00160012"/>
    <w:rsid w:val="00160DBC"/>
    <w:rsid w:val="00162CA9"/>
    <w:rsid w:val="00163087"/>
    <w:rsid w:val="00163A17"/>
    <w:rsid w:val="00163CF2"/>
    <w:rsid w:val="001644C3"/>
    <w:rsid w:val="00164835"/>
    <w:rsid w:val="00165326"/>
    <w:rsid w:val="00167F16"/>
    <w:rsid w:val="00173689"/>
    <w:rsid w:val="001737FF"/>
    <w:rsid w:val="0017512A"/>
    <w:rsid w:val="00175221"/>
    <w:rsid w:val="001756B2"/>
    <w:rsid w:val="001759E1"/>
    <w:rsid w:val="001773BA"/>
    <w:rsid w:val="00177956"/>
    <w:rsid w:val="00177BFE"/>
    <w:rsid w:val="001806A1"/>
    <w:rsid w:val="00182185"/>
    <w:rsid w:val="00182725"/>
    <w:rsid w:val="00182B86"/>
    <w:rsid w:val="00183AB1"/>
    <w:rsid w:val="00184581"/>
    <w:rsid w:val="001845CF"/>
    <w:rsid w:val="00185AAD"/>
    <w:rsid w:val="001863F2"/>
    <w:rsid w:val="0018648B"/>
    <w:rsid w:val="00186E3C"/>
    <w:rsid w:val="00187642"/>
    <w:rsid w:val="00187C36"/>
    <w:rsid w:val="00191B9C"/>
    <w:rsid w:val="001942C4"/>
    <w:rsid w:val="00197A36"/>
    <w:rsid w:val="00197AAC"/>
    <w:rsid w:val="001A147E"/>
    <w:rsid w:val="001A2394"/>
    <w:rsid w:val="001B000E"/>
    <w:rsid w:val="001B1940"/>
    <w:rsid w:val="001B2026"/>
    <w:rsid w:val="001B4020"/>
    <w:rsid w:val="001B5D0B"/>
    <w:rsid w:val="001B7AFA"/>
    <w:rsid w:val="001C1F08"/>
    <w:rsid w:val="001C3D03"/>
    <w:rsid w:val="001C3F21"/>
    <w:rsid w:val="001C4344"/>
    <w:rsid w:val="001C78D8"/>
    <w:rsid w:val="001C79B7"/>
    <w:rsid w:val="001D17BA"/>
    <w:rsid w:val="001D3B34"/>
    <w:rsid w:val="001D7069"/>
    <w:rsid w:val="001E0961"/>
    <w:rsid w:val="001E1679"/>
    <w:rsid w:val="001E2A59"/>
    <w:rsid w:val="001E58F0"/>
    <w:rsid w:val="001E5ADE"/>
    <w:rsid w:val="001E6423"/>
    <w:rsid w:val="001E6881"/>
    <w:rsid w:val="001F1808"/>
    <w:rsid w:val="001F504A"/>
    <w:rsid w:val="001F51C0"/>
    <w:rsid w:val="001F59FA"/>
    <w:rsid w:val="001F5F15"/>
    <w:rsid w:val="001F645B"/>
    <w:rsid w:val="001F75DE"/>
    <w:rsid w:val="002001EC"/>
    <w:rsid w:val="002016F8"/>
    <w:rsid w:val="00201D31"/>
    <w:rsid w:val="00203EC2"/>
    <w:rsid w:val="00206376"/>
    <w:rsid w:val="00206E94"/>
    <w:rsid w:val="00207996"/>
    <w:rsid w:val="0021024C"/>
    <w:rsid w:val="00210254"/>
    <w:rsid w:val="002111DC"/>
    <w:rsid w:val="00211F80"/>
    <w:rsid w:val="0021229D"/>
    <w:rsid w:val="00213454"/>
    <w:rsid w:val="002139C1"/>
    <w:rsid w:val="0021582F"/>
    <w:rsid w:val="00216122"/>
    <w:rsid w:val="002171E0"/>
    <w:rsid w:val="00220855"/>
    <w:rsid w:val="00221BB6"/>
    <w:rsid w:val="002242CE"/>
    <w:rsid w:val="00225613"/>
    <w:rsid w:val="0022721B"/>
    <w:rsid w:val="00230EA3"/>
    <w:rsid w:val="00231C25"/>
    <w:rsid w:val="002325E6"/>
    <w:rsid w:val="00232AEE"/>
    <w:rsid w:val="0023309B"/>
    <w:rsid w:val="00235A6B"/>
    <w:rsid w:val="00237F10"/>
    <w:rsid w:val="002402C8"/>
    <w:rsid w:val="002412D7"/>
    <w:rsid w:val="00242C45"/>
    <w:rsid w:val="0024340E"/>
    <w:rsid w:val="00244A0E"/>
    <w:rsid w:val="0024523E"/>
    <w:rsid w:val="00246BA9"/>
    <w:rsid w:val="00246F26"/>
    <w:rsid w:val="002474CA"/>
    <w:rsid w:val="002505BE"/>
    <w:rsid w:val="00251C40"/>
    <w:rsid w:val="00252290"/>
    <w:rsid w:val="002522B5"/>
    <w:rsid w:val="002540CB"/>
    <w:rsid w:val="00255B1E"/>
    <w:rsid w:val="002562BB"/>
    <w:rsid w:val="00256EDC"/>
    <w:rsid w:val="002605E4"/>
    <w:rsid w:val="00260650"/>
    <w:rsid w:val="00263A04"/>
    <w:rsid w:val="002648C9"/>
    <w:rsid w:val="00264F61"/>
    <w:rsid w:val="00265316"/>
    <w:rsid w:val="00266B9A"/>
    <w:rsid w:val="0027033D"/>
    <w:rsid w:val="00271E13"/>
    <w:rsid w:val="00271E82"/>
    <w:rsid w:val="00273E11"/>
    <w:rsid w:val="0027454D"/>
    <w:rsid w:val="0027574A"/>
    <w:rsid w:val="002767B7"/>
    <w:rsid w:val="00276CE4"/>
    <w:rsid w:val="00277027"/>
    <w:rsid w:val="00277633"/>
    <w:rsid w:val="00277813"/>
    <w:rsid w:val="002806AF"/>
    <w:rsid w:val="00280964"/>
    <w:rsid w:val="00280BA5"/>
    <w:rsid w:val="00281719"/>
    <w:rsid w:val="0028191A"/>
    <w:rsid w:val="002839DA"/>
    <w:rsid w:val="0028447B"/>
    <w:rsid w:val="002844CE"/>
    <w:rsid w:val="00285D6A"/>
    <w:rsid w:val="00293037"/>
    <w:rsid w:val="0029394F"/>
    <w:rsid w:val="0029570C"/>
    <w:rsid w:val="00295756"/>
    <w:rsid w:val="0029588D"/>
    <w:rsid w:val="00296256"/>
    <w:rsid w:val="0029671D"/>
    <w:rsid w:val="002A0C2C"/>
    <w:rsid w:val="002A161D"/>
    <w:rsid w:val="002A2DEB"/>
    <w:rsid w:val="002A3A5B"/>
    <w:rsid w:val="002A5774"/>
    <w:rsid w:val="002A5E5A"/>
    <w:rsid w:val="002A6971"/>
    <w:rsid w:val="002B03E5"/>
    <w:rsid w:val="002B17CB"/>
    <w:rsid w:val="002B278F"/>
    <w:rsid w:val="002B3633"/>
    <w:rsid w:val="002B3947"/>
    <w:rsid w:val="002B4B5B"/>
    <w:rsid w:val="002B6DF5"/>
    <w:rsid w:val="002C276B"/>
    <w:rsid w:val="002C570D"/>
    <w:rsid w:val="002C5D42"/>
    <w:rsid w:val="002C5E6E"/>
    <w:rsid w:val="002C66BA"/>
    <w:rsid w:val="002C7F42"/>
    <w:rsid w:val="002D12F9"/>
    <w:rsid w:val="002D1381"/>
    <w:rsid w:val="002D13B7"/>
    <w:rsid w:val="002D2593"/>
    <w:rsid w:val="002D4A0B"/>
    <w:rsid w:val="002D4EF1"/>
    <w:rsid w:val="002E0534"/>
    <w:rsid w:val="002E1822"/>
    <w:rsid w:val="002E2123"/>
    <w:rsid w:val="002E287C"/>
    <w:rsid w:val="002E4526"/>
    <w:rsid w:val="002E4983"/>
    <w:rsid w:val="002E5811"/>
    <w:rsid w:val="002E5FA6"/>
    <w:rsid w:val="002E6B28"/>
    <w:rsid w:val="002E7EEE"/>
    <w:rsid w:val="002F07C5"/>
    <w:rsid w:val="002F2035"/>
    <w:rsid w:val="002F2BF4"/>
    <w:rsid w:val="002F6C19"/>
    <w:rsid w:val="002F735A"/>
    <w:rsid w:val="00300E06"/>
    <w:rsid w:val="00301D1B"/>
    <w:rsid w:val="0030399E"/>
    <w:rsid w:val="003053CC"/>
    <w:rsid w:val="0030613D"/>
    <w:rsid w:val="00306A68"/>
    <w:rsid w:val="00311304"/>
    <w:rsid w:val="003166CB"/>
    <w:rsid w:val="00316C35"/>
    <w:rsid w:val="00321388"/>
    <w:rsid w:val="00321971"/>
    <w:rsid w:val="003227DC"/>
    <w:rsid w:val="00322DCC"/>
    <w:rsid w:val="00323039"/>
    <w:rsid w:val="003231CD"/>
    <w:rsid w:val="003232E4"/>
    <w:rsid w:val="00325F81"/>
    <w:rsid w:val="00326517"/>
    <w:rsid w:val="00330F97"/>
    <w:rsid w:val="00333DBD"/>
    <w:rsid w:val="00334375"/>
    <w:rsid w:val="00334F4A"/>
    <w:rsid w:val="00336D39"/>
    <w:rsid w:val="00337325"/>
    <w:rsid w:val="00337F1C"/>
    <w:rsid w:val="00340F13"/>
    <w:rsid w:val="003416E8"/>
    <w:rsid w:val="00341FE5"/>
    <w:rsid w:val="00342094"/>
    <w:rsid w:val="00343D09"/>
    <w:rsid w:val="003444F2"/>
    <w:rsid w:val="00344B3A"/>
    <w:rsid w:val="0034720D"/>
    <w:rsid w:val="00350C0B"/>
    <w:rsid w:val="00350F35"/>
    <w:rsid w:val="00355EB3"/>
    <w:rsid w:val="0035637A"/>
    <w:rsid w:val="00357517"/>
    <w:rsid w:val="003630C1"/>
    <w:rsid w:val="0036428C"/>
    <w:rsid w:val="003643A9"/>
    <w:rsid w:val="00365760"/>
    <w:rsid w:val="00366BD5"/>
    <w:rsid w:val="00366D89"/>
    <w:rsid w:val="00367E21"/>
    <w:rsid w:val="003701A2"/>
    <w:rsid w:val="00372B5F"/>
    <w:rsid w:val="00373BDE"/>
    <w:rsid w:val="00373E8B"/>
    <w:rsid w:val="00374582"/>
    <w:rsid w:val="003748F1"/>
    <w:rsid w:val="0037602E"/>
    <w:rsid w:val="00376972"/>
    <w:rsid w:val="003775BD"/>
    <w:rsid w:val="003802DB"/>
    <w:rsid w:val="00380DB5"/>
    <w:rsid w:val="00380F32"/>
    <w:rsid w:val="0038171F"/>
    <w:rsid w:val="00382496"/>
    <w:rsid w:val="00383632"/>
    <w:rsid w:val="00383A43"/>
    <w:rsid w:val="00385582"/>
    <w:rsid w:val="003855E3"/>
    <w:rsid w:val="00386632"/>
    <w:rsid w:val="0039125A"/>
    <w:rsid w:val="00392A9A"/>
    <w:rsid w:val="00392EDD"/>
    <w:rsid w:val="00394292"/>
    <w:rsid w:val="00394F00"/>
    <w:rsid w:val="003950BA"/>
    <w:rsid w:val="00395101"/>
    <w:rsid w:val="0039593D"/>
    <w:rsid w:val="0039682F"/>
    <w:rsid w:val="003A061B"/>
    <w:rsid w:val="003A171F"/>
    <w:rsid w:val="003A2CF6"/>
    <w:rsid w:val="003A4E22"/>
    <w:rsid w:val="003A540B"/>
    <w:rsid w:val="003A74B1"/>
    <w:rsid w:val="003B0EAF"/>
    <w:rsid w:val="003B23E0"/>
    <w:rsid w:val="003B3CA6"/>
    <w:rsid w:val="003B5D79"/>
    <w:rsid w:val="003B600A"/>
    <w:rsid w:val="003C1F89"/>
    <w:rsid w:val="003C26E2"/>
    <w:rsid w:val="003C477D"/>
    <w:rsid w:val="003C4B8B"/>
    <w:rsid w:val="003D13D5"/>
    <w:rsid w:val="003D1998"/>
    <w:rsid w:val="003D51B2"/>
    <w:rsid w:val="003D6041"/>
    <w:rsid w:val="003D6D06"/>
    <w:rsid w:val="003D727A"/>
    <w:rsid w:val="003E09CE"/>
    <w:rsid w:val="003E0E7E"/>
    <w:rsid w:val="003E139B"/>
    <w:rsid w:val="003E2E67"/>
    <w:rsid w:val="003E3617"/>
    <w:rsid w:val="003E564E"/>
    <w:rsid w:val="003E58BB"/>
    <w:rsid w:val="003E58C3"/>
    <w:rsid w:val="003E6928"/>
    <w:rsid w:val="003E6FFD"/>
    <w:rsid w:val="003E7943"/>
    <w:rsid w:val="003F048D"/>
    <w:rsid w:val="003F2582"/>
    <w:rsid w:val="003F27E0"/>
    <w:rsid w:val="003F3F65"/>
    <w:rsid w:val="003F60BB"/>
    <w:rsid w:val="00400A37"/>
    <w:rsid w:val="00400EE6"/>
    <w:rsid w:val="004022A2"/>
    <w:rsid w:val="004034F7"/>
    <w:rsid w:val="00404BFA"/>
    <w:rsid w:val="00404E5F"/>
    <w:rsid w:val="0040543C"/>
    <w:rsid w:val="004056ED"/>
    <w:rsid w:val="00407294"/>
    <w:rsid w:val="00407FE3"/>
    <w:rsid w:val="00416D42"/>
    <w:rsid w:val="004178AE"/>
    <w:rsid w:val="004208CD"/>
    <w:rsid w:val="00420C32"/>
    <w:rsid w:val="00421450"/>
    <w:rsid w:val="0042214F"/>
    <w:rsid w:val="00431B91"/>
    <w:rsid w:val="00433C06"/>
    <w:rsid w:val="00435136"/>
    <w:rsid w:val="00435EF8"/>
    <w:rsid w:val="004368F8"/>
    <w:rsid w:val="00437882"/>
    <w:rsid w:val="00437A3C"/>
    <w:rsid w:val="00440FA4"/>
    <w:rsid w:val="0044289D"/>
    <w:rsid w:val="00442A65"/>
    <w:rsid w:val="0044373E"/>
    <w:rsid w:val="00443F1B"/>
    <w:rsid w:val="00444727"/>
    <w:rsid w:val="00445EE0"/>
    <w:rsid w:val="00446016"/>
    <w:rsid w:val="00446780"/>
    <w:rsid w:val="00450DA8"/>
    <w:rsid w:val="00451783"/>
    <w:rsid w:val="004520F6"/>
    <w:rsid w:val="00452A1B"/>
    <w:rsid w:val="00452D2A"/>
    <w:rsid w:val="004567BB"/>
    <w:rsid w:val="0045693A"/>
    <w:rsid w:val="004572D8"/>
    <w:rsid w:val="00461F4D"/>
    <w:rsid w:val="004626C6"/>
    <w:rsid w:val="00466760"/>
    <w:rsid w:val="00466B3E"/>
    <w:rsid w:val="00467062"/>
    <w:rsid w:val="00467216"/>
    <w:rsid w:val="00470A44"/>
    <w:rsid w:val="00473236"/>
    <w:rsid w:val="00476B48"/>
    <w:rsid w:val="00477EE1"/>
    <w:rsid w:val="00480797"/>
    <w:rsid w:val="00481159"/>
    <w:rsid w:val="00484002"/>
    <w:rsid w:val="00484ABA"/>
    <w:rsid w:val="004850B7"/>
    <w:rsid w:val="004860F2"/>
    <w:rsid w:val="00486D94"/>
    <w:rsid w:val="00487F2D"/>
    <w:rsid w:val="00490284"/>
    <w:rsid w:val="00490D8C"/>
    <w:rsid w:val="0049201F"/>
    <w:rsid w:val="00492E52"/>
    <w:rsid w:val="0049462A"/>
    <w:rsid w:val="00495740"/>
    <w:rsid w:val="00496E94"/>
    <w:rsid w:val="004972C0"/>
    <w:rsid w:val="0049770E"/>
    <w:rsid w:val="004A3BF8"/>
    <w:rsid w:val="004A49A8"/>
    <w:rsid w:val="004A522F"/>
    <w:rsid w:val="004B1F80"/>
    <w:rsid w:val="004B4524"/>
    <w:rsid w:val="004B48C5"/>
    <w:rsid w:val="004B52C5"/>
    <w:rsid w:val="004B598C"/>
    <w:rsid w:val="004B70B0"/>
    <w:rsid w:val="004C2757"/>
    <w:rsid w:val="004C2845"/>
    <w:rsid w:val="004C3D02"/>
    <w:rsid w:val="004C44AC"/>
    <w:rsid w:val="004C5A20"/>
    <w:rsid w:val="004C619B"/>
    <w:rsid w:val="004C6ED3"/>
    <w:rsid w:val="004D1D1E"/>
    <w:rsid w:val="004D27F2"/>
    <w:rsid w:val="004D4E23"/>
    <w:rsid w:val="004D531C"/>
    <w:rsid w:val="004D58A1"/>
    <w:rsid w:val="004D7B05"/>
    <w:rsid w:val="004D7ECB"/>
    <w:rsid w:val="004E3B3E"/>
    <w:rsid w:val="004E6CD8"/>
    <w:rsid w:val="004E7DD4"/>
    <w:rsid w:val="004F0AE9"/>
    <w:rsid w:val="004F1CA8"/>
    <w:rsid w:val="004F38D2"/>
    <w:rsid w:val="004F4582"/>
    <w:rsid w:val="004F792D"/>
    <w:rsid w:val="004F79BE"/>
    <w:rsid w:val="0050009C"/>
    <w:rsid w:val="0050215B"/>
    <w:rsid w:val="005052A6"/>
    <w:rsid w:val="00505820"/>
    <w:rsid w:val="00506F3F"/>
    <w:rsid w:val="00507831"/>
    <w:rsid w:val="005100B5"/>
    <w:rsid w:val="005102E9"/>
    <w:rsid w:val="00511568"/>
    <w:rsid w:val="00511DB5"/>
    <w:rsid w:val="00512EBC"/>
    <w:rsid w:val="0051416E"/>
    <w:rsid w:val="005148CD"/>
    <w:rsid w:val="00516004"/>
    <w:rsid w:val="00521456"/>
    <w:rsid w:val="00526FD5"/>
    <w:rsid w:val="0052788C"/>
    <w:rsid w:val="00530984"/>
    <w:rsid w:val="00534DDC"/>
    <w:rsid w:val="0053545D"/>
    <w:rsid w:val="0054029D"/>
    <w:rsid w:val="00540F72"/>
    <w:rsid w:val="005417F8"/>
    <w:rsid w:val="00541B65"/>
    <w:rsid w:val="005431AA"/>
    <w:rsid w:val="0054439A"/>
    <w:rsid w:val="005443D2"/>
    <w:rsid w:val="00546602"/>
    <w:rsid w:val="005468E1"/>
    <w:rsid w:val="005503DC"/>
    <w:rsid w:val="00552D80"/>
    <w:rsid w:val="00553E4B"/>
    <w:rsid w:val="00555152"/>
    <w:rsid w:val="00555919"/>
    <w:rsid w:val="005602F6"/>
    <w:rsid w:val="00560A1C"/>
    <w:rsid w:val="00560F52"/>
    <w:rsid w:val="005610F3"/>
    <w:rsid w:val="005626BA"/>
    <w:rsid w:val="005635FA"/>
    <w:rsid w:val="0056363A"/>
    <w:rsid w:val="00563A48"/>
    <w:rsid w:val="00564155"/>
    <w:rsid w:val="00565FE9"/>
    <w:rsid w:val="00566163"/>
    <w:rsid w:val="00567436"/>
    <w:rsid w:val="00567B6A"/>
    <w:rsid w:val="0057026B"/>
    <w:rsid w:val="0057112B"/>
    <w:rsid w:val="00573791"/>
    <w:rsid w:val="005737AB"/>
    <w:rsid w:val="0057472B"/>
    <w:rsid w:val="00580235"/>
    <w:rsid w:val="0058030C"/>
    <w:rsid w:val="005830AB"/>
    <w:rsid w:val="005834A2"/>
    <w:rsid w:val="005836A5"/>
    <w:rsid w:val="005857ED"/>
    <w:rsid w:val="005873B5"/>
    <w:rsid w:val="00587A87"/>
    <w:rsid w:val="0059036D"/>
    <w:rsid w:val="00590589"/>
    <w:rsid w:val="00590CF3"/>
    <w:rsid w:val="00591ACE"/>
    <w:rsid w:val="00591D4B"/>
    <w:rsid w:val="00592505"/>
    <w:rsid w:val="00592DD3"/>
    <w:rsid w:val="00593645"/>
    <w:rsid w:val="00593EB6"/>
    <w:rsid w:val="005940AC"/>
    <w:rsid w:val="00594E10"/>
    <w:rsid w:val="00595A2F"/>
    <w:rsid w:val="00595DDB"/>
    <w:rsid w:val="0059607C"/>
    <w:rsid w:val="00596413"/>
    <w:rsid w:val="00597400"/>
    <w:rsid w:val="005976BC"/>
    <w:rsid w:val="005978CD"/>
    <w:rsid w:val="005A17F1"/>
    <w:rsid w:val="005A18D1"/>
    <w:rsid w:val="005A2411"/>
    <w:rsid w:val="005A2876"/>
    <w:rsid w:val="005A3E32"/>
    <w:rsid w:val="005A4B38"/>
    <w:rsid w:val="005A59EC"/>
    <w:rsid w:val="005A66F0"/>
    <w:rsid w:val="005B4FC4"/>
    <w:rsid w:val="005B76FF"/>
    <w:rsid w:val="005C0431"/>
    <w:rsid w:val="005C14D0"/>
    <w:rsid w:val="005C223D"/>
    <w:rsid w:val="005C2F5C"/>
    <w:rsid w:val="005C5E97"/>
    <w:rsid w:val="005C72B7"/>
    <w:rsid w:val="005C7F74"/>
    <w:rsid w:val="005D109C"/>
    <w:rsid w:val="005D1820"/>
    <w:rsid w:val="005D30D9"/>
    <w:rsid w:val="005D4323"/>
    <w:rsid w:val="005D7076"/>
    <w:rsid w:val="005D71E4"/>
    <w:rsid w:val="005D7F4C"/>
    <w:rsid w:val="005E1642"/>
    <w:rsid w:val="005E1D89"/>
    <w:rsid w:val="005E2C78"/>
    <w:rsid w:val="005E4036"/>
    <w:rsid w:val="005E606A"/>
    <w:rsid w:val="005F0483"/>
    <w:rsid w:val="005F0554"/>
    <w:rsid w:val="005F1E2B"/>
    <w:rsid w:val="005F3F63"/>
    <w:rsid w:val="005F4551"/>
    <w:rsid w:val="005F4595"/>
    <w:rsid w:val="0060166B"/>
    <w:rsid w:val="0060344D"/>
    <w:rsid w:val="00605366"/>
    <w:rsid w:val="0060673C"/>
    <w:rsid w:val="00610123"/>
    <w:rsid w:val="00610972"/>
    <w:rsid w:val="00612654"/>
    <w:rsid w:val="006131DC"/>
    <w:rsid w:val="006149A1"/>
    <w:rsid w:val="006149C0"/>
    <w:rsid w:val="00614E9A"/>
    <w:rsid w:val="006164D8"/>
    <w:rsid w:val="00616AAF"/>
    <w:rsid w:val="0061728A"/>
    <w:rsid w:val="00617D0E"/>
    <w:rsid w:val="00620CF7"/>
    <w:rsid w:val="00620E71"/>
    <w:rsid w:val="006218B2"/>
    <w:rsid w:val="00625078"/>
    <w:rsid w:val="00625B1C"/>
    <w:rsid w:val="00626410"/>
    <w:rsid w:val="00626954"/>
    <w:rsid w:val="00626AAD"/>
    <w:rsid w:val="00626DCA"/>
    <w:rsid w:val="0062730B"/>
    <w:rsid w:val="00627403"/>
    <w:rsid w:val="00633F41"/>
    <w:rsid w:val="00633FC9"/>
    <w:rsid w:val="00636188"/>
    <w:rsid w:val="00637246"/>
    <w:rsid w:val="006376F3"/>
    <w:rsid w:val="00637B29"/>
    <w:rsid w:val="00641ADD"/>
    <w:rsid w:val="00642DBA"/>
    <w:rsid w:val="00643D32"/>
    <w:rsid w:val="00644EBC"/>
    <w:rsid w:val="00646CC3"/>
    <w:rsid w:val="006509DD"/>
    <w:rsid w:val="00650EE8"/>
    <w:rsid w:val="00651529"/>
    <w:rsid w:val="00651C29"/>
    <w:rsid w:val="0065220A"/>
    <w:rsid w:val="00653C2C"/>
    <w:rsid w:val="00654604"/>
    <w:rsid w:val="00655037"/>
    <w:rsid w:val="0065566E"/>
    <w:rsid w:val="0065592C"/>
    <w:rsid w:val="00656CED"/>
    <w:rsid w:val="00657527"/>
    <w:rsid w:val="006579E5"/>
    <w:rsid w:val="00657B79"/>
    <w:rsid w:val="00657CF5"/>
    <w:rsid w:val="006616C4"/>
    <w:rsid w:val="006630A1"/>
    <w:rsid w:val="00664205"/>
    <w:rsid w:val="006669B8"/>
    <w:rsid w:val="00666AC9"/>
    <w:rsid w:val="006714D7"/>
    <w:rsid w:val="0067281D"/>
    <w:rsid w:val="0067454E"/>
    <w:rsid w:val="00677A6B"/>
    <w:rsid w:val="0068079A"/>
    <w:rsid w:val="00680E16"/>
    <w:rsid w:val="0068415A"/>
    <w:rsid w:val="0068503C"/>
    <w:rsid w:val="00685291"/>
    <w:rsid w:val="00686A57"/>
    <w:rsid w:val="006870D2"/>
    <w:rsid w:val="006872F4"/>
    <w:rsid w:val="00687B06"/>
    <w:rsid w:val="00690B86"/>
    <w:rsid w:val="00691947"/>
    <w:rsid w:val="00694F79"/>
    <w:rsid w:val="00696840"/>
    <w:rsid w:val="006A2B59"/>
    <w:rsid w:val="006A3B2F"/>
    <w:rsid w:val="006A4151"/>
    <w:rsid w:val="006A43F3"/>
    <w:rsid w:val="006A4702"/>
    <w:rsid w:val="006A528D"/>
    <w:rsid w:val="006A6909"/>
    <w:rsid w:val="006A7CF1"/>
    <w:rsid w:val="006B0DA7"/>
    <w:rsid w:val="006B1548"/>
    <w:rsid w:val="006B32EE"/>
    <w:rsid w:val="006B3FB9"/>
    <w:rsid w:val="006B4BF2"/>
    <w:rsid w:val="006B538A"/>
    <w:rsid w:val="006B59DA"/>
    <w:rsid w:val="006B5A07"/>
    <w:rsid w:val="006B6680"/>
    <w:rsid w:val="006B66D1"/>
    <w:rsid w:val="006B7EEA"/>
    <w:rsid w:val="006C0365"/>
    <w:rsid w:val="006C3BA3"/>
    <w:rsid w:val="006C6C01"/>
    <w:rsid w:val="006D11DA"/>
    <w:rsid w:val="006D4DD4"/>
    <w:rsid w:val="006D4E02"/>
    <w:rsid w:val="006D6908"/>
    <w:rsid w:val="006E0F25"/>
    <w:rsid w:val="006E177D"/>
    <w:rsid w:val="006E2312"/>
    <w:rsid w:val="006E3F79"/>
    <w:rsid w:val="006F1930"/>
    <w:rsid w:val="006F2D96"/>
    <w:rsid w:val="006F5528"/>
    <w:rsid w:val="006F7D43"/>
    <w:rsid w:val="00700786"/>
    <w:rsid w:val="00700F59"/>
    <w:rsid w:val="0070206D"/>
    <w:rsid w:val="007036D0"/>
    <w:rsid w:val="007036E5"/>
    <w:rsid w:val="0070615D"/>
    <w:rsid w:val="007066C9"/>
    <w:rsid w:val="007066E6"/>
    <w:rsid w:val="00707126"/>
    <w:rsid w:val="00711074"/>
    <w:rsid w:val="007120B2"/>
    <w:rsid w:val="00712F98"/>
    <w:rsid w:val="0071522F"/>
    <w:rsid w:val="007154DA"/>
    <w:rsid w:val="00716382"/>
    <w:rsid w:val="00717215"/>
    <w:rsid w:val="00721CE3"/>
    <w:rsid w:val="0072501C"/>
    <w:rsid w:val="00726157"/>
    <w:rsid w:val="00726DAB"/>
    <w:rsid w:val="00731D43"/>
    <w:rsid w:val="007326B8"/>
    <w:rsid w:val="00732A38"/>
    <w:rsid w:val="007335CD"/>
    <w:rsid w:val="00737F37"/>
    <w:rsid w:val="0074264A"/>
    <w:rsid w:val="007451AA"/>
    <w:rsid w:val="00746363"/>
    <w:rsid w:val="0074777F"/>
    <w:rsid w:val="00747A95"/>
    <w:rsid w:val="00747C84"/>
    <w:rsid w:val="00752845"/>
    <w:rsid w:val="00753452"/>
    <w:rsid w:val="0075378C"/>
    <w:rsid w:val="00754BD7"/>
    <w:rsid w:val="00754F8F"/>
    <w:rsid w:val="00755177"/>
    <w:rsid w:val="007556EC"/>
    <w:rsid w:val="00756F00"/>
    <w:rsid w:val="0075743F"/>
    <w:rsid w:val="00761E9B"/>
    <w:rsid w:val="007620E2"/>
    <w:rsid w:val="00763362"/>
    <w:rsid w:val="00764AF3"/>
    <w:rsid w:val="007656C9"/>
    <w:rsid w:val="007666AF"/>
    <w:rsid w:val="00766AE7"/>
    <w:rsid w:val="0076774D"/>
    <w:rsid w:val="0077001D"/>
    <w:rsid w:val="00770F96"/>
    <w:rsid w:val="007728D0"/>
    <w:rsid w:val="00772F51"/>
    <w:rsid w:val="007734EB"/>
    <w:rsid w:val="00773560"/>
    <w:rsid w:val="00774BAC"/>
    <w:rsid w:val="00774E17"/>
    <w:rsid w:val="00775AFE"/>
    <w:rsid w:val="0077672C"/>
    <w:rsid w:val="00780BE4"/>
    <w:rsid w:val="00781405"/>
    <w:rsid w:val="00781DA5"/>
    <w:rsid w:val="00782597"/>
    <w:rsid w:val="007842AD"/>
    <w:rsid w:val="007847A5"/>
    <w:rsid w:val="007856D1"/>
    <w:rsid w:val="007873F7"/>
    <w:rsid w:val="00787764"/>
    <w:rsid w:val="0079024D"/>
    <w:rsid w:val="0079046A"/>
    <w:rsid w:val="0079147D"/>
    <w:rsid w:val="007926C1"/>
    <w:rsid w:val="00794D8C"/>
    <w:rsid w:val="0079532C"/>
    <w:rsid w:val="007954E0"/>
    <w:rsid w:val="00796078"/>
    <w:rsid w:val="00796F6E"/>
    <w:rsid w:val="00797F16"/>
    <w:rsid w:val="007A067F"/>
    <w:rsid w:val="007A10D1"/>
    <w:rsid w:val="007A253C"/>
    <w:rsid w:val="007A3E7D"/>
    <w:rsid w:val="007A4452"/>
    <w:rsid w:val="007A487D"/>
    <w:rsid w:val="007B1031"/>
    <w:rsid w:val="007B1A56"/>
    <w:rsid w:val="007B1E3D"/>
    <w:rsid w:val="007B221E"/>
    <w:rsid w:val="007B3733"/>
    <w:rsid w:val="007B3FDA"/>
    <w:rsid w:val="007B4819"/>
    <w:rsid w:val="007B671E"/>
    <w:rsid w:val="007C037A"/>
    <w:rsid w:val="007C0B2A"/>
    <w:rsid w:val="007C0E95"/>
    <w:rsid w:val="007C226D"/>
    <w:rsid w:val="007C2765"/>
    <w:rsid w:val="007C532E"/>
    <w:rsid w:val="007D01B9"/>
    <w:rsid w:val="007D162C"/>
    <w:rsid w:val="007D35D3"/>
    <w:rsid w:val="007D42C4"/>
    <w:rsid w:val="007D4AF1"/>
    <w:rsid w:val="007D6315"/>
    <w:rsid w:val="007D7E92"/>
    <w:rsid w:val="007E17AF"/>
    <w:rsid w:val="007E27F0"/>
    <w:rsid w:val="007E2D41"/>
    <w:rsid w:val="007E3EDC"/>
    <w:rsid w:val="007E4B81"/>
    <w:rsid w:val="007E4F8B"/>
    <w:rsid w:val="007E6F5D"/>
    <w:rsid w:val="007E70A2"/>
    <w:rsid w:val="007E72CE"/>
    <w:rsid w:val="007F037F"/>
    <w:rsid w:val="007F0993"/>
    <w:rsid w:val="007F1042"/>
    <w:rsid w:val="007F233F"/>
    <w:rsid w:val="007F2793"/>
    <w:rsid w:val="007F4380"/>
    <w:rsid w:val="007F6629"/>
    <w:rsid w:val="007F683E"/>
    <w:rsid w:val="007F6A04"/>
    <w:rsid w:val="007F6C4B"/>
    <w:rsid w:val="007F6CDD"/>
    <w:rsid w:val="007F7507"/>
    <w:rsid w:val="007F7614"/>
    <w:rsid w:val="00802AFE"/>
    <w:rsid w:val="00804CED"/>
    <w:rsid w:val="00807C86"/>
    <w:rsid w:val="00807EF3"/>
    <w:rsid w:val="0081187A"/>
    <w:rsid w:val="008121C5"/>
    <w:rsid w:val="00813D56"/>
    <w:rsid w:val="008143DA"/>
    <w:rsid w:val="00814D6F"/>
    <w:rsid w:val="00815964"/>
    <w:rsid w:val="00815F9D"/>
    <w:rsid w:val="00816676"/>
    <w:rsid w:val="0081673A"/>
    <w:rsid w:val="00816FBA"/>
    <w:rsid w:val="00817F67"/>
    <w:rsid w:val="00821092"/>
    <w:rsid w:val="008233CF"/>
    <w:rsid w:val="008240AB"/>
    <w:rsid w:val="008260E7"/>
    <w:rsid w:val="00830271"/>
    <w:rsid w:val="008309D8"/>
    <w:rsid w:val="008324DC"/>
    <w:rsid w:val="008349F4"/>
    <w:rsid w:val="00834BDD"/>
    <w:rsid w:val="0083581A"/>
    <w:rsid w:val="00835A64"/>
    <w:rsid w:val="00835B4D"/>
    <w:rsid w:val="00837776"/>
    <w:rsid w:val="0084044B"/>
    <w:rsid w:val="008422C8"/>
    <w:rsid w:val="00842850"/>
    <w:rsid w:val="00842F61"/>
    <w:rsid w:val="00845B6B"/>
    <w:rsid w:val="00846280"/>
    <w:rsid w:val="00847383"/>
    <w:rsid w:val="00847B3F"/>
    <w:rsid w:val="00850DF9"/>
    <w:rsid w:val="008515B9"/>
    <w:rsid w:val="00852874"/>
    <w:rsid w:val="008530D3"/>
    <w:rsid w:val="0085357D"/>
    <w:rsid w:val="00853754"/>
    <w:rsid w:val="00854227"/>
    <w:rsid w:val="00855552"/>
    <w:rsid w:val="00855E6D"/>
    <w:rsid w:val="00860225"/>
    <w:rsid w:val="008615AF"/>
    <w:rsid w:val="00862E1D"/>
    <w:rsid w:val="00863A00"/>
    <w:rsid w:val="0086627C"/>
    <w:rsid w:val="008667F9"/>
    <w:rsid w:val="00866DE9"/>
    <w:rsid w:val="00870B69"/>
    <w:rsid w:val="00870EE2"/>
    <w:rsid w:val="00871A5B"/>
    <w:rsid w:val="00871F7B"/>
    <w:rsid w:val="008756C4"/>
    <w:rsid w:val="00876325"/>
    <w:rsid w:val="0087682D"/>
    <w:rsid w:val="00880F52"/>
    <w:rsid w:val="008820F1"/>
    <w:rsid w:val="00882558"/>
    <w:rsid w:val="008832B8"/>
    <w:rsid w:val="00885A41"/>
    <w:rsid w:val="008878A0"/>
    <w:rsid w:val="008902A1"/>
    <w:rsid w:val="00894482"/>
    <w:rsid w:val="00894E04"/>
    <w:rsid w:val="00896629"/>
    <w:rsid w:val="008A0E7E"/>
    <w:rsid w:val="008A23D6"/>
    <w:rsid w:val="008A2614"/>
    <w:rsid w:val="008A2745"/>
    <w:rsid w:val="008A2874"/>
    <w:rsid w:val="008A3480"/>
    <w:rsid w:val="008A39CC"/>
    <w:rsid w:val="008A523C"/>
    <w:rsid w:val="008A5E42"/>
    <w:rsid w:val="008A6366"/>
    <w:rsid w:val="008A7EA9"/>
    <w:rsid w:val="008B3DB9"/>
    <w:rsid w:val="008B5774"/>
    <w:rsid w:val="008B5DD7"/>
    <w:rsid w:val="008B7684"/>
    <w:rsid w:val="008C19DF"/>
    <w:rsid w:val="008C1EA0"/>
    <w:rsid w:val="008C2B8D"/>
    <w:rsid w:val="008C3FC1"/>
    <w:rsid w:val="008C73B3"/>
    <w:rsid w:val="008D389C"/>
    <w:rsid w:val="008D6471"/>
    <w:rsid w:val="008D68EC"/>
    <w:rsid w:val="008E04C9"/>
    <w:rsid w:val="008E086D"/>
    <w:rsid w:val="008E2047"/>
    <w:rsid w:val="008E232B"/>
    <w:rsid w:val="008E281E"/>
    <w:rsid w:val="008E2D92"/>
    <w:rsid w:val="008E2F76"/>
    <w:rsid w:val="008E3818"/>
    <w:rsid w:val="008E60D0"/>
    <w:rsid w:val="008E6EF2"/>
    <w:rsid w:val="008E7856"/>
    <w:rsid w:val="008E7C68"/>
    <w:rsid w:val="008E7DEA"/>
    <w:rsid w:val="008F2E57"/>
    <w:rsid w:val="008F3ACB"/>
    <w:rsid w:val="008F5BF7"/>
    <w:rsid w:val="008F64AB"/>
    <w:rsid w:val="008F6E36"/>
    <w:rsid w:val="008F787A"/>
    <w:rsid w:val="008F7AB9"/>
    <w:rsid w:val="009025A5"/>
    <w:rsid w:val="00902EF3"/>
    <w:rsid w:val="00903C11"/>
    <w:rsid w:val="009044C9"/>
    <w:rsid w:val="00904EA2"/>
    <w:rsid w:val="00905F63"/>
    <w:rsid w:val="00907451"/>
    <w:rsid w:val="00907551"/>
    <w:rsid w:val="0091033A"/>
    <w:rsid w:val="009108CE"/>
    <w:rsid w:val="00912F71"/>
    <w:rsid w:val="009130E5"/>
    <w:rsid w:val="009143C1"/>
    <w:rsid w:val="00916BC0"/>
    <w:rsid w:val="00917B16"/>
    <w:rsid w:val="00920AB0"/>
    <w:rsid w:val="00920D43"/>
    <w:rsid w:val="00921CB3"/>
    <w:rsid w:val="00923130"/>
    <w:rsid w:val="0092545A"/>
    <w:rsid w:val="00925F63"/>
    <w:rsid w:val="00926D4D"/>
    <w:rsid w:val="00927556"/>
    <w:rsid w:val="00927E06"/>
    <w:rsid w:val="0093046E"/>
    <w:rsid w:val="00933117"/>
    <w:rsid w:val="00934248"/>
    <w:rsid w:val="009345EE"/>
    <w:rsid w:val="00935270"/>
    <w:rsid w:val="00935E51"/>
    <w:rsid w:val="00936EF0"/>
    <w:rsid w:val="009375F1"/>
    <w:rsid w:val="0094096D"/>
    <w:rsid w:val="0094122B"/>
    <w:rsid w:val="009426A0"/>
    <w:rsid w:val="00943E66"/>
    <w:rsid w:val="00945CCD"/>
    <w:rsid w:val="009476A7"/>
    <w:rsid w:val="009504D9"/>
    <w:rsid w:val="009517E6"/>
    <w:rsid w:val="0095437B"/>
    <w:rsid w:val="00955ACF"/>
    <w:rsid w:val="00956101"/>
    <w:rsid w:val="0095614B"/>
    <w:rsid w:val="00956E26"/>
    <w:rsid w:val="009579AB"/>
    <w:rsid w:val="0096006B"/>
    <w:rsid w:val="00960071"/>
    <w:rsid w:val="00961C7D"/>
    <w:rsid w:val="00963A5C"/>
    <w:rsid w:val="00965949"/>
    <w:rsid w:val="00970090"/>
    <w:rsid w:val="00970857"/>
    <w:rsid w:val="00970BCE"/>
    <w:rsid w:val="00971601"/>
    <w:rsid w:val="00971FF9"/>
    <w:rsid w:val="00975833"/>
    <w:rsid w:val="0097627F"/>
    <w:rsid w:val="009776FC"/>
    <w:rsid w:val="00980EC8"/>
    <w:rsid w:val="009824F3"/>
    <w:rsid w:val="00985C67"/>
    <w:rsid w:val="00991E9E"/>
    <w:rsid w:val="0099331A"/>
    <w:rsid w:val="009939B3"/>
    <w:rsid w:val="00994F30"/>
    <w:rsid w:val="0099510B"/>
    <w:rsid w:val="009A1C8B"/>
    <w:rsid w:val="009A1F42"/>
    <w:rsid w:val="009A6205"/>
    <w:rsid w:val="009A6A63"/>
    <w:rsid w:val="009A6CAF"/>
    <w:rsid w:val="009A737E"/>
    <w:rsid w:val="009A7519"/>
    <w:rsid w:val="009B1B1D"/>
    <w:rsid w:val="009B291C"/>
    <w:rsid w:val="009B3011"/>
    <w:rsid w:val="009B35A4"/>
    <w:rsid w:val="009B45D0"/>
    <w:rsid w:val="009B465D"/>
    <w:rsid w:val="009C1190"/>
    <w:rsid w:val="009C170A"/>
    <w:rsid w:val="009C19F8"/>
    <w:rsid w:val="009C1B5E"/>
    <w:rsid w:val="009C202F"/>
    <w:rsid w:val="009C2E38"/>
    <w:rsid w:val="009C2FA7"/>
    <w:rsid w:val="009C4968"/>
    <w:rsid w:val="009C5E5D"/>
    <w:rsid w:val="009C62C4"/>
    <w:rsid w:val="009D1165"/>
    <w:rsid w:val="009D1480"/>
    <w:rsid w:val="009D2364"/>
    <w:rsid w:val="009D2EC6"/>
    <w:rsid w:val="009D36EA"/>
    <w:rsid w:val="009D42DE"/>
    <w:rsid w:val="009D4603"/>
    <w:rsid w:val="009D5D3A"/>
    <w:rsid w:val="009E0E7C"/>
    <w:rsid w:val="009E3AFD"/>
    <w:rsid w:val="009E3D27"/>
    <w:rsid w:val="009E4C00"/>
    <w:rsid w:val="009E6121"/>
    <w:rsid w:val="009E6792"/>
    <w:rsid w:val="009E7DDE"/>
    <w:rsid w:val="009F03A6"/>
    <w:rsid w:val="009F115B"/>
    <w:rsid w:val="009F24FF"/>
    <w:rsid w:val="009F318F"/>
    <w:rsid w:val="009F4374"/>
    <w:rsid w:val="009F723E"/>
    <w:rsid w:val="00A01CA1"/>
    <w:rsid w:val="00A04E49"/>
    <w:rsid w:val="00A05D18"/>
    <w:rsid w:val="00A05D34"/>
    <w:rsid w:val="00A07AEE"/>
    <w:rsid w:val="00A11007"/>
    <w:rsid w:val="00A124DD"/>
    <w:rsid w:val="00A1404A"/>
    <w:rsid w:val="00A2064B"/>
    <w:rsid w:val="00A215D0"/>
    <w:rsid w:val="00A2160C"/>
    <w:rsid w:val="00A22602"/>
    <w:rsid w:val="00A22696"/>
    <w:rsid w:val="00A23E8E"/>
    <w:rsid w:val="00A26BA0"/>
    <w:rsid w:val="00A31FF4"/>
    <w:rsid w:val="00A326C7"/>
    <w:rsid w:val="00A34E2A"/>
    <w:rsid w:val="00A377D6"/>
    <w:rsid w:val="00A41923"/>
    <w:rsid w:val="00A42316"/>
    <w:rsid w:val="00A44C67"/>
    <w:rsid w:val="00A44D68"/>
    <w:rsid w:val="00A46258"/>
    <w:rsid w:val="00A4660C"/>
    <w:rsid w:val="00A46738"/>
    <w:rsid w:val="00A46E73"/>
    <w:rsid w:val="00A4745F"/>
    <w:rsid w:val="00A503AF"/>
    <w:rsid w:val="00A51FE0"/>
    <w:rsid w:val="00A5457B"/>
    <w:rsid w:val="00A55EC1"/>
    <w:rsid w:val="00A60C15"/>
    <w:rsid w:val="00A60CAD"/>
    <w:rsid w:val="00A61839"/>
    <w:rsid w:val="00A62880"/>
    <w:rsid w:val="00A65AF3"/>
    <w:rsid w:val="00A673BF"/>
    <w:rsid w:val="00A677B5"/>
    <w:rsid w:val="00A67D60"/>
    <w:rsid w:val="00A7023F"/>
    <w:rsid w:val="00A70831"/>
    <w:rsid w:val="00A70D3A"/>
    <w:rsid w:val="00A712E2"/>
    <w:rsid w:val="00A737F5"/>
    <w:rsid w:val="00A74C1B"/>
    <w:rsid w:val="00A75039"/>
    <w:rsid w:val="00A76F64"/>
    <w:rsid w:val="00A7795C"/>
    <w:rsid w:val="00A77D3D"/>
    <w:rsid w:val="00A77EEC"/>
    <w:rsid w:val="00A77FE2"/>
    <w:rsid w:val="00A80710"/>
    <w:rsid w:val="00A835F1"/>
    <w:rsid w:val="00A83FC0"/>
    <w:rsid w:val="00A85A1E"/>
    <w:rsid w:val="00A8656C"/>
    <w:rsid w:val="00A87C37"/>
    <w:rsid w:val="00A906F9"/>
    <w:rsid w:val="00A9132A"/>
    <w:rsid w:val="00A91771"/>
    <w:rsid w:val="00A9224D"/>
    <w:rsid w:val="00A93825"/>
    <w:rsid w:val="00A93ADB"/>
    <w:rsid w:val="00A93E3D"/>
    <w:rsid w:val="00A93F05"/>
    <w:rsid w:val="00A96872"/>
    <w:rsid w:val="00A9774B"/>
    <w:rsid w:val="00A97D64"/>
    <w:rsid w:val="00A97EF7"/>
    <w:rsid w:val="00AA0C8D"/>
    <w:rsid w:val="00AA0FB6"/>
    <w:rsid w:val="00AA2532"/>
    <w:rsid w:val="00AA501D"/>
    <w:rsid w:val="00AA68D0"/>
    <w:rsid w:val="00AA755B"/>
    <w:rsid w:val="00AB230B"/>
    <w:rsid w:val="00AB31C7"/>
    <w:rsid w:val="00AB4191"/>
    <w:rsid w:val="00AB4C93"/>
    <w:rsid w:val="00AB5B84"/>
    <w:rsid w:val="00AB63C3"/>
    <w:rsid w:val="00AB63E5"/>
    <w:rsid w:val="00AB63EA"/>
    <w:rsid w:val="00AB684D"/>
    <w:rsid w:val="00AC0B8B"/>
    <w:rsid w:val="00AC0E15"/>
    <w:rsid w:val="00AC1760"/>
    <w:rsid w:val="00AC3029"/>
    <w:rsid w:val="00AC38FF"/>
    <w:rsid w:val="00AC4ECD"/>
    <w:rsid w:val="00AC550A"/>
    <w:rsid w:val="00AC724C"/>
    <w:rsid w:val="00AC7323"/>
    <w:rsid w:val="00AD036F"/>
    <w:rsid w:val="00AD3E48"/>
    <w:rsid w:val="00AD4877"/>
    <w:rsid w:val="00AD6076"/>
    <w:rsid w:val="00AD6A88"/>
    <w:rsid w:val="00AD7F58"/>
    <w:rsid w:val="00AE0792"/>
    <w:rsid w:val="00AE265F"/>
    <w:rsid w:val="00AE279C"/>
    <w:rsid w:val="00AE2F19"/>
    <w:rsid w:val="00AE4725"/>
    <w:rsid w:val="00AE4FF2"/>
    <w:rsid w:val="00AE5712"/>
    <w:rsid w:val="00AF0320"/>
    <w:rsid w:val="00AF1078"/>
    <w:rsid w:val="00AF3904"/>
    <w:rsid w:val="00AF49A3"/>
    <w:rsid w:val="00AF4A24"/>
    <w:rsid w:val="00AF4ED8"/>
    <w:rsid w:val="00AF715D"/>
    <w:rsid w:val="00B04939"/>
    <w:rsid w:val="00B04E6A"/>
    <w:rsid w:val="00B059AF"/>
    <w:rsid w:val="00B1125F"/>
    <w:rsid w:val="00B1136B"/>
    <w:rsid w:val="00B1201E"/>
    <w:rsid w:val="00B142AA"/>
    <w:rsid w:val="00B14D95"/>
    <w:rsid w:val="00B1523C"/>
    <w:rsid w:val="00B17AFC"/>
    <w:rsid w:val="00B210A9"/>
    <w:rsid w:val="00B21DA4"/>
    <w:rsid w:val="00B220FE"/>
    <w:rsid w:val="00B224AD"/>
    <w:rsid w:val="00B23875"/>
    <w:rsid w:val="00B23E82"/>
    <w:rsid w:val="00B23F50"/>
    <w:rsid w:val="00B2450B"/>
    <w:rsid w:val="00B2463E"/>
    <w:rsid w:val="00B25801"/>
    <w:rsid w:val="00B279C3"/>
    <w:rsid w:val="00B27C6D"/>
    <w:rsid w:val="00B27F2A"/>
    <w:rsid w:val="00B3056F"/>
    <w:rsid w:val="00B30EC7"/>
    <w:rsid w:val="00B315A4"/>
    <w:rsid w:val="00B32A92"/>
    <w:rsid w:val="00B32EF3"/>
    <w:rsid w:val="00B3420C"/>
    <w:rsid w:val="00B342BB"/>
    <w:rsid w:val="00B34795"/>
    <w:rsid w:val="00B357FC"/>
    <w:rsid w:val="00B3694D"/>
    <w:rsid w:val="00B371E0"/>
    <w:rsid w:val="00B407AB"/>
    <w:rsid w:val="00B40B31"/>
    <w:rsid w:val="00B41CD2"/>
    <w:rsid w:val="00B424B5"/>
    <w:rsid w:val="00B42FCC"/>
    <w:rsid w:val="00B46196"/>
    <w:rsid w:val="00B46782"/>
    <w:rsid w:val="00B50749"/>
    <w:rsid w:val="00B51C47"/>
    <w:rsid w:val="00B532D0"/>
    <w:rsid w:val="00B53778"/>
    <w:rsid w:val="00B56AB8"/>
    <w:rsid w:val="00B56D55"/>
    <w:rsid w:val="00B60432"/>
    <w:rsid w:val="00B60C30"/>
    <w:rsid w:val="00B621A3"/>
    <w:rsid w:val="00B62B99"/>
    <w:rsid w:val="00B63FEA"/>
    <w:rsid w:val="00B6403E"/>
    <w:rsid w:val="00B647CE"/>
    <w:rsid w:val="00B65E28"/>
    <w:rsid w:val="00B662EB"/>
    <w:rsid w:val="00B678DC"/>
    <w:rsid w:val="00B7165C"/>
    <w:rsid w:val="00B723A5"/>
    <w:rsid w:val="00B73D07"/>
    <w:rsid w:val="00B7500F"/>
    <w:rsid w:val="00B75ECD"/>
    <w:rsid w:val="00B77F9D"/>
    <w:rsid w:val="00B80904"/>
    <w:rsid w:val="00B81E6F"/>
    <w:rsid w:val="00B83699"/>
    <w:rsid w:val="00B86A20"/>
    <w:rsid w:val="00B9244B"/>
    <w:rsid w:val="00B927AC"/>
    <w:rsid w:val="00B92A5D"/>
    <w:rsid w:val="00B92E45"/>
    <w:rsid w:val="00B946C4"/>
    <w:rsid w:val="00B9690D"/>
    <w:rsid w:val="00BA1265"/>
    <w:rsid w:val="00BA27BF"/>
    <w:rsid w:val="00BA419E"/>
    <w:rsid w:val="00BA66D0"/>
    <w:rsid w:val="00BB2AD5"/>
    <w:rsid w:val="00BB3E5A"/>
    <w:rsid w:val="00BC066E"/>
    <w:rsid w:val="00BC1799"/>
    <w:rsid w:val="00BC446F"/>
    <w:rsid w:val="00BC4A21"/>
    <w:rsid w:val="00BC5E80"/>
    <w:rsid w:val="00BC6E62"/>
    <w:rsid w:val="00BD01C4"/>
    <w:rsid w:val="00BD0BA7"/>
    <w:rsid w:val="00BD0C81"/>
    <w:rsid w:val="00BD284D"/>
    <w:rsid w:val="00BD2900"/>
    <w:rsid w:val="00BD2C14"/>
    <w:rsid w:val="00BD2C3C"/>
    <w:rsid w:val="00BD2D95"/>
    <w:rsid w:val="00BD3C50"/>
    <w:rsid w:val="00BD46BA"/>
    <w:rsid w:val="00BD549E"/>
    <w:rsid w:val="00BD5AFF"/>
    <w:rsid w:val="00BD6F87"/>
    <w:rsid w:val="00BE156B"/>
    <w:rsid w:val="00BE2E5E"/>
    <w:rsid w:val="00BE5974"/>
    <w:rsid w:val="00BE5C91"/>
    <w:rsid w:val="00BE67A3"/>
    <w:rsid w:val="00BE6FC1"/>
    <w:rsid w:val="00BF11D6"/>
    <w:rsid w:val="00BF1C44"/>
    <w:rsid w:val="00BF20A0"/>
    <w:rsid w:val="00BF2BE7"/>
    <w:rsid w:val="00BF3B7F"/>
    <w:rsid w:val="00BF4BCA"/>
    <w:rsid w:val="00BF4CFF"/>
    <w:rsid w:val="00BF7435"/>
    <w:rsid w:val="00C01480"/>
    <w:rsid w:val="00C01EC5"/>
    <w:rsid w:val="00C0282B"/>
    <w:rsid w:val="00C02952"/>
    <w:rsid w:val="00C02E4F"/>
    <w:rsid w:val="00C030C2"/>
    <w:rsid w:val="00C04F50"/>
    <w:rsid w:val="00C06F00"/>
    <w:rsid w:val="00C10319"/>
    <w:rsid w:val="00C1340D"/>
    <w:rsid w:val="00C16679"/>
    <w:rsid w:val="00C168FD"/>
    <w:rsid w:val="00C16B2C"/>
    <w:rsid w:val="00C176A9"/>
    <w:rsid w:val="00C177D1"/>
    <w:rsid w:val="00C177DA"/>
    <w:rsid w:val="00C17A47"/>
    <w:rsid w:val="00C20549"/>
    <w:rsid w:val="00C2104D"/>
    <w:rsid w:val="00C211A6"/>
    <w:rsid w:val="00C21956"/>
    <w:rsid w:val="00C239B9"/>
    <w:rsid w:val="00C27BA8"/>
    <w:rsid w:val="00C30343"/>
    <w:rsid w:val="00C30590"/>
    <w:rsid w:val="00C30883"/>
    <w:rsid w:val="00C30EC7"/>
    <w:rsid w:val="00C30F25"/>
    <w:rsid w:val="00C31034"/>
    <w:rsid w:val="00C31CE4"/>
    <w:rsid w:val="00C33E08"/>
    <w:rsid w:val="00C35188"/>
    <w:rsid w:val="00C3571C"/>
    <w:rsid w:val="00C35FE0"/>
    <w:rsid w:val="00C36CB3"/>
    <w:rsid w:val="00C413A2"/>
    <w:rsid w:val="00C418EA"/>
    <w:rsid w:val="00C439C9"/>
    <w:rsid w:val="00C44A4C"/>
    <w:rsid w:val="00C47C00"/>
    <w:rsid w:val="00C51255"/>
    <w:rsid w:val="00C53EEE"/>
    <w:rsid w:val="00C540B1"/>
    <w:rsid w:val="00C546E2"/>
    <w:rsid w:val="00C54B4F"/>
    <w:rsid w:val="00C600B6"/>
    <w:rsid w:val="00C624EE"/>
    <w:rsid w:val="00C6309D"/>
    <w:rsid w:val="00C63658"/>
    <w:rsid w:val="00C63A15"/>
    <w:rsid w:val="00C65AF6"/>
    <w:rsid w:val="00C71750"/>
    <w:rsid w:val="00C7202C"/>
    <w:rsid w:val="00C72652"/>
    <w:rsid w:val="00C7411C"/>
    <w:rsid w:val="00C741CE"/>
    <w:rsid w:val="00C74534"/>
    <w:rsid w:val="00C836C9"/>
    <w:rsid w:val="00C837FF"/>
    <w:rsid w:val="00C845A9"/>
    <w:rsid w:val="00C84613"/>
    <w:rsid w:val="00C84EC4"/>
    <w:rsid w:val="00C851A5"/>
    <w:rsid w:val="00C9027C"/>
    <w:rsid w:val="00C9044D"/>
    <w:rsid w:val="00C92247"/>
    <w:rsid w:val="00C9656E"/>
    <w:rsid w:val="00C97B2E"/>
    <w:rsid w:val="00CA21CF"/>
    <w:rsid w:val="00CA4160"/>
    <w:rsid w:val="00CA6A77"/>
    <w:rsid w:val="00CA72C7"/>
    <w:rsid w:val="00CA7680"/>
    <w:rsid w:val="00CB17A2"/>
    <w:rsid w:val="00CB472E"/>
    <w:rsid w:val="00CB5F45"/>
    <w:rsid w:val="00CC18AD"/>
    <w:rsid w:val="00CC326C"/>
    <w:rsid w:val="00CC47F0"/>
    <w:rsid w:val="00CC5119"/>
    <w:rsid w:val="00CC5402"/>
    <w:rsid w:val="00CC6292"/>
    <w:rsid w:val="00CC6CEC"/>
    <w:rsid w:val="00CD215C"/>
    <w:rsid w:val="00CD2CCC"/>
    <w:rsid w:val="00CD4065"/>
    <w:rsid w:val="00CD4B87"/>
    <w:rsid w:val="00CD7FCF"/>
    <w:rsid w:val="00CE022F"/>
    <w:rsid w:val="00CE1551"/>
    <w:rsid w:val="00CE2E60"/>
    <w:rsid w:val="00CE359C"/>
    <w:rsid w:val="00CE3B4A"/>
    <w:rsid w:val="00CE70F1"/>
    <w:rsid w:val="00CE78CC"/>
    <w:rsid w:val="00CF045A"/>
    <w:rsid w:val="00CF384A"/>
    <w:rsid w:val="00CF3C61"/>
    <w:rsid w:val="00CF6291"/>
    <w:rsid w:val="00CF6326"/>
    <w:rsid w:val="00CF6B45"/>
    <w:rsid w:val="00D0234A"/>
    <w:rsid w:val="00D031D3"/>
    <w:rsid w:val="00D0507E"/>
    <w:rsid w:val="00D05734"/>
    <w:rsid w:val="00D1050D"/>
    <w:rsid w:val="00D15641"/>
    <w:rsid w:val="00D15A03"/>
    <w:rsid w:val="00D17C5E"/>
    <w:rsid w:val="00D209AB"/>
    <w:rsid w:val="00D21FF6"/>
    <w:rsid w:val="00D226A3"/>
    <w:rsid w:val="00D22F1C"/>
    <w:rsid w:val="00D23099"/>
    <w:rsid w:val="00D23299"/>
    <w:rsid w:val="00D23C6F"/>
    <w:rsid w:val="00D2736E"/>
    <w:rsid w:val="00D27A37"/>
    <w:rsid w:val="00D3025C"/>
    <w:rsid w:val="00D31667"/>
    <w:rsid w:val="00D31864"/>
    <w:rsid w:val="00D3271D"/>
    <w:rsid w:val="00D35CA1"/>
    <w:rsid w:val="00D365A2"/>
    <w:rsid w:val="00D367AC"/>
    <w:rsid w:val="00D374C9"/>
    <w:rsid w:val="00D436C5"/>
    <w:rsid w:val="00D44220"/>
    <w:rsid w:val="00D443BB"/>
    <w:rsid w:val="00D47256"/>
    <w:rsid w:val="00D47A8B"/>
    <w:rsid w:val="00D500B4"/>
    <w:rsid w:val="00D52178"/>
    <w:rsid w:val="00D54602"/>
    <w:rsid w:val="00D54BBE"/>
    <w:rsid w:val="00D54C2E"/>
    <w:rsid w:val="00D5590D"/>
    <w:rsid w:val="00D6148C"/>
    <w:rsid w:val="00D6158B"/>
    <w:rsid w:val="00D615F0"/>
    <w:rsid w:val="00D6428C"/>
    <w:rsid w:val="00D665E1"/>
    <w:rsid w:val="00D6683C"/>
    <w:rsid w:val="00D66D8E"/>
    <w:rsid w:val="00D678ED"/>
    <w:rsid w:val="00D72535"/>
    <w:rsid w:val="00D729B0"/>
    <w:rsid w:val="00D72FCD"/>
    <w:rsid w:val="00D74EA2"/>
    <w:rsid w:val="00D75843"/>
    <w:rsid w:val="00D75D24"/>
    <w:rsid w:val="00D75F9E"/>
    <w:rsid w:val="00D80063"/>
    <w:rsid w:val="00D82B5B"/>
    <w:rsid w:val="00D84897"/>
    <w:rsid w:val="00D84F48"/>
    <w:rsid w:val="00D850E5"/>
    <w:rsid w:val="00D861C9"/>
    <w:rsid w:val="00D872C7"/>
    <w:rsid w:val="00D87433"/>
    <w:rsid w:val="00D91141"/>
    <w:rsid w:val="00D92007"/>
    <w:rsid w:val="00D92C1A"/>
    <w:rsid w:val="00D93B8D"/>
    <w:rsid w:val="00D94663"/>
    <w:rsid w:val="00D94BC3"/>
    <w:rsid w:val="00D9525D"/>
    <w:rsid w:val="00D96698"/>
    <w:rsid w:val="00D97D9D"/>
    <w:rsid w:val="00DA3142"/>
    <w:rsid w:val="00DA32C0"/>
    <w:rsid w:val="00DA340A"/>
    <w:rsid w:val="00DA4BDF"/>
    <w:rsid w:val="00DA5DC7"/>
    <w:rsid w:val="00DA6253"/>
    <w:rsid w:val="00DA6472"/>
    <w:rsid w:val="00DA7030"/>
    <w:rsid w:val="00DA7086"/>
    <w:rsid w:val="00DB0BC8"/>
    <w:rsid w:val="00DB1377"/>
    <w:rsid w:val="00DB2297"/>
    <w:rsid w:val="00DB3181"/>
    <w:rsid w:val="00DB3B4A"/>
    <w:rsid w:val="00DB662A"/>
    <w:rsid w:val="00DB747A"/>
    <w:rsid w:val="00DC0130"/>
    <w:rsid w:val="00DC246C"/>
    <w:rsid w:val="00DC2FC5"/>
    <w:rsid w:val="00DC3C03"/>
    <w:rsid w:val="00DC6D8B"/>
    <w:rsid w:val="00DC7D72"/>
    <w:rsid w:val="00DD0AC5"/>
    <w:rsid w:val="00DD4FBC"/>
    <w:rsid w:val="00DD5AA4"/>
    <w:rsid w:val="00DD5D89"/>
    <w:rsid w:val="00DE0A46"/>
    <w:rsid w:val="00DE1E38"/>
    <w:rsid w:val="00DE22BF"/>
    <w:rsid w:val="00DE2D41"/>
    <w:rsid w:val="00DE2EF0"/>
    <w:rsid w:val="00DE4DF0"/>
    <w:rsid w:val="00DE52F0"/>
    <w:rsid w:val="00DE5750"/>
    <w:rsid w:val="00DE6828"/>
    <w:rsid w:val="00DE71BA"/>
    <w:rsid w:val="00DF0EB3"/>
    <w:rsid w:val="00DF2E38"/>
    <w:rsid w:val="00DF40C5"/>
    <w:rsid w:val="00DF5650"/>
    <w:rsid w:val="00DF6845"/>
    <w:rsid w:val="00DF6B8E"/>
    <w:rsid w:val="00DF73F2"/>
    <w:rsid w:val="00DF7800"/>
    <w:rsid w:val="00E01227"/>
    <w:rsid w:val="00E0204C"/>
    <w:rsid w:val="00E02738"/>
    <w:rsid w:val="00E03E7E"/>
    <w:rsid w:val="00E06282"/>
    <w:rsid w:val="00E06C87"/>
    <w:rsid w:val="00E06D94"/>
    <w:rsid w:val="00E10F11"/>
    <w:rsid w:val="00E11D7E"/>
    <w:rsid w:val="00E12615"/>
    <w:rsid w:val="00E13218"/>
    <w:rsid w:val="00E135B6"/>
    <w:rsid w:val="00E14AA5"/>
    <w:rsid w:val="00E17ECC"/>
    <w:rsid w:val="00E2037F"/>
    <w:rsid w:val="00E20AE1"/>
    <w:rsid w:val="00E27209"/>
    <w:rsid w:val="00E27DE2"/>
    <w:rsid w:val="00E30487"/>
    <w:rsid w:val="00E31B03"/>
    <w:rsid w:val="00E324E9"/>
    <w:rsid w:val="00E343F3"/>
    <w:rsid w:val="00E34DD0"/>
    <w:rsid w:val="00E35749"/>
    <w:rsid w:val="00E358D1"/>
    <w:rsid w:val="00E3704B"/>
    <w:rsid w:val="00E37D60"/>
    <w:rsid w:val="00E40420"/>
    <w:rsid w:val="00E423F5"/>
    <w:rsid w:val="00E43B91"/>
    <w:rsid w:val="00E43C6F"/>
    <w:rsid w:val="00E4437C"/>
    <w:rsid w:val="00E450EA"/>
    <w:rsid w:val="00E47177"/>
    <w:rsid w:val="00E47D7F"/>
    <w:rsid w:val="00E530F2"/>
    <w:rsid w:val="00E538F7"/>
    <w:rsid w:val="00E53ED5"/>
    <w:rsid w:val="00E542B1"/>
    <w:rsid w:val="00E554E3"/>
    <w:rsid w:val="00E55FE5"/>
    <w:rsid w:val="00E57116"/>
    <w:rsid w:val="00E57565"/>
    <w:rsid w:val="00E608E2"/>
    <w:rsid w:val="00E613EA"/>
    <w:rsid w:val="00E62DAB"/>
    <w:rsid w:val="00E63372"/>
    <w:rsid w:val="00E639EB"/>
    <w:rsid w:val="00E64818"/>
    <w:rsid w:val="00E650BA"/>
    <w:rsid w:val="00E7048D"/>
    <w:rsid w:val="00E71DDE"/>
    <w:rsid w:val="00E75828"/>
    <w:rsid w:val="00E7594F"/>
    <w:rsid w:val="00E761CE"/>
    <w:rsid w:val="00E7785E"/>
    <w:rsid w:val="00E77AD4"/>
    <w:rsid w:val="00E77B6C"/>
    <w:rsid w:val="00E80013"/>
    <w:rsid w:val="00E81DDB"/>
    <w:rsid w:val="00E8208A"/>
    <w:rsid w:val="00E824B1"/>
    <w:rsid w:val="00E82B2B"/>
    <w:rsid w:val="00E83839"/>
    <w:rsid w:val="00E83DCD"/>
    <w:rsid w:val="00E84E16"/>
    <w:rsid w:val="00E854FD"/>
    <w:rsid w:val="00E8584B"/>
    <w:rsid w:val="00E86EDC"/>
    <w:rsid w:val="00E90CE6"/>
    <w:rsid w:val="00E94FC3"/>
    <w:rsid w:val="00E95936"/>
    <w:rsid w:val="00E9749E"/>
    <w:rsid w:val="00EA0BE7"/>
    <w:rsid w:val="00EA0D84"/>
    <w:rsid w:val="00EA4370"/>
    <w:rsid w:val="00EA607E"/>
    <w:rsid w:val="00EA61F9"/>
    <w:rsid w:val="00EB214E"/>
    <w:rsid w:val="00EB2644"/>
    <w:rsid w:val="00EB374A"/>
    <w:rsid w:val="00EB483E"/>
    <w:rsid w:val="00EB583F"/>
    <w:rsid w:val="00EB64E0"/>
    <w:rsid w:val="00EB7938"/>
    <w:rsid w:val="00EC00EE"/>
    <w:rsid w:val="00EC19B9"/>
    <w:rsid w:val="00EC2F44"/>
    <w:rsid w:val="00EC30A5"/>
    <w:rsid w:val="00EC36ED"/>
    <w:rsid w:val="00EC39E6"/>
    <w:rsid w:val="00EC4005"/>
    <w:rsid w:val="00EC56D5"/>
    <w:rsid w:val="00EC6281"/>
    <w:rsid w:val="00EC66BA"/>
    <w:rsid w:val="00EC6D88"/>
    <w:rsid w:val="00ED0B81"/>
    <w:rsid w:val="00ED2627"/>
    <w:rsid w:val="00ED2DC0"/>
    <w:rsid w:val="00ED3688"/>
    <w:rsid w:val="00ED593E"/>
    <w:rsid w:val="00ED5D2D"/>
    <w:rsid w:val="00ED6C54"/>
    <w:rsid w:val="00ED7001"/>
    <w:rsid w:val="00EE1726"/>
    <w:rsid w:val="00EE274B"/>
    <w:rsid w:val="00EE3C53"/>
    <w:rsid w:val="00EE5B46"/>
    <w:rsid w:val="00EE6111"/>
    <w:rsid w:val="00EF16E2"/>
    <w:rsid w:val="00EF2680"/>
    <w:rsid w:val="00EF48BE"/>
    <w:rsid w:val="00EF4984"/>
    <w:rsid w:val="00EF4A76"/>
    <w:rsid w:val="00EF5757"/>
    <w:rsid w:val="00F0094C"/>
    <w:rsid w:val="00F00E91"/>
    <w:rsid w:val="00F0161D"/>
    <w:rsid w:val="00F02B0B"/>
    <w:rsid w:val="00F03010"/>
    <w:rsid w:val="00F04A72"/>
    <w:rsid w:val="00F0505E"/>
    <w:rsid w:val="00F05F36"/>
    <w:rsid w:val="00F066B5"/>
    <w:rsid w:val="00F11191"/>
    <w:rsid w:val="00F1229B"/>
    <w:rsid w:val="00F1382C"/>
    <w:rsid w:val="00F1748C"/>
    <w:rsid w:val="00F17C27"/>
    <w:rsid w:val="00F204A9"/>
    <w:rsid w:val="00F234D0"/>
    <w:rsid w:val="00F261F7"/>
    <w:rsid w:val="00F26C1F"/>
    <w:rsid w:val="00F27BDB"/>
    <w:rsid w:val="00F3122E"/>
    <w:rsid w:val="00F325DC"/>
    <w:rsid w:val="00F33452"/>
    <w:rsid w:val="00F33B6F"/>
    <w:rsid w:val="00F35BA9"/>
    <w:rsid w:val="00F35E89"/>
    <w:rsid w:val="00F36B61"/>
    <w:rsid w:val="00F36FA3"/>
    <w:rsid w:val="00F40634"/>
    <w:rsid w:val="00F43278"/>
    <w:rsid w:val="00F45651"/>
    <w:rsid w:val="00F46376"/>
    <w:rsid w:val="00F50A08"/>
    <w:rsid w:val="00F51B83"/>
    <w:rsid w:val="00F529BB"/>
    <w:rsid w:val="00F53FE2"/>
    <w:rsid w:val="00F547FA"/>
    <w:rsid w:val="00F54AFB"/>
    <w:rsid w:val="00F56507"/>
    <w:rsid w:val="00F6040F"/>
    <w:rsid w:val="00F608AD"/>
    <w:rsid w:val="00F61179"/>
    <w:rsid w:val="00F6141B"/>
    <w:rsid w:val="00F624B9"/>
    <w:rsid w:val="00F63119"/>
    <w:rsid w:val="00F63B04"/>
    <w:rsid w:val="00F6602C"/>
    <w:rsid w:val="00F66A44"/>
    <w:rsid w:val="00F66E2F"/>
    <w:rsid w:val="00F72634"/>
    <w:rsid w:val="00F72A23"/>
    <w:rsid w:val="00F75594"/>
    <w:rsid w:val="00F7681C"/>
    <w:rsid w:val="00F77417"/>
    <w:rsid w:val="00F80359"/>
    <w:rsid w:val="00F80728"/>
    <w:rsid w:val="00F81306"/>
    <w:rsid w:val="00F8225A"/>
    <w:rsid w:val="00F873A0"/>
    <w:rsid w:val="00F905A7"/>
    <w:rsid w:val="00F90E94"/>
    <w:rsid w:val="00F910E7"/>
    <w:rsid w:val="00F92AA6"/>
    <w:rsid w:val="00F93886"/>
    <w:rsid w:val="00F94EBA"/>
    <w:rsid w:val="00F95DD3"/>
    <w:rsid w:val="00F95E52"/>
    <w:rsid w:val="00F97EF7"/>
    <w:rsid w:val="00FA0C9C"/>
    <w:rsid w:val="00FA3CB2"/>
    <w:rsid w:val="00FA50CC"/>
    <w:rsid w:val="00FA6E51"/>
    <w:rsid w:val="00FA6E6E"/>
    <w:rsid w:val="00FA7755"/>
    <w:rsid w:val="00FB1767"/>
    <w:rsid w:val="00FB2D04"/>
    <w:rsid w:val="00FB3334"/>
    <w:rsid w:val="00FB462D"/>
    <w:rsid w:val="00FB6383"/>
    <w:rsid w:val="00FB7861"/>
    <w:rsid w:val="00FB7D6A"/>
    <w:rsid w:val="00FC0611"/>
    <w:rsid w:val="00FC1658"/>
    <w:rsid w:val="00FC175C"/>
    <w:rsid w:val="00FC27CE"/>
    <w:rsid w:val="00FC2984"/>
    <w:rsid w:val="00FC32C4"/>
    <w:rsid w:val="00FC3C93"/>
    <w:rsid w:val="00FC4F11"/>
    <w:rsid w:val="00FC5974"/>
    <w:rsid w:val="00FC5BAA"/>
    <w:rsid w:val="00FC77E9"/>
    <w:rsid w:val="00FD0B3C"/>
    <w:rsid w:val="00FD391F"/>
    <w:rsid w:val="00FD454E"/>
    <w:rsid w:val="00FD6EF8"/>
    <w:rsid w:val="00FD7BBA"/>
    <w:rsid w:val="00FE08D7"/>
    <w:rsid w:val="00FE3294"/>
    <w:rsid w:val="00FE4D21"/>
    <w:rsid w:val="00FE6609"/>
    <w:rsid w:val="00FE724E"/>
    <w:rsid w:val="00FE7E5B"/>
    <w:rsid w:val="00FF0677"/>
    <w:rsid w:val="00FF1F12"/>
    <w:rsid w:val="00FF40E5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AE5712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A7030"/>
    <w:pPr>
      <w:tabs>
        <w:tab w:val="right" w:leader="dot" w:pos="9060"/>
      </w:tabs>
      <w:spacing w:after="100"/>
      <w:ind w:left="220"/>
    </w:pPr>
    <w:rPr>
      <w:rFonts w:cs="Times New Roman"/>
      <w:b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Spistreci3">
    <w:name w:val="toc 3"/>
    <w:basedOn w:val="Normalny"/>
    <w:next w:val="Normalny"/>
    <w:autoRedefine/>
    <w:uiPriority w:val="39"/>
    <w:unhideWhenUsed/>
    <w:rsid w:val="001F59FA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92E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100B5"/>
    <w:pPr>
      <w:keepNext/>
      <w:spacing w:after="0" w:line="240" w:lineRule="auto"/>
      <w:jc w:val="center"/>
      <w:outlineLvl w:val="2"/>
    </w:pPr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1416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9394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B363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E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E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EBC"/>
    <w:rPr>
      <w:vertAlign w:val="superscript"/>
    </w:rPr>
  </w:style>
  <w:style w:type="paragraph" w:styleId="Tekstpodstawowy2">
    <w:name w:val="Body Text 2"/>
    <w:basedOn w:val="Normalny"/>
    <w:link w:val="Tekstpodstawowy2Znak"/>
    <w:rsid w:val="00035373"/>
    <w:pPr>
      <w:spacing w:after="0" w:line="240" w:lineRule="auto"/>
      <w:jc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35373"/>
    <w:rPr>
      <w:rFonts w:ascii="Arial" w:eastAsia="Times New Roman" w:hAnsi="Arial" w:cs="Arial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035373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35373"/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40F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40F13"/>
    <w:rPr>
      <w:rFonts w:ascii="Times New Roman" w:eastAsia="Times New Roman" w:hAnsi="Times New Roman" w:cs="Times New Roman"/>
      <w:sz w:val="16"/>
      <w:szCs w:val="16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A6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0BA7"/>
  </w:style>
  <w:style w:type="paragraph" w:styleId="Stopka">
    <w:name w:val="footer"/>
    <w:basedOn w:val="Normalny"/>
    <w:link w:val="StopkaZnak"/>
    <w:uiPriority w:val="99"/>
    <w:unhideWhenUsed/>
    <w:rsid w:val="00BD0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0BA7"/>
  </w:style>
  <w:style w:type="table" w:styleId="Tabela-Siatka">
    <w:name w:val="Table Grid"/>
    <w:basedOn w:val="Standardowy"/>
    <w:uiPriority w:val="59"/>
    <w:rsid w:val="0037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F624B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00B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100B5"/>
  </w:style>
  <w:style w:type="character" w:customStyle="1" w:styleId="Nagwek3Znak">
    <w:name w:val="Nagłówek 3 Znak"/>
    <w:basedOn w:val="Domylnaczcionkaakapitu"/>
    <w:link w:val="Nagwek3"/>
    <w:uiPriority w:val="9"/>
    <w:rsid w:val="005100B5"/>
    <w:rPr>
      <w:rFonts w:ascii="Cambria" w:eastAsia="Times New Roman" w:hAnsi="Cambria" w:cs="Cambria"/>
      <w:b/>
      <w:bCs/>
      <w:sz w:val="26"/>
      <w:szCs w:val="26"/>
      <w:lang w:val="de-DE" w:eastAsia="pl-PL"/>
    </w:rPr>
  </w:style>
  <w:style w:type="paragraph" w:styleId="Legenda">
    <w:name w:val="caption"/>
    <w:basedOn w:val="Normalny"/>
    <w:next w:val="Normalny"/>
    <w:uiPriority w:val="99"/>
    <w:qFormat/>
    <w:rsid w:val="005100B5"/>
    <w:pPr>
      <w:spacing w:after="0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A44C6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55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55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90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92E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Jasnasiatkaakcent3">
    <w:name w:val="Light Grid Accent 3"/>
    <w:basedOn w:val="Standardowy"/>
    <w:uiPriority w:val="62"/>
    <w:rsid w:val="00B92E4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paragraph" w:styleId="Spistreci1">
    <w:name w:val="toc 1"/>
    <w:basedOn w:val="Normalny"/>
    <w:next w:val="Normalny"/>
    <w:autoRedefine/>
    <w:uiPriority w:val="39"/>
    <w:unhideWhenUsed/>
    <w:rsid w:val="00AE5712"/>
    <w:pPr>
      <w:spacing w:after="10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59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59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59E1"/>
    <w:rPr>
      <w:vertAlign w:val="superscript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F59FA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A7030"/>
    <w:pPr>
      <w:tabs>
        <w:tab w:val="right" w:leader="dot" w:pos="9060"/>
      </w:tabs>
      <w:spacing w:after="100"/>
      <w:ind w:left="220"/>
    </w:pPr>
    <w:rPr>
      <w:rFonts w:cs="Times New Roman"/>
      <w:b/>
      <w:caps/>
      <w:noProof/>
      <w14:reflection w14:blurRad="12700" w14:stA="28000" w14:stPos="0" w14:endA="0" w14:endPos="45000" w14:dist="1003" w14:dir="5400000" w14:fadeDir="5400000" w14:sx="100000" w14:sy="-100000" w14:kx="0" w14:ky="0" w14:algn="bl"/>
      <w14:textOutline w14:w="4495" w14:cap="flat" w14:cmpd="sng" w14:algn="ctr">
        <w14:solidFill>
          <w14:schemeClr w14:val="accent4">
            <w14:shade w14:val="50000"/>
            <w14:satMod w14:val="120000"/>
          </w14:schemeClr>
        </w14:solidFill>
        <w14:prstDash w14:val="solid"/>
        <w14:round/>
      </w14:textOutline>
      <w14:textFill>
        <w14:gradFill>
          <w14:gsLst>
            <w14:gs w14:pos="0">
              <w14:schemeClr w14:val="accent4">
                <w14:shade w14:val="20000"/>
                <w14:satMod w14:val="245000"/>
              </w14:schemeClr>
            </w14:gs>
            <w14:gs w14:pos="43000">
              <w14:schemeClr w14:val="accent4">
                <w14:satMod w14:val="255000"/>
              </w14:schemeClr>
            </w14:gs>
            <w14:gs w14:pos="48000">
              <w14:schemeClr w14:val="accent4">
                <w14:shade w14:val="85000"/>
                <w14:satMod w14:val="255000"/>
              </w14:schemeClr>
            </w14:gs>
            <w14:gs w14:pos="100000">
              <w14:schemeClr w14:val="accent4">
                <w14:shade w14:val="20000"/>
                <w14:satMod w14:val="245000"/>
              </w14:schemeClr>
            </w14:gs>
          </w14:gsLst>
          <w14:lin w14:ang="5400000" w14:scaled="0"/>
        </w14:gradFill>
      </w14:textFill>
    </w:rPr>
  </w:style>
  <w:style w:type="paragraph" w:styleId="Spistreci3">
    <w:name w:val="toc 3"/>
    <w:basedOn w:val="Normalny"/>
    <w:next w:val="Normalny"/>
    <w:autoRedefine/>
    <w:uiPriority w:val="39"/>
    <w:unhideWhenUsed/>
    <w:rsid w:val="001F59FA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8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image" Target="media/image6.emf"/><Relationship Id="rId39" Type="http://schemas.openxmlformats.org/officeDocument/2006/relationships/footer" Target="footer1.xml"/><Relationship Id="rId21" Type="http://schemas.openxmlformats.org/officeDocument/2006/relationships/chart" Target="charts/chart12.xml"/><Relationship Id="rId34" Type="http://schemas.openxmlformats.org/officeDocument/2006/relationships/image" Target="media/image14.emf"/><Relationship Id="rId42" Type="http://schemas.openxmlformats.org/officeDocument/2006/relationships/image" Target="media/image21.emf"/><Relationship Id="rId47" Type="http://schemas.openxmlformats.org/officeDocument/2006/relationships/image" Target="media/image26.emf"/><Relationship Id="rId50" Type="http://schemas.openxmlformats.org/officeDocument/2006/relationships/image" Target="media/image29.emf"/><Relationship Id="rId55" Type="http://schemas.openxmlformats.org/officeDocument/2006/relationships/chart" Target="charts/chart13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chart" Target="charts/chart11.xml"/><Relationship Id="rId29" Type="http://schemas.openxmlformats.org/officeDocument/2006/relationships/image" Target="media/image9.emf"/><Relationship Id="rId41" Type="http://schemas.openxmlformats.org/officeDocument/2006/relationships/image" Target="media/image20.emf"/><Relationship Id="rId54" Type="http://schemas.openxmlformats.org/officeDocument/2006/relationships/image" Target="media/image33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image" Target="media/image4.emf"/><Relationship Id="rId32" Type="http://schemas.openxmlformats.org/officeDocument/2006/relationships/image" Target="media/image12.emf"/><Relationship Id="rId37" Type="http://schemas.openxmlformats.org/officeDocument/2006/relationships/image" Target="media/image17.emf"/><Relationship Id="rId40" Type="http://schemas.openxmlformats.org/officeDocument/2006/relationships/image" Target="media/image19.emf"/><Relationship Id="rId45" Type="http://schemas.openxmlformats.org/officeDocument/2006/relationships/image" Target="media/image24.emf"/><Relationship Id="rId53" Type="http://schemas.openxmlformats.org/officeDocument/2006/relationships/image" Target="media/image32.emf"/><Relationship Id="rId58" Type="http://schemas.openxmlformats.org/officeDocument/2006/relationships/image" Target="media/image36.emf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23" Type="http://schemas.openxmlformats.org/officeDocument/2006/relationships/image" Target="media/image3.emf"/><Relationship Id="rId28" Type="http://schemas.openxmlformats.org/officeDocument/2006/relationships/image" Target="media/image8.emf"/><Relationship Id="rId36" Type="http://schemas.openxmlformats.org/officeDocument/2006/relationships/image" Target="media/image16.emf"/><Relationship Id="rId49" Type="http://schemas.openxmlformats.org/officeDocument/2006/relationships/image" Target="media/image28.emf"/><Relationship Id="rId57" Type="http://schemas.openxmlformats.org/officeDocument/2006/relationships/image" Target="media/image35.emf"/><Relationship Id="rId61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image" Target="media/image11.emf"/><Relationship Id="rId44" Type="http://schemas.openxmlformats.org/officeDocument/2006/relationships/image" Target="media/image23.emf"/><Relationship Id="rId52" Type="http://schemas.openxmlformats.org/officeDocument/2006/relationships/image" Target="media/image31.emf"/><Relationship Id="rId6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Relationship Id="rId22" Type="http://schemas.openxmlformats.org/officeDocument/2006/relationships/image" Target="media/image2.emf"/><Relationship Id="rId27" Type="http://schemas.openxmlformats.org/officeDocument/2006/relationships/image" Target="media/image7.emf"/><Relationship Id="rId30" Type="http://schemas.openxmlformats.org/officeDocument/2006/relationships/image" Target="media/image10.emf"/><Relationship Id="rId35" Type="http://schemas.openxmlformats.org/officeDocument/2006/relationships/image" Target="media/image15.emf"/><Relationship Id="rId43" Type="http://schemas.openxmlformats.org/officeDocument/2006/relationships/image" Target="media/image22.emf"/><Relationship Id="rId48" Type="http://schemas.openxmlformats.org/officeDocument/2006/relationships/image" Target="media/image27.emf"/><Relationship Id="rId56" Type="http://schemas.openxmlformats.org/officeDocument/2006/relationships/image" Target="media/image34.emf"/><Relationship Id="rId8" Type="http://schemas.openxmlformats.org/officeDocument/2006/relationships/endnotes" Target="endnotes.xml"/><Relationship Id="rId51" Type="http://schemas.openxmlformats.org/officeDocument/2006/relationships/image" Target="media/image30.emf"/><Relationship Id="rId3" Type="http://schemas.openxmlformats.org/officeDocument/2006/relationships/styles" Target="styl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image" Target="media/image5.emf"/><Relationship Id="rId33" Type="http://schemas.openxmlformats.org/officeDocument/2006/relationships/image" Target="media/image13.emf"/><Relationship Id="rId38" Type="http://schemas.openxmlformats.org/officeDocument/2006/relationships/image" Target="media/image18.emf"/><Relationship Id="rId46" Type="http://schemas.openxmlformats.org/officeDocument/2006/relationships/image" Target="media/image25.emf"/><Relationship Id="rId59" Type="http://schemas.openxmlformats.org/officeDocument/2006/relationships/chart" Target="charts/chart1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bdl.stat.gov.pl/BDL/start" TargetMode="External"/><Relationship Id="rId2" Type="http://schemas.openxmlformats.org/officeDocument/2006/relationships/hyperlink" Target="http://www.stat.gov.pl/broker/access/index.jspa" TargetMode="External"/><Relationship Id="rId1" Type="http://schemas.openxmlformats.org/officeDocument/2006/relationships/hyperlink" Target="https://bdl.stat.gov.pl/BDL/start" TargetMode="External"/><Relationship Id="rId4" Type="http://schemas.openxmlformats.org/officeDocument/2006/relationships/hyperlink" Target="https://bdl.stat.gov.pl/BDL/star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AppData\Local\Microsoft\Windows\Temporary%20Internet%20Files\Content.IE5\FVUH80Q2\LUDN_2577_XTAB_20170208151221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Zeszyt1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'16\REGON\Podm%20zar.%20i%20wyr.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'16\REGON\Podm%20zar.%20i%20wyr.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Zeszyt1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Zeszyt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'16\ludno&#347;&#263;\wiek%20ludn%20ver%20B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Podmioty%20na%201000%20mieszk.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Podmioty%20na%201000%20mieszk.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GRUDZIE&#323;%20'16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GRUDZIE&#323;%20'16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GRUDZIE&#323;%20'16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iotr.Kocaj\Desktop\Analiza\GRUDZIE&#323;%20'16.xls" TargetMode="Externa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Piotr.Kocaj\Desktop\Analiza\GRUDZIE&#323;%20'16.xls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587564268811065E-2"/>
          <c:y val="2.6097201767304859E-2"/>
          <c:w val="0.87436419038015334"/>
          <c:h val="0.88487052520496789"/>
        </c:manualLayout>
      </c:layout>
      <c:lineChart>
        <c:grouping val="standard"/>
        <c:varyColors val="0"/>
        <c:ser>
          <c:idx val="0"/>
          <c:order val="0"/>
          <c:tx>
            <c:strRef>
              <c:f>[LUDN_2577_XTAB_20170208151221.xlsx]Arkusz1!$X$1</c:f>
              <c:strCache>
                <c:ptCount val="1"/>
                <c:pt idx="0">
                  <c:v>w wieku przedprodukcyjnym - 14 lat i mniej</c:v>
                </c:pt>
              </c:strCache>
            </c:strRef>
          </c:tx>
          <c:spPr>
            <a:ln w="66675">
              <a:solidFill>
                <a:schemeClr val="accent4">
                  <a:lumMod val="50000"/>
                  <a:alpha val="80000"/>
                </a:schemeClr>
              </a:solidFill>
              <a:prstDash val="sysDash"/>
            </a:ln>
          </c:spPr>
          <c:marker>
            <c:symbol val="none"/>
          </c:marker>
          <c:cat>
            <c:strRef>
              <c:f>[LUDN_2577_XTAB_20170208151221.xlsx]Arkusz1!$BN$3:$CH$3</c:f>
              <c:strCache>
                <c:ptCount val="21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</c:strCache>
            </c:strRef>
          </c:cat>
          <c:val>
            <c:numRef>
              <c:f>[LUDN_2577_XTAB_20170208151221.xlsx]Arkusz1!$X$11:$AR$11</c:f>
              <c:numCache>
                <c:formatCode>#,##0</c:formatCode>
                <c:ptCount val="21"/>
                <c:pt idx="0">
                  <c:v>530592</c:v>
                </c:pt>
                <c:pt idx="1">
                  <c:v>519320</c:v>
                </c:pt>
                <c:pt idx="2">
                  <c:v>504845</c:v>
                </c:pt>
                <c:pt idx="3">
                  <c:v>488051</c:v>
                </c:pt>
                <c:pt idx="4">
                  <c:v>474498</c:v>
                </c:pt>
                <c:pt idx="5">
                  <c:v>458170</c:v>
                </c:pt>
                <c:pt idx="6">
                  <c:v>442120</c:v>
                </c:pt>
                <c:pt idx="7">
                  <c:v>426312</c:v>
                </c:pt>
                <c:pt idx="8">
                  <c:v>408687</c:v>
                </c:pt>
                <c:pt idx="9">
                  <c:v>393648</c:v>
                </c:pt>
                <c:pt idx="10">
                  <c:v>379051</c:v>
                </c:pt>
                <c:pt idx="11">
                  <c:v>365008</c:v>
                </c:pt>
                <c:pt idx="12">
                  <c:v>353229</c:v>
                </c:pt>
                <c:pt idx="13">
                  <c:v>345309</c:v>
                </c:pt>
                <c:pt idx="14">
                  <c:v>338820</c:v>
                </c:pt>
                <c:pt idx="15">
                  <c:v>345416</c:v>
                </c:pt>
                <c:pt idx="16">
                  <c:v>339886</c:v>
                </c:pt>
                <c:pt idx="17">
                  <c:v>335354</c:v>
                </c:pt>
                <c:pt idx="18">
                  <c:v>330951</c:v>
                </c:pt>
                <c:pt idx="19">
                  <c:v>327001</c:v>
                </c:pt>
                <c:pt idx="20">
                  <c:v>322834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[LUDN_2577_XTAB_20170208151221.xlsx]Arkusz1!$AS$1</c:f>
              <c:strCache>
                <c:ptCount val="1"/>
                <c:pt idx="0">
                  <c:v>w wieku produkcyjnym: 15-59 lat kobiety, 15-64 lata mężczyźni</c:v>
                </c:pt>
              </c:strCache>
            </c:strRef>
          </c:tx>
          <c:spPr>
            <a:ln w="60325">
              <a:solidFill>
                <a:schemeClr val="accent4">
                  <a:lumMod val="75000"/>
                  <a:alpha val="41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accent4">
                    <a:lumMod val="60000"/>
                    <a:lumOff val="40000"/>
                  </a:schemeClr>
                </a:solidFill>
              </a:ln>
            </c:spPr>
          </c:marker>
          <c:cat>
            <c:strRef>
              <c:f>[LUDN_2577_XTAB_20170208151221.xlsx]Arkusz1!$BN$3:$CH$3</c:f>
              <c:strCache>
                <c:ptCount val="21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</c:strCache>
            </c:strRef>
          </c:cat>
          <c:val>
            <c:numRef>
              <c:f>[LUDN_2577_XTAB_20170208151221.xlsx]Arkusz1!$AS$11:$BM$11</c:f>
              <c:numCache>
                <c:formatCode>#,##0</c:formatCode>
                <c:ptCount val="21"/>
                <c:pt idx="0">
                  <c:v>1295053</c:v>
                </c:pt>
                <c:pt idx="1">
                  <c:v>1309242</c:v>
                </c:pt>
                <c:pt idx="2">
                  <c:v>1324001</c:v>
                </c:pt>
                <c:pt idx="3">
                  <c:v>1341175</c:v>
                </c:pt>
                <c:pt idx="4">
                  <c:v>1327980</c:v>
                </c:pt>
                <c:pt idx="5">
                  <c:v>1342272</c:v>
                </c:pt>
                <c:pt idx="6">
                  <c:v>1358027</c:v>
                </c:pt>
                <c:pt idx="7">
                  <c:v>1372893</c:v>
                </c:pt>
                <c:pt idx="8">
                  <c:v>1382334</c:v>
                </c:pt>
                <c:pt idx="9">
                  <c:v>1395168</c:v>
                </c:pt>
                <c:pt idx="10">
                  <c:v>1407015</c:v>
                </c:pt>
                <c:pt idx="11">
                  <c:v>1416315</c:v>
                </c:pt>
                <c:pt idx="12">
                  <c:v>1423875</c:v>
                </c:pt>
                <c:pt idx="13">
                  <c:v>1429141</c:v>
                </c:pt>
                <c:pt idx="14">
                  <c:v>1432224</c:v>
                </c:pt>
                <c:pt idx="15">
                  <c:v>1444478</c:v>
                </c:pt>
                <c:pt idx="16">
                  <c:v>1442447</c:v>
                </c:pt>
                <c:pt idx="17">
                  <c:v>1438575</c:v>
                </c:pt>
                <c:pt idx="18">
                  <c:v>1432205</c:v>
                </c:pt>
                <c:pt idx="19">
                  <c:v>1425188</c:v>
                </c:pt>
                <c:pt idx="20">
                  <c:v>1417212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[LUDN_2577_XTAB_20170208151221.xlsx]Arkusz1!$BN$1</c:f>
              <c:strCache>
                <c:ptCount val="1"/>
                <c:pt idx="0">
                  <c:v>w wieku poprodukcyjnym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strRef>
              <c:f>[LUDN_2577_XTAB_20170208151221.xlsx]Arkusz1!$BN$3:$CH$3</c:f>
              <c:strCache>
                <c:ptCount val="21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</c:strCache>
            </c:strRef>
          </c:cat>
          <c:val>
            <c:numRef>
              <c:f>[LUDN_2577_XTAB_20170208151221.xlsx]Arkusz1!$BN$11:$CH$11</c:f>
              <c:numCache>
                <c:formatCode>#,##0</c:formatCode>
                <c:ptCount val="21"/>
                <c:pt idx="0">
                  <c:v>279952</c:v>
                </c:pt>
                <c:pt idx="1">
                  <c:v>283998</c:v>
                </c:pt>
                <c:pt idx="2">
                  <c:v>288495</c:v>
                </c:pt>
                <c:pt idx="3">
                  <c:v>292938</c:v>
                </c:pt>
                <c:pt idx="4">
                  <c:v>296293</c:v>
                </c:pt>
                <c:pt idx="5">
                  <c:v>300933</c:v>
                </c:pt>
                <c:pt idx="6">
                  <c:v>303991</c:v>
                </c:pt>
                <c:pt idx="7">
                  <c:v>305845</c:v>
                </c:pt>
                <c:pt idx="8">
                  <c:v>306227</c:v>
                </c:pt>
                <c:pt idx="9">
                  <c:v>309159</c:v>
                </c:pt>
                <c:pt idx="10">
                  <c:v>312197</c:v>
                </c:pt>
                <c:pt idx="11">
                  <c:v>316241</c:v>
                </c:pt>
                <c:pt idx="12">
                  <c:v>320234</c:v>
                </c:pt>
                <c:pt idx="13">
                  <c:v>325045</c:v>
                </c:pt>
                <c:pt idx="14">
                  <c:v>330688</c:v>
                </c:pt>
                <c:pt idx="15">
                  <c:v>338054</c:v>
                </c:pt>
                <c:pt idx="16">
                  <c:v>346354</c:v>
                </c:pt>
                <c:pt idx="17">
                  <c:v>356022</c:v>
                </c:pt>
                <c:pt idx="18">
                  <c:v>366138</c:v>
                </c:pt>
                <c:pt idx="19">
                  <c:v>376998</c:v>
                </c:pt>
                <c:pt idx="20">
                  <c:v>387611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152512"/>
        <c:axId val="89162496"/>
      </c:lineChart>
      <c:catAx>
        <c:axId val="89152512"/>
        <c:scaling>
          <c:orientation val="minMax"/>
        </c:scaling>
        <c:delete val="0"/>
        <c:axPos val="b"/>
        <c:minorGridlines>
          <c:spPr>
            <a:ln>
              <a:solidFill>
                <a:schemeClr val="bg1">
                  <a:lumMod val="50000"/>
                  <a:alpha val="33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162496"/>
        <c:crosses val="autoZero"/>
        <c:auto val="1"/>
        <c:lblAlgn val="ctr"/>
        <c:lblOffset val="100"/>
        <c:noMultiLvlLbl val="0"/>
      </c:catAx>
      <c:valAx>
        <c:axId val="89162496"/>
        <c:scaling>
          <c:orientation val="minMax"/>
          <c:min val="200000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65000"/>
                  <a:alpha val="49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>
                <a:alpha val="62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152512"/>
        <c:crosses val="autoZero"/>
        <c:crossBetween val="between"/>
        <c:majorUnit val="100000"/>
      </c:valAx>
    </c:plotArea>
    <c:legend>
      <c:legendPos val="b"/>
      <c:layout>
        <c:manualLayout>
          <c:xMode val="edge"/>
          <c:yMode val="edge"/>
          <c:x val="0.14847759478295447"/>
          <c:y val="0.33541405262486518"/>
          <c:w val="0.78684677316427076"/>
          <c:h val="0.26308025929748474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7533911944155315"/>
          <c:y val="7.786896493333216E-2"/>
          <c:w val="0.68317640920515599"/>
          <c:h val="0.8312382670742353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Arkusz1!$C$27</c:f>
              <c:strCache>
                <c:ptCount val="1"/>
                <c:pt idx="0">
                  <c:v>31 XII '15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Arkusz1!$B$2:$B$26</c:f>
              <c:strCache>
                <c:ptCount val="25"/>
                <c:pt idx="0">
                  <c:v>bieszczadzki</c:v>
                </c:pt>
                <c:pt idx="1">
                  <c:v>brzozowski</c:v>
                </c:pt>
                <c:pt idx="2">
                  <c:v>dębicki</c:v>
                </c:pt>
                <c:pt idx="3">
                  <c:v>jarosławski</c:v>
                </c:pt>
                <c:pt idx="4">
                  <c:v>jasielski</c:v>
                </c:pt>
                <c:pt idx="5">
                  <c:v>kolbuszowski</c:v>
                </c:pt>
                <c:pt idx="6">
                  <c:v>krośnieński</c:v>
                </c:pt>
                <c:pt idx="7">
                  <c:v>leski</c:v>
                </c:pt>
                <c:pt idx="8">
                  <c:v>leżajski</c:v>
                </c:pt>
                <c:pt idx="9">
                  <c:v>lubaczowski</c:v>
                </c:pt>
                <c:pt idx="10">
                  <c:v>łańcucki</c:v>
                </c:pt>
                <c:pt idx="11">
                  <c:v>mielecki</c:v>
                </c:pt>
                <c:pt idx="12">
                  <c:v>niżański</c:v>
                </c:pt>
                <c:pt idx="13">
                  <c:v>przemyski</c:v>
                </c:pt>
                <c:pt idx="14">
                  <c:v>przeworski</c:v>
                </c:pt>
                <c:pt idx="15">
                  <c:v>ropczycko-sędziszowski</c:v>
                </c:pt>
                <c:pt idx="16">
                  <c:v>rzeszowski</c:v>
                </c:pt>
                <c:pt idx="17">
                  <c:v>sanocki</c:v>
                </c:pt>
                <c:pt idx="18">
                  <c:v>stalowowolski</c:v>
                </c:pt>
                <c:pt idx="19">
                  <c:v>strzyżowski</c:v>
                </c:pt>
                <c:pt idx="20">
                  <c:v>tarnobrzeski</c:v>
                </c:pt>
                <c:pt idx="21">
                  <c:v>Krosno</c:v>
                </c:pt>
                <c:pt idx="22">
                  <c:v>Przemyśl</c:v>
                </c:pt>
                <c:pt idx="23">
                  <c:v>Rzeszów</c:v>
                </c:pt>
                <c:pt idx="24">
                  <c:v>Tarnobrzeg</c:v>
                </c:pt>
              </c:strCache>
            </c:strRef>
          </c:cat>
          <c:val>
            <c:numRef>
              <c:f>Arkusz1!$C$2:$C$26</c:f>
              <c:numCache>
                <c:formatCode>General</c:formatCode>
                <c:ptCount val="25"/>
                <c:pt idx="0">
                  <c:v>2149</c:v>
                </c:pt>
                <c:pt idx="1">
                  <c:v>3779</c:v>
                </c:pt>
                <c:pt idx="2">
                  <c:v>9277</c:v>
                </c:pt>
                <c:pt idx="3">
                  <c:v>8612</c:v>
                </c:pt>
                <c:pt idx="4">
                  <c:v>7983</c:v>
                </c:pt>
                <c:pt idx="5">
                  <c:v>3622</c:v>
                </c:pt>
                <c:pt idx="6">
                  <c:v>7616</c:v>
                </c:pt>
                <c:pt idx="7">
                  <c:v>2933</c:v>
                </c:pt>
                <c:pt idx="8">
                  <c:v>4267</c:v>
                </c:pt>
                <c:pt idx="9">
                  <c:v>3212</c:v>
                </c:pt>
                <c:pt idx="10">
                  <c:v>5894</c:v>
                </c:pt>
                <c:pt idx="11">
                  <c:v>10643</c:v>
                </c:pt>
                <c:pt idx="12">
                  <c:v>4145</c:v>
                </c:pt>
                <c:pt idx="13">
                  <c:v>4124</c:v>
                </c:pt>
                <c:pt idx="14">
                  <c:v>4608</c:v>
                </c:pt>
                <c:pt idx="15">
                  <c:v>4998</c:v>
                </c:pt>
                <c:pt idx="16">
                  <c:v>11675</c:v>
                </c:pt>
                <c:pt idx="17">
                  <c:v>6972</c:v>
                </c:pt>
                <c:pt idx="18">
                  <c:v>8926</c:v>
                </c:pt>
                <c:pt idx="19">
                  <c:v>3878</c:v>
                </c:pt>
                <c:pt idx="20">
                  <c:v>3381</c:v>
                </c:pt>
                <c:pt idx="21">
                  <c:v>5639</c:v>
                </c:pt>
                <c:pt idx="22">
                  <c:v>6262</c:v>
                </c:pt>
                <c:pt idx="23">
                  <c:v>25648</c:v>
                </c:pt>
                <c:pt idx="24">
                  <c:v>4912</c:v>
                </c:pt>
              </c:numCache>
            </c:numRef>
          </c:val>
        </c:ser>
        <c:ser>
          <c:idx val="1"/>
          <c:order val="1"/>
          <c:tx>
            <c:strRef>
              <c:f>Arkusz1!$D$27</c:f>
              <c:strCache>
                <c:ptCount val="1"/>
                <c:pt idx="0">
                  <c:v>31 XII '16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 w="3175">
              <a:solidFill>
                <a:schemeClr val="tx1"/>
              </a:solidFill>
            </a:ln>
          </c:spPr>
          <c:invertIfNegative val="0"/>
          <c:cat>
            <c:strRef>
              <c:f>Arkusz1!$B$2:$B$26</c:f>
              <c:strCache>
                <c:ptCount val="25"/>
                <c:pt idx="0">
                  <c:v>bieszczadzki</c:v>
                </c:pt>
                <c:pt idx="1">
                  <c:v>brzozowski</c:v>
                </c:pt>
                <c:pt idx="2">
                  <c:v>dębicki</c:v>
                </c:pt>
                <c:pt idx="3">
                  <c:v>jarosławski</c:v>
                </c:pt>
                <c:pt idx="4">
                  <c:v>jasielski</c:v>
                </c:pt>
                <c:pt idx="5">
                  <c:v>kolbuszowski</c:v>
                </c:pt>
                <c:pt idx="6">
                  <c:v>krośnieński</c:v>
                </c:pt>
                <c:pt idx="7">
                  <c:v>leski</c:v>
                </c:pt>
                <c:pt idx="8">
                  <c:v>leżajski</c:v>
                </c:pt>
                <c:pt idx="9">
                  <c:v>lubaczowski</c:v>
                </c:pt>
                <c:pt idx="10">
                  <c:v>łańcucki</c:v>
                </c:pt>
                <c:pt idx="11">
                  <c:v>mielecki</c:v>
                </c:pt>
                <c:pt idx="12">
                  <c:v>niżański</c:v>
                </c:pt>
                <c:pt idx="13">
                  <c:v>przemyski</c:v>
                </c:pt>
                <c:pt idx="14">
                  <c:v>przeworski</c:v>
                </c:pt>
                <c:pt idx="15">
                  <c:v>ropczycko-sędziszowski</c:v>
                </c:pt>
                <c:pt idx="16">
                  <c:v>rzeszowski</c:v>
                </c:pt>
                <c:pt idx="17">
                  <c:v>sanocki</c:v>
                </c:pt>
                <c:pt idx="18">
                  <c:v>stalowowolski</c:v>
                </c:pt>
                <c:pt idx="19">
                  <c:v>strzyżowski</c:v>
                </c:pt>
                <c:pt idx="20">
                  <c:v>tarnobrzeski</c:v>
                </c:pt>
                <c:pt idx="21">
                  <c:v>Krosno</c:v>
                </c:pt>
                <c:pt idx="22">
                  <c:v>Przemyśl</c:v>
                </c:pt>
                <c:pt idx="23">
                  <c:v>Rzeszów</c:v>
                </c:pt>
                <c:pt idx="24">
                  <c:v>Tarnobrzeg</c:v>
                </c:pt>
              </c:strCache>
            </c:strRef>
          </c:cat>
          <c:val>
            <c:numRef>
              <c:f>Arkusz1!$D$2:$D$26</c:f>
              <c:numCache>
                <c:formatCode>General</c:formatCode>
                <c:ptCount val="25"/>
                <c:pt idx="0">
                  <c:v>2148</c:v>
                </c:pt>
                <c:pt idx="1">
                  <c:v>3828</c:v>
                </c:pt>
                <c:pt idx="2">
                  <c:v>9397</c:v>
                </c:pt>
                <c:pt idx="3">
                  <c:v>8715</c:v>
                </c:pt>
                <c:pt idx="4">
                  <c:v>8100</c:v>
                </c:pt>
                <c:pt idx="5">
                  <c:v>3722</c:v>
                </c:pt>
                <c:pt idx="6">
                  <c:v>7677</c:v>
                </c:pt>
                <c:pt idx="7">
                  <c:v>2973</c:v>
                </c:pt>
                <c:pt idx="8">
                  <c:v>4319</c:v>
                </c:pt>
                <c:pt idx="9">
                  <c:v>3261</c:v>
                </c:pt>
                <c:pt idx="10">
                  <c:v>5979</c:v>
                </c:pt>
                <c:pt idx="11">
                  <c:v>10939</c:v>
                </c:pt>
                <c:pt idx="12">
                  <c:v>4152</c:v>
                </c:pt>
                <c:pt idx="13">
                  <c:v>4201</c:v>
                </c:pt>
                <c:pt idx="14">
                  <c:v>4707</c:v>
                </c:pt>
                <c:pt idx="15">
                  <c:v>5096</c:v>
                </c:pt>
                <c:pt idx="16">
                  <c:v>11907</c:v>
                </c:pt>
                <c:pt idx="17">
                  <c:v>7000</c:v>
                </c:pt>
                <c:pt idx="18">
                  <c:v>8916</c:v>
                </c:pt>
                <c:pt idx="19">
                  <c:v>3966</c:v>
                </c:pt>
                <c:pt idx="20">
                  <c:v>3382</c:v>
                </c:pt>
                <c:pt idx="21">
                  <c:v>5615</c:v>
                </c:pt>
                <c:pt idx="22">
                  <c:v>6442</c:v>
                </c:pt>
                <c:pt idx="23">
                  <c:v>26489</c:v>
                </c:pt>
                <c:pt idx="24">
                  <c:v>4818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413120"/>
        <c:axId val="89414656"/>
      </c:barChart>
      <c:catAx>
        <c:axId val="894131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414656"/>
        <c:crosses val="autoZero"/>
        <c:auto val="1"/>
        <c:lblAlgn val="ctr"/>
        <c:lblOffset val="100"/>
        <c:noMultiLvlLbl val="0"/>
      </c:catAx>
      <c:valAx>
        <c:axId val="89414656"/>
        <c:scaling>
          <c:orientation val="minMax"/>
          <c:max val="30000"/>
          <c:min val="0"/>
        </c:scaling>
        <c:delete val="0"/>
        <c:axPos val="b"/>
        <c:majorGridlines/>
        <c:minorGridlines>
          <c:spPr>
            <a:ln>
              <a:solidFill>
                <a:schemeClr val="accent4">
                  <a:lumMod val="40000"/>
                  <a:lumOff val="60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spPr>
          <a:ln>
            <a:solidFill>
              <a:schemeClr val="accent4">
                <a:lumMod val="75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413120"/>
        <c:crosses val="autoZero"/>
        <c:crossBetween val="between"/>
        <c:majorUnit val="3000"/>
        <c:minorUnit val="1000"/>
      </c:valAx>
    </c:plotArea>
    <c:legend>
      <c:legendPos val="r"/>
      <c:layout>
        <c:manualLayout>
          <c:xMode val="edge"/>
          <c:yMode val="edge"/>
          <c:x val="0.48281444637785564"/>
          <c:y val="1.0758235309574067E-2"/>
          <c:w val="0.39611499117605253"/>
          <c:h val="5.1637850202651339E-2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5379084612811703"/>
          <c:y val="2.8370156900416266E-2"/>
          <c:w val="0.79013376127444546"/>
          <c:h val="0.79220767432889327"/>
        </c:manualLayout>
      </c:layout>
      <c:lineChart>
        <c:grouping val="standard"/>
        <c:varyColors val="0"/>
        <c:ser>
          <c:idx val="0"/>
          <c:order val="0"/>
          <c:tx>
            <c:strRef>
              <c:f>Arkusz1!$P$1</c:f>
              <c:strCache>
                <c:ptCount val="1"/>
                <c:pt idx="0">
                  <c:v>zar</c:v>
                </c:pt>
              </c:strCache>
            </c:strRef>
          </c:tx>
          <c:spPr>
            <a:ln w="66675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Arkusz1!$O$26:$O$37</c:f>
              <c:strCache>
                <c:ptCount val="12"/>
                <c:pt idx="0">
                  <c:v>I '16</c:v>
                </c:pt>
                <c:pt idx="1">
                  <c:v>II '16</c:v>
                </c:pt>
                <c:pt idx="2">
                  <c:v>III '16</c:v>
                </c:pt>
                <c:pt idx="3">
                  <c:v>IV '16</c:v>
                </c:pt>
                <c:pt idx="4">
                  <c:v>V '16</c:v>
                </c:pt>
                <c:pt idx="5">
                  <c:v>VI '16</c:v>
                </c:pt>
                <c:pt idx="6">
                  <c:v>VII '16</c:v>
                </c:pt>
                <c:pt idx="7">
                  <c:v>VIII '16</c:v>
                </c:pt>
                <c:pt idx="8">
                  <c:v>IX '16</c:v>
                </c:pt>
                <c:pt idx="9">
                  <c:v>X '16</c:v>
                </c:pt>
                <c:pt idx="10">
                  <c:v>XI '16</c:v>
                </c:pt>
                <c:pt idx="11">
                  <c:v>XII '16</c:v>
                </c:pt>
              </c:strCache>
            </c:strRef>
          </c:cat>
          <c:val>
            <c:numRef>
              <c:f>Arkusz1!$P$26:$P$37</c:f>
              <c:numCache>
                <c:formatCode>#,##0</c:formatCode>
                <c:ptCount val="12"/>
                <c:pt idx="0">
                  <c:v>1195</c:v>
                </c:pt>
                <c:pt idx="1">
                  <c:v>981</c:v>
                </c:pt>
                <c:pt idx="2">
                  <c:v>1175</c:v>
                </c:pt>
                <c:pt idx="3">
                  <c:v>1430</c:v>
                </c:pt>
                <c:pt idx="4">
                  <c:v>1230</c:v>
                </c:pt>
                <c:pt idx="5">
                  <c:v>1255</c:v>
                </c:pt>
                <c:pt idx="6">
                  <c:v>1173</c:v>
                </c:pt>
                <c:pt idx="7">
                  <c:v>1084</c:v>
                </c:pt>
                <c:pt idx="8">
                  <c:v>1207</c:v>
                </c:pt>
                <c:pt idx="9">
                  <c:v>1091</c:v>
                </c:pt>
                <c:pt idx="10">
                  <c:v>1016</c:v>
                </c:pt>
                <c:pt idx="11">
                  <c:v>1493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Arkusz1!$Q$1</c:f>
              <c:strCache>
                <c:ptCount val="1"/>
                <c:pt idx="0">
                  <c:v>wyr</c:v>
                </c:pt>
              </c:strCache>
            </c:strRef>
          </c:tx>
          <c:spPr>
            <a:ln w="60325">
              <a:solidFill>
                <a:schemeClr val="accent4">
                  <a:lumMod val="50000"/>
                </a:schemeClr>
              </a:solidFill>
            </a:ln>
          </c:spPr>
          <c:marker>
            <c:symbol val="none"/>
          </c:marker>
          <c:cat>
            <c:strRef>
              <c:f>Arkusz1!$O$26:$O$37</c:f>
              <c:strCache>
                <c:ptCount val="12"/>
                <c:pt idx="0">
                  <c:v>I '16</c:v>
                </c:pt>
                <c:pt idx="1">
                  <c:v>II '16</c:v>
                </c:pt>
                <c:pt idx="2">
                  <c:v>III '16</c:v>
                </c:pt>
                <c:pt idx="3">
                  <c:v>IV '16</c:v>
                </c:pt>
                <c:pt idx="4">
                  <c:v>V '16</c:v>
                </c:pt>
                <c:pt idx="5">
                  <c:v>VI '16</c:v>
                </c:pt>
                <c:pt idx="6">
                  <c:v>VII '16</c:v>
                </c:pt>
                <c:pt idx="7">
                  <c:v>VIII '16</c:v>
                </c:pt>
                <c:pt idx="8">
                  <c:v>IX '16</c:v>
                </c:pt>
                <c:pt idx="9">
                  <c:v>X '16</c:v>
                </c:pt>
                <c:pt idx="10">
                  <c:v>XI '16</c:v>
                </c:pt>
                <c:pt idx="11">
                  <c:v>XII '16</c:v>
                </c:pt>
              </c:strCache>
            </c:strRef>
          </c:cat>
          <c:val>
            <c:numRef>
              <c:f>Arkusz1!$Q$26:$Q$37</c:f>
              <c:numCache>
                <c:formatCode>#,##0</c:formatCode>
                <c:ptCount val="12"/>
                <c:pt idx="0">
                  <c:v>974</c:v>
                </c:pt>
                <c:pt idx="1">
                  <c:v>873</c:v>
                </c:pt>
                <c:pt idx="2">
                  <c:v>977</c:v>
                </c:pt>
                <c:pt idx="3">
                  <c:v>1058</c:v>
                </c:pt>
                <c:pt idx="4">
                  <c:v>720</c:v>
                </c:pt>
                <c:pt idx="5">
                  <c:v>1520</c:v>
                </c:pt>
                <c:pt idx="6">
                  <c:v>805</c:v>
                </c:pt>
                <c:pt idx="7">
                  <c:v>812</c:v>
                </c:pt>
                <c:pt idx="8">
                  <c:v>900</c:v>
                </c:pt>
                <c:pt idx="9">
                  <c:v>809</c:v>
                </c:pt>
                <c:pt idx="10">
                  <c:v>952</c:v>
                </c:pt>
                <c:pt idx="11">
                  <c:v>978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444352"/>
        <c:axId val="89445888"/>
      </c:lineChart>
      <c:catAx>
        <c:axId val="89444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445888"/>
        <c:crosses val="autoZero"/>
        <c:auto val="1"/>
        <c:lblAlgn val="ctr"/>
        <c:lblOffset val="100"/>
        <c:noMultiLvlLbl val="0"/>
      </c:catAx>
      <c:valAx>
        <c:axId val="89445888"/>
        <c:scaling>
          <c:orientation val="minMax"/>
          <c:max val="1600"/>
          <c:min val="65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444352"/>
        <c:crosses val="autoZero"/>
        <c:crossBetween val="between"/>
        <c:majorUnit val="100"/>
        <c:minorUnit val="10"/>
      </c:valAx>
      <c:spPr>
        <a:noFill/>
      </c:spPr>
    </c:plotArea>
    <c:legend>
      <c:legendPos val="r"/>
      <c:layout>
        <c:manualLayout>
          <c:xMode val="edge"/>
          <c:yMode val="edge"/>
          <c:x val="0.65243667863071886"/>
          <c:y val="8.4064636012717436E-2"/>
          <c:w val="0.19988425475084165"/>
          <c:h val="0.1339737431956452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959016724015828"/>
          <c:y val="5.3779504033462801E-2"/>
          <c:w val="0.81127850721179828"/>
          <c:h val="0.69154466686585003"/>
        </c:manualLayout>
      </c:layout>
      <c:lineChart>
        <c:grouping val="standard"/>
        <c:varyColors val="0"/>
        <c:ser>
          <c:idx val="0"/>
          <c:order val="0"/>
          <c:tx>
            <c:strRef>
              <c:f>Arkusz1!$P$1</c:f>
              <c:strCache>
                <c:ptCount val="1"/>
                <c:pt idx="0">
                  <c:v>zar</c:v>
                </c:pt>
              </c:strCache>
            </c:strRef>
          </c:tx>
          <c:spPr>
            <a:ln w="57150">
              <a:solidFill>
                <a:schemeClr val="accent4">
                  <a:lumMod val="60000"/>
                  <a:lumOff val="40000"/>
                </a:schemeClr>
              </a:solidFill>
            </a:ln>
          </c:spPr>
          <c:marker>
            <c:symbol val="none"/>
          </c:marker>
          <c:cat>
            <c:strRef>
              <c:f>Arkusz1!$O$2:$O$37</c:f>
              <c:strCache>
                <c:ptCount val="36"/>
                <c:pt idx="0">
                  <c:v>I '14</c:v>
                </c:pt>
                <c:pt idx="1">
                  <c:v>II '14</c:v>
                </c:pt>
                <c:pt idx="2">
                  <c:v>III '14</c:v>
                </c:pt>
                <c:pt idx="3">
                  <c:v>IV '14</c:v>
                </c:pt>
                <c:pt idx="4">
                  <c:v>V '14</c:v>
                </c:pt>
                <c:pt idx="5">
                  <c:v>VI '14</c:v>
                </c:pt>
                <c:pt idx="6">
                  <c:v>VII '14</c:v>
                </c:pt>
                <c:pt idx="7">
                  <c:v>VIII '14</c:v>
                </c:pt>
                <c:pt idx="8">
                  <c:v>IX '14</c:v>
                </c:pt>
                <c:pt idx="9">
                  <c:v>X '14</c:v>
                </c:pt>
                <c:pt idx="10">
                  <c:v>XI '14</c:v>
                </c:pt>
                <c:pt idx="11">
                  <c:v>XII '14</c:v>
                </c:pt>
                <c:pt idx="12">
                  <c:v>I '15</c:v>
                </c:pt>
                <c:pt idx="13">
                  <c:v>II '15</c:v>
                </c:pt>
                <c:pt idx="14">
                  <c:v>III '15</c:v>
                </c:pt>
                <c:pt idx="15">
                  <c:v>IV '15</c:v>
                </c:pt>
                <c:pt idx="16">
                  <c:v>V '15</c:v>
                </c:pt>
                <c:pt idx="17">
                  <c:v>VI '15</c:v>
                </c:pt>
                <c:pt idx="18">
                  <c:v>VII '15</c:v>
                </c:pt>
                <c:pt idx="19">
                  <c:v>VIII '15</c:v>
                </c:pt>
                <c:pt idx="20">
                  <c:v>IX '15</c:v>
                </c:pt>
                <c:pt idx="21">
                  <c:v>X '15</c:v>
                </c:pt>
                <c:pt idx="22">
                  <c:v>XI '15</c:v>
                </c:pt>
                <c:pt idx="23">
                  <c:v>XII '15</c:v>
                </c:pt>
                <c:pt idx="24">
                  <c:v>I '16</c:v>
                </c:pt>
                <c:pt idx="25">
                  <c:v>II '16</c:v>
                </c:pt>
                <c:pt idx="26">
                  <c:v>III '16</c:v>
                </c:pt>
                <c:pt idx="27">
                  <c:v>IV '16</c:v>
                </c:pt>
                <c:pt idx="28">
                  <c:v>V '16</c:v>
                </c:pt>
                <c:pt idx="29">
                  <c:v>VI '16</c:v>
                </c:pt>
                <c:pt idx="30">
                  <c:v>VII '16</c:v>
                </c:pt>
                <c:pt idx="31">
                  <c:v>VIII '16</c:v>
                </c:pt>
                <c:pt idx="32">
                  <c:v>IX '16</c:v>
                </c:pt>
                <c:pt idx="33">
                  <c:v>X '16</c:v>
                </c:pt>
                <c:pt idx="34">
                  <c:v>XI '16</c:v>
                </c:pt>
                <c:pt idx="35">
                  <c:v>XII '16</c:v>
                </c:pt>
              </c:strCache>
            </c:strRef>
          </c:cat>
          <c:val>
            <c:numRef>
              <c:f>Arkusz1!$P$2:$P$37</c:f>
              <c:numCache>
                <c:formatCode>#,##0</c:formatCode>
                <c:ptCount val="36"/>
                <c:pt idx="0">
                  <c:v>1229</c:v>
                </c:pt>
                <c:pt idx="1">
                  <c:v>866</c:v>
                </c:pt>
                <c:pt idx="2">
                  <c:v>1494</c:v>
                </c:pt>
                <c:pt idx="3">
                  <c:v>1441</c:v>
                </c:pt>
                <c:pt idx="4">
                  <c:v>1183</c:v>
                </c:pt>
                <c:pt idx="5">
                  <c:v>1369</c:v>
                </c:pt>
                <c:pt idx="6">
                  <c:v>1229</c:v>
                </c:pt>
                <c:pt idx="7">
                  <c:v>1112</c:v>
                </c:pt>
                <c:pt idx="8">
                  <c:v>1484</c:v>
                </c:pt>
                <c:pt idx="9">
                  <c:v>1274</c:v>
                </c:pt>
                <c:pt idx="10">
                  <c:v>979</c:v>
                </c:pt>
                <c:pt idx="11">
                  <c:v>1241</c:v>
                </c:pt>
                <c:pt idx="12">
                  <c:v>1248</c:v>
                </c:pt>
                <c:pt idx="13">
                  <c:v>984</c:v>
                </c:pt>
                <c:pt idx="14">
                  <c:v>1203</c:v>
                </c:pt>
                <c:pt idx="15">
                  <c:v>1250</c:v>
                </c:pt>
                <c:pt idx="16">
                  <c:v>1234</c:v>
                </c:pt>
                <c:pt idx="17">
                  <c:v>1164</c:v>
                </c:pt>
                <c:pt idx="18">
                  <c:v>1194</c:v>
                </c:pt>
                <c:pt idx="19">
                  <c:v>1094</c:v>
                </c:pt>
                <c:pt idx="20">
                  <c:v>1301</c:v>
                </c:pt>
                <c:pt idx="21">
                  <c:v>1231</c:v>
                </c:pt>
                <c:pt idx="22">
                  <c:v>1057</c:v>
                </c:pt>
                <c:pt idx="23">
                  <c:v>1254</c:v>
                </c:pt>
                <c:pt idx="24">
                  <c:v>1195</c:v>
                </c:pt>
                <c:pt idx="25">
                  <c:v>981</c:v>
                </c:pt>
                <c:pt idx="26">
                  <c:v>1175</c:v>
                </c:pt>
                <c:pt idx="27">
                  <c:v>1430</c:v>
                </c:pt>
                <c:pt idx="28">
                  <c:v>1230</c:v>
                </c:pt>
                <c:pt idx="29">
                  <c:v>1255</c:v>
                </c:pt>
                <c:pt idx="30">
                  <c:v>1173</c:v>
                </c:pt>
                <c:pt idx="31">
                  <c:v>1084</c:v>
                </c:pt>
                <c:pt idx="32">
                  <c:v>1207</c:v>
                </c:pt>
                <c:pt idx="33">
                  <c:v>1091</c:v>
                </c:pt>
                <c:pt idx="34">
                  <c:v>1016</c:v>
                </c:pt>
                <c:pt idx="35">
                  <c:v>1493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Arkusz1!$Q$1</c:f>
              <c:strCache>
                <c:ptCount val="1"/>
                <c:pt idx="0">
                  <c:v>wyr</c:v>
                </c:pt>
              </c:strCache>
            </c:strRef>
          </c:tx>
          <c:spPr>
            <a:ln w="60325">
              <a:solidFill>
                <a:schemeClr val="accent4">
                  <a:lumMod val="50000"/>
                </a:schemeClr>
              </a:solidFill>
            </a:ln>
          </c:spPr>
          <c:marker>
            <c:symbol val="circle"/>
            <c:size val="4"/>
            <c:spPr>
              <a:solidFill>
                <a:schemeClr val="accent4">
                  <a:lumMod val="50000"/>
                </a:schemeClr>
              </a:solidFill>
              <a:ln>
                <a:solidFill>
                  <a:schemeClr val="accent4">
                    <a:lumMod val="50000"/>
                  </a:schemeClr>
                </a:solidFill>
              </a:ln>
            </c:spPr>
          </c:marker>
          <c:dPt>
            <c:idx val="22"/>
            <c:marker>
              <c:spPr>
                <a:solidFill>
                  <a:schemeClr val="bg1"/>
                </a:solidFill>
                <a:ln>
                  <a:solidFill>
                    <a:schemeClr val="accent4">
                      <a:lumMod val="50000"/>
                    </a:schemeClr>
                  </a:solidFill>
                </a:ln>
              </c:spPr>
            </c:marker>
            <c:bubble3D val="0"/>
          </c:dPt>
          <c:dPt>
            <c:idx val="23"/>
            <c:marker>
              <c:spPr>
                <a:solidFill>
                  <a:schemeClr val="bg1"/>
                </a:solidFill>
                <a:ln w="6350">
                  <a:solidFill>
                    <a:schemeClr val="accent4">
                      <a:lumMod val="50000"/>
                    </a:schemeClr>
                  </a:solidFill>
                </a:ln>
              </c:spPr>
            </c:marker>
            <c:bubble3D val="0"/>
          </c:dPt>
          <c:dPt>
            <c:idx val="29"/>
            <c:marker>
              <c:spPr>
                <a:solidFill>
                  <a:schemeClr val="bg1"/>
                </a:solidFill>
                <a:ln>
                  <a:solidFill>
                    <a:schemeClr val="accent4">
                      <a:lumMod val="50000"/>
                    </a:schemeClr>
                  </a:solidFill>
                </a:ln>
              </c:spPr>
            </c:marker>
            <c:bubble3D val="0"/>
          </c:dPt>
          <c:cat>
            <c:strRef>
              <c:f>Arkusz1!$O$2:$O$37</c:f>
              <c:strCache>
                <c:ptCount val="36"/>
                <c:pt idx="0">
                  <c:v>I '14</c:v>
                </c:pt>
                <c:pt idx="1">
                  <c:v>II '14</c:v>
                </c:pt>
                <c:pt idx="2">
                  <c:v>III '14</c:v>
                </c:pt>
                <c:pt idx="3">
                  <c:v>IV '14</c:v>
                </c:pt>
                <c:pt idx="4">
                  <c:v>V '14</c:v>
                </c:pt>
                <c:pt idx="5">
                  <c:v>VI '14</c:v>
                </c:pt>
                <c:pt idx="6">
                  <c:v>VII '14</c:v>
                </c:pt>
                <c:pt idx="7">
                  <c:v>VIII '14</c:v>
                </c:pt>
                <c:pt idx="8">
                  <c:v>IX '14</c:v>
                </c:pt>
                <c:pt idx="9">
                  <c:v>X '14</c:v>
                </c:pt>
                <c:pt idx="10">
                  <c:v>XI '14</c:v>
                </c:pt>
                <c:pt idx="11">
                  <c:v>XII '14</c:v>
                </c:pt>
                <c:pt idx="12">
                  <c:v>I '15</c:v>
                </c:pt>
                <c:pt idx="13">
                  <c:v>II '15</c:v>
                </c:pt>
                <c:pt idx="14">
                  <c:v>III '15</c:v>
                </c:pt>
                <c:pt idx="15">
                  <c:v>IV '15</c:v>
                </c:pt>
                <c:pt idx="16">
                  <c:v>V '15</c:v>
                </c:pt>
                <c:pt idx="17">
                  <c:v>VI '15</c:v>
                </c:pt>
                <c:pt idx="18">
                  <c:v>VII '15</c:v>
                </c:pt>
                <c:pt idx="19">
                  <c:v>VIII '15</c:v>
                </c:pt>
                <c:pt idx="20">
                  <c:v>IX '15</c:v>
                </c:pt>
                <c:pt idx="21">
                  <c:v>X '15</c:v>
                </c:pt>
                <c:pt idx="22">
                  <c:v>XI '15</c:v>
                </c:pt>
                <c:pt idx="23">
                  <c:v>XII '15</c:v>
                </c:pt>
                <c:pt idx="24">
                  <c:v>I '16</c:v>
                </c:pt>
                <c:pt idx="25">
                  <c:v>II '16</c:v>
                </c:pt>
                <c:pt idx="26">
                  <c:v>III '16</c:v>
                </c:pt>
                <c:pt idx="27">
                  <c:v>IV '16</c:v>
                </c:pt>
                <c:pt idx="28">
                  <c:v>V '16</c:v>
                </c:pt>
                <c:pt idx="29">
                  <c:v>VI '16</c:v>
                </c:pt>
                <c:pt idx="30">
                  <c:v>VII '16</c:v>
                </c:pt>
                <c:pt idx="31">
                  <c:v>VIII '16</c:v>
                </c:pt>
                <c:pt idx="32">
                  <c:v>IX '16</c:v>
                </c:pt>
                <c:pt idx="33">
                  <c:v>X '16</c:v>
                </c:pt>
                <c:pt idx="34">
                  <c:v>XI '16</c:v>
                </c:pt>
                <c:pt idx="35">
                  <c:v>XII '16</c:v>
                </c:pt>
              </c:strCache>
            </c:strRef>
          </c:cat>
          <c:val>
            <c:numRef>
              <c:f>Arkusz1!$Q$2:$Q$37</c:f>
              <c:numCache>
                <c:formatCode>#,##0</c:formatCode>
                <c:ptCount val="36"/>
                <c:pt idx="0">
                  <c:v>1224</c:v>
                </c:pt>
                <c:pt idx="1">
                  <c:v>639</c:v>
                </c:pt>
                <c:pt idx="2">
                  <c:v>747</c:v>
                </c:pt>
                <c:pt idx="3">
                  <c:v>1044</c:v>
                </c:pt>
                <c:pt idx="4">
                  <c:v>830</c:v>
                </c:pt>
                <c:pt idx="5">
                  <c:v>974</c:v>
                </c:pt>
                <c:pt idx="6">
                  <c:v>1202</c:v>
                </c:pt>
                <c:pt idx="7">
                  <c:v>1018</c:v>
                </c:pt>
                <c:pt idx="8">
                  <c:v>1189</c:v>
                </c:pt>
                <c:pt idx="9">
                  <c:v>1126</c:v>
                </c:pt>
                <c:pt idx="10">
                  <c:v>726</c:v>
                </c:pt>
                <c:pt idx="11">
                  <c:v>781</c:v>
                </c:pt>
                <c:pt idx="12">
                  <c:v>1140</c:v>
                </c:pt>
                <c:pt idx="13">
                  <c:v>851</c:v>
                </c:pt>
                <c:pt idx="14">
                  <c:v>1117</c:v>
                </c:pt>
                <c:pt idx="15">
                  <c:v>810</c:v>
                </c:pt>
                <c:pt idx="16">
                  <c:v>857</c:v>
                </c:pt>
                <c:pt idx="17">
                  <c:v>739</c:v>
                </c:pt>
                <c:pt idx="18">
                  <c:v>789</c:v>
                </c:pt>
                <c:pt idx="19">
                  <c:v>609</c:v>
                </c:pt>
                <c:pt idx="20">
                  <c:v>799</c:v>
                </c:pt>
                <c:pt idx="21">
                  <c:v>758</c:v>
                </c:pt>
                <c:pt idx="22">
                  <c:v>1388</c:v>
                </c:pt>
                <c:pt idx="23">
                  <c:v>1405</c:v>
                </c:pt>
                <c:pt idx="24">
                  <c:v>974</c:v>
                </c:pt>
                <c:pt idx="25">
                  <c:v>873</c:v>
                </c:pt>
                <c:pt idx="26">
                  <c:v>977</c:v>
                </c:pt>
                <c:pt idx="27">
                  <c:v>1058</c:v>
                </c:pt>
                <c:pt idx="28">
                  <c:v>720</c:v>
                </c:pt>
                <c:pt idx="29">
                  <c:v>1520</c:v>
                </c:pt>
                <c:pt idx="30">
                  <c:v>805</c:v>
                </c:pt>
                <c:pt idx="31">
                  <c:v>812</c:v>
                </c:pt>
                <c:pt idx="32">
                  <c:v>900</c:v>
                </c:pt>
                <c:pt idx="33">
                  <c:v>809</c:v>
                </c:pt>
                <c:pt idx="34">
                  <c:v>952</c:v>
                </c:pt>
                <c:pt idx="35">
                  <c:v>978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8944000"/>
        <c:axId val="88958080"/>
      </c:lineChart>
      <c:catAx>
        <c:axId val="88944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958080"/>
        <c:crosses val="autoZero"/>
        <c:auto val="1"/>
        <c:lblAlgn val="ctr"/>
        <c:lblOffset val="100"/>
        <c:noMultiLvlLbl val="0"/>
      </c:catAx>
      <c:valAx>
        <c:axId val="88958080"/>
        <c:scaling>
          <c:orientation val="minMax"/>
          <c:max val="1600"/>
          <c:min val="500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944000"/>
        <c:crosses val="autoZero"/>
        <c:crossBetween val="between"/>
        <c:majorUnit val="100"/>
        <c:minorUnit val="10"/>
      </c:valAx>
      <c:spPr>
        <a:noFill/>
      </c:spPr>
    </c:plotArea>
    <c:legend>
      <c:legendPos val="r"/>
      <c:layout>
        <c:manualLayout>
          <c:xMode val="edge"/>
          <c:yMode val="edge"/>
          <c:x val="0.42819103972950129"/>
          <c:y val="8.1937285476005067E-2"/>
          <c:w val="0.18664208154066789"/>
          <c:h val="0.13700834452759433"/>
        </c:manualLayout>
      </c:layout>
      <c:overlay val="0"/>
      <c:txPr>
        <a:bodyPr/>
        <a:lstStyle/>
        <a:p>
          <a:pPr>
            <a:defRPr sz="9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  <c:spPr>
        <a:solidFill>
          <a:srgbClr val="DAE0EA">
            <a:alpha val="36000"/>
          </a:srgbClr>
        </a:solidFill>
        <a:ln>
          <a:solidFill>
            <a:schemeClr val="accent1"/>
          </a:solidFill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6.1885933696254315E-2"/>
          <c:y val="2.5747122708354071E-2"/>
          <c:w val="0.96780386587823997"/>
          <c:h val="0.9476505581584263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Arkusz1!$K$2</c:f>
              <c:strCache>
                <c:ptCount val="1"/>
                <c:pt idx="0">
                  <c:v>oferty</c:v>
                </c:pt>
              </c:strCache>
            </c:strRef>
          </c:tx>
          <c:spPr>
            <a:gradFill flip="none" rotWithShape="1">
              <a:gsLst>
                <a:gs pos="0">
                  <a:srgbClr val="16927A">
                    <a:alpha val="58824"/>
                    <a:lumMod val="68000"/>
                  </a:srgbClr>
                </a:gs>
                <a:gs pos="83000">
                  <a:schemeClr val="accent5">
                    <a:lumMod val="61000"/>
                    <a:alpha val="95000"/>
                  </a:schemeClr>
                </a:gs>
                <a:gs pos="12000">
                  <a:srgbClr val="65DD23">
                    <a:lumMod val="30000"/>
                    <a:alpha val="56000"/>
                  </a:srgbClr>
                </a:gs>
                <a:gs pos="99000">
                  <a:srgbClr val="202C27">
                    <a:lumMod val="63000"/>
                  </a:srgbClr>
                </a:gs>
              </a:gsLst>
              <a:lin ang="5400000" scaled="1"/>
              <a:tileRect/>
            </a:gradFill>
            <a:ln>
              <a:solidFill>
                <a:schemeClr val="tx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3916223046400488E-3"/>
                  <c:y val="7.48191600865540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9539106114049348E-4"/>
                  <c:y val="-1.5164448708248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0367983456790394E-2"/>
                  <c:y val="4.108818741870915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808083282203079E-4"/>
                  <c:y val="-1.02709385389433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2694153250317907E-2"/>
                  <c:y val="-7.217614118709866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7.7380941500617608E-3"/>
                  <c:y val="2.8462658661433502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6388308531827645E-2"/>
                  <c:y val="5.875392388491450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7.1305351680114966E-3"/>
                  <c:y val="-1.31809933253892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9712969179728874E-3"/>
                  <c:y val="-7.385842348341472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0810314971582787E-4"/>
                  <c:y val="2.07419176460509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9.8334835701525633E-4"/>
                  <c:y val="8.555028544280630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1.2182654383391949E-2"/>
                  <c:y val="-6.60513874934772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4619667186197637E-2"/>
                  <c:y val="7.125088592412595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2634031436079916E-3"/>
                  <c:y val="-0.32679175163340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5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5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5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+mj-lt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Arkusz1!$J$3:$J$15</c:f>
              <c:numCache>
                <c:formatCode>General</c:formatCode>
                <c:ptCount val="13"/>
                <c:pt idx="0">
                  <c:v>2004</c:v>
                </c:pt>
                <c:pt idx="1">
                  <c:v>2005</c:v>
                </c:pt>
                <c:pt idx="2">
                  <c:v>2006</c:v>
                </c:pt>
                <c:pt idx="3">
                  <c:v>2007</c:v>
                </c:pt>
                <c:pt idx="4">
                  <c:v>2008</c:v>
                </c:pt>
                <c:pt idx="5">
                  <c:v>2009</c:v>
                </c:pt>
                <c:pt idx="6">
                  <c:v>2010</c:v>
                </c:pt>
                <c:pt idx="7">
                  <c:v>2011</c:v>
                </c:pt>
                <c:pt idx="8">
                  <c:v>2012</c:v>
                </c:pt>
                <c:pt idx="9">
                  <c:v>2013</c:v>
                </c:pt>
                <c:pt idx="10">
                  <c:v>2014</c:v>
                </c:pt>
                <c:pt idx="11">
                  <c:v>2015</c:v>
                </c:pt>
                <c:pt idx="12">
                  <c:v>2016</c:v>
                </c:pt>
              </c:numCache>
            </c:numRef>
          </c:cat>
          <c:val>
            <c:numRef>
              <c:f>Arkusz1!$K$3:$K$15</c:f>
              <c:numCache>
                <c:formatCode>#,##0</c:formatCode>
                <c:ptCount val="13"/>
                <c:pt idx="0">
                  <c:v>40346</c:v>
                </c:pt>
                <c:pt idx="1">
                  <c:v>41016</c:v>
                </c:pt>
                <c:pt idx="2">
                  <c:v>48932</c:v>
                </c:pt>
                <c:pt idx="3">
                  <c:v>49327</c:v>
                </c:pt>
                <c:pt idx="4">
                  <c:v>51046</c:v>
                </c:pt>
                <c:pt idx="5">
                  <c:v>47263</c:v>
                </c:pt>
                <c:pt idx="6">
                  <c:v>57481</c:v>
                </c:pt>
                <c:pt idx="7">
                  <c:v>42554</c:v>
                </c:pt>
                <c:pt idx="8">
                  <c:v>48689</c:v>
                </c:pt>
                <c:pt idx="9">
                  <c:v>54304</c:v>
                </c:pt>
                <c:pt idx="10">
                  <c:v>60555</c:v>
                </c:pt>
                <c:pt idx="11">
                  <c:v>61276</c:v>
                </c:pt>
                <c:pt idx="12">
                  <c:v>72410</c:v>
                </c:pt>
              </c:numCache>
            </c:numRef>
          </c:val>
          <c:shape val="box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2"/>
        <c:shape val="cylinder"/>
        <c:axId val="142697984"/>
        <c:axId val="142699520"/>
        <c:axId val="0"/>
      </c:bar3DChart>
      <c:catAx>
        <c:axId val="1426979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 w="6350">
            <a:solidFill>
              <a:schemeClr val="tx1">
                <a:alpha val="30000"/>
              </a:schemeClr>
            </a:solidFill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+mj-lt"/>
                <a:ea typeface="Arial"/>
                <a:cs typeface="Arial"/>
              </a:defRPr>
            </a:pPr>
            <a:endParaRPr lang="pl-PL"/>
          </a:p>
        </c:txPr>
        <c:crossAx val="142699520"/>
        <c:crosses val="autoZero"/>
        <c:auto val="0"/>
        <c:lblAlgn val="ctr"/>
        <c:lblOffset val="100"/>
        <c:noMultiLvlLbl val="0"/>
      </c:catAx>
      <c:valAx>
        <c:axId val="142699520"/>
        <c:scaling>
          <c:orientation val="minMax"/>
          <c:max val="73000"/>
          <c:min val="40000"/>
        </c:scaling>
        <c:delete val="0"/>
        <c:axPos val="l"/>
        <c:majorGridlines>
          <c:spPr>
            <a:ln>
              <a:solidFill>
                <a:schemeClr val="bg1"/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6350">
            <a:solidFill>
              <a:schemeClr val="tx1">
                <a:alpha val="42000"/>
              </a:schemeClr>
            </a:solidFill>
          </a:ln>
          <a:effectLst/>
        </c:spPr>
        <c:txPr>
          <a:bodyPr rot="0" vert="horz"/>
          <a:lstStyle/>
          <a:p>
            <a:pPr>
              <a:defRPr sz="700" b="1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pl-PL"/>
          </a:p>
        </c:txPr>
        <c:crossAx val="142697984"/>
        <c:crosses val="autoZero"/>
        <c:crossBetween val="between"/>
        <c:majorUnit val="1100"/>
        <c:minorUnit val="500"/>
      </c:valAx>
    </c:plotArea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rAngAx val="0"/>
      <c:perspective val="2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5.5017882380087105E-2"/>
          <c:y val="3.5334874671610672E-2"/>
          <c:w val="0.92719775103070468"/>
          <c:h val="0.8899220659306837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Arkusz1!$J$24</c:f>
              <c:strCache>
                <c:ptCount val="1"/>
                <c:pt idx="0">
                  <c:v>zgłoszenia</c:v>
                </c:pt>
              </c:strCache>
            </c:strRef>
          </c:tx>
          <c:spPr>
            <a:gradFill flip="none" rotWithShape="1">
              <a:gsLst>
                <a:gs pos="0">
                  <a:srgbClr val="98BE9F">
                    <a:alpha val="96000"/>
                    <a:lumMod val="99000"/>
                  </a:srgbClr>
                </a:gs>
                <a:gs pos="83000">
                  <a:schemeClr val="accent5">
                    <a:lumMod val="61000"/>
                    <a:alpha val="95000"/>
                  </a:schemeClr>
                </a:gs>
                <a:gs pos="8000">
                  <a:srgbClr val="65DD23">
                    <a:lumMod val="30000"/>
                    <a:alpha val="56000"/>
                  </a:srgbClr>
                </a:gs>
                <a:gs pos="99000">
                  <a:srgbClr val="202C27">
                    <a:lumMod val="63000"/>
                  </a:srgbClr>
                </a:gs>
              </a:gsLst>
              <a:lin ang="5400000" scaled="1"/>
              <a:tileRect/>
            </a:gradFill>
            <a:ln>
              <a:solidFill>
                <a:schemeClr val="tx2">
                  <a:lumMod val="75000"/>
                </a:schemeClr>
              </a:solidFill>
            </a:ln>
            <a:effectLst/>
            <a:scene3d>
              <a:camera prst="orthographicFront"/>
              <a:lightRig rig="threePt" dir="t"/>
            </a:scene3d>
            <a:sp3d prstMaterial="metal">
              <a:bevelB w="114300" prst="hardEdge"/>
              <a:contourClr>
                <a:srgbClr val="000000"/>
              </a:contourClr>
            </a:sp3d>
          </c:spPr>
          <c:invertIfNegative val="0"/>
          <c:dLbls>
            <c:dLbl>
              <c:idx val="0"/>
              <c:layout>
                <c:manualLayout>
                  <c:x val="4.3916223046400488E-3"/>
                  <c:y val="7.481916008655404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9539106114049348E-4"/>
                  <c:y val="-1.51644487082484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9934944854031754E-3"/>
                  <c:y val="4.108816120157300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4528834937299505E-2"/>
                  <c:y val="-5.547395704085623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6554160990300092E-2"/>
                  <c:y val="9.37180867983281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9628171478565183E-3"/>
                  <c:y val="4.839875292546629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9.4438976377952764E-3"/>
                  <c:y val="1.21876859639583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5476594499291486E-2"/>
                  <c:y val="1.0551324878457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1.0317458866749004E-2"/>
                  <c:y val="-7.38571540256508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7.7378910504777697E-3"/>
                  <c:y val="2.074275878426815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2.6021727999694579E-2"/>
                  <c:y val="6.4213242026679121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5.1131132668100862E-2"/>
                  <c:y val="9.22068233526311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4915844027830958E-3"/>
                  <c:y val="-0.32681130423613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2634031436079916E-3"/>
                  <c:y val="-0.32679175163340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0"/>
                  <c:y val="-0.3376741235124440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352292123843141E-3"/>
                  <c:y val="-0.3788858050909031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0.3725838420248466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352292123843141E-3"/>
                  <c:y val="-0.3878280308451887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0.3986908162513678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0.4118340128276090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0.4294484912253678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0"/>
                  <c:y val="-0.4467031181049577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0"/>
                  <c:y val="-0.4489835292750196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0352292123843141E-3"/>
                  <c:y val="-0.4601162877920124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"/>
                  <c:y val="-0.4772810362642484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 b="0">
                    <a:latin typeface="+mj-lt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Arkusz1!$L$25:$L$31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Arkusz1!$J$25:$J$31</c:f>
              <c:numCache>
                <c:formatCode>#,##0</c:formatCode>
                <c:ptCount val="7"/>
                <c:pt idx="0">
                  <c:v>1412</c:v>
                </c:pt>
                <c:pt idx="1">
                  <c:v>2730</c:v>
                </c:pt>
                <c:pt idx="2">
                  <c:v>1273</c:v>
                </c:pt>
                <c:pt idx="3">
                  <c:v>2106</c:v>
                </c:pt>
                <c:pt idx="4">
                  <c:v>1311</c:v>
                </c:pt>
                <c:pt idx="5">
                  <c:v>1204</c:v>
                </c:pt>
                <c:pt idx="6">
                  <c:v>720</c:v>
                </c:pt>
              </c:numCache>
            </c:numRef>
          </c:val>
          <c:shape val="box"/>
        </c:ser>
        <c:ser>
          <c:idx val="1"/>
          <c:order val="1"/>
          <c:tx>
            <c:strRef>
              <c:f>Arkusz1!$K$24</c:f>
              <c:strCache>
                <c:ptCount val="1"/>
                <c:pt idx="0">
                  <c:v>zwolnienia</c:v>
                </c:pt>
              </c:strCache>
            </c:strRef>
          </c:tx>
          <c:spPr>
            <a:gradFill>
              <a:gsLst>
                <a:gs pos="0">
                  <a:schemeClr val="accent4">
                    <a:alpha val="71000"/>
                    <a:lumMod val="98000"/>
                    <a:lumOff val="2000"/>
                  </a:schemeClr>
                </a:gs>
                <a:gs pos="50000">
                  <a:schemeClr val="accent4">
                    <a:alpha val="87000"/>
                    <a:lumMod val="66000"/>
                    <a:lumOff val="34000"/>
                  </a:schemeClr>
                </a:gs>
                <a:gs pos="100000">
                  <a:schemeClr val="accent4">
                    <a:lumMod val="67000"/>
                    <a:lumOff val="33000"/>
                  </a:schemeClr>
                </a:gs>
              </a:gsLst>
              <a:lin ang="5400000" scaled="0"/>
            </a:gradFill>
          </c:spPr>
          <c:invertIfNegative val="0"/>
          <c:dLbls>
            <c:dLbl>
              <c:idx val="0"/>
              <c:layout>
                <c:manualLayout>
                  <c:x val="1.6622582794964761E-2"/>
                  <c:y val="-4.724303416340957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0468540106000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5502673492853926E-2"/>
                  <c:y val="-1.0739162098793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4931263803937849E-2"/>
                  <c:y val="-3.7193954197133261E-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3852252843394575E-2"/>
                  <c:y val="-1.3272991332589996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2.3986402741324086E-2"/>
                  <c:y val="-4.65691334019960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9393267765618508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0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Arkusz1!$L$25:$L$31</c:f>
              <c:numCache>
                <c:formatCode>General</c:formatCode>
                <c:ptCount val="7"/>
                <c:pt idx="0">
                  <c:v>2010</c:v>
                </c:pt>
                <c:pt idx="1">
                  <c:v>2011</c:v>
                </c:pt>
                <c:pt idx="2">
                  <c:v>2012</c:v>
                </c:pt>
                <c:pt idx="3">
                  <c:v>2013</c:v>
                </c:pt>
                <c:pt idx="4">
                  <c:v>2014</c:v>
                </c:pt>
                <c:pt idx="5">
                  <c:v>2015</c:v>
                </c:pt>
                <c:pt idx="6">
                  <c:v>2016</c:v>
                </c:pt>
              </c:numCache>
            </c:numRef>
          </c:cat>
          <c:val>
            <c:numRef>
              <c:f>Arkusz1!$K$25:$K$31</c:f>
              <c:numCache>
                <c:formatCode>#,##0</c:formatCode>
                <c:ptCount val="7"/>
                <c:pt idx="0">
                  <c:v>1120</c:v>
                </c:pt>
                <c:pt idx="1">
                  <c:v>2048</c:v>
                </c:pt>
                <c:pt idx="2">
                  <c:v>1050</c:v>
                </c:pt>
                <c:pt idx="3">
                  <c:v>1235</c:v>
                </c:pt>
                <c:pt idx="4">
                  <c:v>651</c:v>
                </c:pt>
                <c:pt idx="5">
                  <c:v>1108</c:v>
                </c:pt>
                <c:pt idx="6">
                  <c:v>609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3"/>
        <c:gapDepth val="148"/>
        <c:shape val="cylinder"/>
        <c:axId val="157836032"/>
        <c:axId val="157837568"/>
        <c:axId val="0"/>
      </c:bar3DChart>
      <c:catAx>
        <c:axId val="157836032"/>
        <c:scaling>
          <c:orientation val="minMax"/>
        </c:scaling>
        <c:delete val="0"/>
        <c:axPos val="b"/>
        <c:majorGridlines>
          <c:spPr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spPr>
          <a:solidFill>
            <a:srgbClr val="FFFFFF"/>
          </a:solidFill>
          <a:ln>
            <a:solidFill>
              <a:schemeClr val="tx1">
                <a:alpha val="28000"/>
              </a:schemeClr>
            </a:solidFill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+mj-lt"/>
                <a:ea typeface="Arial"/>
                <a:cs typeface="Arial"/>
              </a:defRPr>
            </a:pPr>
            <a:endParaRPr lang="pl-PL"/>
          </a:p>
        </c:txPr>
        <c:crossAx val="157837568"/>
        <c:crosses val="autoZero"/>
        <c:auto val="0"/>
        <c:lblAlgn val="ctr"/>
        <c:lblOffset val="100"/>
        <c:noMultiLvlLbl val="0"/>
      </c:catAx>
      <c:valAx>
        <c:axId val="157837568"/>
        <c:scaling>
          <c:orientation val="minMax"/>
          <c:max val="2000"/>
          <c:min val="0"/>
        </c:scaling>
        <c:delete val="0"/>
        <c:axPos val="l"/>
        <c:majorGridlines>
          <c:spPr>
            <a:ln>
              <a:solidFill>
                <a:schemeClr val="bg1">
                  <a:lumMod val="8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85000"/>
                </a:schemeClr>
              </a:solidFill>
            </a:ln>
          </c:spPr>
        </c:minorGridlines>
        <c:numFmt formatCode="#,##0" sourceLinked="1"/>
        <c:majorTickMark val="out"/>
        <c:minorTickMark val="none"/>
        <c:tickLblPos val="nextTo"/>
        <c:spPr>
          <a:noFill/>
          <a:ln w="6350">
            <a:solidFill>
              <a:schemeClr val="bg2">
                <a:lumMod val="50000"/>
                <a:alpha val="79000"/>
              </a:schemeClr>
            </a:solidFill>
          </a:ln>
          <a:effectLst/>
        </c:spPr>
        <c:txPr>
          <a:bodyPr rot="0" vert="horz"/>
          <a:lstStyle/>
          <a:p>
            <a:pPr>
              <a:defRPr sz="7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/>
              </a:defRPr>
            </a:pPr>
            <a:endParaRPr lang="pl-PL"/>
          </a:p>
        </c:txPr>
        <c:crossAx val="157836032"/>
        <c:crosses val="autoZero"/>
        <c:crossBetween val="between"/>
        <c:majorUnit val="100"/>
        <c:minorUnit val="100"/>
      </c:valAx>
    </c:plotArea>
    <c:legend>
      <c:legendPos val="r"/>
      <c:layout>
        <c:manualLayout>
          <c:xMode val="edge"/>
          <c:yMode val="edge"/>
          <c:x val="0.5501144648585593"/>
          <c:y val="3.9288370712618585E-2"/>
          <c:w val="0.36565864576527651"/>
          <c:h val="7.1647967228957957E-2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587564268811065E-2"/>
          <c:y val="2.6097201767304859E-2"/>
          <c:w val="0.87436419038015334"/>
          <c:h val="0.88487052520496789"/>
        </c:manualLayout>
      </c:layout>
      <c:lineChart>
        <c:grouping val="standard"/>
        <c:varyColors val="0"/>
        <c:ser>
          <c:idx val="0"/>
          <c:order val="0"/>
          <c:tx>
            <c:strRef>
              <c:f>'wsk obc dem'!$B$29</c:f>
              <c:strCache>
                <c:ptCount val="1"/>
                <c:pt idx="0">
                  <c:v>Polska</c:v>
                </c:pt>
              </c:strCache>
            </c:strRef>
          </c:tx>
          <c:spPr>
            <a:ln w="66675">
              <a:solidFill>
                <a:schemeClr val="accent4">
                  <a:lumMod val="50000"/>
                  <a:alpha val="79000"/>
                </a:schemeClr>
              </a:solidFill>
              <a:prstDash val="sysDash"/>
            </a:ln>
          </c:spPr>
          <c:marker>
            <c:symbol val="none"/>
          </c:marker>
          <c:cat>
            <c:numRef>
              <c:f>'wsk obc dem'!$C$28:$W$28</c:f>
              <c:numCache>
                <c:formatCode>General</c:formatCode>
                <c:ptCount val="21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</c:numCache>
            </c:numRef>
          </c:cat>
          <c:val>
            <c:numRef>
              <c:f>'wsk obc dem'!$C$29:$W$29</c:f>
              <c:numCache>
                <c:formatCode>General</c:formatCode>
                <c:ptCount val="21"/>
                <c:pt idx="0">
                  <c:v>0.70480364272888163</c:v>
                </c:pt>
                <c:pt idx="1">
                  <c:v>0.69322384275116056</c:v>
                </c:pt>
                <c:pt idx="2">
                  <c:v>0.67984810792990846</c:v>
                </c:pt>
                <c:pt idx="3">
                  <c:v>0.664790262468829</c:v>
                </c:pt>
                <c:pt idx="4">
                  <c:v>0.66065521732307086</c:v>
                </c:pt>
                <c:pt idx="5">
                  <c:v>0.64455311750744371</c:v>
                </c:pt>
                <c:pt idx="6">
                  <c:v>0.62549473472400074</c:v>
                </c:pt>
                <c:pt idx="7">
                  <c:v>0.60650866146160831</c:v>
                </c:pt>
                <c:pt idx="8">
                  <c:v>0.58870844386134957</c:v>
                </c:pt>
                <c:pt idx="9">
                  <c:v>0.57485500887453245</c:v>
                </c:pt>
                <c:pt idx="10">
                  <c:v>0.56349116333949789</c:v>
                </c:pt>
                <c:pt idx="11">
                  <c:v>0.55730711997996873</c:v>
                </c:pt>
                <c:pt idx="12">
                  <c:v>0.55287213568863458</c:v>
                </c:pt>
                <c:pt idx="13">
                  <c:v>0.55083933921569228</c:v>
                </c:pt>
                <c:pt idx="14">
                  <c:v>0.54997735380247992</c:v>
                </c:pt>
                <c:pt idx="15">
                  <c:v>0.55168396151246579</c:v>
                </c:pt>
                <c:pt idx="16">
                  <c:v>0.55783111096307392</c:v>
                </c:pt>
                <c:pt idx="17">
                  <c:v>0.56604044500840012</c:v>
                </c:pt>
                <c:pt idx="18">
                  <c:v>0.57626029260491685</c:v>
                </c:pt>
                <c:pt idx="19">
                  <c:v>0.58804559375211773</c:v>
                </c:pt>
                <c:pt idx="20">
                  <c:v>0.60140696457086706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'wsk obc dem'!$B$30</c:f>
              <c:strCache>
                <c:ptCount val="1"/>
                <c:pt idx="0">
                  <c:v>podkarpackie</c:v>
                </c:pt>
              </c:strCache>
            </c:strRef>
          </c:tx>
          <c:spPr>
            <a:ln w="60325">
              <a:solidFill>
                <a:schemeClr val="accent4">
                  <a:lumMod val="60000"/>
                  <a:lumOff val="40000"/>
                  <a:alpha val="65000"/>
                </a:schemeClr>
              </a:solidFill>
            </a:ln>
          </c:spPr>
          <c:marker>
            <c:symbol val="circle"/>
            <c:size val="5"/>
            <c:spPr>
              <a:solidFill>
                <a:schemeClr val="bg1"/>
              </a:solidFill>
              <a:ln>
                <a:solidFill>
                  <a:schemeClr val="bg1">
                    <a:lumMod val="65000"/>
                  </a:schemeClr>
                </a:solidFill>
              </a:ln>
            </c:spPr>
          </c:marker>
          <c:dLbls>
            <c:dLbl>
              <c:idx val="0"/>
              <c:layout>
                <c:manualLayout>
                  <c:x val="-8.8206819581868809E-3"/>
                  <c:y val="-1.85452809074629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8210292086232014E-3"/>
                  <c:y val="-2.4739696782223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8212592347557614E-3"/>
                  <c:y val="-2.4737167594310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3231888852133642E-2"/>
                  <c:y val="-3.7105751391465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1026574043444702E-2"/>
                  <c:y val="-3.09214594928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8.8212592347557614E-3"/>
                  <c:y val="-1.85528756957328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1026574043444662E-2"/>
                  <c:y val="-2.47371675943104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1.3231804250762041E-2"/>
                  <c:y val="-3.0919023320812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8.8212592347557614E-3"/>
                  <c:y val="-3.09214594928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6.6159444260668211E-3"/>
                  <c:y val="-3.09214594928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1.102711123056526E-2"/>
                  <c:y val="-3.09165895569138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0252013531655E-2"/>
                  <c:y val="-2.472704120995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8.8212592347556799E-3"/>
                  <c:y val="-3.09214594928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1026574043444702E-2"/>
                  <c:y val="-3.71057513914656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23024162379852E-2"/>
                  <c:y val="-3.09088015124382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8.820161082532401E-3"/>
                  <c:y val="-4.3272322117413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6151208118992999E-3"/>
                  <c:y val="-4.945408241990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1026574043444702E-2"/>
                  <c:y val="-5.56586270871985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435640839304614E-2"/>
                  <c:y val="3.71563944117374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3231888852133642E-2"/>
                  <c:y val="3.092145949288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1026574043444702E-2"/>
                  <c:y val="4.9474335188620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00" sourceLinked="0"/>
            <c:txPr>
              <a:bodyPr/>
              <a:lstStyle/>
              <a:p>
                <a:pPr>
                  <a:defRPr sz="600"/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'wsk obc dem'!$C$28:$W$28</c:f>
              <c:numCache>
                <c:formatCode>General</c:formatCode>
                <c:ptCount val="21"/>
                <c:pt idx="0">
                  <c:v>1995</c:v>
                </c:pt>
                <c:pt idx="1">
                  <c:v>1996</c:v>
                </c:pt>
                <c:pt idx="2">
                  <c:v>1997</c:v>
                </c:pt>
                <c:pt idx="3">
                  <c:v>1998</c:v>
                </c:pt>
                <c:pt idx="4">
                  <c:v>1999</c:v>
                </c:pt>
                <c:pt idx="5">
                  <c:v>2000</c:v>
                </c:pt>
                <c:pt idx="6">
                  <c:v>2001</c:v>
                </c:pt>
                <c:pt idx="7">
                  <c:v>2002</c:v>
                </c:pt>
                <c:pt idx="8">
                  <c:v>2003</c:v>
                </c:pt>
                <c:pt idx="9">
                  <c:v>2004</c:v>
                </c:pt>
                <c:pt idx="10">
                  <c:v>2005</c:v>
                </c:pt>
                <c:pt idx="11">
                  <c:v>2006</c:v>
                </c:pt>
                <c:pt idx="12">
                  <c:v>2007</c:v>
                </c:pt>
                <c:pt idx="13">
                  <c:v>2008</c:v>
                </c:pt>
                <c:pt idx="14">
                  <c:v>2009</c:v>
                </c:pt>
                <c:pt idx="15">
                  <c:v>2010</c:v>
                </c:pt>
                <c:pt idx="16">
                  <c:v>2011</c:v>
                </c:pt>
                <c:pt idx="17">
                  <c:v>2012</c:v>
                </c:pt>
                <c:pt idx="18">
                  <c:v>2013</c:v>
                </c:pt>
                <c:pt idx="19">
                  <c:v>2014</c:v>
                </c:pt>
                <c:pt idx="20">
                  <c:v>2015</c:v>
                </c:pt>
              </c:numCache>
            </c:numRef>
          </c:cat>
          <c:val>
            <c:numRef>
              <c:f>'wsk obc dem'!$C$30:$W$30</c:f>
              <c:numCache>
                <c:formatCode>General</c:formatCode>
                <c:ptCount val="21"/>
                <c:pt idx="0">
                  <c:v>0.77998143595743463</c:v>
                </c:pt>
                <c:pt idx="1">
                  <c:v>0.76563851615356648</c:v>
                </c:pt>
                <c:pt idx="2">
                  <c:v>0.75164050245868552</c:v>
                </c:pt>
                <c:pt idx="3">
                  <c:v>0.7345579466774993</c:v>
                </c:pt>
                <c:pt idx="4">
                  <c:v>0.73625199992720014</c:v>
                </c:pt>
                <c:pt idx="5">
                  <c:v>0.71958992521405118</c:v>
                </c:pt>
                <c:pt idx="6">
                  <c:v>0.69559327770368551</c:v>
                </c:pt>
                <c:pt idx="7">
                  <c:v>0.67096105364094161</c:v>
                </c:pt>
                <c:pt idx="8">
                  <c:v>0.64747044605270498</c:v>
                </c:pt>
                <c:pt idx="9">
                  <c:v>0.6286071594361754</c:v>
                </c:pt>
                <c:pt idx="10">
                  <c:v>0.61213993587591309</c:v>
                </c:pt>
                <c:pt idx="11">
                  <c:v>0.59797354948805459</c:v>
                </c:pt>
                <c:pt idx="12">
                  <c:v>0.5852715199752081</c:v>
                </c:pt>
                <c:pt idx="13">
                  <c:v>0.57481534599139339</c:v>
                </c:pt>
                <c:pt idx="14">
                  <c:v>0.56655113555898418</c:v>
                </c:pt>
                <c:pt idx="15">
                  <c:v>0.56594919224335793</c:v>
                </c:pt>
                <c:pt idx="16">
                  <c:v>0.56500849890014238</c:v>
                </c:pt>
                <c:pt idx="17">
                  <c:v>0.56659544500057002</c:v>
                </c:pt>
                <c:pt idx="18">
                  <c:v>0.57076348925440712</c:v>
                </c:pt>
                <c:pt idx="19">
                  <c:v>0.57560928321623983</c:v>
                </c:pt>
                <c:pt idx="20">
                  <c:v>0.58142845038137303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7923200"/>
        <c:axId val="157924736"/>
      </c:lineChart>
      <c:catAx>
        <c:axId val="157923200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57924736"/>
        <c:crosses val="autoZero"/>
        <c:auto val="1"/>
        <c:lblAlgn val="ctr"/>
        <c:lblOffset val="100"/>
        <c:noMultiLvlLbl val="0"/>
      </c:catAx>
      <c:valAx>
        <c:axId val="157924736"/>
        <c:scaling>
          <c:orientation val="minMax"/>
          <c:max val="0.8"/>
          <c:min val="0.5"/>
        </c:scaling>
        <c:delete val="0"/>
        <c:axPos val="l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>
          <c:spPr>
            <a:ln>
              <a:solidFill>
                <a:schemeClr val="bg1">
                  <a:lumMod val="65000"/>
                  <a:alpha val="49000"/>
                </a:schemeClr>
              </a:solidFill>
            </a:ln>
          </c:spPr>
        </c:min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accent1">
                <a:alpha val="62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157923200"/>
        <c:crosses val="autoZero"/>
        <c:crossBetween val="midCat"/>
        <c:majorUnit val="0.1"/>
        <c:minorUnit val="1.0000000000000002E-2"/>
      </c:valAx>
    </c:plotArea>
    <c:legend>
      <c:legendPos val="b"/>
      <c:layout>
        <c:manualLayout>
          <c:xMode val="edge"/>
          <c:yMode val="edge"/>
          <c:x val="0.29757493512120115"/>
          <c:y val="0.81251369552831854"/>
          <c:w val="0.4175437004092068"/>
          <c:h val="8.1887203123999747E-2"/>
        </c:manualLayout>
      </c:layout>
      <c:overlay val="0"/>
      <c:txPr>
        <a:bodyPr/>
        <a:lstStyle/>
        <a:p>
          <a:pPr>
            <a:defRPr sz="10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587564268811065E-2"/>
          <c:y val="0.10833205903041623"/>
          <c:w val="0.87436419038015334"/>
          <c:h val="0.80135891531015457"/>
        </c:manualLayout>
      </c:layout>
      <c:lineChart>
        <c:grouping val="standard"/>
        <c:varyColors val="0"/>
        <c:ser>
          <c:idx val="0"/>
          <c:order val="0"/>
          <c:tx>
            <c:strRef>
              <c:f>Arkusz1!$B$12</c:f>
              <c:strCache>
                <c:ptCount val="1"/>
                <c:pt idx="0">
                  <c:v>PODKARPACKIE</c:v>
                </c:pt>
              </c:strCache>
            </c:strRef>
          </c:tx>
          <c:spPr>
            <a:ln w="66675">
              <a:solidFill>
                <a:schemeClr val="accent4">
                  <a:lumMod val="50000"/>
                  <a:alpha val="79000"/>
                </a:schemeClr>
              </a:solidFill>
              <a:prstDash val="sysDash"/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5763020335939266E-2"/>
                  <c:y val="-7.6190521899075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9746093217077786E-2"/>
                  <c:y val="-6.0952417519260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796874573662232E-2"/>
                  <c:y val="-6.8571469709168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813801692523711E-2"/>
                  <c:y val="-6.0952417519260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7796874573662232E-2"/>
                  <c:y val="-6.0952417519260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3813801692523711E-2"/>
                  <c:y val="-6.0952417519260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813801692523711E-2"/>
                  <c:y val="-5.333336532935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1779947454800745E-2"/>
                  <c:y val="-5.333336532935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5763333963725181E-2"/>
                  <c:y val="-5.33333653293529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9746093217077786E-2"/>
                  <c:y val="-6.85714697091681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5763020335939266E-2"/>
                  <c:y val="-5.333336532935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5763020335939266E-2"/>
                  <c:y val="-5.33333653293530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796874573662232E-2"/>
                  <c:y val="-6.0952417519260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932291524554075E-2"/>
                  <c:y val="-6.09524175192605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Arkusz1!$C$2:$P$2</c:f>
              <c:strCache>
                <c:ptCount val="14"/>
                <c:pt idx="0">
                  <c:v>02</c:v>
                </c:pt>
                <c:pt idx="1">
                  <c:v>03</c:v>
                </c:pt>
                <c:pt idx="2">
                  <c:v>04</c:v>
                </c:pt>
                <c:pt idx="3">
                  <c:v>05</c:v>
                </c:pt>
                <c:pt idx="4">
                  <c:v>06</c:v>
                </c:pt>
                <c:pt idx="5">
                  <c:v>07</c:v>
                </c:pt>
                <c:pt idx="6">
                  <c:v>08</c:v>
                </c:pt>
                <c:pt idx="7">
                  <c:v>09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</c:strCache>
            </c:strRef>
          </c:cat>
          <c:val>
            <c:numRef>
              <c:f>Arkusz1!$C$12:$P$12</c:f>
              <c:numCache>
                <c:formatCode>#,##0</c:formatCode>
                <c:ptCount val="14"/>
                <c:pt idx="0">
                  <c:v>65.895349999999993</c:v>
                </c:pt>
                <c:pt idx="1">
                  <c:v>68.032970000000006</c:v>
                </c:pt>
                <c:pt idx="2">
                  <c:v>66.514139999999998</c:v>
                </c:pt>
                <c:pt idx="3">
                  <c:v>66.273390000000006</c:v>
                </c:pt>
                <c:pt idx="4">
                  <c:v>67.056830000000005</c:v>
                </c:pt>
                <c:pt idx="5">
                  <c:v>67.731570000000005</c:v>
                </c:pt>
                <c:pt idx="6">
                  <c:v>68.713189999999997</c:v>
                </c:pt>
                <c:pt idx="7">
                  <c:v>68.99024</c:v>
                </c:pt>
                <c:pt idx="8">
                  <c:v>71.720740000000006</c:v>
                </c:pt>
                <c:pt idx="9">
                  <c:v>70.978499999999997</c:v>
                </c:pt>
                <c:pt idx="10">
                  <c:v>72.787589999999994</c:v>
                </c:pt>
                <c:pt idx="11">
                  <c:v>74.967100000000002</c:v>
                </c:pt>
                <c:pt idx="12">
                  <c:v>76.346509999999995</c:v>
                </c:pt>
                <c:pt idx="13">
                  <c:v>77.62294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Arkusz1!$B$14</c:f>
              <c:strCache>
                <c:ptCount val="1"/>
                <c:pt idx="0">
                  <c:v>POLSKA</c:v>
                </c:pt>
              </c:strCache>
            </c:strRef>
          </c:tx>
          <c:spPr>
            <a:ln w="60325">
              <a:solidFill>
                <a:schemeClr val="accent4">
                  <a:lumMod val="40000"/>
                  <a:lumOff val="60000"/>
                  <a:alpha val="84000"/>
                </a:schemeClr>
              </a:solidFill>
            </a:ln>
          </c:spPr>
          <c:marker>
            <c:symbol val="circle"/>
            <c:size val="5"/>
            <c:spPr>
              <a:solidFill>
                <a:schemeClr val="accent4">
                  <a:lumMod val="40000"/>
                  <a:lumOff val="60000"/>
                </a:schemeClr>
              </a:solidFill>
              <a:ln>
                <a:solidFill>
                  <a:schemeClr val="bg1"/>
                </a:solidFill>
              </a:ln>
            </c:spPr>
          </c:marker>
          <c:dLbls>
            <c:dLbl>
              <c:idx val="0"/>
              <c:layout>
                <c:manualLayout>
                  <c:x val="-4.3813801692523711E-2"/>
                  <c:y val="-5.062146532344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796874573662232E-2"/>
                  <c:y val="-5.7853103226790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1779947454800745E-2"/>
                  <c:y val="-6.5084741130139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5.1779947454800745E-2"/>
                  <c:y val="-5.7853103226791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5763020335939266E-2"/>
                  <c:y val="-5.7853103226790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5.9746093217077786E-2"/>
                  <c:y val="-6.50847411301398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779947454800745E-2"/>
                  <c:y val="-5.78531032267909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5763020335939266E-2"/>
                  <c:y val="-5.78531032267910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6.3729166098216383E-2"/>
                  <c:y val="-4.33898274200932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5.9746093217077786E-2"/>
                  <c:y val="-5.062146532344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9746093217077786E-2"/>
                  <c:y val="-7.23163790334887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9746093217077786E-2"/>
                  <c:y val="-5.062146532344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746093217077786E-2"/>
                  <c:y val="-5.06214653234421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830728811385187E-3"/>
                  <c:y val="-5.06214653234421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7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Arkusz1!$C$2:$P$2</c:f>
              <c:strCache>
                <c:ptCount val="14"/>
                <c:pt idx="0">
                  <c:v>02</c:v>
                </c:pt>
                <c:pt idx="1">
                  <c:v>03</c:v>
                </c:pt>
                <c:pt idx="2">
                  <c:v>04</c:v>
                </c:pt>
                <c:pt idx="3">
                  <c:v>05</c:v>
                </c:pt>
                <c:pt idx="4">
                  <c:v>06</c:v>
                </c:pt>
                <c:pt idx="5">
                  <c:v>07</c:v>
                </c:pt>
                <c:pt idx="6">
                  <c:v>08</c:v>
                </c:pt>
                <c:pt idx="7">
                  <c:v>09</c:v>
                </c:pt>
                <c:pt idx="8">
                  <c:v>10</c:v>
                </c:pt>
                <c:pt idx="9">
                  <c:v>11</c:v>
                </c:pt>
                <c:pt idx="10">
                  <c:v>12</c:v>
                </c:pt>
                <c:pt idx="11">
                  <c:v>13</c:v>
                </c:pt>
                <c:pt idx="12">
                  <c:v>14</c:v>
                </c:pt>
                <c:pt idx="13">
                  <c:v>15</c:v>
                </c:pt>
              </c:strCache>
            </c:strRef>
          </c:cat>
          <c:val>
            <c:numRef>
              <c:f>Arkusz1!$C$14:$P$14</c:f>
              <c:numCache>
                <c:formatCode>#,##0</c:formatCode>
                <c:ptCount val="14"/>
                <c:pt idx="0">
                  <c:v>90.747029999999995</c:v>
                </c:pt>
                <c:pt idx="1">
                  <c:v>93.782039999999995</c:v>
                </c:pt>
                <c:pt idx="2">
                  <c:v>93.69847</c:v>
                </c:pt>
                <c:pt idx="3">
                  <c:v>94.756290000000007</c:v>
                </c:pt>
                <c:pt idx="4">
                  <c:v>95.370320000000007</c:v>
                </c:pt>
                <c:pt idx="5">
                  <c:v>96.695419999999999</c:v>
                </c:pt>
                <c:pt idx="6">
                  <c:v>98.518600000000006</c:v>
                </c:pt>
                <c:pt idx="7">
                  <c:v>98.059600000000003</c:v>
                </c:pt>
                <c:pt idx="8">
                  <c:v>101.47458</c:v>
                </c:pt>
                <c:pt idx="9">
                  <c:v>100.41652999999999</c:v>
                </c:pt>
                <c:pt idx="10">
                  <c:v>103.1662</c:v>
                </c:pt>
                <c:pt idx="11">
                  <c:v>105.73293</c:v>
                </c:pt>
                <c:pt idx="12">
                  <c:v>107.06395000000001</c:v>
                </c:pt>
                <c:pt idx="13">
                  <c:v>108.86341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555008"/>
        <c:axId val="89187072"/>
      </c:lineChart>
      <c:catAx>
        <c:axId val="8055500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187072"/>
        <c:crosses val="autoZero"/>
        <c:auto val="1"/>
        <c:lblAlgn val="ctr"/>
        <c:lblOffset val="100"/>
        <c:noMultiLvlLbl val="0"/>
      </c:catAx>
      <c:valAx>
        <c:axId val="89187072"/>
        <c:scaling>
          <c:orientation val="minMax"/>
          <c:max val="120"/>
          <c:min val="60"/>
        </c:scaling>
        <c:delete val="1"/>
        <c:axPos val="l"/>
        <c:numFmt formatCode="#,##0" sourceLinked="1"/>
        <c:majorTickMark val="out"/>
        <c:minorTickMark val="none"/>
        <c:tickLblPos val="nextTo"/>
        <c:crossAx val="80555008"/>
        <c:crosses val="autoZero"/>
        <c:crossBetween val="midCat"/>
        <c:majorUnit val="10"/>
        <c:minorUnit val="1"/>
      </c:valAx>
    </c:plotArea>
    <c:legend>
      <c:legendPos val="b"/>
      <c:layout>
        <c:manualLayout>
          <c:xMode val="edge"/>
          <c:yMode val="edge"/>
          <c:x val="7.844783276213374E-2"/>
          <c:y val="2.1274193130997557E-2"/>
          <c:w val="0.83623587557615264"/>
          <c:h val="8.3742639430304272E-2"/>
        </c:manualLayout>
      </c:layout>
      <c:overlay val="0"/>
      <c:txPr>
        <a:bodyPr/>
        <a:lstStyle/>
        <a:p>
          <a:pPr>
            <a:defRPr sz="7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40930696840542974"/>
          <c:y val="2.0064938406763325E-2"/>
          <c:w val="0.87436419038015334"/>
          <c:h val="0.8848705252049678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Arkusz1!$P$2</c:f>
              <c:strCache>
                <c:ptCount val="1"/>
                <c:pt idx="0">
                  <c:v>15</c:v>
                </c:pt>
              </c:strCache>
            </c:strRef>
          </c:tx>
          <c:spPr>
            <a:solidFill>
              <a:schemeClr val="accent4">
                <a:lumMod val="40000"/>
                <a:lumOff val="60000"/>
              </a:schemeClr>
            </a:solidFill>
            <a:ln w="0" cap="sq">
              <a:solidFill>
                <a:schemeClr val="tx1"/>
              </a:solidFill>
              <a:prstDash val="sysDash"/>
              <a:bevel/>
            </a:ln>
          </c:spPr>
          <c:invertIfNegative val="0"/>
          <c:cat>
            <c:strRef>
              <c:f>Arkusz1!$B$4:$B$20</c:f>
              <c:strCache>
                <c:ptCount val="17"/>
                <c:pt idx="0">
                  <c:v>DOLNOŚLĄSKIE</c:v>
                </c:pt>
                <c:pt idx="1">
                  <c:v>KUJAWSKO-POMORSKIE</c:v>
                </c:pt>
                <c:pt idx="2">
                  <c:v>LUBELSKIE</c:v>
                </c:pt>
                <c:pt idx="3">
                  <c:v>LUBUSKIE</c:v>
                </c:pt>
                <c:pt idx="4">
                  <c:v>ŁÓDZKIE</c:v>
                </c:pt>
                <c:pt idx="5">
                  <c:v>MAŁOPOLSKIE</c:v>
                </c:pt>
                <c:pt idx="6">
                  <c:v>MAZOWIECKIE</c:v>
                </c:pt>
                <c:pt idx="7">
                  <c:v>OPOLSKIE</c:v>
                </c:pt>
                <c:pt idx="8">
                  <c:v>PODKARPACKIE</c:v>
                </c:pt>
                <c:pt idx="9">
                  <c:v>PODLASKIE</c:v>
                </c:pt>
                <c:pt idx="10">
                  <c:v>POLSKA</c:v>
                </c:pt>
                <c:pt idx="11">
                  <c:v>POMORSKIE</c:v>
                </c:pt>
                <c:pt idx="12">
                  <c:v>ŚLĄSKIE</c:v>
                </c:pt>
                <c:pt idx="13">
                  <c:v>ŚWIĘTOKRZYSKIE</c:v>
                </c:pt>
                <c:pt idx="14">
                  <c:v>WARMIŃSKO-MAZURSKIE</c:v>
                </c:pt>
                <c:pt idx="15">
                  <c:v>WIELKOPOLSKIE</c:v>
                </c:pt>
                <c:pt idx="16">
                  <c:v>ZACHODNIOPOMORSKIE</c:v>
                </c:pt>
              </c:strCache>
            </c:strRef>
          </c:cat>
          <c:val>
            <c:numRef>
              <c:f>Arkusz1!$P$4:$P$20</c:f>
              <c:numCache>
                <c:formatCode>#,##0</c:formatCode>
                <c:ptCount val="17"/>
                <c:pt idx="0">
                  <c:v>122.96024</c:v>
                </c:pt>
                <c:pt idx="1">
                  <c:v>92.737549999999999</c:v>
                </c:pt>
                <c:pt idx="2">
                  <c:v>80.937470000000005</c:v>
                </c:pt>
                <c:pt idx="3">
                  <c:v>109.29647</c:v>
                </c:pt>
                <c:pt idx="4">
                  <c:v>96.832579999999993</c:v>
                </c:pt>
                <c:pt idx="5">
                  <c:v>107.89333000000001</c:v>
                </c:pt>
                <c:pt idx="6">
                  <c:v>143.20688999999999</c:v>
                </c:pt>
                <c:pt idx="7">
                  <c:v>100.83423000000001</c:v>
                </c:pt>
                <c:pt idx="8">
                  <c:v>77.62294</c:v>
                </c:pt>
                <c:pt idx="9">
                  <c:v>83.537180000000006</c:v>
                </c:pt>
                <c:pt idx="10">
                  <c:v>108.86341</c:v>
                </c:pt>
                <c:pt idx="11">
                  <c:v>122.13883</c:v>
                </c:pt>
                <c:pt idx="12">
                  <c:v>101.90208</c:v>
                </c:pt>
                <c:pt idx="13">
                  <c:v>87.954059999999998</c:v>
                </c:pt>
                <c:pt idx="14">
                  <c:v>86.044420000000002</c:v>
                </c:pt>
                <c:pt idx="15">
                  <c:v>117.9358</c:v>
                </c:pt>
                <c:pt idx="16">
                  <c:v>128.97826000000001</c:v>
                </c:pt>
              </c:numCache>
            </c:numRef>
          </c:val>
        </c:ser>
        <c:ser>
          <c:idx val="1"/>
          <c:order val="1"/>
          <c:tx>
            <c:strRef>
              <c:f>Arkusz1!$C$2</c:f>
              <c:strCache>
                <c:ptCount val="1"/>
                <c:pt idx="0">
                  <c:v>02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 w="2540">
              <a:solidFill>
                <a:schemeClr val="tx1"/>
              </a:solidFill>
            </a:ln>
          </c:spPr>
          <c:invertIfNegative val="0"/>
          <c:cat>
            <c:strRef>
              <c:f>Arkusz1!$B$4:$B$20</c:f>
              <c:strCache>
                <c:ptCount val="17"/>
                <c:pt idx="0">
                  <c:v>DOLNOŚLĄSKIE</c:v>
                </c:pt>
                <c:pt idx="1">
                  <c:v>KUJAWSKO-POMORSKIE</c:v>
                </c:pt>
                <c:pt idx="2">
                  <c:v>LUBELSKIE</c:v>
                </c:pt>
                <c:pt idx="3">
                  <c:v>LUBUSKIE</c:v>
                </c:pt>
                <c:pt idx="4">
                  <c:v>ŁÓDZKIE</c:v>
                </c:pt>
                <c:pt idx="5">
                  <c:v>MAŁOPOLSKIE</c:v>
                </c:pt>
                <c:pt idx="6">
                  <c:v>MAZOWIECKIE</c:v>
                </c:pt>
                <c:pt idx="7">
                  <c:v>OPOLSKIE</c:v>
                </c:pt>
                <c:pt idx="8">
                  <c:v>PODKARPACKIE</c:v>
                </c:pt>
                <c:pt idx="9">
                  <c:v>PODLASKIE</c:v>
                </c:pt>
                <c:pt idx="10">
                  <c:v>POLSKA</c:v>
                </c:pt>
                <c:pt idx="11">
                  <c:v>POMORSKIE</c:v>
                </c:pt>
                <c:pt idx="12">
                  <c:v>ŚLĄSKIE</c:v>
                </c:pt>
                <c:pt idx="13">
                  <c:v>ŚWIĘTOKRZYSKIE</c:v>
                </c:pt>
                <c:pt idx="14">
                  <c:v>WARMIŃSKO-MAZURSKIE</c:v>
                </c:pt>
                <c:pt idx="15">
                  <c:v>WIELKOPOLSKIE</c:v>
                </c:pt>
                <c:pt idx="16">
                  <c:v>ZACHODNIOPOMORSKIE</c:v>
                </c:pt>
              </c:strCache>
            </c:strRef>
          </c:cat>
          <c:val>
            <c:numRef>
              <c:f>Arkusz1!$C$4:$C$20</c:f>
              <c:numCache>
                <c:formatCode>#,##0</c:formatCode>
                <c:ptCount val="17"/>
                <c:pt idx="0">
                  <c:v>101.58351</c:v>
                </c:pt>
                <c:pt idx="1">
                  <c:v>89.195359999999994</c:v>
                </c:pt>
                <c:pt idx="2">
                  <c:v>68.007080000000002</c:v>
                </c:pt>
                <c:pt idx="3">
                  <c:v>94.853579999999994</c:v>
                </c:pt>
                <c:pt idx="4">
                  <c:v>89.099789999999999</c:v>
                </c:pt>
                <c:pt idx="5">
                  <c:v>85.931839999999994</c:v>
                </c:pt>
                <c:pt idx="6">
                  <c:v>108.04304</c:v>
                </c:pt>
                <c:pt idx="7">
                  <c:v>80.080380000000005</c:v>
                </c:pt>
                <c:pt idx="8">
                  <c:v>65.895349999999993</c:v>
                </c:pt>
                <c:pt idx="9">
                  <c:v>78.273319999999998</c:v>
                </c:pt>
                <c:pt idx="10">
                  <c:v>90.747029999999995</c:v>
                </c:pt>
                <c:pt idx="11">
                  <c:v>99.045810000000003</c:v>
                </c:pt>
                <c:pt idx="12">
                  <c:v>88.33184</c:v>
                </c:pt>
                <c:pt idx="13">
                  <c:v>76.810829999999996</c:v>
                </c:pt>
                <c:pt idx="14">
                  <c:v>75.530169999999998</c:v>
                </c:pt>
                <c:pt idx="15">
                  <c:v>96.502260000000007</c:v>
                </c:pt>
                <c:pt idx="16">
                  <c:v>115.02616999999999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8802432"/>
        <c:axId val="88803968"/>
      </c:barChart>
      <c:catAx>
        <c:axId val="888024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7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803968"/>
        <c:crosses val="autoZero"/>
        <c:auto val="1"/>
        <c:lblAlgn val="ctr"/>
        <c:lblOffset val="100"/>
        <c:noMultiLvlLbl val="0"/>
      </c:catAx>
      <c:valAx>
        <c:axId val="88803968"/>
        <c:scaling>
          <c:orientation val="minMax"/>
          <c:max val="200"/>
          <c:min val="0"/>
        </c:scaling>
        <c:delete val="0"/>
        <c:axPos val="b"/>
        <c:majorGridlines>
          <c:spPr>
            <a:ln>
              <a:solidFill>
                <a:schemeClr val="bg1">
                  <a:lumMod val="50000"/>
                  <a:alpha val="75000"/>
                </a:schemeClr>
              </a:solidFill>
            </a:ln>
          </c:spPr>
        </c:majorGridlines>
        <c:minorGridlines/>
        <c:numFmt formatCode="#,##0" sourceLinked="1"/>
        <c:majorTickMark val="out"/>
        <c:minorTickMark val="none"/>
        <c:tickLblPos val="nextTo"/>
        <c:spPr>
          <a:noFill/>
          <a:ln>
            <a:solidFill>
              <a:schemeClr val="accent1">
                <a:alpha val="62000"/>
              </a:schemeClr>
            </a:solidFill>
          </a:ln>
        </c:spPr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802432"/>
        <c:crosses val="autoZero"/>
        <c:crossBetween val="between"/>
        <c:majorUnit val="20"/>
        <c:minorUnit val="10"/>
      </c:valAx>
    </c:plotArea>
    <c:legend>
      <c:legendPos val="b"/>
      <c:layout>
        <c:manualLayout>
          <c:xMode val="edge"/>
          <c:yMode val="edge"/>
          <c:x val="0.78902739015916179"/>
          <c:y val="2.5518735291778363E-2"/>
          <c:w val="9.1771755586547307E-2"/>
          <c:h val="0.16677474139262005"/>
        </c:manualLayout>
      </c:layout>
      <c:overlay val="0"/>
      <c:txPr>
        <a:bodyPr/>
        <a:lstStyle/>
        <a:p>
          <a:pPr>
            <a:defRPr sz="800">
              <a:latin typeface="Times New Roman" panose="02020603050405020304" pitchFamily="18" charset="0"/>
              <a:ea typeface="Verdana" panose="020B0604030504040204" pitchFamily="34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 b="1"/>
            </a:pPr>
            <a:r>
              <a:rPr lang="pl-PL" sz="1100" b="1">
                <a:latin typeface="Times New Roman" panose="02020603050405020304" pitchFamily="18" charset="0"/>
                <a:cs typeface="Times New Roman" panose="02020603050405020304" pitchFamily="18" charset="0"/>
              </a:rPr>
              <a:t>Podmioty gospodarki</a:t>
            </a:r>
            <a:r>
              <a:rPr lang="pl-PL" sz="11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narodowej ogółem</a:t>
            </a:r>
            <a:endParaRPr lang="pl-PL" sz="11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4269775779209743"/>
          <c:y val="2.2369872305287683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8.3342179992864016E-2"/>
          <c:y val="0.15404395808791618"/>
          <c:w val="0.88969887143995263"/>
          <c:h val="0.74678787690908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ogółem!$F$13</c:f>
              <c:strCache>
                <c:ptCount val="1"/>
                <c:pt idx="0">
                  <c:v>2016</c:v>
                </c:pt>
              </c:strCache>
            </c:strRef>
          </c:tx>
          <c:spPr>
            <a:gradFill>
              <a:gsLst>
                <a:gs pos="0">
                  <a:schemeClr val="accent4">
                    <a:lumMod val="20000"/>
                    <a:lumOff val="80000"/>
                    <a:alpha val="55000"/>
                  </a:schemeClr>
                </a:gs>
                <a:gs pos="50000">
                  <a:schemeClr val="accent4">
                    <a:lumMod val="28000"/>
                    <a:lumOff val="72000"/>
                    <a:alpha val="67000"/>
                  </a:schemeClr>
                </a:gs>
                <a:gs pos="100000">
                  <a:schemeClr val="accent4">
                    <a:lumMod val="28000"/>
                    <a:lumOff val="72000"/>
                  </a:schemeClr>
                </a:gs>
              </a:gsLst>
              <a:lin ang="5400000" scaled="0"/>
            </a:gradFill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gradFill>
                <a:gsLst>
                  <a:gs pos="0">
                    <a:schemeClr val="accent4">
                      <a:lumMod val="20000"/>
                      <a:lumOff val="80000"/>
                      <a:alpha val="55000"/>
                    </a:schemeClr>
                  </a:gs>
                  <a:gs pos="50000">
                    <a:schemeClr val="accent4">
                      <a:lumMod val="28000"/>
                      <a:lumOff val="72000"/>
                      <a:alpha val="67000"/>
                    </a:schemeClr>
                  </a:gs>
                  <a:gs pos="100000">
                    <a:schemeClr val="accent4">
                      <a:lumMod val="28000"/>
                      <a:lumOff val="72000"/>
                    </a:schemeClr>
                  </a:gs>
                </a:gsLst>
                <a:lin ang="5400000" scaled="0"/>
              </a:gradFill>
              <a:ln w="57150">
                <a:solidFill>
                  <a:srgbClr val="FFFFFF"/>
                </a:solidFill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  <c:spPr>
              <a:gradFill>
                <a:gsLst>
                  <a:gs pos="0">
                    <a:schemeClr val="accent4">
                      <a:lumMod val="20000"/>
                      <a:lumOff val="80000"/>
                      <a:alpha val="55000"/>
                    </a:schemeClr>
                  </a:gs>
                  <a:gs pos="50000">
                    <a:schemeClr val="accent4">
                      <a:lumMod val="28000"/>
                      <a:lumOff val="72000"/>
                      <a:alpha val="67000"/>
                    </a:schemeClr>
                  </a:gs>
                  <a:gs pos="100000">
                    <a:schemeClr val="accent4">
                      <a:lumMod val="28000"/>
                      <a:lumOff val="72000"/>
                    </a:schemeClr>
                  </a:gs>
                </a:gsLst>
                <a:lin ang="5400000" scaled="0"/>
              </a:gradFill>
              <a:ln>
                <a:solidFill>
                  <a:schemeClr val="accent1"/>
                </a:solidFill>
              </a:ln>
              <a:effectLst>
                <a:outerShdw blurRad="76200" dist="12700" dir="8100000" sy="-23000" kx="800400" algn="br" rotWithShape="0">
                  <a:prstClr val="black">
                    <a:alpha val="20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3.099165676916084E-3"/>
                  <c:y val="3.74054085935887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4629345892780332E-3"/>
                  <c:y val="3.394652246446323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841916411058994E-3"/>
                  <c:y val="3.7417315452919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00700013907561E-3"/>
                  <c:y val="3.11741279294016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8.0354797335929415E-4"/>
                  <c:y val="3.119827155215817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ogółem!$H$3:$L$7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ogółem!$H$13:$L$13</c:f>
              <c:numCache>
                <c:formatCode>0.0</c:formatCode>
                <c:ptCount val="5"/>
                <c:pt idx="0">
                  <c:v>95.592820225455881</c:v>
                </c:pt>
                <c:pt idx="1">
                  <c:v>3.5481582602578854</c:v>
                </c:pt>
                <c:pt idx="2">
                  <c:v>0.74575705369331557</c:v>
                </c:pt>
                <c:pt idx="3">
                  <c:v>9.3592212174141126E-2</c:v>
                </c:pt>
                <c:pt idx="4" formatCode="0.00">
                  <c:v>1.9672248418768516E-2</c:v>
                </c:pt>
              </c:numCache>
            </c:numRef>
          </c:val>
        </c:ser>
        <c:ser>
          <c:idx val="1"/>
          <c:order val="1"/>
          <c:tx>
            <c:strRef>
              <c:f>ogółem!$F$16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solidFill>
                <a:srgbClr val="CC99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  <a:ln>
                <a:solidFill>
                  <a:schemeClr val="bg1"/>
                </a:solidFill>
              </a:ln>
            </c:spPr>
          </c:dPt>
          <c:dLbls>
            <c:dLbl>
              <c:idx val="0"/>
              <c:layout>
                <c:manualLayout>
                  <c:x val="6.4300063050777871E-3"/>
                  <c:y val="3.7453183520599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9914537464130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7.4525749233176983E-3"/>
                  <c:y val="2.9914537464130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9914537464130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1168492206630588E-3"/>
                  <c:y val="2.9950160724291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ogółem!$H$3:$L$7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ogółem!$H$16:$L$16</c:f>
              <c:numCache>
                <c:formatCode>0.0</c:formatCode>
                <c:ptCount val="5"/>
                <c:pt idx="0">
                  <c:v>95.538736338591022</c:v>
                </c:pt>
                <c:pt idx="1">
                  <c:v>3.5899609457782082</c:v>
                </c:pt>
                <c:pt idx="2">
                  <c:v>0.75625927159335171</c:v>
                </c:pt>
                <c:pt idx="3">
                  <c:v>9.4456722472828561E-2</c:v>
                </c:pt>
                <c:pt idx="4" formatCode="0.00">
                  <c:v>2.0586721564590838E-2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8835200"/>
        <c:axId val="88836736"/>
      </c:barChart>
      <c:catAx>
        <c:axId val="88835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836736"/>
        <c:crosses val="autoZero"/>
        <c:auto val="1"/>
        <c:lblAlgn val="ctr"/>
        <c:lblOffset val="100"/>
        <c:noMultiLvlLbl val="0"/>
      </c:catAx>
      <c:valAx>
        <c:axId val="88836736"/>
        <c:scaling>
          <c:orientation val="minMax"/>
          <c:max val="100"/>
          <c:min val="0"/>
        </c:scaling>
        <c:delete val="0"/>
        <c:axPos val="l"/>
        <c:majorGridlines/>
        <c:min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8835200"/>
        <c:crosses val="autoZero"/>
        <c:crossBetween val="between"/>
        <c:majorUnit val="20"/>
        <c:minorUnit val="4"/>
      </c:valAx>
    </c:plotArea>
    <c:legend>
      <c:legendPos val="r"/>
      <c:layout>
        <c:manualLayout>
          <c:xMode val="edge"/>
          <c:yMode val="edge"/>
          <c:x val="0.38341365878982309"/>
          <c:y val="0.19951104426553423"/>
          <c:w val="0.25391555105891095"/>
          <c:h val="0.15105488218467072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100" b="1">
                <a:latin typeface="Times New Roman" panose="02020603050405020304" pitchFamily="18" charset="0"/>
                <a:cs typeface="Times New Roman" panose="02020603050405020304" pitchFamily="18" charset="0"/>
              </a:rPr>
              <a:t>Sektor</a:t>
            </a:r>
            <a:r>
              <a:rPr lang="pl-PL" sz="110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publiczny</a:t>
            </a:r>
            <a:endParaRPr lang="pl-PL" sz="110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7942744164535791"/>
          <c:y val="9.4299589796784385E-6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1313729941572175"/>
          <c:y val="0.13238656545177363"/>
          <c:w val="0.82675725660874666"/>
          <c:h val="0.7075826340072921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publ!$F$8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2.8113460614259192E-3"/>
                  <c:y val="2.39628067050575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34498935119667E-3"/>
                  <c:y val="1.24908488494079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113460614259192E-3"/>
                  <c:y val="1.5975204470038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008683960208164E-3"/>
                  <c:y val="8.727870568138649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1.7267461820435971E-3"/>
                  <c:y val="8.738434148040390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publ!$H$3:$L$7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publ!$H$9:$L$9</c:f>
              <c:numCache>
                <c:formatCode>0.0</c:formatCode>
                <c:ptCount val="5"/>
                <c:pt idx="0">
                  <c:v>55.775303307295999</c:v>
                </c:pt>
                <c:pt idx="1">
                  <c:v>33.072959946817349</c:v>
                </c:pt>
                <c:pt idx="2">
                  <c:v>10.038225029084261</c:v>
                </c:pt>
                <c:pt idx="3">
                  <c:v>0.89745720458700351</c:v>
                </c:pt>
                <c:pt idx="4" formatCode="0.00">
                  <c:v>0.21605451221538974</c:v>
                </c:pt>
              </c:numCache>
            </c:numRef>
          </c:val>
        </c:ser>
        <c:ser>
          <c:idx val="1"/>
          <c:order val="1"/>
          <c:tx>
            <c:strRef>
              <c:f>publ!$F$10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solidFill>
                <a:schemeClr val="bg1"/>
              </a:solidFill>
            </a:ln>
            <a:effectLst>
              <a:outerShdw blurRad="88900" dir="16200000" sx="96000" sy="96000" rotWithShape="0">
                <a:prstClr val="black">
                  <a:alpha val="18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8.440457793394425E-3"/>
                  <c:y val="3.19541826104238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5384245703625E-2"/>
                  <c:y val="1.59752044700383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251758087201125E-2"/>
                  <c:y val="3.193614782161523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1256231171452486E-2"/>
                  <c:y val="1.596451240405443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publ!$H$3:$L$7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publ!$H$11:$L$11</c:f>
              <c:numCache>
                <c:formatCode>0.0</c:formatCode>
                <c:ptCount val="5"/>
                <c:pt idx="0">
                  <c:v>55.438772105438773</c:v>
                </c:pt>
                <c:pt idx="1">
                  <c:v>33.333333333333329</c:v>
                </c:pt>
                <c:pt idx="2">
                  <c:v>10.11011011011011</c:v>
                </c:pt>
                <c:pt idx="3">
                  <c:v>0.90090090090090091</c:v>
                </c:pt>
                <c:pt idx="4" formatCode="0.00">
                  <c:v>0.21688355021688357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9084672"/>
        <c:axId val="89086208"/>
      </c:barChart>
      <c:catAx>
        <c:axId val="890846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9086208"/>
        <c:crosses val="autoZero"/>
        <c:auto val="1"/>
        <c:lblAlgn val="ctr"/>
        <c:lblOffset val="100"/>
        <c:noMultiLvlLbl val="0"/>
      </c:catAx>
      <c:valAx>
        <c:axId val="89086208"/>
        <c:scaling>
          <c:orientation val="minMax"/>
          <c:max val="100"/>
          <c:min val="0"/>
        </c:scaling>
        <c:delete val="0"/>
        <c:axPos val="l"/>
        <c:majorGridlines/>
        <c:minorGridlines/>
        <c:numFmt formatCode="0.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084672"/>
        <c:crosses val="autoZero"/>
        <c:crossBetween val="between"/>
        <c:majorUnit val="20"/>
        <c:minorUnit val="4"/>
      </c:valAx>
    </c:plotArea>
    <c:legend>
      <c:legendPos val="r"/>
      <c:layout>
        <c:manualLayout>
          <c:xMode val="edge"/>
          <c:yMode val="edge"/>
          <c:x val="0.48993368158607531"/>
          <c:y val="0.20381787605890581"/>
          <c:w val="0.19764975580584071"/>
          <c:h val="0.13705250915491848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050" b="1">
                <a:latin typeface="Times New Roman" panose="02020603050405020304" pitchFamily="18" charset="0"/>
                <a:cs typeface="Times New Roman" panose="02020603050405020304" pitchFamily="18" charset="0"/>
              </a:rPr>
              <a:t>Sektor prywatny</a:t>
            </a:r>
          </a:p>
        </c:rich>
      </c:tx>
      <c:layout>
        <c:manualLayout>
          <c:xMode val="edge"/>
          <c:yMode val="edge"/>
          <c:x val="0.43179989088693488"/>
          <c:y val="0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0751143448841047"/>
          <c:y val="0.14035495962365727"/>
          <c:w val="0.8548866518267495"/>
          <c:h val="0.7353073975584396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pryw!$F$8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5.6258790436005627E-3"/>
                  <c:y val="7.98722044728430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473969234858302E-3"/>
                  <c:y val="4.501773540288294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6258790436005627E-3"/>
                  <c:y val="7.98722044728427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721823726831022E-3"/>
                  <c:y val="2.47030750381769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879652701640144E-3"/>
                  <c:y val="3.270043520917712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pryw!$H$3:$L$7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pryw!$H$9:$L$9</c:f>
              <c:numCache>
                <c:formatCode>#,##0.0</c:formatCode>
                <c:ptCount val="5"/>
                <c:pt idx="0">
                  <c:v>97.054463462640456</c:v>
                </c:pt>
                <c:pt idx="1">
                  <c:v>2.4659291925156341</c:v>
                </c:pt>
                <c:pt idx="2">
                  <c:v>0.40299474300520721</c:v>
                </c:pt>
                <c:pt idx="3">
                  <c:v>6.4155268206393098E-2</c:v>
                </c:pt>
                <c:pt idx="4">
                  <c:v>1.245733363230934E-2</c:v>
                </c:pt>
              </c:numCache>
            </c:numRef>
          </c:val>
        </c:ser>
        <c:ser>
          <c:idx val="1"/>
          <c:order val="1"/>
          <c:tx>
            <c:strRef>
              <c:f>pryw!$F$10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solidFill>
                <a:schemeClr val="bg1"/>
              </a:solidFill>
            </a:ln>
            <a:effectLst>
              <a:glow rad="330200">
                <a:schemeClr val="bg1">
                  <a:lumMod val="85000"/>
                  <a:alpha val="33000"/>
                </a:schemeClr>
              </a:glow>
              <a:outerShdw blurRad="342900" dist="165100" dir="12600000" sx="98000" sy="98000" algn="r" rotWithShape="0">
                <a:prstClr val="black">
                  <a:alpha val="34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8.4388185654008432E-3"/>
                  <c:y val="7.99036502226359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340381842777055E-3"/>
                  <c:y val="1.597520447003831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196091166418629E-6"/>
                  <c:y val="2.39483409687263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69057665260197E-2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pryw!$H$3:$L$7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pryw!$H$11:$L$11</c:f>
              <c:numCache>
                <c:formatCode>#,##0.0</c:formatCode>
                <c:ptCount val="5"/>
                <c:pt idx="0">
                  <c:v>97.031130446879686</c:v>
                </c:pt>
                <c:pt idx="1">
                  <c:v>2.4844916877975987</c:v>
                </c:pt>
                <c:pt idx="2">
                  <c:v>0.40659917415471003</c:v>
                </c:pt>
                <c:pt idx="3">
                  <c:v>6.4499402432006886E-2</c:v>
                </c:pt>
                <c:pt idx="4">
                  <c:v>1.3279288736001418E-2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9203072"/>
        <c:axId val="89204608"/>
      </c:barChart>
      <c:catAx>
        <c:axId val="89203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204608"/>
        <c:crosses val="autoZero"/>
        <c:auto val="1"/>
        <c:lblAlgn val="ctr"/>
        <c:lblOffset val="100"/>
        <c:noMultiLvlLbl val="0"/>
      </c:catAx>
      <c:valAx>
        <c:axId val="89204608"/>
        <c:scaling>
          <c:orientation val="minMax"/>
          <c:max val="100"/>
          <c:min val="0"/>
        </c:scaling>
        <c:delete val="0"/>
        <c:axPos val="l"/>
        <c:majorGridlines/>
        <c:min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9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203072"/>
        <c:crosses val="autoZero"/>
        <c:crossBetween val="between"/>
        <c:majorUnit val="20"/>
        <c:minorUnit val="4"/>
      </c:valAx>
    </c:plotArea>
    <c:legend>
      <c:legendPos val="r"/>
      <c:layout>
        <c:manualLayout>
          <c:xMode val="edge"/>
          <c:yMode val="edge"/>
          <c:x val="0.42453327287391546"/>
          <c:y val="0.19538479222943847"/>
          <c:w val="0.21171445341484207"/>
          <c:h val="0.12101761376213516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50" b="1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pl-PL" sz="1050" b="1">
                <a:latin typeface="Times New Roman" panose="02020603050405020304" pitchFamily="18" charset="0"/>
                <a:cs typeface="Times New Roman" panose="02020603050405020304" pitchFamily="18" charset="0"/>
              </a:rPr>
              <a:t>osoby fizyczne w</a:t>
            </a:r>
            <a:r>
              <a:rPr lang="pl-PL" sz="1050" b="1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sektorze prywatnym</a:t>
            </a:r>
            <a:endParaRPr lang="pl-PL" sz="1050" b="1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4260314863239499"/>
          <c:y val="5.6140350877192984E-2"/>
        </c:manualLayout>
      </c:layout>
      <c:overlay val="1"/>
    </c:title>
    <c:autoTitleDeleted val="0"/>
    <c:plotArea>
      <c:layout>
        <c:manualLayout>
          <c:layoutTarget val="inner"/>
          <c:xMode val="edge"/>
          <c:yMode val="edge"/>
          <c:x val="0.12976574732704604"/>
          <c:y val="0.16150352258599254"/>
          <c:w val="0.8548866518267495"/>
          <c:h val="0.6776477321325249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'osoby fiz.'!$F$8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chemeClr val="accent4">
                <a:lumMod val="60000"/>
                <a:lumOff val="40000"/>
              </a:schemeClr>
            </a:solidFill>
            <a:ln>
              <a:noFill/>
            </a:ln>
            <a:effectLst>
              <a:outerShdw blurRad="76200" dist="12700" dir="8100000" sy="-23000" kx="800400" algn="br" rotWithShape="0">
                <a:prstClr val="black">
                  <a:alpha val="20000"/>
                </a:prstClr>
              </a:outerShdw>
            </a:effectLst>
            <a:scene3d>
              <a:camera prst="orthographicFront"/>
              <a:lightRig rig="threePt" dir="t"/>
            </a:scene3d>
            <a:sp3d prstMaterial="metal">
              <a:bevelT prst="angle"/>
              <a:bevelB prst="angle"/>
            </a:sp3d>
          </c:spPr>
          <c:invertIfNegative val="0"/>
          <c:dPt>
            <c:idx val="0"/>
            <c:invertIfNegative val="0"/>
            <c:bubble3D val="0"/>
          </c:dPt>
          <c:dPt>
            <c:idx val="1"/>
            <c:invertIfNegative val="0"/>
            <c:bubble3D val="0"/>
          </c:dPt>
          <c:dPt>
            <c:idx val="2"/>
            <c:invertIfNegative val="0"/>
            <c:bubble3D val="0"/>
            <c:spPr>
              <a:solidFill>
                <a:schemeClr val="accent4">
                  <a:lumMod val="60000"/>
                  <a:lumOff val="40000"/>
                </a:schemeClr>
              </a:solidFill>
              <a:ln w="57150">
                <a:noFill/>
              </a:ln>
              <a:effectLst>
                <a:outerShdw blurRad="88900" dist="241300" dir="1680000" sx="148000" sy="148000" kx="800400" algn="br" rotWithShape="0">
                  <a:srgbClr val="505CCC">
                    <a:alpha val="31765"/>
                  </a:srgbClr>
                </a:outerShdw>
              </a:effectLst>
              <a:scene3d>
                <a:camera prst="orthographicFront"/>
                <a:lightRig rig="threePt" dir="t"/>
              </a:scene3d>
              <a:sp3d prstMaterial="metal">
                <a:bevelT prst="angle"/>
                <a:bevelB prst="angle"/>
              </a:sp3d>
            </c:spPr>
          </c:dPt>
          <c:dPt>
            <c:idx val="3"/>
            <c:invertIfNegative val="0"/>
            <c:bubble3D val="0"/>
          </c:dPt>
          <c:dPt>
            <c:idx val="4"/>
            <c:invertIfNegative val="0"/>
            <c:bubble3D val="0"/>
          </c:dPt>
          <c:dPt>
            <c:idx val="5"/>
            <c:invertIfNegative val="0"/>
            <c:bubble3D val="0"/>
          </c:dPt>
          <c:dLbls>
            <c:dLbl>
              <c:idx val="0"/>
              <c:layout>
                <c:manualLayout>
                  <c:x val="-5.6258790436005627E-3"/>
                  <c:y val="7.987220447284308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6473969234858302E-3"/>
                  <c:y val="4.501773540288294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6258790436005627E-3"/>
                  <c:y val="7.9872204472842719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721823726831022E-3"/>
                  <c:y val="2.470307503817696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0879652701640144E-3"/>
                  <c:y val="3.270043520917712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'osoby fiz.'!$H$3:$L$7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'osoby fiz.'!$H$9:$L$9</c:f>
              <c:numCache>
                <c:formatCode>#,##0.0</c:formatCode>
                <c:ptCount val="5"/>
                <c:pt idx="0">
                  <c:v>99.055071848811494</c:v>
                </c:pt>
                <c:pt idx="1">
                  <c:v>0.91636814661890353</c:v>
                </c:pt>
                <c:pt idx="2">
                  <c:v>2.6928004308480687E-2</c:v>
                </c:pt>
                <c:pt idx="3">
                  <c:v>1.6320002611200416E-3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'osoby fiz.'!$F$10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chemeClr val="accent4">
                <a:lumMod val="50000"/>
              </a:schemeClr>
            </a:solidFill>
            <a:ln>
              <a:solidFill>
                <a:schemeClr val="bg1"/>
              </a:solidFill>
            </a:ln>
            <a:effectLst>
              <a:glow rad="330200">
                <a:schemeClr val="bg1">
                  <a:lumMod val="85000"/>
                  <a:alpha val="33000"/>
                </a:schemeClr>
              </a:glow>
              <a:outerShdw blurRad="50800" dist="38100" dir="10800000" algn="r" rotWithShape="0">
                <a:prstClr val="black">
                  <a:alpha val="40000"/>
                </a:prstClr>
              </a:outerShdw>
            </a:effectLst>
          </c:spPr>
          <c:invertIfNegative val="0"/>
          <c:dLbls>
            <c:dLbl>
              <c:idx val="0"/>
              <c:layout>
                <c:manualLayout>
                  <c:x val="8.4388185654008432E-3"/>
                  <c:y val="7.990365022263591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4340381842777055E-3"/>
                  <c:y val="1.597520447003831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196091166418629E-6"/>
                  <c:y val="2.394834096872633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0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1.969057665260197E-2"/>
                  <c:y val="2.395211086621143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'osoby fiz.'!$H$3:$L$7</c:f>
              <c:strCache>
                <c:ptCount val="5"/>
                <c:pt idx="0">
                  <c:v>0-9</c:v>
                </c:pt>
                <c:pt idx="1">
                  <c:v>10-49</c:v>
                </c:pt>
                <c:pt idx="2">
                  <c:v>50-249</c:v>
                </c:pt>
                <c:pt idx="3">
                  <c:v>250-999</c:v>
                </c:pt>
                <c:pt idx="4">
                  <c:v>1000 i więcej</c:v>
                </c:pt>
              </c:strCache>
            </c:strRef>
          </c:cat>
          <c:val>
            <c:numRef>
              <c:f>'osoby fiz.'!$H$11:$L$11</c:f>
              <c:numCache>
                <c:formatCode>#,##0.0</c:formatCode>
                <c:ptCount val="5"/>
                <c:pt idx="0">
                  <c:v>99.056626750558152</c:v>
                </c:pt>
                <c:pt idx="1">
                  <c:v>0.91739395169474314</c:v>
                </c:pt>
                <c:pt idx="2">
                  <c:v>2.4355591637913537E-2</c:v>
                </c:pt>
                <c:pt idx="3">
                  <c:v>1.6237061091942358E-3</c:v>
                </c:pt>
                <c:pt idx="4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89255936"/>
        <c:axId val="89257472"/>
      </c:barChart>
      <c:catAx>
        <c:axId val="892559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257472"/>
        <c:crosses val="autoZero"/>
        <c:auto val="1"/>
        <c:lblAlgn val="ctr"/>
        <c:lblOffset val="100"/>
        <c:noMultiLvlLbl val="0"/>
      </c:catAx>
      <c:valAx>
        <c:axId val="89257472"/>
        <c:scaling>
          <c:orientation val="minMax"/>
          <c:max val="100"/>
          <c:min val="0"/>
        </c:scaling>
        <c:delete val="0"/>
        <c:axPos val="l"/>
        <c:majorGridlines/>
        <c:minorGridlines/>
        <c:numFmt formatCode="#,##0.0" sourceLinked="1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255936"/>
        <c:crosses val="autoZero"/>
        <c:crossBetween val="between"/>
        <c:majorUnit val="20"/>
        <c:minorUnit val="4"/>
      </c:valAx>
    </c:plotArea>
    <c:legend>
      <c:legendPos val="r"/>
      <c:layout>
        <c:manualLayout>
          <c:xMode val="edge"/>
          <c:yMode val="edge"/>
          <c:x val="0.43943494076227485"/>
          <c:y val="0.19738914214670536"/>
          <c:w val="0.21171445341484207"/>
          <c:h val="0.12101761376213516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29"/>
    </mc:Choice>
    <mc:Fallback>
      <c:style val="29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10310992053828323"/>
          <c:y val="6.8535825545171333E-2"/>
          <c:w val="0.86191988887986937"/>
          <c:h val="0.641649863860475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'osoby fiz.'!$E$26</c:f>
              <c:strCache>
                <c:ptCount val="1"/>
                <c:pt idx="0">
                  <c:v>2015</c:v>
                </c:pt>
              </c:strCache>
            </c:strRef>
          </c:tx>
          <c:spPr>
            <a:solidFill>
              <a:sysClr val="window" lastClr="FFFFFF"/>
            </a:solidFill>
            <a:ln>
              <a:solidFill>
                <a:sysClr val="window" lastClr="FFFFFF">
                  <a:lumMod val="85000"/>
                </a:sysClr>
              </a:solidFill>
            </a:ln>
          </c:spPr>
          <c:invertIfNegative val="0"/>
          <c:dLbls>
            <c:dLbl>
              <c:idx val="0"/>
              <c:layout>
                <c:manualLayout>
                  <c:x val="0"/>
                  <c:y val="3.1152647975077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820323476431866E-3"/>
                  <c:y val="1.24734112941960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19014891179842E-3"/>
                  <c:y val="2.49221183800623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819014891179842E-3"/>
                  <c:y val="3.7383177570093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'osoby fiz.'!$D$27:$D$30</c:f>
              <c:strCache>
                <c:ptCount val="4"/>
                <c:pt idx="0">
                  <c:v>sektor publiczny</c:v>
                </c:pt>
                <c:pt idx="1">
                  <c:v>sektor prywatny</c:v>
                </c:pt>
                <c:pt idx="2">
                  <c:v>w tym osoby fizyczne</c:v>
                </c:pt>
                <c:pt idx="3">
                  <c:v>razem (publ. + pryw.)</c:v>
                </c:pt>
              </c:strCache>
            </c:strRef>
          </c:cat>
          <c:val>
            <c:numRef>
              <c:f>'osoby fiz.'!$E$27:$E$30</c:f>
              <c:numCache>
                <c:formatCode>General</c:formatCode>
                <c:ptCount val="4"/>
                <c:pt idx="0">
                  <c:v>5994</c:v>
                </c:pt>
                <c:pt idx="1">
                  <c:v>158141</c:v>
                </c:pt>
                <c:pt idx="2">
                  <c:v>122549</c:v>
                </c:pt>
                <c:pt idx="3">
                  <c:v>164135</c:v>
                </c:pt>
              </c:numCache>
            </c:numRef>
          </c:val>
        </c:ser>
        <c:ser>
          <c:idx val="1"/>
          <c:order val="1"/>
          <c:tx>
            <c:strRef>
              <c:f>'osoby fiz.'!$F$26</c:f>
              <c:strCache>
                <c:ptCount val="1"/>
                <c:pt idx="0">
                  <c:v>2016</c:v>
                </c:pt>
              </c:strCache>
            </c:strRef>
          </c:tx>
          <c:spPr>
            <a:solidFill>
              <a:srgbClr val="8064A2">
                <a:lumMod val="75000"/>
              </a:srgbClr>
            </a:solidFill>
            <a:ln>
              <a:solidFill>
                <a:sysClr val="window" lastClr="FFFFFF"/>
              </a:solidFill>
            </a:ln>
          </c:spPr>
          <c:invertIfNegative val="0"/>
          <c:dLbls>
            <c:dLbl>
              <c:idx val="0"/>
              <c:layout>
                <c:manualLayout>
                  <c:x val="6.8728522336769758E-3"/>
                  <c:y val="3.7383177570093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452644481826446E-2"/>
                  <c:y val="2.49281982414695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745704467353952E-2"/>
                  <c:y val="3.1152647975077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6.8728522336769758E-3"/>
                  <c:y val="3.7383177570093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'osoby fiz.'!$D$27:$D$30</c:f>
              <c:strCache>
                <c:ptCount val="4"/>
                <c:pt idx="0">
                  <c:v>sektor publiczny</c:v>
                </c:pt>
                <c:pt idx="1">
                  <c:v>sektor prywatny</c:v>
                </c:pt>
                <c:pt idx="2">
                  <c:v>w tym osoby fizyczne</c:v>
                </c:pt>
                <c:pt idx="3">
                  <c:v>razem (publ. + pryw.)</c:v>
                </c:pt>
              </c:strCache>
            </c:strRef>
          </c:cat>
          <c:val>
            <c:numRef>
              <c:f>'osoby fiz.'!$F$27:$F$30</c:f>
              <c:numCache>
                <c:formatCode>General</c:formatCode>
                <c:ptCount val="4"/>
                <c:pt idx="0">
                  <c:v>6017</c:v>
                </c:pt>
                <c:pt idx="1">
                  <c:v>160548</c:v>
                </c:pt>
                <c:pt idx="2">
                  <c:v>123175</c:v>
                </c:pt>
                <c:pt idx="3">
                  <c:v>166565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299968"/>
        <c:axId val="89314048"/>
      </c:barChart>
      <c:catAx>
        <c:axId val="89299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314048"/>
        <c:crosses val="autoZero"/>
        <c:auto val="1"/>
        <c:lblAlgn val="ctr"/>
        <c:lblOffset val="100"/>
        <c:noMultiLvlLbl val="0"/>
      </c:catAx>
      <c:valAx>
        <c:axId val="89314048"/>
        <c:scaling>
          <c:orientation val="minMax"/>
          <c:max val="180000"/>
          <c:min val="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6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pl-PL"/>
          </a:p>
        </c:txPr>
        <c:crossAx val="89299968"/>
        <c:crosses val="autoZero"/>
        <c:crossBetween val="between"/>
        <c:majorUnit val="10000"/>
        <c:minorUnit val="6000"/>
      </c:valAx>
    </c:plotArea>
    <c:legend>
      <c:legendPos val="r"/>
      <c:layout>
        <c:manualLayout>
          <c:xMode val="edge"/>
          <c:yMode val="edge"/>
          <c:x val="0.14029127754168216"/>
          <c:y val="0.31196605097260038"/>
          <c:w val="0.17926706740409279"/>
          <c:h val="0.10690959227503635"/>
        </c:manualLayout>
      </c:layout>
      <c:overlay val="0"/>
      <c:txPr>
        <a:bodyPr/>
        <a:lstStyle/>
        <a:p>
          <a:pPr>
            <a:defRPr sz="11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pl-PL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8C0F-E993-4DDF-BDCF-37594038A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57</Pages>
  <Words>10219</Words>
  <Characters>61316</Characters>
  <Application>Microsoft Office Word</Application>
  <DocSecurity>0</DocSecurity>
  <Lines>510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Piotr.Kocaj</dc:creator>
  <cp:lastModifiedBy>WUP</cp:lastModifiedBy>
  <cp:revision>32</cp:revision>
  <cp:lastPrinted>2017-02-21T12:11:00Z</cp:lastPrinted>
  <dcterms:created xsi:type="dcterms:W3CDTF">2017-02-21T12:02:00Z</dcterms:created>
  <dcterms:modified xsi:type="dcterms:W3CDTF">2017-09-01T06:29:00Z</dcterms:modified>
</cp:coreProperties>
</file>