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6E" w:rsidRPr="004E3B3E" w:rsidRDefault="0051416E" w:rsidP="009A1F42">
      <w:pPr>
        <w:pStyle w:val="Default"/>
        <w:jc w:val="both"/>
      </w:pPr>
      <w:r w:rsidRPr="004E3B3E">
        <w:rPr>
          <w:noProof/>
          <w:lang w:eastAsia="pl-PL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-819785</wp:posOffset>
            </wp:positionV>
            <wp:extent cx="7559040" cy="1092835"/>
            <wp:effectExtent l="0" t="0" r="381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92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Default="0051416E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0610DD" w:rsidRDefault="000610DD" w:rsidP="009A1F42">
      <w:pPr>
        <w:pStyle w:val="Default"/>
        <w:jc w:val="both"/>
        <w:rPr>
          <w:sz w:val="16"/>
          <w:szCs w:val="16"/>
        </w:rPr>
      </w:pP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Pr="000610DD" w:rsidRDefault="0051416E" w:rsidP="009A1F42">
      <w:pPr>
        <w:pStyle w:val="Default"/>
        <w:jc w:val="both"/>
        <w:rPr>
          <w:sz w:val="16"/>
          <w:szCs w:val="16"/>
        </w:rPr>
      </w:pPr>
    </w:p>
    <w:p w:rsidR="0051416E" w:rsidRDefault="0051416E" w:rsidP="009A1F42">
      <w:pPr>
        <w:pStyle w:val="Default"/>
        <w:jc w:val="both"/>
        <w:rPr>
          <w:sz w:val="16"/>
          <w:szCs w:val="16"/>
        </w:rPr>
      </w:pPr>
    </w:p>
    <w:p w:rsidR="0007170C" w:rsidRDefault="0007170C" w:rsidP="009A1F42">
      <w:pPr>
        <w:pStyle w:val="Default"/>
        <w:jc w:val="both"/>
        <w:rPr>
          <w:sz w:val="16"/>
          <w:szCs w:val="16"/>
        </w:rPr>
      </w:pPr>
    </w:p>
    <w:p w:rsidR="0007170C" w:rsidRPr="000610DD" w:rsidRDefault="0007170C" w:rsidP="009A1F42">
      <w:pPr>
        <w:pStyle w:val="Default"/>
        <w:jc w:val="both"/>
        <w:rPr>
          <w:sz w:val="16"/>
          <w:szCs w:val="16"/>
        </w:rPr>
      </w:pPr>
    </w:p>
    <w:p w:rsidR="0009289E" w:rsidRPr="000610DD" w:rsidRDefault="0009289E" w:rsidP="000610DD">
      <w:pPr>
        <w:pStyle w:val="Default"/>
        <w:rPr>
          <w:sz w:val="16"/>
          <w:szCs w:val="16"/>
        </w:rPr>
      </w:pPr>
    </w:p>
    <w:p w:rsidR="0009289E" w:rsidRPr="000610DD" w:rsidRDefault="0009289E" w:rsidP="000610DD">
      <w:pPr>
        <w:pStyle w:val="Default"/>
        <w:rPr>
          <w:sz w:val="16"/>
          <w:szCs w:val="16"/>
        </w:rPr>
      </w:pPr>
    </w:p>
    <w:p w:rsidR="0051416E" w:rsidRPr="0007170C" w:rsidRDefault="0051416E" w:rsidP="00516004">
      <w:pPr>
        <w:pStyle w:val="Default"/>
        <w:jc w:val="center"/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ANALIZA SYTUACJI</w:t>
      </w:r>
      <w:r w:rsid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NA RYNKU PRACY</w:t>
      </w:r>
    </w:p>
    <w:p w:rsidR="0051416E" w:rsidRPr="0007170C" w:rsidRDefault="0051416E" w:rsidP="00516004">
      <w:pPr>
        <w:pStyle w:val="Default"/>
        <w:jc w:val="center"/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 WOJEWÓDZTWIE</w:t>
      </w:r>
      <w:r w:rsid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PODKARPACKIM</w:t>
      </w:r>
    </w:p>
    <w:p w:rsidR="0051416E" w:rsidRPr="004E3B3E" w:rsidRDefault="00235A6B" w:rsidP="00516004">
      <w:pPr>
        <w:pStyle w:val="Default"/>
        <w:jc w:val="center"/>
        <w:rPr>
          <w:sz w:val="40"/>
        </w:rPr>
      </w:pPr>
      <w:r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="0051416E"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357AC"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 PÓŁROCZU</w:t>
      </w:r>
      <w:r w:rsid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1416E"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1B33E2"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r w:rsidR="0051416E"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07170C">
        <w:rPr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ROKU</w:t>
      </w: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1416E" w:rsidRPr="000610DD" w:rsidRDefault="0051416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3B3E" w:rsidRPr="000610DD" w:rsidRDefault="004E3B3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3B3E" w:rsidRDefault="004E3B3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610DD" w:rsidRDefault="000610DD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79C4" w:rsidRDefault="008979C4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79C4" w:rsidRDefault="008979C4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79C4" w:rsidRDefault="008979C4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79C4" w:rsidRDefault="008979C4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20937" w:rsidRDefault="00F20937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E3B3E" w:rsidRPr="000610DD" w:rsidRDefault="004E3B3E" w:rsidP="000610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979C4" w:rsidRPr="004E3B3E" w:rsidRDefault="0051416E" w:rsidP="00F20937">
      <w:pPr>
        <w:pBdr>
          <w:top w:val="double" w:sz="6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3B3E">
        <w:rPr>
          <w:rFonts w:ascii="Times New Roman" w:hAnsi="Times New Roman" w:cs="Times New Roman"/>
          <w:sz w:val="24"/>
          <w:szCs w:val="24"/>
        </w:rPr>
        <w:t>RZESZÓW</w:t>
      </w:r>
      <w:r w:rsidR="00875C47">
        <w:rPr>
          <w:rFonts w:ascii="Times New Roman" w:hAnsi="Times New Roman" w:cs="Times New Roman"/>
          <w:sz w:val="24"/>
          <w:szCs w:val="24"/>
        </w:rPr>
        <w:t xml:space="preserve"> </w:t>
      </w:r>
      <w:r w:rsidRPr="004E3B3E">
        <w:rPr>
          <w:rFonts w:ascii="Times New Roman" w:hAnsi="Times New Roman" w:cs="Times New Roman"/>
          <w:sz w:val="24"/>
          <w:szCs w:val="24"/>
        </w:rPr>
        <w:t>201</w:t>
      </w:r>
      <w:r w:rsidR="001B33E2">
        <w:rPr>
          <w:rFonts w:ascii="Times New Roman" w:hAnsi="Times New Roman" w:cs="Times New Roman"/>
          <w:sz w:val="24"/>
          <w:szCs w:val="24"/>
        </w:rPr>
        <w:t>7</w:t>
      </w:r>
      <w:r w:rsidR="008979C4">
        <w:rPr>
          <w:rFonts w:ascii="Times New Roman" w:hAnsi="Times New Roman" w:cs="Times New Roman"/>
          <w:sz w:val="24"/>
          <w:szCs w:val="24"/>
        </w:rPr>
        <w:br w:type="page"/>
      </w:r>
    </w:p>
    <w:bookmarkStart w:id="0" w:name="_Toc446334626" w:displacedByCustomXml="next"/>
    <w:sdt>
      <w:sdtPr>
        <w:rPr>
          <w:rFonts w:asciiTheme="minorHAnsi" w:eastAsiaTheme="minorHAnsi" w:hAnsiTheme="minorHAnsi" w:cstheme="minorBidi"/>
          <w:b w:val="0"/>
          <w:bCs w:val="0"/>
          <w:caps/>
          <w:noProof/>
          <w:color w:val="auto"/>
          <w:sz w:val="22"/>
          <w:szCs w:val="22"/>
          <w:lang w:eastAsia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id w:val="-451094669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:rsidR="00584DE6" w:rsidRDefault="00584DE6" w:rsidP="004F147E">
          <w:pPr>
            <w:pStyle w:val="Nagwekspisutreci"/>
            <w:jc w:val="center"/>
            <w:rPr>
              <w:rFonts w:ascii="Times New Roman" w:hAnsi="Times New Roman" w:cs="Times New Roman"/>
              <w:caps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</w:pPr>
          <w:r w:rsidRPr="004F147E">
            <w:rPr>
              <w:rFonts w:ascii="Times New Roman" w:hAnsi="Times New Roman" w:cs="Times New Roman"/>
              <w:caps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  <w:t>Spis treści</w:t>
          </w:r>
        </w:p>
        <w:p w:rsidR="004F147E" w:rsidRPr="004F147E" w:rsidRDefault="004F147E" w:rsidP="004F147E">
          <w:pPr>
            <w:rPr>
              <w:lang w:eastAsia="pl-PL"/>
            </w:rPr>
          </w:pPr>
        </w:p>
        <w:p w:rsidR="00DD38B6" w:rsidRDefault="00584DE6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263941" w:history="1">
            <w:r w:rsidR="00DD38B6" w:rsidRPr="00917FD8">
              <w:rPr>
                <w:rStyle w:val="Hipercze"/>
              </w:rPr>
              <w:t>Wstęp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_Toc489263941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3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2" w:history="1">
            <w:r w:rsidR="00DD38B6" w:rsidRPr="00917FD8">
              <w:rPr>
                <w:rStyle w:val="Hipercze"/>
              </w:rPr>
              <w:t>Podkarpacki rynek pracy w I półroczu 2017 r.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_Toc489263942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4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3" w:history="1">
            <w:r w:rsidR="00DD38B6" w:rsidRPr="00917FD8">
              <w:rPr>
                <w:rStyle w:val="Hipercze"/>
              </w:rPr>
              <w:t>Bezrobotni na rynku pracy, zmiany poziomu bezrobocia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_Toc489263943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4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4" w:history="1">
            <w:r w:rsidR="00DD38B6" w:rsidRPr="00917FD8">
              <w:rPr>
                <w:rStyle w:val="Hipercze"/>
              </w:rPr>
              <w:t>„Odpływ” bezrobotnych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_Toc489263944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9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5" w:history="1">
            <w:r w:rsidR="00DD38B6" w:rsidRPr="00917FD8">
              <w:rPr>
                <w:rStyle w:val="Hipercze"/>
              </w:rPr>
              <w:t>Bezrobotni z  prawem do zasiłku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_Toc489263945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13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6" w:history="1">
            <w:r w:rsidR="00DD38B6" w:rsidRPr="00917FD8">
              <w:rPr>
                <w:rStyle w:val="Hipercze"/>
              </w:rPr>
              <w:t>Bezrobotni wG wieku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_Toc489263946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15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7" w:history="1">
            <w:r w:rsidR="00DD38B6" w:rsidRPr="00917FD8">
              <w:rPr>
                <w:rStyle w:val="Hipercze"/>
              </w:rPr>
              <w:t>Bezrobotni według poziomu wykształcenia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_Toc489263947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16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8" w:history="1">
            <w:r w:rsidR="00DD38B6" w:rsidRPr="00917FD8">
              <w:rPr>
                <w:rStyle w:val="Hipercze"/>
              </w:rPr>
              <w:t>Bezrobotni według stażu pracy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_Toc489263948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17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49" w:history="1">
            <w:r w:rsidR="00DD38B6" w:rsidRPr="00917FD8">
              <w:rPr>
                <w:rStyle w:val="Hipercze"/>
              </w:rPr>
              <w:t>Bezrobotni zamieszkali na wsi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_Toc489263949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19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0" w:history="1">
            <w:r w:rsidR="00DD38B6" w:rsidRPr="00917FD8">
              <w:rPr>
                <w:rStyle w:val="Hipercze"/>
              </w:rPr>
              <w:t>Bezrobotni w szczególnej sytuacji na rynku pracy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_Toc489263950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20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1" w:history="1">
            <w:r w:rsidR="00DD38B6" w:rsidRPr="00917FD8">
              <w:rPr>
                <w:rStyle w:val="Hipercze"/>
              </w:rPr>
              <w:t>Bezrobotni według Polskiej Klasyfikacji Działalności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_Toc489263951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24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2" w:history="1">
            <w:r w:rsidR="00DD38B6" w:rsidRPr="00917FD8">
              <w:rPr>
                <w:rStyle w:val="Hipercze"/>
              </w:rPr>
              <w:t>Bezrobotni według zawodów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_Toc489263952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25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3" w:history="1">
            <w:r w:rsidR="00DD38B6" w:rsidRPr="00917FD8">
              <w:rPr>
                <w:rStyle w:val="Hipercze"/>
              </w:rPr>
              <w:t>Wolne miejsca pracy i miejsca aktywizacji zawodowej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_Toc489263953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28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4" w:history="1">
            <w:r w:rsidR="00DD38B6" w:rsidRPr="00917FD8">
              <w:rPr>
                <w:rStyle w:val="Hipercze"/>
              </w:rPr>
              <w:t>Wydatki z Funduszu Pracy na aktywne formy promocji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_Toc489263954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36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5" w:history="1">
            <w:r w:rsidR="00DD38B6" w:rsidRPr="00917FD8">
              <w:rPr>
                <w:rStyle w:val="Hipercze"/>
              </w:rPr>
              <w:t>zatrudnienia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_Toc489263955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36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6" w:history="1">
            <w:r w:rsidR="00DD38B6" w:rsidRPr="00917FD8">
              <w:rPr>
                <w:rStyle w:val="Hipercze"/>
              </w:rPr>
              <w:t>Zwolnienia grupowe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_Toc489263956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38</w:t>
            </w:r>
            <w:r w:rsidR="00DD38B6">
              <w:rPr>
                <w:webHidden/>
              </w:rPr>
              <w:fldChar w:fldCharType="end"/>
            </w:r>
          </w:hyperlink>
        </w:p>
        <w:p w:rsidR="00DD38B6" w:rsidRDefault="008C45A3">
          <w:pPr>
            <w:pStyle w:val="Spistreci3"/>
            <w:rPr>
              <w:rFonts w:asciiTheme="minorHAnsi" w:eastAsiaTheme="minorEastAsia" w:hAnsiTheme="minorHAnsi" w:cstheme="minorBidi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89263957" w:history="1">
            <w:r w:rsidR="00DD38B6" w:rsidRPr="00917FD8">
              <w:rPr>
                <w:rStyle w:val="Hipercze"/>
              </w:rPr>
              <w:t>Podsumowanie</w:t>
            </w:r>
            <w:r w:rsidR="00DD38B6">
              <w:rPr>
                <w:webHidden/>
              </w:rPr>
              <w:tab/>
            </w:r>
            <w:r w:rsidR="00DD38B6">
              <w:rPr>
                <w:webHidden/>
              </w:rPr>
              <w:fldChar w:fldCharType="begin"/>
            </w:r>
            <w:r w:rsidR="00DD38B6">
              <w:rPr>
                <w:webHidden/>
              </w:rPr>
              <w:instrText xml:space="preserve"> PAGEREF _Toc489263957 \h </w:instrText>
            </w:r>
            <w:r w:rsidR="00DD38B6">
              <w:rPr>
                <w:webHidden/>
              </w:rPr>
            </w:r>
            <w:r w:rsidR="00DD38B6">
              <w:rPr>
                <w:webHidden/>
              </w:rPr>
              <w:fldChar w:fldCharType="separate"/>
            </w:r>
            <w:r w:rsidR="00C506B2">
              <w:rPr>
                <w:webHidden/>
              </w:rPr>
              <w:t>40</w:t>
            </w:r>
            <w:r w:rsidR="00DD38B6">
              <w:rPr>
                <w:webHidden/>
              </w:rPr>
              <w:fldChar w:fldCharType="end"/>
            </w:r>
          </w:hyperlink>
        </w:p>
        <w:p w:rsidR="00584DE6" w:rsidRDefault="00584DE6" w:rsidP="004F147E">
          <w:pPr>
            <w:pStyle w:val="Spistreci3"/>
          </w:pPr>
          <w:r>
            <w:rPr>
              <w:b/>
              <w:bCs/>
            </w:rPr>
            <w:fldChar w:fldCharType="end"/>
          </w:r>
        </w:p>
      </w:sdtContent>
    </w:sdt>
    <w:p w:rsidR="001F59FA" w:rsidRDefault="001F59F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3A2CF6" w:rsidRPr="00911150" w:rsidRDefault="003A2CF6" w:rsidP="00911150">
      <w:pPr>
        <w:pStyle w:val="Nagwek3"/>
        <w:jc w:val="left"/>
        <w:rPr>
          <w:rFonts w:ascii="Times New Roman" w:hAnsi="Times New Roman" w:cs="Times New Roman"/>
          <w:i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" w:name="_Toc489263941"/>
      <w:r w:rsidRPr="00911150">
        <w:rPr>
          <w:rFonts w:ascii="Times New Roman" w:hAnsi="Times New Roman" w:cs="Times New Roman"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Wstęp</w:t>
      </w:r>
      <w:bookmarkEnd w:id="0"/>
      <w:bookmarkEnd w:id="1"/>
    </w:p>
    <w:p w:rsidR="004B0079" w:rsidRDefault="004B0079" w:rsidP="00F020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7843" w:rsidRPr="00987843" w:rsidRDefault="00987843" w:rsidP="00F020B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A2CF6" w:rsidRDefault="005D6E85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3A2CF6">
        <w:rPr>
          <w:rFonts w:ascii="Times New Roman" w:hAnsi="Times New Roman" w:cs="Times New Roman"/>
          <w:sz w:val="24"/>
          <w:szCs w:val="24"/>
        </w:rPr>
        <w:t>Państwa rę</w:t>
      </w:r>
      <w:r>
        <w:rPr>
          <w:rFonts w:ascii="Times New Roman" w:hAnsi="Times New Roman" w:cs="Times New Roman"/>
          <w:sz w:val="24"/>
          <w:szCs w:val="24"/>
        </w:rPr>
        <w:t xml:space="preserve">kach leży </w:t>
      </w:r>
      <w:r w:rsidR="003A2CF6">
        <w:rPr>
          <w:rFonts w:ascii="Times New Roman" w:hAnsi="Times New Roman" w:cs="Times New Roman"/>
          <w:sz w:val="24"/>
          <w:szCs w:val="24"/>
        </w:rPr>
        <w:t>„Analiza sytuacji na rynku pracy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>województwie podkarpackim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6B3E3E">
        <w:rPr>
          <w:rFonts w:ascii="Times New Roman" w:hAnsi="Times New Roman" w:cs="Times New Roman"/>
          <w:sz w:val="24"/>
          <w:szCs w:val="24"/>
        </w:rPr>
        <w:t xml:space="preserve">I półroczu </w:t>
      </w:r>
      <w:r w:rsidR="003A2CF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3A2CF6">
        <w:rPr>
          <w:rFonts w:ascii="Times New Roman" w:hAnsi="Times New Roman" w:cs="Times New Roman"/>
          <w:sz w:val="24"/>
          <w:szCs w:val="24"/>
        </w:rPr>
        <w:t xml:space="preserve"> roku”. Wojewódzki Urząd Pracy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>Rzeszowie, jako instytucja odpowiedzialna za politykę prozatrudnieniową na poziomie regionu, dokłada starań, by dostarczać rzetelnej wiedzy na temat zjawisk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 w:rsidR="003A2CF6">
        <w:rPr>
          <w:rFonts w:ascii="Times New Roman" w:hAnsi="Times New Roman" w:cs="Times New Roman"/>
          <w:sz w:val="24"/>
          <w:szCs w:val="24"/>
        </w:rPr>
        <w:t>procesów na nim zachodzących. Naszą analizą chcemy zainteresować władze samorządowe, środowiska zaangażowane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>bieżące problemy regionu: sektor oświaty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 w:rsidR="003A2CF6">
        <w:rPr>
          <w:rFonts w:ascii="Times New Roman" w:hAnsi="Times New Roman" w:cs="Times New Roman"/>
          <w:sz w:val="24"/>
          <w:szCs w:val="24"/>
        </w:rPr>
        <w:t>szkoleniowy – zwłaszcza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>kwestii kształcenia zawodowego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 w:rsidR="003A2CF6">
        <w:rPr>
          <w:rFonts w:ascii="Times New Roman" w:hAnsi="Times New Roman" w:cs="Times New Roman"/>
          <w:sz w:val="24"/>
          <w:szCs w:val="24"/>
        </w:rPr>
        <w:t>ustawicznego, organizacje pozarządowe działające na rzecz poszczególnych grup na rynku pracy, czy też –</w:t>
      </w:r>
      <w:r w:rsidR="00AE5712">
        <w:rPr>
          <w:rFonts w:ascii="Times New Roman" w:hAnsi="Times New Roman" w:cs="Times New Roman"/>
          <w:sz w:val="24"/>
          <w:szCs w:val="24"/>
        </w:rPr>
        <w:t xml:space="preserve"> a </w:t>
      </w:r>
      <w:r w:rsidR="003A2CF6">
        <w:rPr>
          <w:rFonts w:ascii="Times New Roman" w:hAnsi="Times New Roman" w:cs="Times New Roman"/>
          <w:sz w:val="24"/>
          <w:szCs w:val="24"/>
        </w:rPr>
        <w:t>może przede wszystkim – przedsiębiorców.</w:t>
      </w:r>
    </w:p>
    <w:p w:rsidR="003A2CF6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Prezentowane informacje pochodzą</w:t>
      </w:r>
      <w:r w:rsidR="00AE5712">
        <w:rPr>
          <w:rFonts w:ascii="Times New Roman" w:hAnsi="Times New Roman" w:cs="Times New Roman"/>
          <w:sz w:val="24"/>
          <w:szCs w:val="24"/>
        </w:rPr>
        <w:t xml:space="preserve"> z </w:t>
      </w:r>
      <w:r w:rsidRPr="003B4CA3">
        <w:rPr>
          <w:rFonts w:ascii="Times New Roman" w:hAnsi="Times New Roman" w:cs="Times New Roman"/>
          <w:sz w:val="24"/>
          <w:szCs w:val="24"/>
        </w:rPr>
        <w:t>obowiązującej sprawozdawczości instytucji rynku pracy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5712">
        <w:rPr>
          <w:rFonts w:ascii="Times New Roman" w:hAnsi="Times New Roman" w:cs="Times New Roman"/>
          <w:sz w:val="24"/>
          <w:szCs w:val="24"/>
        </w:rPr>
        <w:t xml:space="preserve"> </w:t>
      </w:r>
      <w:r w:rsidR="00235A6B">
        <w:rPr>
          <w:rFonts w:ascii="Times New Roman" w:hAnsi="Times New Roman" w:cs="Times New Roman"/>
          <w:sz w:val="24"/>
          <w:szCs w:val="24"/>
        </w:rPr>
        <w:t>W</w:t>
      </w:r>
      <w:r w:rsidR="00AE571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ramach opracowania wykorzystano:</w:t>
      </w:r>
    </w:p>
    <w:p w:rsidR="003A2CF6" w:rsidRPr="003B4CA3" w:rsidRDefault="003A2CF6" w:rsidP="003A2CF6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 w:rsidRPr="005D6E85">
        <w:rPr>
          <w:b/>
        </w:rPr>
        <w:t>sprawozdanie M</w:t>
      </w:r>
      <w:r w:rsidR="005D6E85">
        <w:rPr>
          <w:b/>
        </w:rPr>
        <w:t>R</w:t>
      </w:r>
      <w:r w:rsidRPr="005D6E85">
        <w:rPr>
          <w:b/>
        </w:rPr>
        <w:t>PiPS-01</w:t>
      </w:r>
      <w:r w:rsidRPr="003B4CA3">
        <w:t>,</w:t>
      </w:r>
      <w:r w:rsidR="00AE5712">
        <w:t xml:space="preserve"> o </w:t>
      </w:r>
      <w:r w:rsidRPr="003B4CA3">
        <w:t>rynku pracy</w:t>
      </w:r>
      <w:r w:rsidR="00AE5712">
        <w:t xml:space="preserve"> w </w:t>
      </w:r>
      <w:r w:rsidRPr="003B4CA3">
        <w:t xml:space="preserve">województwie podkarpackim za okres </w:t>
      </w:r>
      <w:r w:rsidR="006B3E3E">
        <w:t>I</w:t>
      </w:r>
      <w:r w:rsidR="008D3025">
        <w:t> </w:t>
      </w:r>
      <w:r w:rsidR="006B3E3E">
        <w:t xml:space="preserve">półrocza </w:t>
      </w:r>
      <w:r w:rsidRPr="003B4CA3">
        <w:t>201</w:t>
      </w:r>
      <w:r w:rsidR="005D6E85">
        <w:t>7</w:t>
      </w:r>
      <w:r w:rsidR="00AE5712">
        <w:t> r.</w:t>
      </w:r>
      <w:r>
        <w:t>,</w:t>
      </w:r>
      <w:r w:rsidR="00AE5712">
        <w:t xml:space="preserve"> w </w:t>
      </w:r>
      <w:r w:rsidRPr="003B4CA3">
        <w:t>tym również:</w:t>
      </w:r>
    </w:p>
    <w:p w:rsidR="003A2CF6" w:rsidRPr="003B4CA3" w:rsidRDefault="003A2CF6" w:rsidP="003A2CF6">
      <w:pPr>
        <w:pStyle w:val="Default"/>
        <w:numPr>
          <w:ilvl w:val="1"/>
          <w:numId w:val="25"/>
        </w:numPr>
        <w:spacing w:line="360" w:lineRule="auto"/>
        <w:jc w:val="both"/>
      </w:pPr>
      <w:r w:rsidRPr="005D6E85">
        <w:rPr>
          <w:b/>
        </w:rPr>
        <w:t>załącznik nr 1</w:t>
      </w:r>
      <w:r w:rsidRPr="003B4CA3">
        <w:t xml:space="preserve"> do sprawozdania</w:t>
      </w:r>
      <w:r w:rsidR="00AE5712">
        <w:t xml:space="preserve"> o </w:t>
      </w:r>
      <w:r w:rsidRPr="003B4CA3">
        <w:t>rynku pracy MPiPS-01 – bezrobotni oraz poszukujący pracy według czasu pozostawania bez pracy, wieku, pozio</w:t>
      </w:r>
      <w:r>
        <w:t>mu wykształcenia</w:t>
      </w:r>
      <w:r w:rsidR="00AE5712">
        <w:t xml:space="preserve"> i </w:t>
      </w:r>
      <w:r>
        <w:t>stażu pracy;</w:t>
      </w:r>
    </w:p>
    <w:p w:rsidR="003A2CF6" w:rsidRPr="003B4CA3" w:rsidRDefault="003A2CF6" w:rsidP="003A2CF6">
      <w:pPr>
        <w:pStyle w:val="Default"/>
        <w:numPr>
          <w:ilvl w:val="1"/>
          <w:numId w:val="25"/>
        </w:numPr>
        <w:spacing w:line="360" w:lineRule="auto"/>
        <w:jc w:val="both"/>
      </w:pPr>
      <w:r w:rsidRPr="005D6E85">
        <w:rPr>
          <w:b/>
        </w:rPr>
        <w:t>załącznik nr 2</w:t>
      </w:r>
      <w:r w:rsidRPr="003B4CA3">
        <w:t xml:space="preserve"> do sprawozdania MPiPS-01 – bezrobotni według rodzaju działalności ostatniego miejsca pracy, poszukujący pracy oraz wolne miejsca pracy</w:t>
      </w:r>
      <w:r w:rsidR="00AE5712">
        <w:t xml:space="preserve"> i </w:t>
      </w:r>
      <w:r>
        <w:t>miejsca aktywizacji zawodowej;</w:t>
      </w:r>
    </w:p>
    <w:p w:rsidR="003A2CF6" w:rsidRPr="003B4CA3" w:rsidRDefault="00235A6B" w:rsidP="00235A6B">
      <w:pPr>
        <w:pStyle w:val="Default"/>
        <w:numPr>
          <w:ilvl w:val="1"/>
          <w:numId w:val="25"/>
        </w:numPr>
        <w:spacing w:line="360" w:lineRule="auto"/>
        <w:jc w:val="both"/>
      </w:pPr>
      <w:r w:rsidRPr="005D6E85">
        <w:rPr>
          <w:b/>
        </w:rPr>
        <w:t>załącznik nr 3</w:t>
      </w:r>
      <w:r w:rsidRPr="003B4CA3">
        <w:t xml:space="preserve"> do sprawozdania MPiPS-01 – bezrobotni oraz </w:t>
      </w:r>
      <w:r>
        <w:t xml:space="preserve"> wolne miejsca pracy i miejsca aktywizacji zawodowej według zawodów i specjalności</w:t>
      </w:r>
      <w:r w:rsidR="002B03E5">
        <w:t>.</w:t>
      </w:r>
    </w:p>
    <w:p w:rsidR="00235A6B" w:rsidRDefault="00235A6B" w:rsidP="00235A6B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 w:rsidRPr="005D6E85">
        <w:rPr>
          <w:b/>
        </w:rPr>
        <w:t>M</w:t>
      </w:r>
      <w:r w:rsidR="005D6E85">
        <w:rPr>
          <w:b/>
        </w:rPr>
        <w:t>R</w:t>
      </w:r>
      <w:r w:rsidRPr="005D6E85">
        <w:rPr>
          <w:b/>
        </w:rPr>
        <w:t>PiPS-02</w:t>
      </w:r>
      <w:r w:rsidRPr="003B4CA3">
        <w:t xml:space="preserve"> – sprawozdanie</w:t>
      </w:r>
      <w:r>
        <w:t xml:space="preserve"> o przychodach i </w:t>
      </w:r>
      <w:r w:rsidRPr="003B4CA3">
        <w:t>wydatkach Funduszu Pracy.</w:t>
      </w:r>
    </w:p>
    <w:p w:rsidR="00A71030" w:rsidRPr="00A71030" w:rsidRDefault="00A71030" w:rsidP="00A7103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87843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Pomimo oczywistych niedoskonałości danych wynikających</w:t>
      </w:r>
      <w:r w:rsidR="00AE5712">
        <w:rPr>
          <w:rFonts w:ascii="Times New Roman" w:hAnsi="Times New Roman" w:cs="Times New Roman"/>
          <w:sz w:val="24"/>
          <w:szCs w:val="24"/>
        </w:rPr>
        <w:t xml:space="preserve"> z </w:t>
      </w:r>
      <w:r>
        <w:rPr>
          <w:rFonts w:ascii="Times New Roman" w:hAnsi="Times New Roman" w:cs="Times New Roman"/>
          <w:sz w:val="24"/>
          <w:szCs w:val="24"/>
        </w:rPr>
        <w:t>powyższych sprawozdań, takich jak ograniczenie opisu do zjawisk rejestrowanych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statystykach publicznych służb zatrudnienia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>
        <w:rPr>
          <w:rFonts w:ascii="Times New Roman" w:hAnsi="Times New Roman" w:cs="Times New Roman"/>
          <w:sz w:val="24"/>
          <w:szCs w:val="24"/>
        </w:rPr>
        <w:t>pomijanie obszaru tzw. „szarej strefy” – jest to potężny zasób informacji, który ukazuje aktualny stan zatrudnienia, przedsiębiorczości, źródeł utrzymania ludności regionu. Analiza jest istotna zwłaszcza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porównaniu</w:t>
      </w:r>
      <w:r w:rsidR="00AE5712">
        <w:rPr>
          <w:rFonts w:ascii="Times New Roman" w:hAnsi="Times New Roman" w:cs="Times New Roman"/>
          <w:sz w:val="24"/>
          <w:szCs w:val="24"/>
        </w:rPr>
        <w:t xml:space="preserve"> z </w:t>
      </w:r>
      <w:r>
        <w:rPr>
          <w:rFonts w:ascii="Times New Roman" w:hAnsi="Times New Roman" w:cs="Times New Roman"/>
          <w:sz w:val="24"/>
          <w:szCs w:val="24"/>
        </w:rPr>
        <w:t>analogicznymi danymi</w:t>
      </w:r>
      <w:r w:rsidR="00AE5712">
        <w:rPr>
          <w:rFonts w:ascii="Times New Roman" w:hAnsi="Times New Roman" w:cs="Times New Roman"/>
          <w:sz w:val="24"/>
          <w:szCs w:val="24"/>
        </w:rPr>
        <w:t xml:space="preserve"> z </w:t>
      </w:r>
      <w:r>
        <w:rPr>
          <w:rFonts w:ascii="Times New Roman" w:hAnsi="Times New Roman" w:cs="Times New Roman"/>
          <w:sz w:val="24"/>
          <w:szCs w:val="24"/>
        </w:rPr>
        <w:t>ubiegłych lat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>
        <w:rPr>
          <w:rFonts w:ascii="Times New Roman" w:hAnsi="Times New Roman" w:cs="Times New Roman"/>
          <w:sz w:val="24"/>
          <w:szCs w:val="24"/>
        </w:rPr>
        <w:t>pokazuje znaczące polepszenie sytuacji – od najbardziej czytelnego spadku stopy bezrobocia we wszystkich powiatach naszego województwa, przez rosnące tendencje zatrudnieniowe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 xml:space="preserve">poszczególnych branżach, po </w:t>
      </w:r>
      <w:r w:rsidR="006B3E3E">
        <w:rPr>
          <w:rFonts w:ascii="Times New Roman" w:hAnsi="Times New Roman" w:cs="Times New Roman"/>
          <w:sz w:val="24"/>
          <w:szCs w:val="24"/>
        </w:rPr>
        <w:t>utrzymanie</w:t>
      </w:r>
      <w:r>
        <w:rPr>
          <w:rFonts w:ascii="Times New Roman" w:hAnsi="Times New Roman" w:cs="Times New Roman"/>
          <w:sz w:val="24"/>
          <w:szCs w:val="24"/>
        </w:rPr>
        <w:t xml:space="preserve"> aktywności zawodowej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grupach osób pozostających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szczególnie trudnej sytuacji na rynku pracy.</w:t>
      </w:r>
    </w:p>
    <w:p w:rsidR="00987843" w:rsidRDefault="00987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A2CF6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Biorąc pod uwagę formalnie ustalony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ramach sprawozdawczości publicznej zasób informacji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 xml:space="preserve">poszczególnych dokumentach – ich </w:t>
      </w:r>
      <w:r w:rsidR="006167B3">
        <w:rPr>
          <w:rFonts w:ascii="Times New Roman" w:hAnsi="Times New Roman" w:cs="Times New Roman"/>
          <w:sz w:val="24"/>
          <w:szCs w:val="24"/>
        </w:rPr>
        <w:t xml:space="preserve">wielokrotne </w:t>
      </w:r>
      <w:r>
        <w:rPr>
          <w:rFonts w:ascii="Times New Roman" w:hAnsi="Times New Roman" w:cs="Times New Roman"/>
          <w:sz w:val="24"/>
          <w:szCs w:val="24"/>
        </w:rPr>
        <w:t>przywoływanie jest niepotrzebne. Dlatego zrezygnowaliśmy</w:t>
      </w:r>
      <w:r w:rsidR="00AE5712">
        <w:rPr>
          <w:rFonts w:ascii="Times New Roman" w:hAnsi="Times New Roman" w:cs="Times New Roman"/>
          <w:sz w:val="24"/>
          <w:szCs w:val="24"/>
        </w:rPr>
        <w:t xml:space="preserve"> z </w:t>
      </w:r>
      <w:r>
        <w:rPr>
          <w:rFonts w:ascii="Times New Roman" w:hAnsi="Times New Roman" w:cs="Times New Roman"/>
          <w:sz w:val="24"/>
          <w:szCs w:val="24"/>
        </w:rPr>
        <w:t>podawania źródeł informacji. Jedynie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pierwszej części opracowania,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 xml:space="preserve">której część danych pochodzi z </w:t>
      </w:r>
      <w:r w:rsidR="006167B3">
        <w:rPr>
          <w:rFonts w:ascii="Times New Roman" w:hAnsi="Times New Roman" w:cs="Times New Roman"/>
          <w:sz w:val="24"/>
          <w:szCs w:val="24"/>
        </w:rPr>
        <w:t xml:space="preserve">informacji publikowanych </w:t>
      </w:r>
      <w:r>
        <w:rPr>
          <w:rFonts w:ascii="Times New Roman" w:hAnsi="Times New Roman" w:cs="Times New Roman"/>
          <w:sz w:val="24"/>
          <w:szCs w:val="24"/>
        </w:rPr>
        <w:t>przez Główny Urząd Statystyczny</w:t>
      </w:r>
      <w:r w:rsidR="006167B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wskazaliśmy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A07AEE">
        <w:rPr>
          <w:rFonts w:ascii="Times New Roman" w:hAnsi="Times New Roman" w:cs="Times New Roman"/>
          <w:sz w:val="24"/>
          <w:szCs w:val="24"/>
        </w:rPr>
        <w:t xml:space="preserve">tekście </w:t>
      </w:r>
      <w:r>
        <w:rPr>
          <w:rFonts w:ascii="Times New Roman" w:hAnsi="Times New Roman" w:cs="Times New Roman"/>
          <w:sz w:val="24"/>
          <w:szCs w:val="24"/>
        </w:rPr>
        <w:t>pochodzenie danych.</w:t>
      </w:r>
    </w:p>
    <w:p w:rsidR="003A2CF6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</w:t>
      </w:r>
      <w:r w:rsidR="006167B3">
        <w:rPr>
          <w:rFonts w:ascii="Times New Roman" w:hAnsi="Times New Roman" w:cs="Times New Roman"/>
          <w:sz w:val="24"/>
          <w:szCs w:val="24"/>
        </w:rPr>
        <w:t>wartości</w:t>
      </w:r>
      <w:r>
        <w:rPr>
          <w:rFonts w:ascii="Times New Roman" w:hAnsi="Times New Roman" w:cs="Times New Roman"/>
          <w:sz w:val="24"/>
          <w:szCs w:val="24"/>
        </w:rPr>
        <w:t xml:space="preserve"> liczbowe pochodzące</w:t>
      </w:r>
      <w:r w:rsidR="00AE5712">
        <w:rPr>
          <w:rFonts w:ascii="Times New Roman" w:hAnsi="Times New Roman" w:cs="Times New Roman"/>
          <w:sz w:val="24"/>
          <w:szCs w:val="24"/>
        </w:rPr>
        <w:t xml:space="preserve"> z </w:t>
      </w:r>
      <w:r>
        <w:rPr>
          <w:rFonts w:ascii="Times New Roman" w:hAnsi="Times New Roman" w:cs="Times New Roman"/>
          <w:sz w:val="24"/>
          <w:szCs w:val="24"/>
        </w:rPr>
        <w:t>ww. dokumentów, użyte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opracowaniu zos</w:t>
      </w:r>
      <w:r w:rsidRPr="005D6E8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ały również przygotowane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>
        <w:rPr>
          <w:rFonts w:ascii="Times New Roman" w:hAnsi="Times New Roman" w:cs="Times New Roman"/>
          <w:sz w:val="24"/>
          <w:szCs w:val="24"/>
        </w:rPr>
        <w:t>formacie MS Excel</w:t>
      </w:r>
      <w:r w:rsidR="00875C47">
        <w:rPr>
          <w:rFonts w:ascii="Times New Roman" w:hAnsi="Times New Roman" w:cs="Times New Roman"/>
          <w:sz w:val="24"/>
          <w:szCs w:val="24"/>
        </w:rPr>
        <w:t xml:space="preserve"> </w:t>
      </w:r>
      <w:r w:rsidR="00AE5712">
        <w:rPr>
          <w:rFonts w:ascii="Times New Roman" w:hAnsi="Times New Roman" w:cs="Times New Roman"/>
          <w:sz w:val="24"/>
          <w:szCs w:val="24"/>
        </w:rPr>
        <w:t>w </w:t>
      </w:r>
      <w:r>
        <w:rPr>
          <w:rFonts w:ascii="Times New Roman" w:hAnsi="Times New Roman" w:cs="Times New Roman"/>
          <w:sz w:val="24"/>
          <w:szCs w:val="24"/>
        </w:rPr>
        <w:t>aneks</w:t>
      </w:r>
      <w:r w:rsidR="006B3E3E">
        <w:rPr>
          <w:rFonts w:ascii="Times New Roman" w:hAnsi="Times New Roman" w:cs="Times New Roman"/>
          <w:sz w:val="24"/>
          <w:szCs w:val="24"/>
        </w:rPr>
        <w:t>ie</w:t>
      </w:r>
      <w:r>
        <w:rPr>
          <w:rFonts w:ascii="Times New Roman" w:hAnsi="Times New Roman" w:cs="Times New Roman"/>
          <w:sz w:val="24"/>
          <w:szCs w:val="24"/>
        </w:rPr>
        <w:t xml:space="preserve"> statystyczn</w:t>
      </w:r>
      <w:r w:rsidR="006B3E3E">
        <w:rPr>
          <w:rFonts w:ascii="Times New Roman" w:hAnsi="Times New Roman" w:cs="Times New Roman"/>
          <w:sz w:val="24"/>
          <w:szCs w:val="24"/>
        </w:rPr>
        <w:t>ym</w:t>
      </w:r>
      <w:r>
        <w:rPr>
          <w:rFonts w:ascii="Times New Roman" w:hAnsi="Times New Roman" w:cs="Times New Roman"/>
          <w:sz w:val="24"/>
          <w:szCs w:val="24"/>
        </w:rPr>
        <w:t xml:space="preserve">. Będą one przydatne do samodzielnych analiz </w:t>
      </w:r>
      <w:r w:rsidR="005D6E85">
        <w:rPr>
          <w:rFonts w:ascii="Times New Roman" w:hAnsi="Times New Roman" w:cs="Times New Roman"/>
          <w:sz w:val="24"/>
          <w:szCs w:val="24"/>
        </w:rPr>
        <w:t xml:space="preserve">dla zainteresowanych </w:t>
      </w:r>
      <w:r>
        <w:rPr>
          <w:rFonts w:ascii="Times New Roman" w:hAnsi="Times New Roman" w:cs="Times New Roman"/>
          <w:sz w:val="24"/>
          <w:szCs w:val="24"/>
        </w:rPr>
        <w:t xml:space="preserve">osób </w:t>
      </w:r>
      <w:r w:rsidR="005D6E85">
        <w:rPr>
          <w:rFonts w:ascii="Times New Roman" w:hAnsi="Times New Roman" w:cs="Times New Roman"/>
          <w:sz w:val="24"/>
          <w:szCs w:val="24"/>
        </w:rPr>
        <w:t xml:space="preserve">i instytucji </w:t>
      </w:r>
      <w:r w:rsidR="00203AA5">
        <w:rPr>
          <w:rFonts w:ascii="Times New Roman" w:hAnsi="Times New Roman" w:cs="Times New Roman"/>
          <w:sz w:val="24"/>
          <w:szCs w:val="24"/>
        </w:rPr>
        <w:t xml:space="preserve">zajmujących się problematyką </w:t>
      </w:r>
      <w:r>
        <w:rPr>
          <w:rFonts w:ascii="Times New Roman" w:hAnsi="Times New Roman" w:cs="Times New Roman"/>
          <w:sz w:val="24"/>
          <w:szCs w:val="24"/>
        </w:rPr>
        <w:t>rynku pracy.</w:t>
      </w:r>
    </w:p>
    <w:p w:rsidR="00BA0EF5" w:rsidRDefault="00BA0EF5" w:rsidP="008979C4">
      <w:pPr>
        <w:pStyle w:val="Default"/>
        <w:jc w:val="both"/>
        <w:outlineLvl w:val="0"/>
        <w:rPr>
          <w:b/>
          <w:bCs/>
          <w:sz w:val="16"/>
          <w:szCs w:val="16"/>
        </w:rPr>
      </w:pPr>
    </w:p>
    <w:p w:rsidR="00F020B1" w:rsidRPr="00BA0EF5" w:rsidRDefault="00F020B1" w:rsidP="008979C4">
      <w:pPr>
        <w:pStyle w:val="Default"/>
        <w:jc w:val="both"/>
        <w:outlineLvl w:val="0"/>
        <w:rPr>
          <w:b/>
          <w:bCs/>
          <w:sz w:val="16"/>
          <w:szCs w:val="16"/>
        </w:rPr>
      </w:pPr>
    </w:p>
    <w:p w:rsidR="002B3633" w:rsidRPr="00911150" w:rsidRDefault="00B0142F" w:rsidP="00911150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" w:name="_Toc489263942"/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Podkarpacki rynek pracy w I półroczu </w:t>
      </w:r>
      <w:r w:rsidR="00AD036F"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201</w:t>
      </w:r>
      <w:r w:rsidR="0029506F"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7</w:t>
      </w:r>
      <w:r w:rsidR="00AD036F"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r.</w:t>
      </w:r>
      <w:bookmarkEnd w:id="2"/>
    </w:p>
    <w:p w:rsidR="00F020B1" w:rsidRDefault="00F020B1" w:rsidP="00F020B1">
      <w:pPr>
        <w:pStyle w:val="Default"/>
        <w:jc w:val="both"/>
        <w:outlineLvl w:val="0"/>
        <w:rPr>
          <w:b/>
          <w:bCs/>
          <w:sz w:val="16"/>
          <w:szCs w:val="16"/>
        </w:rPr>
      </w:pPr>
    </w:p>
    <w:p w:rsidR="00F020B1" w:rsidRPr="00BA0EF5" w:rsidRDefault="00F020B1" w:rsidP="00F020B1">
      <w:pPr>
        <w:pStyle w:val="Default"/>
        <w:jc w:val="both"/>
        <w:outlineLvl w:val="0"/>
        <w:rPr>
          <w:b/>
          <w:bCs/>
          <w:sz w:val="16"/>
          <w:szCs w:val="16"/>
        </w:rPr>
      </w:pPr>
    </w:p>
    <w:p w:rsidR="00696166" w:rsidRPr="00911150" w:rsidRDefault="00AD036F" w:rsidP="00911150">
      <w:pPr>
        <w:pStyle w:val="Nagwek3"/>
        <w:jc w:val="left"/>
        <w:rPr>
          <w:rFonts w:ascii="Times New Roman" w:hAnsi="Times New Roman" w:cs="Times New Roman"/>
          <w:i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3" w:name="_Toc489263943"/>
      <w:r w:rsidRPr="00911150">
        <w:rPr>
          <w:rFonts w:ascii="Times New Roman" w:hAnsi="Times New Roman" w:cs="Times New Roman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na rynku pracy</w:t>
      </w:r>
      <w:r w:rsidR="00696166" w:rsidRPr="00911150">
        <w:rPr>
          <w:rFonts w:ascii="Times New Roman" w:hAnsi="Times New Roman" w:cs="Times New Roman"/>
          <w:caps/>
          <w:sz w:val="22"/>
          <w:szCs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 zmiany poziomu bezrobocia</w:t>
      </w:r>
      <w:bookmarkEnd w:id="3"/>
    </w:p>
    <w:p w:rsidR="009A1F42" w:rsidRPr="00696166" w:rsidRDefault="009A1F42" w:rsidP="00AD036F">
      <w:pPr>
        <w:pStyle w:val="Default"/>
        <w:spacing w:line="360" w:lineRule="auto"/>
        <w:jc w:val="both"/>
        <w:outlineLvl w:val="1"/>
        <w:rPr>
          <w:bCs/>
          <w:sz w:val="16"/>
          <w:szCs w:val="16"/>
        </w:rPr>
      </w:pPr>
    </w:p>
    <w:p w:rsidR="001773BA" w:rsidRPr="001754F2" w:rsidRDefault="00F61179" w:rsidP="009A1F42">
      <w:pPr>
        <w:pStyle w:val="Default"/>
        <w:spacing w:line="360" w:lineRule="auto"/>
        <w:jc w:val="both"/>
        <w:rPr>
          <w:b/>
          <w:bCs/>
          <w:u w:val="single"/>
        </w:rPr>
      </w:pPr>
      <w:r w:rsidRPr="0029506F">
        <w:rPr>
          <w:bCs/>
        </w:rPr>
        <w:t>W województwie podkarpackim n</w:t>
      </w:r>
      <w:r w:rsidR="001773BA" w:rsidRPr="0029506F">
        <w:rPr>
          <w:bCs/>
        </w:rPr>
        <w:t xml:space="preserve">a </w:t>
      </w:r>
      <w:r w:rsidR="001773BA" w:rsidRPr="00532516">
        <w:rPr>
          <w:bCs/>
        </w:rPr>
        <w:t>dzień 3</w:t>
      </w:r>
      <w:r w:rsidR="00B0142F" w:rsidRPr="00532516">
        <w:rPr>
          <w:bCs/>
        </w:rPr>
        <w:t>0</w:t>
      </w:r>
      <w:r w:rsidR="00BA38B8" w:rsidRPr="00532516">
        <w:rPr>
          <w:bCs/>
        </w:rPr>
        <w:t xml:space="preserve"> </w:t>
      </w:r>
      <w:r w:rsidR="00B0142F" w:rsidRPr="00532516">
        <w:rPr>
          <w:bCs/>
        </w:rPr>
        <w:t>VI</w:t>
      </w:r>
      <w:r w:rsidR="00BA38B8" w:rsidRPr="00532516">
        <w:rPr>
          <w:bCs/>
        </w:rPr>
        <w:t xml:space="preserve"> </w:t>
      </w:r>
      <w:r w:rsidR="001773BA" w:rsidRPr="00532516">
        <w:rPr>
          <w:bCs/>
        </w:rPr>
        <w:t>201</w:t>
      </w:r>
      <w:r w:rsidR="00532516" w:rsidRPr="00532516">
        <w:rPr>
          <w:bCs/>
        </w:rPr>
        <w:t>7</w:t>
      </w:r>
      <w:r w:rsidR="001773BA" w:rsidRPr="00532516">
        <w:rPr>
          <w:bCs/>
        </w:rPr>
        <w:t xml:space="preserve"> r</w:t>
      </w:r>
      <w:r w:rsidR="00B0142F" w:rsidRPr="00532516">
        <w:rPr>
          <w:bCs/>
        </w:rPr>
        <w:t>.</w:t>
      </w:r>
      <w:r w:rsidR="00AE5712" w:rsidRPr="00532516">
        <w:rPr>
          <w:bCs/>
        </w:rPr>
        <w:t xml:space="preserve"> w </w:t>
      </w:r>
      <w:r w:rsidRPr="00532516">
        <w:rPr>
          <w:bCs/>
        </w:rPr>
        <w:t xml:space="preserve">stosunku do </w:t>
      </w:r>
      <w:r w:rsidR="00532516">
        <w:rPr>
          <w:bCs/>
        </w:rPr>
        <w:t xml:space="preserve">stanu na koniec roku </w:t>
      </w:r>
      <w:r w:rsidR="001773BA" w:rsidRPr="00772EED">
        <w:rPr>
          <w:bCs/>
        </w:rPr>
        <w:t xml:space="preserve">odnotowano </w:t>
      </w:r>
      <w:r w:rsidR="001773BA" w:rsidRPr="00772EED">
        <w:rPr>
          <w:b/>
          <w:bCs/>
          <w:u w:val="single"/>
        </w:rPr>
        <w:t>spadek</w:t>
      </w:r>
      <w:r w:rsidR="001773BA" w:rsidRPr="00772EED">
        <w:rPr>
          <w:bCs/>
          <w:u w:val="single"/>
        </w:rPr>
        <w:t xml:space="preserve"> liczby osób bezrobotnych</w:t>
      </w:r>
      <w:r w:rsidR="00AE5712" w:rsidRPr="00772EED">
        <w:rPr>
          <w:bCs/>
          <w:u w:val="single"/>
        </w:rPr>
        <w:t xml:space="preserve"> </w:t>
      </w:r>
      <w:r w:rsidR="00AE5712" w:rsidRPr="00532516">
        <w:rPr>
          <w:bCs/>
          <w:u w:val="single"/>
        </w:rPr>
        <w:t>o </w:t>
      </w:r>
      <w:r w:rsidRPr="00532516">
        <w:rPr>
          <w:b/>
          <w:bCs/>
          <w:u w:val="single"/>
        </w:rPr>
        <w:t>1</w:t>
      </w:r>
      <w:r w:rsidR="00A60BCE" w:rsidRPr="00532516">
        <w:rPr>
          <w:b/>
          <w:bCs/>
          <w:u w:val="single"/>
        </w:rPr>
        <w:t>5 5</w:t>
      </w:r>
      <w:r w:rsidR="00532516" w:rsidRPr="00532516">
        <w:rPr>
          <w:b/>
          <w:bCs/>
          <w:u w:val="single"/>
        </w:rPr>
        <w:t>88</w:t>
      </w:r>
      <w:r w:rsidRPr="00532516">
        <w:rPr>
          <w:b/>
          <w:bCs/>
          <w:u w:val="single"/>
        </w:rPr>
        <w:t xml:space="preserve"> os</w:t>
      </w:r>
      <w:r w:rsidR="00532516" w:rsidRPr="00532516">
        <w:rPr>
          <w:b/>
          <w:bCs/>
          <w:u w:val="single"/>
        </w:rPr>
        <w:t>ó</w:t>
      </w:r>
      <w:r w:rsidRPr="00532516">
        <w:rPr>
          <w:b/>
          <w:bCs/>
          <w:u w:val="single"/>
        </w:rPr>
        <w:t>b</w:t>
      </w:r>
      <w:r w:rsidR="00A60BCE" w:rsidRPr="00532516">
        <w:rPr>
          <w:b/>
          <w:bCs/>
          <w:u w:val="single"/>
        </w:rPr>
        <w:t>,</w:t>
      </w:r>
      <w:r w:rsidR="00AE5712" w:rsidRPr="00532516">
        <w:rPr>
          <w:bCs/>
          <w:u w:val="single"/>
        </w:rPr>
        <w:t xml:space="preserve"> a </w:t>
      </w:r>
      <w:r w:rsidRPr="001754F2">
        <w:rPr>
          <w:bCs/>
          <w:u w:val="single"/>
        </w:rPr>
        <w:t>stopy bezrobocia</w:t>
      </w:r>
      <w:r w:rsidR="00AE5712" w:rsidRPr="001754F2">
        <w:rPr>
          <w:bCs/>
          <w:u w:val="single"/>
        </w:rPr>
        <w:t xml:space="preserve"> o </w:t>
      </w:r>
      <w:r w:rsidRPr="001754F2">
        <w:rPr>
          <w:b/>
          <w:bCs/>
          <w:u w:val="single"/>
        </w:rPr>
        <w:t>1,</w:t>
      </w:r>
      <w:r w:rsidR="001754F2" w:rsidRPr="001754F2">
        <w:rPr>
          <w:b/>
          <w:bCs/>
          <w:u w:val="single"/>
        </w:rPr>
        <w:t>6</w:t>
      </w:r>
      <w:r w:rsidR="00A60BCE" w:rsidRPr="001754F2">
        <w:rPr>
          <w:b/>
          <w:bCs/>
          <w:u w:val="single"/>
        </w:rPr>
        <w:t xml:space="preserve"> pkt. proc</w:t>
      </w:r>
      <w:r w:rsidRPr="001754F2">
        <w:rPr>
          <w:b/>
          <w:bCs/>
          <w:u w:val="single"/>
        </w:rPr>
        <w:t>.</w:t>
      </w:r>
    </w:p>
    <w:p w:rsidR="00B0142F" w:rsidRPr="0029506F" w:rsidRDefault="00532516" w:rsidP="00532516">
      <w:pPr>
        <w:pStyle w:val="Default"/>
        <w:spacing w:line="360" w:lineRule="auto"/>
        <w:jc w:val="center"/>
        <w:rPr>
          <w:bCs/>
          <w:sz w:val="16"/>
          <w:szCs w:val="16"/>
          <w:highlight w:val="yellow"/>
        </w:rPr>
      </w:pPr>
      <w:r w:rsidRPr="00532516">
        <w:rPr>
          <w:noProof/>
          <w:lang w:eastAsia="pl-PL"/>
        </w:rPr>
        <w:drawing>
          <wp:inline distT="0" distB="0" distL="0" distR="0" wp14:anchorId="21576202" wp14:editId="3057A212">
            <wp:extent cx="5520058" cy="1901728"/>
            <wp:effectExtent l="0" t="0" r="4445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305" cy="1901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516" w:rsidRDefault="00532516" w:rsidP="00350C0B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32516" w:rsidRDefault="00987843" w:rsidP="00350C0B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 w:rsidRPr="00E013F7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pl-PL"/>
        </w:rPr>
        <w:t>Tabela II.  BEZROBOTNI W PUP ORAZ STOPA BEZROBOCIA WG POWIATÓW</w:t>
      </w:r>
    </w:p>
    <w:p w:rsidR="00987843" w:rsidRDefault="00987843" w:rsidP="00987843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 w:rsidRPr="00E013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</w:t>
      </w:r>
      <w:r w:rsidRPr="00E013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  Stan w końcu okresu</w:t>
      </w:r>
    </w:p>
    <w:tbl>
      <w:tblPr>
        <w:tblW w:w="8541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2"/>
        <w:gridCol w:w="953"/>
        <w:gridCol w:w="1134"/>
        <w:gridCol w:w="1417"/>
        <w:gridCol w:w="851"/>
        <w:gridCol w:w="1134"/>
        <w:gridCol w:w="1170"/>
      </w:tblGrid>
      <w:tr w:rsidR="00E013F7" w:rsidRPr="00E013F7" w:rsidTr="00E013F7">
        <w:trPr>
          <w:trHeight w:val="385"/>
        </w:trPr>
        <w:tc>
          <w:tcPr>
            <w:tcW w:w="1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powiaty</w:t>
            </w:r>
          </w:p>
        </w:tc>
        <w:tc>
          <w:tcPr>
            <w:tcW w:w="35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liczba bezrobotnych</w:t>
            </w:r>
          </w:p>
        </w:tc>
        <w:tc>
          <w:tcPr>
            <w:tcW w:w="31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stopa bezrobocia</w:t>
            </w:r>
          </w:p>
        </w:tc>
      </w:tr>
      <w:tr w:rsidR="00E013F7" w:rsidRPr="00E013F7" w:rsidTr="00E013F7">
        <w:trPr>
          <w:trHeight w:val="644"/>
        </w:trPr>
        <w:tc>
          <w:tcPr>
            <w:tcW w:w="1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 XII 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 VI 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wzrost/spadek (liczba)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 XII 2016*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 VI 2017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wzrost/spadek (%)</w:t>
            </w:r>
          </w:p>
        </w:tc>
      </w:tr>
      <w:tr w:rsidR="00E013F7" w:rsidRPr="00E013F7" w:rsidTr="00E013F7">
        <w:trPr>
          <w:trHeight w:val="133"/>
        </w:trPr>
        <w:tc>
          <w:tcPr>
            <w:tcW w:w="18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województwo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107 567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91 979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-15 588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10,0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-1,6</w:t>
            </w:r>
          </w:p>
        </w:tc>
      </w:tr>
      <w:tr w:rsidR="00E013F7" w:rsidRPr="00E013F7" w:rsidTr="00E013F7">
        <w:trPr>
          <w:trHeight w:val="203"/>
        </w:trPr>
        <w:tc>
          <w:tcPr>
            <w:tcW w:w="18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bieszczadzki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1 569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1 307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-2,7</w:t>
            </w:r>
          </w:p>
        </w:tc>
      </w:tr>
      <w:tr w:rsidR="00E013F7" w:rsidRPr="00E013F7" w:rsidTr="00E013F7">
        <w:trPr>
          <w:trHeight w:val="264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brzozowski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5 437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-769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-2,4</w:t>
            </w:r>
          </w:p>
        </w:tc>
      </w:tr>
      <w:tr w:rsidR="00E013F7" w:rsidRPr="00E013F7" w:rsidTr="00E013F7">
        <w:trPr>
          <w:trHeight w:val="139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dębicki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5 589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-1 084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-1,8</w:t>
            </w:r>
          </w:p>
        </w:tc>
      </w:tr>
      <w:tr w:rsidR="00E013F7" w:rsidRPr="00E013F7" w:rsidTr="00E013F7">
        <w:trPr>
          <w:trHeight w:val="239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jarosławski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-732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-1,4</w:t>
            </w:r>
          </w:p>
        </w:tc>
      </w:tr>
      <w:tr w:rsidR="00E013F7" w:rsidRPr="00E013F7" w:rsidTr="00E013F7">
        <w:trPr>
          <w:trHeight w:val="155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jasielski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5 842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-1 202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-2,2</w:t>
            </w:r>
          </w:p>
        </w:tc>
      </w:tr>
      <w:tr w:rsidR="00E013F7" w:rsidRPr="00E013F7" w:rsidTr="00E013F7">
        <w:trPr>
          <w:trHeight w:val="247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kolbuszowski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2 754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-486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-1,9</w:t>
            </w:r>
          </w:p>
        </w:tc>
      </w:tr>
      <w:tr w:rsidR="00E013F7" w:rsidRPr="00E013F7" w:rsidTr="00E013F7">
        <w:trPr>
          <w:trHeight w:val="137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krośnieński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-1,7</w:t>
            </w:r>
          </w:p>
        </w:tc>
      </w:tr>
      <w:tr w:rsidR="00E013F7" w:rsidRPr="00E013F7" w:rsidTr="00E013F7">
        <w:trPr>
          <w:trHeight w:val="197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leski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1 824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-589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-4,3</w:t>
            </w:r>
          </w:p>
        </w:tc>
      </w:tr>
      <w:tr w:rsidR="00E013F7" w:rsidRPr="00E013F7" w:rsidTr="004F28A7">
        <w:trPr>
          <w:trHeight w:val="173"/>
        </w:trPr>
        <w:tc>
          <w:tcPr>
            <w:tcW w:w="18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leżajski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-617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-2,1</w:t>
            </w:r>
          </w:p>
        </w:tc>
      </w:tr>
      <w:tr w:rsidR="00E013F7" w:rsidRPr="00E013F7" w:rsidTr="004F28A7">
        <w:trPr>
          <w:trHeight w:val="14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lubaczowski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2 888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-2,3</w:t>
            </w:r>
          </w:p>
        </w:tc>
      </w:tr>
      <w:tr w:rsidR="00E013F7" w:rsidRPr="00E013F7" w:rsidTr="004F28A7">
        <w:trPr>
          <w:trHeight w:val="206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łańcucki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3 609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-2,8</w:t>
            </w:r>
          </w:p>
        </w:tc>
      </w:tr>
      <w:tr w:rsidR="00E013F7" w:rsidRPr="00E013F7" w:rsidTr="004F28A7">
        <w:trPr>
          <w:trHeight w:val="12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4 793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3 947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-846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-1,3</w:t>
            </w:r>
          </w:p>
        </w:tc>
      </w:tr>
      <w:tr w:rsidR="00E013F7" w:rsidRPr="00E013F7" w:rsidTr="004F28A7">
        <w:trPr>
          <w:trHeight w:val="198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niżański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4 484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-456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-1,8</w:t>
            </w:r>
          </w:p>
        </w:tc>
      </w:tr>
      <w:tr w:rsidR="00E013F7" w:rsidRPr="00E013F7" w:rsidTr="004F28A7">
        <w:trPr>
          <w:trHeight w:val="116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przemyski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4 663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-1,8</w:t>
            </w:r>
          </w:p>
        </w:tc>
      </w:tr>
      <w:tr w:rsidR="00E013F7" w:rsidRPr="00E013F7" w:rsidTr="004F28A7">
        <w:trPr>
          <w:trHeight w:val="176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przeworski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5 286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4 374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-912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-2,5</w:t>
            </w:r>
          </w:p>
        </w:tc>
      </w:tr>
      <w:tr w:rsidR="00E013F7" w:rsidRPr="00E013F7" w:rsidTr="004F28A7">
        <w:trPr>
          <w:trHeight w:val="30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ropczycko-sędziszowski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3 447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-0,9</w:t>
            </w:r>
          </w:p>
        </w:tc>
      </w:tr>
      <w:tr w:rsidR="00E013F7" w:rsidRPr="00E013F7" w:rsidTr="004F28A7">
        <w:trPr>
          <w:trHeight w:val="114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rzeszowski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6 713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-883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-1,2</w:t>
            </w:r>
          </w:p>
        </w:tc>
      </w:tr>
      <w:tr w:rsidR="00E013F7" w:rsidRPr="00E013F7" w:rsidTr="004F28A7">
        <w:trPr>
          <w:trHeight w:val="17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sanocki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3 059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-653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-1,6</w:t>
            </w:r>
          </w:p>
        </w:tc>
      </w:tr>
      <w:tr w:rsidR="00E013F7" w:rsidRPr="00E013F7" w:rsidTr="004F28A7">
        <w:trPr>
          <w:trHeight w:val="92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stalowowolski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3 082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2 576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-506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-1,2</w:t>
            </w:r>
          </w:p>
        </w:tc>
      </w:tr>
      <w:tr w:rsidR="00E013F7" w:rsidRPr="00E013F7" w:rsidTr="004F28A7">
        <w:trPr>
          <w:trHeight w:val="16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strzyżowski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4 746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-913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-3,1</w:t>
            </w:r>
          </w:p>
        </w:tc>
      </w:tr>
      <w:tr w:rsidR="00E013F7" w:rsidRPr="00E013F7" w:rsidTr="004F28A7">
        <w:trPr>
          <w:trHeight w:val="97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tarnobrzeski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2 331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1 944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-387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-1,6</w:t>
            </w:r>
          </w:p>
        </w:tc>
      </w:tr>
      <w:tr w:rsidR="00E013F7" w:rsidRPr="00E013F7" w:rsidTr="004F28A7">
        <w:trPr>
          <w:trHeight w:val="158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Krosno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1 415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1 193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-222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3,9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-0,8</w:t>
            </w:r>
          </w:p>
        </w:tc>
      </w:tr>
      <w:tr w:rsidR="00E013F7" w:rsidRPr="00E013F7" w:rsidTr="004F28A7">
        <w:trPr>
          <w:trHeight w:val="7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Przemyśl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3 866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3 688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13,2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-0,8</w:t>
            </w:r>
          </w:p>
        </w:tc>
      </w:tr>
      <w:tr w:rsidR="00E013F7" w:rsidRPr="00E013F7" w:rsidTr="004F28A7">
        <w:trPr>
          <w:trHeight w:val="149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Rzeszów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7 259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-625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6,1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-0,7</w:t>
            </w:r>
          </w:p>
        </w:tc>
      </w:tr>
      <w:tr w:rsidR="00E013F7" w:rsidRPr="00E013F7" w:rsidTr="004F28A7">
        <w:trPr>
          <w:trHeight w:val="67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3F7" w:rsidRPr="00E013F7" w:rsidRDefault="00E013F7" w:rsidP="00E013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Tarnobrzeg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2 083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1 757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-326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13F7" w:rsidRPr="00E013F7" w:rsidRDefault="00E013F7" w:rsidP="00E01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013F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-1,8</w:t>
            </w:r>
          </w:p>
        </w:tc>
      </w:tr>
    </w:tbl>
    <w:p w:rsidR="006167B3" w:rsidRDefault="006167B3" w:rsidP="00350C0B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532516">
        <w:rPr>
          <w:rFonts w:ascii="Times New Roman" w:hAnsi="Times New Roman" w:cs="Times New Roman"/>
          <w:sz w:val="16"/>
          <w:szCs w:val="16"/>
        </w:rPr>
        <w:t>Boldowanie dotyczy największych spadków.</w:t>
      </w:r>
    </w:p>
    <w:p w:rsidR="00E013F7" w:rsidRPr="0029506F" w:rsidRDefault="00E013F7" w:rsidP="00350C0B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BF74C4" w:rsidRPr="0029506F" w:rsidRDefault="00E013F7" w:rsidP="009A1F42">
      <w:pPr>
        <w:pStyle w:val="Default"/>
        <w:spacing w:line="360" w:lineRule="auto"/>
        <w:jc w:val="both"/>
        <w:rPr>
          <w:highlight w:val="yellow"/>
        </w:rPr>
      </w:pPr>
      <w:r w:rsidRPr="00E013F7">
        <w:rPr>
          <w:noProof/>
          <w:lang w:eastAsia="pl-PL"/>
        </w:rPr>
        <w:drawing>
          <wp:inline distT="0" distB="0" distL="0" distR="0" wp14:anchorId="2CF160FC" wp14:editId="43227239">
            <wp:extent cx="6074797" cy="5033176"/>
            <wp:effectExtent l="0" t="0" r="254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892" cy="5036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B1" w:rsidRPr="0029506F" w:rsidRDefault="00F020B1">
      <w:pPr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29506F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 w:type="page"/>
      </w:r>
    </w:p>
    <w:p w:rsidR="00696166" w:rsidRPr="0029506F" w:rsidRDefault="001754F2" w:rsidP="001754F2">
      <w:pPr>
        <w:pStyle w:val="Default"/>
        <w:spacing w:line="360" w:lineRule="auto"/>
        <w:jc w:val="center"/>
        <w:rPr>
          <w:highlight w:val="yellow"/>
        </w:rPr>
      </w:pPr>
      <w:r w:rsidRPr="001754F2">
        <w:rPr>
          <w:noProof/>
          <w:lang w:eastAsia="pl-PL"/>
        </w:rPr>
        <w:lastRenderedPageBreak/>
        <w:drawing>
          <wp:inline distT="0" distB="0" distL="0" distR="0" wp14:anchorId="1B84C3E9" wp14:editId="4F5C74E5">
            <wp:extent cx="4516120" cy="6798310"/>
            <wp:effectExtent l="0" t="0" r="0" b="254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120" cy="679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F42" w:rsidRPr="001754F2" w:rsidRDefault="00350C0B" w:rsidP="00836B97">
      <w:pPr>
        <w:pStyle w:val="Default"/>
        <w:jc w:val="both"/>
      </w:pPr>
      <w:r w:rsidRPr="001754F2">
        <w:t>Wnioski:</w:t>
      </w:r>
    </w:p>
    <w:p w:rsidR="008A2874" w:rsidRPr="001754F2" w:rsidRDefault="008A2874" w:rsidP="00836B97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1754F2">
        <w:rPr>
          <w:rFonts w:ascii="Times New Roman" w:hAnsi="Times New Roman" w:cs="Times New Roman"/>
          <w:szCs w:val="24"/>
        </w:rPr>
        <w:t>(na podstawie danych</w:t>
      </w:r>
      <w:r w:rsidR="00AE5712" w:rsidRPr="001754F2">
        <w:rPr>
          <w:rFonts w:ascii="Times New Roman" w:hAnsi="Times New Roman" w:cs="Times New Roman"/>
          <w:szCs w:val="24"/>
        </w:rPr>
        <w:t xml:space="preserve"> z </w:t>
      </w:r>
      <w:r w:rsidR="005F3EC7" w:rsidRPr="001754F2">
        <w:rPr>
          <w:rFonts w:ascii="Times New Roman" w:hAnsi="Times New Roman" w:cs="Times New Roman"/>
          <w:szCs w:val="24"/>
        </w:rPr>
        <w:t>t</w:t>
      </w:r>
      <w:r w:rsidRPr="001754F2">
        <w:rPr>
          <w:rFonts w:ascii="Times New Roman" w:hAnsi="Times New Roman" w:cs="Times New Roman"/>
          <w:szCs w:val="24"/>
        </w:rPr>
        <w:t>abel</w:t>
      </w:r>
      <w:r w:rsidR="005F3EC7" w:rsidRPr="001754F2">
        <w:rPr>
          <w:rFonts w:ascii="Times New Roman" w:hAnsi="Times New Roman" w:cs="Times New Roman"/>
          <w:szCs w:val="24"/>
        </w:rPr>
        <w:t xml:space="preserve"> </w:t>
      </w:r>
      <w:r w:rsidR="001754F2">
        <w:rPr>
          <w:rFonts w:ascii="Times New Roman" w:hAnsi="Times New Roman" w:cs="Times New Roman"/>
          <w:szCs w:val="24"/>
        </w:rPr>
        <w:t>I</w:t>
      </w:r>
      <w:r w:rsidR="00BF74C4" w:rsidRPr="001754F2">
        <w:rPr>
          <w:rFonts w:ascii="Times New Roman" w:hAnsi="Times New Roman" w:cs="Times New Roman"/>
          <w:szCs w:val="24"/>
        </w:rPr>
        <w:t>,</w:t>
      </w:r>
      <w:r w:rsidR="001754F2">
        <w:rPr>
          <w:rFonts w:ascii="Times New Roman" w:hAnsi="Times New Roman" w:cs="Times New Roman"/>
          <w:szCs w:val="24"/>
        </w:rPr>
        <w:t>II</w:t>
      </w:r>
      <w:r w:rsidR="004C2EDC" w:rsidRPr="001754F2">
        <w:rPr>
          <w:rFonts w:ascii="Times New Roman" w:hAnsi="Times New Roman" w:cs="Times New Roman"/>
          <w:szCs w:val="24"/>
        </w:rPr>
        <w:t>,</w:t>
      </w:r>
      <w:r w:rsidR="001754F2">
        <w:rPr>
          <w:rFonts w:ascii="Times New Roman" w:hAnsi="Times New Roman" w:cs="Times New Roman"/>
          <w:szCs w:val="24"/>
        </w:rPr>
        <w:t>III</w:t>
      </w:r>
      <w:r w:rsidR="00323234" w:rsidRPr="001754F2">
        <w:rPr>
          <w:rFonts w:ascii="Times New Roman" w:hAnsi="Times New Roman" w:cs="Times New Roman"/>
          <w:szCs w:val="24"/>
        </w:rPr>
        <w:t>,</w:t>
      </w:r>
      <w:r w:rsidR="001754F2">
        <w:rPr>
          <w:rFonts w:ascii="Times New Roman" w:hAnsi="Times New Roman" w:cs="Times New Roman"/>
          <w:szCs w:val="24"/>
        </w:rPr>
        <w:t>IV</w:t>
      </w:r>
      <w:r w:rsidR="00323234" w:rsidRPr="001754F2">
        <w:rPr>
          <w:rFonts w:ascii="Times New Roman" w:hAnsi="Times New Roman" w:cs="Times New Roman"/>
          <w:szCs w:val="24"/>
        </w:rPr>
        <w:t xml:space="preserve"> z wykorzystaniem danych zaw. w tab. nr </w:t>
      </w:r>
      <w:r w:rsidR="001754F2">
        <w:rPr>
          <w:rFonts w:ascii="Times New Roman" w:hAnsi="Times New Roman" w:cs="Times New Roman"/>
          <w:szCs w:val="24"/>
        </w:rPr>
        <w:t>XVI</w:t>
      </w:r>
      <w:r w:rsidRPr="001754F2">
        <w:rPr>
          <w:rFonts w:ascii="Times New Roman" w:hAnsi="Times New Roman" w:cs="Times New Roman"/>
          <w:szCs w:val="24"/>
        </w:rPr>
        <w:t>)</w:t>
      </w:r>
    </w:p>
    <w:p w:rsidR="00836B97" w:rsidRPr="0029506F" w:rsidRDefault="00836B97" w:rsidP="00836B97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E0B53" w:rsidRPr="001754F2" w:rsidRDefault="00C473B6" w:rsidP="00681BAC">
      <w:pPr>
        <w:pStyle w:val="Default"/>
        <w:numPr>
          <w:ilvl w:val="0"/>
          <w:numId w:val="1"/>
        </w:numPr>
        <w:spacing w:line="360" w:lineRule="auto"/>
        <w:jc w:val="both"/>
      </w:pPr>
      <w:r w:rsidRPr="001754F2">
        <w:t>Spadek</w:t>
      </w:r>
      <w:r w:rsidR="00FA6040" w:rsidRPr="001754F2">
        <w:t xml:space="preserve"> </w:t>
      </w:r>
      <w:r w:rsidR="00681BAC" w:rsidRPr="001754F2">
        <w:t>liczby bezrobotnych o 15 5</w:t>
      </w:r>
      <w:r w:rsidR="001754F2" w:rsidRPr="001754F2">
        <w:t>88</w:t>
      </w:r>
      <w:r w:rsidR="00681BAC" w:rsidRPr="001754F2">
        <w:t xml:space="preserve"> os</w:t>
      </w:r>
      <w:r w:rsidR="001754F2" w:rsidRPr="001754F2">
        <w:t>ó</w:t>
      </w:r>
      <w:r w:rsidR="00681BAC" w:rsidRPr="001754F2">
        <w:t xml:space="preserve">b </w:t>
      </w:r>
      <w:r w:rsidRPr="001754F2">
        <w:t xml:space="preserve">związany </w:t>
      </w:r>
      <w:r w:rsidR="001754F2" w:rsidRPr="001754F2">
        <w:t xml:space="preserve">był </w:t>
      </w:r>
      <w:r w:rsidR="00FA6040" w:rsidRPr="001754F2">
        <w:t xml:space="preserve">ze </w:t>
      </w:r>
      <w:r w:rsidRPr="001754F2">
        <w:t xml:space="preserve">zmniejszeniem się </w:t>
      </w:r>
      <w:r w:rsidR="00836B97" w:rsidRPr="001754F2">
        <w:t>ilości osób</w:t>
      </w:r>
      <w:r w:rsidR="00681BAC" w:rsidRPr="001754F2">
        <w:t xml:space="preserve"> w</w:t>
      </w:r>
      <w:r w:rsidR="00FA6040" w:rsidRPr="001754F2">
        <w:t> </w:t>
      </w:r>
      <w:r w:rsidR="00681BAC" w:rsidRPr="001754F2">
        <w:t>szczególnej sytuacji na rynku pracy (o 13</w:t>
      </w:r>
      <w:r w:rsidR="001754F2" w:rsidRPr="001754F2">
        <w:t> 149 – 84,3%</w:t>
      </w:r>
      <w:r w:rsidRPr="001754F2">
        <w:t xml:space="preserve"> </w:t>
      </w:r>
      <w:r w:rsidR="00FA6040" w:rsidRPr="001754F2">
        <w:t>spadku</w:t>
      </w:r>
      <w:r w:rsidRPr="001754F2">
        <w:t xml:space="preserve"> ogółem</w:t>
      </w:r>
      <w:r w:rsidR="00FA6040" w:rsidRPr="001754F2">
        <w:t>)</w:t>
      </w:r>
      <w:r w:rsidRPr="001754F2">
        <w:t xml:space="preserve">. </w:t>
      </w:r>
      <w:r w:rsidR="00836B97" w:rsidRPr="001754F2">
        <w:t xml:space="preserve">Działania </w:t>
      </w:r>
      <w:r w:rsidRPr="001754F2">
        <w:t xml:space="preserve">podejmowane </w:t>
      </w:r>
      <w:r w:rsidR="00CC573D" w:rsidRPr="001754F2">
        <w:t xml:space="preserve">w ramach </w:t>
      </w:r>
      <w:r w:rsidR="00FA6040" w:rsidRPr="001754F2">
        <w:t>programów instytucjonalnych</w:t>
      </w:r>
      <w:r w:rsidR="0041698A">
        <w:t xml:space="preserve">, </w:t>
      </w:r>
      <w:r w:rsidR="0041698A" w:rsidRPr="001754F2">
        <w:t xml:space="preserve">standardowych inicjatyw podejmowanych przez PUP </w:t>
      </w:r>
      <w:r w:rsidR="0041698A">
        <w:t>oraz</w:t>
      </w:r>
      <w:r w:rsidR="00FA6040" w:rsidRPr="001754F2">
        <w:t xml:space="preserve"> projektów</w:t>
      </w:r>
      <w:r w:rsidR="0041698A">
        <w:t xml:space="preserve"> (systemowych, konkursowych) </w:t>
      </w:r>
      <w:r w:rsidR="00FA0020" w:rsidRPr="001754F2">
        <w:t xml:space="preserve">– </w:t>
      </w:r>
      <w:r w:rsidRPr="001754F2">
        <w:t>przyczyniły się do korzystniejszych zmian na rynku pracy w tym zakresie</w:t>
      </w:r>
      <w:r w:rsidR="006F76EA" w:rsidRPr="001754F2">
        <w:t xml:space="preserve">. </w:t>
      </w:r>
      <w:r w:rsidRPr="001754F2">
        <w:t xml:space="preserve">Zarówno podnoszenie </w:t>
      </w:r>
      <w:r w:rsidRPr="001754F2">
        <w:lastRenderedPageBreak/>
        <w:t xml:space="preserve">kwalifikacji zawodowych jak i wzrost wykształcenia wpływają na zwiększenie szansy uzyskania oferty pracy i zatrudnienia. </w:t>
      </w:r>
      <w:r w:rsidR="006F76EA" w:rsidRPr="001754F2">
        <w:t>Inicjatywy te finansowane były p</w:t>
      </w:r>
      <w:r w:rsidRPr="001754F2">
        <w:t>op</w:t>
      </w:r>
      <w:r w:rsidR="006F76EA" w:rsidRPr="001754F2">
        <w:t>rzez</w:t>
      </w:r>
      <w:r w:rsidR="00FA6040" w:rsidRPr="001754F2">
        <w:t xml:space="preserve"> środk</w:t>
      </w:r>
      <w:r w:rsidR="006F76EA" w:rsidRPr="001754F2">
        <w:t>i</w:t>
      </w:r>
      <w:r w:rsidR="00FA6040" w:rsidRPr="001754F2">
        <w:t xml:space="preserve"> F</w:t>
      </w:r>
      <w:r w:rsidRPr="001754F2">
        <w:t xml:space="preserve">unduszu </w:t>
      </w:r>
      <w:r w:rsidR="00FA6040" w:rsidRPr="001754F2">
        <w:t>P</w:t>
      </w:r>
      <w:r w:rsidRPr="001754F2">
        <w:t>racy</w:t>
      </w:r>
      <w:r w:rsidR="00FA6040" w:rsidRPr="001754F2">
        <w:t xml:space="preserve"> </w:t>
      </w:r>
      <w:r w:rsidR="006F76EA" w:rsidRPr="001754F2">
        <w:t>i</w:t>
      </w:r>
      <w:r w:rsidR="00FA6040" w:rsidRPr="001754F2">
        <w:t xml:space="preserve"> </w:t>
      </w:r>
      <w:r w:rsidRPr="001754F2">
        <w:t xml:space="preserve">środki </w:t>
      </w:r>
      <w:r w:rsidR="001754F2" w:rsidRPr="001754F2">
        <w:t>UE</w:t>
      </w:r>
      <w:r w:rsidRPr="001754F2">
        <w:t xml:space="preserve"> – </w:t>
      </w:r>
      <w:r w:rsidR="006F76EA" w:rsidRPr="001754F2">
        <w:t>co</w:t>
      </w:r>
      <w:r w:rsidR="00FA6040" w:rsidRPr="001754F2">
        <w:t xml:space="preserve"> stanowiło </w:t>
      </w:r>
      <w:r w:rsidR="001754F2" w:rsidRPr="001754F2">
        <w:t xml:space="preserve">jedną z przyczyn </w:t>
      </w:r>
      <w:r w:rsidR="00FA6040" w:rsidRPr="001754F2">
        <w:t>tak znacznego ograniczenia poziomu bezrobocia.</w:t>
      </w:r>
    </w:p>
    <w:p w:rsidR="0084048B" w:rsidRPr="0041698A" w:rsidRDefault="0041698A" w:rsidP="0084048B">
      <w:pPr>
        <w:pStyle w:val="Default"/>
        <w:numPr>
          <w:ilvl w:val="0"/>
          <w:numId w:val="3"/>
        </w:numPr>
        <w:spacing w:line="360" w:lineRule="auto"/>
        <w:jc w:val="both"/>
      </w:pPr>
      <w:r>
        <w:t>Analizując stany końcowe</w:t>
      </w:r>
      <w:r w:rsidR="00C778E4">
        <w:t xml:space="preserve"> odnotowano również </w:t>
      </w:r>
      <w:r>
        <w:t>r</w:t>
      </w:r>
      <w:r w:rsidR="0084048B" w:rsidRPr="0041698A">
        <w:t>edukcję ilości bezrobotnych</w:t>
      </w:r>
      <w:r w:rsidR="00276B03">
        <w:t>:</w:t>
      </w:r>
      <w:r w:rsidR="0084048B" w:rsidRPr="0041698A">
        <w:t xml:space="preserve"> zarówno wśród osób poprzednio pracujących jak i dotychczas nie pracujących. Największy procentowy spadek bezrobotnych dotyczył dotychczas nie pracujących (o 16,8%). Spadek odnotowano również wśród poprzednio pracujących (o 14,0%), w tym zwolnionych z</w:t>
      </w:r>
      <w:r w:rsidR="00276B03">
        <w:t> </w:t>
      </w:r>
      <w:r w:rsidR="0084048B" w:rsidRPr="0041698A">
        <w:t>przyczyn dotyczących zakładu pracy (o </w:t>
      </w:r>
      <w:r w:rsidRPr="0041698A">
        <w:t>5</w:t>
      </w:r>
      <w:r w:rsidR="0084048B" w:rsidRPr="0041698A">
        <w:t>,</w:t>
      </w:r>
      <w:r w:rsidRPr="0041698A">
        <w:t>8</w:t>
      </w:r>
      <w:r w:rsidR="0084048B" w:rsidRPr="0041698A">
        <w:t>%).</w:t>
      </w:r>
    </w:p>
    <w:p w:rsidR="006D6835" w:rsidRPr="00D4222E" w:rsidRDefault="0027410B" w:rsidP="006D6835">
      <w:pPr>
        <w:pStyle w:val="Default"/>
        <w:numPr>
          <w:ilvl w:val="0"/>
          <w:numId w:val="1"/>
        </w:numPr>
        <w:spacing w:line="360" w:lineRule="auto"/>
        <w:jc w:val="both"/>
      </w:pPr>
      <w:r>
        <w:t xml:space="preserve">Znaczny „odpływ” </w:t>
      </w:r>
      <w:r w:rsidR="00DC7F28" w:rsidRPr="00D4222E">
        <w:t xml:space="preserve">osób bezrobotnych </w:t>
      </w:r>
      <w:r w:rsidR="00727158" w:rsidRPr="00D4222E">
        <w:t xml:space="preserve">w </w:t>
      </w:r>
      <w:r w:rsidR="00636500" w:rsidRPr="00D4222E">
        <w:t>I półroczu 201</w:t>
      </w:r>
      <w:r w:rsidR="00D4222E" w:rsidRPr="00D4222E">
        <w:t>7</w:t>
      </w:r>
      <w:r w:rsidR="00636500" w:rsidRPr="00D4222E">
        <w:t xml:space="preserve"> r.</w:t>
      </w:r>
      <w:r w:rsidR="006D6835" w:rsidRPr="00D4222E">
        <w:t xml:space="preserve"> – </w:t>
      </w:r>
      <w:r w:rsidR="00636500" w:rsidRPr="00D4222E">
        <w:t xml:space="preserve">w porównaniu do analogicznego okresu </w:t>
      </w:r>
      <w:r w:rsidR="00D4222E" w:rsidRPr="00D4222E">
        <w:t xml:space="preserve">roku ubiegłego – umacniał </w:t>
      </w:r>
      <w:r w:rsidR="00DC7F28" w:rsidRPr="00D4222E">
        <w:t>trend spadkowy</w:t>
      </w:r>
      <w:r w:rsidR="00E52C48">
        <w:t>, który wynikał z</w:t>
      </w:r>
      <w:r>
        <w:t xml:space="preserve"> b</w:t>
      </w:r>
      <w:r w:rsidR="00D4222E" w:rsidRPr="00D4222E">
        <w:t>ardzo znaczn</w:t>
      </w:r>
      <w:r w:rsidR="00E52C48">
        <w:t xml:space="preserve">ego </w:t>
      </w:r>
      <w:r w:rsidR="00D4222E" w:rsidRPr="00D4222E">
        <w:t>spadk</w:t>
      </w:r>
      <w:r w:rsidR="00E52C48">
        <w:t>u</w:t>
      </w:r>
      <w:r w:rsidR="00D4222E" w:rsidRPr="00D4222E">
        <w:t xml:space="preserve"> </w:t>
      </w:r>
      <w:r>
        <w:t>„napływu”</w:t>
      </w:r>
      <w:r w:rsidR="006D6835" w:rsidRPr="00D4222E">
        <w:t xml:space="preserve"> (</w:t>
      </w:r>
      <w:r w:rsidR="00D4222E" w:rsidRPr="00D4222E">
        <w:t xml:space="preserve">aż </w:t>
      </w:r>
      <w:r w:rsidR="006D6835" w:rsidRPr="00D4222E">
        <w:t xml:space="preserve">o </w:t>
      </w:r>
      <w:r w:rsidR="00D4222E" w:rsidRPr="00D4222E">
        <w:t>8 494</w:t>
      </w:r>
      <w:r w:rsidR="006D6835" w:rsidRPr="00D4222E">
        <w:t xml:space="preserve"> osób). </w:t>
      </w:r>
      <w:r w:rsidR="00D4222E" w:rsidRPr="00D4222E">
        <w:t xml:space="preserve">Tylko znikoma część </w:t>
      </w:r>
      <w:r w:rsidR="00276B03">
        <w:t>„napływu”</w:t>
      </w:r>
      <w:r w:rsidR="00D4222E" w:rsidRPr="00D4222E">
        <w:t xml:space="preserve"> jest spowodowana spadkiem rejestracji po zakończeniu aktywizacji bezrobotnych. </w:t>
      </w:r>
      <w:r w:rsidR="006D6835" w:rsidRPr="00D4222E">
        <w:t xml:space="preserve">Napływ bezrobotnych do powiatowych urzędów pracy był na </w:t>
      </w:r>
      <w:r w:rsidR="00D4222E" w:rsidRPr="00D4222E">
        <w:t>znacznie niższym</w:t>
      </w:r>
      <w:r w:rsidR="00C05B48" w:rsidRPr="00D4222E">
        <w:t xml:space="preserve"> </w:t>
      </w:r>
      <w:r w:rsidR="006D6835" w:rsidRPr="00D4222E">
        <w:t>poziomie</w:t>
      </w:r>
      <w:r>
        <w:t>.</w:t>
      </w:r>
      <w:r w:rsidR="00D4222E" w:rsidRPr="00D4222E">
        <w:t xml:space="preserve"> </w:t>
      </w:r>
      <w:r>
        <w:t>W</w:t>
      </w:r>
      <w:r w:rsidR="00D4222E" w:rsidRPr="00D4222E">
        <w:t xml:space="preserve">ynikało </w:t>
      </w:r>
      <w:r>
        <w:t xml:space="preserve">to </w:t>
      </w:r>
      <w:r w:rsidR="00D4222E" w:rsidRPr="00D4222E">
        <w:t>z</w:t>
      </w:r>
      <w:r>
        <w:t>e</w:t>
      </w:r>
      <w:r w:rsidR="00D4222E" w:rsidRPr="00D4222E">
        <w:t xml:space="preserve"> znacznego spadku rejestracji po raz kolejny (o 7 433 bezrobotnych) – co </w:t>
      </w:r>
      <w:r w:rsidR="00E52C48">
        <w:t xml:space="preserve">powinno </w:t>
      </w:r>
      <w:r w:rsidR="00D4222E" w:rsidRPr="00D4222E">
        <w:t xml:space="preserve">dowodzić lepszej sytuacji na rynku pracy </w:t>
      </w:r>
      <w:r w:rsidR="00276B03">
        <w:t>–</w:t>
      </w:r>
      <w:r w:rsidR="00D4222E" w:rsidRPr="00D4222E">
        <w:t xml:space="preserve"> nawet dla bezrobotnych już uprzednio będących w rejestrach PUP.</w:t>
      </w:r>
    </w:p>
    <w:p w:rsidR="00E86F6B" w:rsidRPr="0027410B" w:rsidRDefault="00F60E8A" w:rsidP="0027410B">
      <w:pPr>
        <w:pStyle w:val="Default"/>
        <w:numPr>
          <w:ilvl w:val="0"/>
          <w:numId w:val="1"/>
        </w:numPr>
        <w:spacing w:line="360" w:lineRule="auto"/>
        <w:jc w:val="both"/>
      </w:pPr>
      <w:r w:rsidRPr="0027410B">
        <w:t>W</w:t>
      </w:r>
      <w:r w:rsidR="00117B38" w:rsidRPr="0027410B">
        <w:t xml:space="preserve">szystkie </w:t>
      </w:r>
      <w:r w:rsidR="00C91B3E" w:rsidRPr="0027410B">
        <w:t>p</w:t>
      </w:r>
      <w:r w:rsidR="005A2F65" w:rsidRPr="0027410B">
        <w:t xml:space="preserve">rzyczyny </w:t>
      </w:r>
      <w:r w:rsidR="00AC0CCB" w:rsidRPr="0027410B">
        <w:t>rejestracji</w:t>
      </w:r>
      <w:r w:rsidR="0027410B">
        <w:t xml:space="preserve"> (po ukończeniu prac interwencyjnych, robót publicznych, staży, przygotowaniu zawodowym dorosłych, szkoleniu, pracach społecznie użytecznych)</w:t>
      </w:r>
      <w:r w:rsidR="00117B38" w:rsidRPr="0027410B">
        <w:t xml:space="preserve"> – </w:t>
      </w:r>
      <w:r w:rsidR="0027410B">
        <w:t>wymienione</w:t>
      </w:r>
      <w:r w:rsidR="002325E4" w:rsidRPr="0027410B">
        <w:t xml:space="preserve"> w</w:t>
      </w:r>
      <w:r w:rsidR="00117B38" w:rsidRPr="0027410B">
        <w:t> </w:t>
      </w:r>
      <w:r w:rsidR="002325E4" w:rsidRPr="0027410B">
        <w:t>sprawozdaniu stanowiły 9,</w:t>
      </w:r>
      <w:r w:rsidR="0027410B" w:rsidRPr="0027410B">
        <w:t>5</w:t>
      </w:r>
      <w:r w:rsidR="002325E4" w:rsidRPr="0027410B">
        <w:t xml:space="preserve">% </w:t>
      </w:r>
      <w:r w:rsidR="00E52C48">
        <w:t xml:space="preserve">analizowanego </w:t>
      </w:r>
      <w:r w:rsidR="00AC0CCB" w:rsidRPr="0027410B">
        <w:t>napływu</w:t>
      </w:r>
      <w:r w:rsidR="002325E4" w:rsidRPr="0027410B">
        <w:t>.</w:t>
      </w:r>
      <w:r w:rsidR="0027410B">
        <w:t xml:space="preserve"> Nie wyjaśniają one tak znacznego spadku rejestracji.</w:t>
      </w:r>
    </w:p>
    <w:p w:rsidR="00B73E12" w:rsidRPr="0029506F" w:rsidRDefault="006C2640" w:rsidP="0010193E">
      <w:pPr>
        <w:pStyle w:val="Default"/>
        <w:spacing w:line="360" w:lineRule="auto"/>
        <w:ind w:left="360"/>
        <w:jc w:val="both"/>
        <w:rPr>
          <w:highlight w:val="yellow"/>
        </w:rPr>
      </w:pPr>
      <w:r>
        <w:t xml:space="preserve">Jedną z przyczyn </w:t>
      </w:r>
      <w:r w:rsidR="009A1F42" w:rsidRPr="005015C3">
        <w:t>zmniejszeni</w:t>
      </w:r>
      <w:r w:rsidR="000D3DFF" w:rsidRPr="005015C3">
        <w:t>a</w:t>
      </w:r>
      <w:r w:rsidR="009A1F42" w:rsidRPr="005015C3">
        <w:t xml:space="preserve"> się </w:t>
      </w:r>
      <w:r w:rsidR="002F7E3F" w:rsidRPr="005015C3">
        <w:t xml:space="preserve">bezrobocia </w:t>
      </w:r>
      <w:r w:rsidR="00B73E12" w:rsidRPr="00F6458E">
        <w:t>był</w:t>
      </w:r>
      <w:r w:rsidR="009A1F42" w:rsidRPr="00F6458E">
        <w:t xml:space="preserve"> </w:t>
      </w:r>
      <w:r w:rsidR="00B73E12" w:rsidRPr="00F6458E">
        <w:t>w</w:t>
      </w:r>
      <w:r w:rsidR="009A1F42" w:rsidRPr="00F6458E">
        <w:t>zro</w:t>
      </w:r>
      <w:r w:rsidR="00B73E12" w:rsidRPr="00F6458E">
        <w:t xml:space="preserve">st pracy </w:t>
      </w:r>
      <w:r w:rsidR="00F6458E" w:rsidRPr="00F6458E">
        <w:t xml:space="preserve">sezonowej </w:t>
      </w:r>
      <w:r w:rsidR="00B73E12" w:rsidRPr="00F6458E">
        <w:t>– w</w:t>
      </w:r>
      <w:r w:rsidR="00F6458E">
        <w:t> </w:t>
      </w:r>
      <w:r w:rsidR="00B73E12" w:rsidRPr="00F6458E">
        <w:t xml:space="preserve">stosunku do analogicznego okresu ubr. o </w:t>
      </w:r>
      <w:r w:rsidR="00F6458E" w:rsidRPr="00F6458E">
        <w:t>38,4</w:t>
      </w:r>
      <w:r w:rsidR="00B73E12" w:rsidRPr="00F6458E">
        <w:t>%</w:t>
      </w:r>
      <w:r>
        <w:t xml:space="preserve"> (przy jednoczesnym spadku ofert pracy subsydiowanej i z pochodzących z sektora publicznego)</w:t>
      </w:r>
      <w:r w:rsidR="00117B38" w:rsidRPr="00F6458E">
        <w:t xml:space="preserve">. </w:t>
      </w:r>
      <w:r>
        <w:t>Zgłoszone zwolnienia były realizowane, ale pracownicy mogli niejednokrotnie uzyskać zatrudnienie w nowo powstałych firmach</w:t>
      </w:r>
      <w:r w:rsidR="004A1E5F">
        <w:t xml:space="preserve"> – </w:t>
      </w:r>
      <w:r>
        <w:t>działających w tym samym obszarze rynku.</w:t>
      </w:r>
    </w:p>
    <w:p w:rsidR="005014AE" w:rsidRPr="00C76106" w:rsidRDefault="00A71030" w:rsidP="005014AE">
      <w:pPr>
        <w:pStyle w:val="Default"/>
        <w:numPr>
          <w:ilvl w:val="0"/>
          <w:numId w:val="3"/>
        </w:numPr>
        <w:spacing w:line="360" w:lineRule="auto"/>
        <w:jc w:val="both"/>
      </w:pPr>
      <w:r w:rsidRPr="00C76106">
        <w:t>W</w:t>
      </w:r>
      <w:r w:rsidR="00206376" w:rsidRPr="00C76106">
        <w:t xml:space="preserve"> </w:t>
      </w:r>
      <w:r w:rsidRPr="00C76106">
        <w:t>I półroczu 201</w:t>
      </w:r>
      <w:r w:rsidR="00BC1334" w:rsidRPr="00C76106">
        <w:t>7</w:t>
      </w:r>
      <w:r w:rsidRPr="00C76106">
        <w:t xml:space="preserve"> </w:t>
      </w:r>
      <w:r w:rsidR="00206376" w:rsidRPr="00C76106">
        <w:t>r</w:t>
      </w:r>
      <w:r w:rsidRPr="00C76106">
        <w:t>. odnotowano spadek</w:t>
      </w:r>
      <w:r w:rsidR="00E47177" w:rsidRPr="00C76106">
        <w:t xml:space="preserve"> liczby bezrobotnych </w:t>
      </w:r>
      <w:r w:rsidR="00AE5712" w:rsidRPr="00C76106">
        <w:t>w </w:t>
      </w:r>
      <w:r w:rsidR="00E47177" w:rsidRPr="00C76106">
        <w:t>każdym</w:t>
      </w:r>
      <w:r w:rsidR="00AE5712" w:rsidRPr="00C76106">
        <w:t xml:space="preserve"> z </w:t>
      </w:r>
      <w:r w:rsidR="00206376" w:rsidRPr="00C76106">
        <w:t xml:space="preserve">21 </w:t>
      </w:r>
      <w:r w:rsidR="00E47177" w:rsidRPr="00C76106">
        <w:t>powiatów województwa</w:t>
      </w:r>
      <w:r w:rsidR="00AE5712" w:rsidRPr="00C76106">
        <w:t xml:space="preserve"> </w:t>
      </w:r>
      <w:r w:rsidRPr="00C76106">
        <w:t>podkarpackiego – jak również</w:t>
      </w:r>
      <w:r w:rsidR="00115B5E" w:rsidRPr="00C76106">
        <w:t xml:space="preserve"> </w:t>
      </w:r>
      <w:r w:rsidR="00AE5712" w:rsidRPr="00C76106">
        <w:t>w</w:t>
      </w:r>
      <w:r w:rsidR="00115B5E" w:rsidRPr="00C76106">
        <w:t xml:space="preserve"> </w:t>
      </w:r>
      <w:r w:rsidR="008349F4" w:rsidRPr="00C76106">
        <w:t>4</w:t>
      </w:r>
      <w:r w:rsidR="00115B5E" w:rsidRPr="00C76106">
        <w:t xml:space="preserve"> </w:t>
      </w:r>
      <w:r w:rsidR="008349F4" w:rsidRPr="00C76106">
        <w:t>miast</w:t>
      </w:r>
      <w:r w:rsidR="00206376" w:rsidRPr="00C76106">
        <w:t>ach</w:t>
      </w:r>
      <w:r w:rsidR="00115B5E" w:rsidRPr="00C76106">
        <w:t xml:space="preserve"> </w:t>
      </w:r>
      <w:r w:rsidR="00442DB7" w:rsidRPr="00C76106">
        <w:t>wydzielonych w reformie samorządowej z końca lat 90. jako będące na prawach powiatu</w:t>
      </w:r>
      <w:r w:rsidR="00115B5E" w:rsidRPr="00C76106">
        <w:t xml:space="preserve"> (</w:t>
      </w:r>
      <w:r w:rsidRPr="00C76106">
        <w:t>Krosno, Przemyśl, Rzeszów i</w:t>
      </w:r>
      <w:r w:rsidR="00442DB7" w:rsidRPr="00C76106">
        <w:t> </w:t>
      </w:r>
      <w:r w:rsidRPr="00C76106">
        <w:t>Tarnobrzeg</w:t>
      </w:r>
      <w:r w:rsidR="00115B5E" w:rsidRPr="00C76106">
        <w:t>)</w:t>
      </w:r>
      <w:r w:rsidR="00796F6E" w:rsidRPr="00C76106">
        <w:t>.</w:t>
      </w:r>
      <w:r w:rsidR="00442DB7" w:rsidRPr="00C76106">
        <w:t xml:space="preserve"> </w:t>
      </w:r>
      <w:r w:rsidR="005014AE" w:rsidRPr="00C76106">
        <w:t>Największy spadek liczby bezrobotnych nastąpił w </w:t>
      </w:r>
      <w:r w:rsidR="00442DB7" w:rsidRPr="00C76106">
        <w:t>następujących</w:t>
      </w:r>
      <w:r w:rsidR="005014AE" w:rsidRPr="00C76106">
        <w:t>:</w:t>
      </w:r>
      <w:r w:rsidR="00442DB7" w:rsidRPr="00C76106">
        <w:t xml:space="preserve"> jasielskim </w:t>
      </w:r>
      <w:r w:rsidR="005014AE" w:rsidRPr="00C76106">
        <w:t>– 1 </w:t>
      </w:r>
      <w:r w:rsidR="00442DB7" w:rsidRPr="00C76106">
        <w:t>2</w:t>
      </w:r>
      <w:r w:rsidR="005014AE" w:rsidRPr="00C76106">
        <w:t>0</w:t>
      </w:r>
      <w:r w:rsidR="00442DB7" w:rsidRPr="00C76106">
        <w:t>2</w:t>
      </w:r>
      <w:r w:rsidR="005014AE" w:rsidRPr="00C76106">
        <w:t xml:space="preserve">, </w:t>
      </w:r>
      <w:r w:rsidR="00442DB7" w:rsidRPr="00C76106">
        <w:t>dębickim</w:t>
      </w:r>
      <w:r w:rsidR="005014AE" w:rsidRPr="00C76106">
        <w:t xml:space="preserve"> – 1 </w:t>
      </w:r>
      <w:r w:rsidR="00442DB7" w:rsidRPr="00C76106">
        <w:t>084</w:t>
      </w:r>
      <w:r w:rsidR="005014AE" w:rsidRPr="00C76106">
        <w:t xml:space="preserve">, </w:t>
      </w:r>
      <w:r w:rsidR="00442DB7" w:rsidRPr="00C76106">
        <w:t>łańcuckim</w:t>
      </w:r>
      <w:r w:rsidR="005014AE" w:rsidRPr="00C76106">
        <w:t xml:space="preserve"> – 9</w:t>
      </w:r>
      <w:r w:rsidR="00C76106" w:rsidRPr="00C76106">
        <w:t>52</w:t>
      </w:r>
      <w:r w:rsidR="005014AE" w:rsidRPr="00C76106">
        <w:t xml:space="preserve"> i </w:t>
      </w:r>
      <w:r w:rsidR="00C76106" w:rsidRPr="00C76106">
        <w:t>strzyżowskim</w:t>
      </w:r>
      <w:r w:rsidR="005014AE" w:rsidRPr="00C76106">
        <w:t xml:space="preserve"> – </w:t>
      </w:r>
      <w:r w:rsidR="00C76106" w:rsidRPr="00C76106">
        <w:t>913</w:t>
      </w:r>
      <w:r w:rsidR="005014AE" w:rsidRPr="00C76106">
        <w:t>. Najmniejszy spadek odnotowano w: </w:t>
      </w:r>
      <w:r w:rsidR="00C76106" w:rsidRPr="00C76106">
        <w:t xml:space="preserve">m. Przemyślu </w:t>
      </w:r>
      <w:r w:rsidR="005014AE" w:rsidRPr="00C76106">
        <w:t xml:space="preserve">– </w:t>
      </w:r>
      <w:r w:rsidR="00C76106" w:rsidRPr="00C76106">
        <w:t>178</w:t>
      </w:r>
      <w:r w:rsidR="005014AE" w:rsidRPr="00C76106">
        <w:t xml:space="preserve"> oraz w </w:t>
      </w:r>
      <w:r w:rsidR="00C76106" w:rsidRPr="00C76106">
        <w:t xml:space="preserve">Krośnie </w:t>
      </w:r>
      <w:r w:rsidR="005014AE" w:rsidRPr="00C76106">
        <w:t xml:space="preserve">– </w:t>
      </w:r>
      <w:r w:rsidR="00C76106" w:rsidRPr="00C76106">
        <w:t>222 i</w:t>
      </w:r>
      <w:r w:rsidR="00C76106">
        <w:t> </w:t>
      </w:r>
      <w:r w:rsidR="00C76106" w:rsidRPr="00C76106">
        <w:t>powiecie ropczycko-sędziszowskim – 248</w:t>
      </w:r>
      <w:r w:rsidR="005014AE" w:rsidRPr="00C76106">
        <w:t>.</w:t>
      </w:r>
    </w:p>
    <w:p w:rsidR="00C168FD" w:rsidRPr="007C1482" w:rsidRDefault="005014A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7C1482">
        <w:lastRenderedPageBreak/>
        <w:t>Zmniejszenie się liczby bezrobotnych warunkowało spadek stopy bezrobocia – odnotowany również na terenie wszystkich powiatów i miast na prawach powiatów. Najniższ</w:t>
      </w:r>
      <w:r w:rsidR="00D6733F" w:rsidRPr="007C1482">
        <w:t>a</w:t>
      </w:r>
      <w:r w:rsidRPr="007C1482">
        <w:t xml:space="preserve"> stop</w:t>
      </w:r>
      <w:r w:rsidR="00D6733F" w:rsidRPr="007C1482">
        <w:t>a</w:t>
      </w:r>
      <w:r w:rsidRPr="007C1482">
        <w:t xml:space="preserve"> bezrobocia (30</w:t>
      </w:r>
      <w:r w:rsidR="0056160A" w:rsidRPr="007C1482">
        <w:t xml:space="preserve"> </w:t>
      </w:r>
      <w:r w:rsidRPr="007C1482">
        <w:t>VI</w:t>
      </w:r>
      <w:r w:rsidR="0056160A" w:rsidRPr="007C1482">
        <w:t xml:space="preserve"> </w:t>
      </w:r>
      <w:r w:rsidRPr="007C1482">
        <w:t>201</w:t>
      </w:r>
      <w:r w:rsidR="0056160A" w:rsidRPr="007C1482">
        <w:t>7</w:t>
      </w:r>
      <w:r w:rsidRPr="007C1482">
        <w:t xml:space="preserve"> r.) </w:t>
      </w:r>
      <w:r w:rsidR="00D6733F" w:rsidRPr="007C1482">
        <w:t xml:space="preserve">to: </w:t>
      </w:r>
      <w:r w:rsidRPr="007C1482">
        <w:t xml:space="preserve"> </w:t>
      </w:r>
      <w:r w:rsidR="00D6733F" w:rsidRPr="007C1482">
        <w:t xml:space="preserve">m. </w:t>
      </w:r>
      <w:r w:rsidRPr="007C1482">
        <w:t>Kro</w:t>
      </w:r>
      <w:r w:rsidR="00D6733F" w:rsidRPr="007C1482">
        <w:t>sno</w:t>
      </w:r>
      <w:r w:rsidRPr="007C1482">
        <w:t xml:space="preserve"> (</w:t>
      </w:r>
      <w:r w:rsidR="0056160A" w:rsidRPr="007C1482">
        <w:t>3</w:t>
      </w:r>
      <w:r w:rsidRPr="007C1482">
        <w:t>,9%)</w:t>
      </w:r>
      <w:r w:rsidR="00DD06AF" w:rsidRPr="007C1482">
        <w:t xml:space="preserve">, </w:t>
      </w:r>
      <w:r w:rsidR="00D6733F" w:rsidRPr="007C1482">
        <w:t xml:space="preserve">m. </w:t>
      </w:r>
      <w:r w:rsidRPr="007C1482">
        <w:t>Rzesz</w:t>
      </w:r>
      <w:r w:rsidR="00D6733F" w:rsidRPr="007C1482">
        <w:t xml:space="preserve">ów </w:t>
      </w:r>
      <w:r w:rsidRPr="007C1482">
        <w:t>(6,</w:t>
      </w:r>
      <w:r w:rsidR="0056160A" w:rsidRPr="007C1482">
        <w:t>1</w:t>
      </w:r>
      <w:r w:rsidRPr="007C1482">
        <w:t>%)</w:t>
      </w:r>
      <w:r w:rsidR="00DD06AF" w:rsidRPr="007C1482">
        <w:t xml:space="preserve"> i </w:t>
      </w:r>
      <w:r w:rsidR="00D6733F" w:rsidRPr="007C1482">
        <w:t>powiaty</w:t>
      </w:r>
      <w:r w:rsidRPr="007C1482">
        <w:t>: stalowowolski (</w:t>
      </w:r>
      <w:r w:rsidR="0056160A" w:rsidRPr="007C1482">
        <w:t>5</w:t>
      </w:r>
      <w:r w:rsidRPr="007C1482">
        <w:t>,</w:t>
      </w:r>
      <w:r w:rsidR="0056160A" w:rsidRPr="007C1482">
        <w:t>9</w:t>
      </w:r>
      <w:r w:rsidRPr="007C1482">
        <w:t>%), mielecki (6</w:t>
      </w:r>
      <w:r w:rsidR="0056160A" w:rsidRPr="007C1482">
        <w:t>,3</w:t>
      </w:r>
      <w:r w:rsidRPr="007C1482">
        <w:t>%) i sanocki (7</w:t>
      </w:r>
      <w:r w:rsidR="0056160A" w:rsidRPr="007C1482">
        <w:t>,5</w:t>
      </w:r>
      <w:r w:rsidRPr="007C1482">
        <w:t xml:space="preserve">%). Na </w:t>
      </w:r>
      <w:r w:rsidR="0056160A" w:rsidRPr="007C1482">
        <w:t>lokalnych rynkach pracy, których struktura sytuacja jest trudniejsza,</w:t>
      </w:r>
      <w:r w:rsidRPr="007C1482">
        <w:t xml:space="preserve"> odnotowano stopę bezrobocia wyższą od średniej w województwie, co dotyczyło 12 powiatów i </w:t>
      </w:r>
      <w:r w:rsidR="0056160A" w:rsidRPr="007C1482">
        <w:t>1</w:t>
      </w:r>
      <w:r w:rsidRPr="007C1482">
        <w:t xml:space="preserve"> miasta na prawach powiatu (razem 1</w:t>
      </w:r>
      <w:r w:rsidR="0056160A" w:rsidRPr="007C1482">
        <w:t>3</w:t>
      </w:r>
      <w:r w:rsidRPr="007C1482">
        <w:t xml:space="preserve"> jednostek). </w:t>
      </w:r>
      <w:r w:rsidR="00796F6E" w:rsidRPr="007C1482">
        <w:t>N</w:t>
      </w:r>
      <w:r w:rsidR="00FC77E9" w:rsidRPr="007C1482">
        <w:t>ajwyższ</w:t>
      </w:r>
      <w:r w:rsidR="00D6733F" w:rsidRPr="007C1482">
        <w:t>a</w:t>
      </w:r>
      <w:r w:rsidR="00FC77E9" w:rsidRPr="007C1482">
        <w:t xml:space="preserve"> stop</w:t>
      </w:r>
      <w:r w:rsidR="00D6733F" w:rsidRPr="007C1482">
        <w:t>a</w:t>
      </w:r>
      <w:r w:rsidR="00FC77E9" w:rsidRPr="007C1482">
        <w:t xml:space="preserve"> bezrobocia </w:t>
      </w:r>
      <w:r w:rsidR="0056160A" w:rsidRPr="007C1482">
        <w:t xml:space="preserve">wg analizowanego stanu </w:t>
      </w:r>
      <w:r w:rsidR="00D6733F" w:rsidRPr="007C1482">
        <w:t>to powiaty</w:t>
      </w:r>
      <w:r w:rsidR="00FC77E9" w:rsidRPr="007C1482">
        <w:t xml:space="preserve">: </w:t>
      </w:r>
      <w:r w:rsidR="0056160A" w:rsidRPr="007C1482">
        <w:t xml:space="preserve">niżański </w:t>
      </w:r>
      <w:r w:rsidR="00FC77E9" w:rsidRPr="007C1482">
        <w:t>(</w:t>
      </w:r>
      <w:r w:rsidR="0063750A" w:rsidRPr="007C1482">
        <w:t>1</w:t>
      </w:r>
      <w:r w:rsidR="0056160A" w:rsidRPr="007C1482">
        <w:t>7</w:t>
      </w:r>
      <w:r w:rsidR="00FC77E9" w:rsidRPr="007C1482">
        <w:t>,</w:t>
      </w:r>
      <w:r w:rsidR="0056160A" w:rsidRPr="007C1482">
        <w:t>5</w:t>
      </w:r>
      <w:r w:rsidR="00FC77E9" w:rsidRPr="007C1482">
        <w:t xml:space="preserve">%), </w:t>
      </w:r>
      <w:r w:rsidR="0056160A" w:rsidRPr="007C1482">
        <w:t>brzozowski</w:t>
      </w:r>
      <w:r w:rsidR="00FC77E9" w:rsidRPr="007C1482">
        <w:t xml:space="preserve"> (</w:t>
      </w:r>
      <w:r w:rsidR="00BA0EF5" w:rsidRPr="007C1482">
        <w:t>1</w:t>
      </w:r>
      <w:r w:rsidR="007C1482" w:rsidRPr="007C1482">
        <w:t>6</w:t>
      </w:r>
      <w:r w:rsidR="00FC77E9" w:rsidRPr="007C1482">
        <w:t>,</w:t>
      </w:r>
      <w:r w:rsidR="007C1482" w:rsidRPr="007C1482">
        <w:t>5</w:t>
      </w:r>
      <w:r w:rsidR="00FC77E9" w:rsidRPr="007C1482">
        <w:t xml:space="preserve">%), </w:t>
      </w:r>
      <w:r w:rsidR="0056160A" w:rsidRPr="007C1482">
        <w:t>leski</w:t>
      </w:r>
      <w:r w:rsidR="00FC77E9" w:rsidRPr="007C1482">
        <w:t xml:space="preserve"> (</w:t>
      </w:r>
      <w:r w:rsidR="00BA0EF5" w:rsidRPr="007C1482">
        <w:t>16</w:t>
      </w:r>
      <w:r w:rsidR="007C1482" w:rsidRPr="007C1482">
        <w:t>,0</w:t>
      </w:r>
      <w:r w:rsidR="00FC77E9" w:rsidRPr="007C1482">
        <w:t xml:space="preserve">%), </w:t>
      </w:r>
      <w:r w:rsidR="0056160A" w:rsidRPr="007C1482">
        <w:t>bieszczadzki</w:t>
      </w:r>
      <w:r w:rsidR="00FC77E9" w:rsidRPr="007C1482">
        <w:t xml:space="preserve"> (</w:t>
      </w:r>
      <w:r w:rsidR="00BA0EF5" w:rsidRPr="007C1482">
        <w:t>1</w:t>
      </w:r>
      <w:r w:rsidR="007C1482" w:rsidRPr="007C1482">
        <w:t>5</w:t>
      </w:r>
      <w:r w:rsidR="00FC77E9" w:rsidRPr="007C1482">
        <w:t>,</w:t>
      </w:r>
      <w:r w:rsidR="00BA0EF5" w:rsidRPr="007C1482">
        <w:t>5</w:t>
      </w:r>
      <w:r w:rsidR="00FC77E9" w:rsidRPr="007C1482">
        <w:t>%)</w:t>
      </w:r>
      <w:r w:rsidR="00AE5712" w:rsidRPr="007C1482">
        <w:t xml:space="preserve"> i </w:t>
      </w:r>
      <w:r w:rsidR="0056160A" w:rsidRPr="007C1482">
        <w:t>przemyski</w:t>
      </w:r>
      <w:r w:rsidR="00BA0EF5" w:rsidRPr="007C1482">
        <w:t xml:space="preserve"> </w:t>
      </w:r>
      <w:r w:rsidR="00FC77E9" w:rsidRPr="007C1482">
        <w:t>(</w:t>
      </w:r>
      <w:r w:rsidR="00BA0EF5" w:rsidRPr="007C1482">
        <w:t>1</w:t>
      </w:r>
      <w:r w:rsidR="007C1482" w:rsidRPr="007C1482">
        <w:t>4</w:t>
      </w:r>
      <w:r w:rsidR="00FC77E9" w:rsidRPr="007C1482">
        <w:t>,</w:t>
      </w:r>
      <w:r w:rsidR="007C1482" w:rsidRPr="007C1482">
        <w:t>9</w:t>
      </w:r>
      <w:r w:rsidR="00FC77E9" w:rsidRPr="007C1482">
        <w:t>%)</w:t>
      </w:r>
      <w:r w:rsidR="00796F6E" w:rsidRPr="007C1482">
        <w:t>.</w:t>
      </w:r>
    </w:p>
    <w:p w:rsidR="00CA3452" w:rsidRDefault="00CA3452" w:rsidP="004C2EDC">
      <w:pPr>
        <w:pStyle w:val="Default"/>
        <w:spacing w:line="360" w:lineRule="auto"/>
        <w:ind w:firstLine="709"/>
        <w:jc w:val="both"/>
      </w:pPr>
    </w:p>
    <w:p w:rsidR="0060344D" w:rsidRPr="00092438" w:rsidRDefault="002B3633" w:rsidP="004C2EDC">
      <w:pPr>
        <w:pStyle w:val="Default"/>
        <w:spacing w:line="360" w:lineRule="auto"/>
        <w:ind w:firstLine="709"/>
        <w:jc w:val="both"/>
      </w:pPr>
      <w:r w:rsidRPr="00092438">
        <w:t xml:space="preserve">Analizując </w:t>
      </w:r>
      <w:r w:rsidR="00AC38FF" w:rsidRPr="00092438">
        <w:t>zjawisko fluktuacji</w:t>
      </w:r>
      <w:r w:rsidR="00B6548B" w:rsidRPr="00092438">
        <w:t xml:space="preserve"> </w:t>
      </w:r>
      <w:r w:rsidR="00D6733F" w:rsidRPr="00092438">
        <w:t>czyli</w:t>
      </w:r>
      <w:r w:rsidR="00B6548B" w:rsidRPr="00092438">
        <w:t xml:space="preserve"> </w:t>
      </w:r>
      <w:r w:rsidRPr="00092438">
        <w:t>„napływ</w:t>
      </w:r>
      <w:r w:rsidR="00AA21A2" w:rsidRPr="00092438">
        <w:t>ów</w:t>
      </w:r>
      <w:r w:rsidRPr="00092438">
        <w:t>”</w:t>
      </w:r>
      <w:r w:rsidR="00D01094" w:rsidRPr="00092438">
        <w:t xml:space="preserve"> </w:t>
      </w:r>
      <w:r w:rsidR="00AE5712" w:rsidRPr="00092438">
        <w:t>i</w:t>
      </w:r>
      <w:r w:rsidR="00D01094" w:rsidRPr="00092438">
        <w:t xml:space="preserve"> </w:t>
      </w:r>
      <w:r w:rsidRPr="00092438">
        <w:t>„odpływ</w:t>
      </w:r>
      <w:r w:rsidR="00AA21A2" w:rsidRPr="00092438">
        <w:t>ów</w:t>
      </w:r>
      <w:r w:rsidRPr="00092438">
        <w:t xml:space="preserve">” </w:t>
      </w:r>
      <w:r w:rsidR="00356593" w:rsidRPr="00092438">
        <w:t xml:space="preserve">osób </w:t>
      </w:r>
      <w:r w:rsidRPr="00092438">
        <w:t xml:space="preserve">bezrobotnych </w:t>
      </w:r>
      <w:r w:rsidR="00AA21A2" w:rsidRPr="00092438">
        <w:t xml:space="preserve">do ewidencji w PUP </w:t>
      </w:r>
      <w:r w:rsidRPr="00092438">
        <w:t>należy stwierdzić, ż</w:t>
      </w:r>
      <w:r w:rsidR="00AC38FF" w:rsidRPr="00092438">
        <w:t>e</w:t>
      </w:r>
      <w:r w:rsidR="00AE5712" w:rsidRPr="00092438">
        <w:t xml:space="preserve"> w </w:t>
      </w:r>
      <w:r w:rsidRPr="00092438">
        <w:t>okresie</w:t>
      </w:r>
      <w:r w:rsidR="00AA21A2" w:rsidRPr="00092438">
        <w:t xml:space="preserve"> pierwszych 6 </w:t>
      </w:r>
      <w:r w:rsidRPr="00092438">
        <w:t>miesięcy 201</w:t>
      </w:r>
      <w:r w:rsidR="00092438" w:rsidRPr="00092438">
        <w:t>7</w:t>
      </w:r>
      <w:r w:rsidRPr="00092438">
        <w:t xml:space="preserve"> r</w:t>
      </w:r>
      <w:r w:rsidR="0009442C" w:rsidRPr="00092438">
        <w:t>.</w:t>
      </w:r>
      <w:r w:rsidR="00AE5712" w:rsidRPr="00092438">
        <w:t xml:space="preserve"> w </w:t>
      </w:r>
      <w:r w:rsidR="009D2364" w:rsidRPr="00092438">
        <w:t xml:space="preserve">województwie podkarpackim </w:t>
      </w:r>
      <w:r w:rsidRPr="00092438">
        <w:rPr>
          <w:b/>
        </w:rPr>
        <w:t xml:space="preserve">zarejestrowało się ogółem </w:t>
      </w:r>
      <w:r w:rsidR="00674879">
        <w:rPr>
          <w:b/>
        </w:rPr>
        <w:t>62</w:t>
      </w:r>
      <w:r w:rsidR="00D01094" w:rsidRPr="00674879">
        <w:rPr>
          <w:b/>
        </w:rPr>
        <w:t> </w:t>
      </w:r>
      <w:r w:rsidR="00674879">
        <w:rPr>
          <w:b/>
        </w:rPr>
        <w:t>974</w:t>
      </w:r>
      <w:r w:rsidRPr="00674879">
        <w:rPr>
          <w:b/>
        </w:rPr>
        <w:t xml:space="preserve"> bezrobotnych</w:t>
      </w:r>
      <w:r w:rsidR="00356593" w:rsidRPr="00674879">
        <w:t xml:space="preserve"> (w </w:t>
      </w:r>
      <w:r w:rsidR="0009442C" w:rsidRPr="00674879">
        <w:t xml:space="preserve">I półroczu </w:t>
      </w:r>
      <w:r w:rsidRPr="00674879">
        <w:t>201</w:t>
      </w:r>
      <w:r w:rsidR="00092438" w:rsidRPr="00674879">
        <w:t>6</w:t>
      </w:r>
      <w:r w:rsidR="00D01094" w:rsidRPr="00674879">
        <w:t xml:space="preserve"> r.</w:t>
      </w:r>
      <w:r w:rsidRPr="00674879">
        <w:t xml:space="preserve"> </w:t>
      </w:r>
      <w:r w:rsidR="0060344D" w:rsidRPr="00674879">
        <w:t xml:space="preserve">grupa ta </w:t>
      </w:r>
      <w:r w:rsidR="00A9706F" w:rsidRPr="00674879">
        <w:t xml:space="preserve">obejmowała </w:t>
      </w:r>
      <w:r w:rsidR="00D01094" w:rsidRPr="00674879">
        <w:t>71 4</w:t>
      </w:r>
      <w:r w:rsidR="00092438" w:rsidRPr="00674879">
        <w:t>68</w:t>
      </w:r>
      <w:r w:rsidR="0060344D" w:rsidRPr="00674879">
        <w:t xml:space="preserve"> osób</w:t>
      </w:r>
      <w:r w:rsidR="00356593" w:rsidRPr="00674879">
        <w:t>)</w:t>
      </w:r>
      <w:r w:rsidR="0060344D" w:rsidRPr="00674879">
        <w:t>.</w:t>
      </w:r>
    </w:p>
    <w:p w:rsidR="004C2EDC" w:rsidRPr="0029506F" w:rsidRDefault="004C2EDC" w:rsidP="004C2EDC">
      <w:pPr>
        <w:pStyle w:val="Default"/>
        <w:jc w:val="both"/>
        <w:rPr>
          <w:sz w:val="16"/>
          <w:szCs w:val="16"/>
          <w:highlight w:val="yellow"/>
        </w:rPr>
      </w:pPr>
    </w:p>
    <w:p w:rsidR="009D2364" w:rsidRPr="001A4D6D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1A4D6D">
        <w:t>W</w:t>
      </w:r>
      <w:r w:rsidR="009D2364" w:rsidRPr="001A4D6D">
        <w:t xml:space="preserve">iększość </w:t>
      </w:r>
      <w:r w:rsidR="00532EA9" w:rsidRPr="001A4D6D">
        <w:t xml:space="preserve">w rejestrach </w:t>
      </w:r>
      <w:r w:rsidR="009D2364" w:rsidRPr="001A4D6D">
        <w:t xml:space="preserve">PUP </w:t>
      </w:r>
      <w:r w:rsidR="00532EA9" w:rsidRPr="001A4D6D">
        <w:t xml:space="preserve">stanowiły osoby </w:t>
      </w:r>
      <w:r w:rsidR="009D2364" w:rsidRPr="001A4D6D">
        <w:t xml:space="preserve">powracające do ewidencji </w:t>
      </w:r>
      <w:r w:rsidR="00532EA9" w:rsidRPr="001A4D6D">
        <w:t xml:space="preserve">już </w:t>
      </w:r>
      <w:r w:rsidR="009D2364" w:rsidRPr="001A4D6D">
        <w:t>po raz kolejny</w:t>
      </w:r>
      <w:r w:rsidR="00532EA9" w:rsidRPr="001A4D6D">
        <w:t xml:space="preserve"> (fakt </w:t>
      </w:r>
      <w:r w:rsidR="00216032" w:rsidRPr="001A4D6D">
        <w:t>pierwszej</w:t>
      </w:r>
      <w:r w:rsidR="00532EA9" w:rsidRPr="001A4D6D">
        <w:t xml:space="preserve"> rejestracji od 1990 r.)</w:t>
      </w:r>
      <w:r w:rsidR="009D2364" w:rsidRPr="001A4D6D">
        <w:t xml:space="preserve"> – </w:t>
      </w:r>
      <w:r w:rsidR="001A4D6D" w:rsidRPr="001A4D6D">
        <w:t>53</w:t>
      </w:r>
      <w:r w:rsidR="009D2364" w:rsidRPr="001A4D6D">
        <w:t xml:space="preserve"> </w:t>
      </w:r>
      <w:r w:rsidR="001A4D6D" w:rsidRPr="001A4D6D">
        <w:t>505</w:t>
      </w:r>
      <w:r w:rsidR="009D2364" w:rsidRPr="001A4D6D">
        <w:t xml:space="preserve"> osób (</w:t>
      </w:r>
      <w:r w:rsidR="001A4D6D" w:rsidRPr="001A4D6D">
        <w:t>84</w:t>
      </w:r>
      <w:r w:rsidR="009D2364" w:rsidRPr="001A4D6D">
        <w:t>,</w:t>
      </w:r>
      <w:r w:rsidR="001A4D6D" w:rsidRPr="001A4D6D">
        <w:t>96</w:t>
      </w:r>
      <w:r w:rsidR="009D2364" w:rsidRPr="001A4D6D">
        <w:t>%)</w:t>
      </w:r>
      <w:r w:rsidRPr="001A4D6D">
        <w:t>.</w:t>
      </w:r>
    </w:p>
    <w:p w:rsidR="001D4B51" w:rsidRPr="00997522" w:rsidRDefault="001D4B51" w:rsidP="001D4B51">
      <w:pPr>
        <w:pStyle w:val="Default"/>
        <w:numPr>
          <w:ilvl w:val="0"/>
          <w:numId w:val="1"/>
        </w:numPr>
        <w:spacing w:line="360" w:lineRule="auto"/>
        <w:jc w:val="both"/>
      </w:pPr>
      <w:r>
        <w:t>Wszystkie wymienione w sprawozdaniu przyczyny rejestracji stanowiły 9,52% ogółu napływu.</w:t>
      </w:r>
    </w:p>
    <w:p w:rsidR="00CA3452" w:rsidRDefault="0081673A" w:rsidP="009769B2">
      <w:pPr>
        <w:pStyle w:val="Default"/>
        <w:numPr>
          <w:ilvl w:val="0"/>
          <w:numId w:val="1"/>
        </w:numPr>
        <w:spacing w:line="360" w:lineRule="auto"/>
        <w:jc w:val="both"/>
      </w:pPr>
      <w:r w:rsidRPr="00997522">
        <w:t>P</w:t>
      </w:r>
      <w:r w:rsidR="009D2364" w:rsidRPr="00997522">
        <w:t xml:space="preserve">owtórne rejestracje </w:t>
      </w:r>
      <w:r w:rsidR="00997522" w:rsidRPr="00997522">
        <w:t xml:space="preserve">mogły </w:t>
      </w:r>
      <w:r w:rsidR="009D2364" w:rsidRPr="00997522">
        <w:t>dotyczy</w:t>
      </w:r>
      <w:r w:rsidR="00997522" w:rsidRPr="00997522">
        <w:t>ć</w:t>
      </w:r>
      <w:r w:rsidR="009D2364" w:rsidRPr="00997522">
        <w:t xml:space="preserve"> osób</w:t>
      </w:r>
      <w:r w:rsidR="00532EA9" w:rsidRPr="00997522">
        <w:t xml:space="preserve">, </w:t>
      </w:r>
      <w:r w:rsidR="009D2364" w:rsidRPr="00997522">
        <w:t xml:space="preserve">które po okresie krótkotrwałego zatrudnienia powracały do ewidencji </w:t>
      </w:r>
      <w:r w:rsidR="00696166" w:rsidRPr="00997522">
        <w:t xml:space="preserve">powiatowych </w:t>
      </w:r>
      <w:r w:rsidR="009D2364" w:rsidRPr="00997522">
        <w:t xml:space="preserve">urzędów pracy, gdyż pracodawcy nie dysponowali </w:t>
      </w:r>
      <w:r w:rsidR="00532EA9" w:rsidRPr="00997522">
        <w:t xml:space="preserve">możliwościami </w:t>
      </w:r>
      <w:r w:rsidR="009D2364" w:rsidRPr="00997522">
        <w:t xml:space="preserve">zatrudnienia </w:t>
      </w:r>
      <w:r w:rsidR="0096732B" w:rsidRPr="00997522">
        <w:t xml:space="preserve">na </w:t>
      </w:r>
      <w:r w:rsidR="009D2364" w:rsidRPr="00997522">
        <w:t>dłuż</w:t>
      </w:r>
      <w:r w:rsidR="0096732B" w:rsidRPr="00997522">
        <w:t>ej</w:t>
      </w:r>
      <w:r w:rsidRPr="00997522">
        <w:t>.</w:t>
      </w:r>
    </w:p>
    <w:p w:rsidR="009769B2" w:rsidRPr="00A64751" w:rsidRDefault="00CA3452" w:rsidP="009769B2">
      <w:pPr>
        <w:pStyle w:val="Default"/>
        <w:numPr>
          <w:ilvl w:val="0"/>
          <w:numId w:val="1"/>
        </w:numPr>
        <w:spacing w:line="360" w:lineRule="auto"/>
        <w:jc w:val="both"/>
      </w:pPr>
      <w:r>
        <w:t>N</w:t>
      </w:r>
      <w:r w:rsidR="000566C4" w:rsidRPr="00A64751">
        <w:t xml:space="preserve">ajwięcej </w:t>
      </w:r>
      <w:r w:rsidR="0081673A" w:rsidRPr="00A64751">
        <w:t xml:space="preserve">osób </w:t>
      </w:r>
      <w:r w:rsidR="000566C4" w:rsidRPr="00A64751">
        <w:t xml:space="preserve">bezrobotnych zarejestrowało się w: powiecie </w:t>
      </w:r>
      <w:r w:rsidR="006A4A03" w:rsidRPr="00A64751">
        <w:t xml:space="preserve">jarosławskim </w:t>
      </w:r>
      <w:r w:rsidR="00DD6562" w:rsidRPr="00A64751">
        <w:t>– 4</w:t>
      </w:r>
      <w:r w:rsidR="006A4A03" w:rsidRPr="00A64751">
        <w:t> 400,</w:t>
      </w:r>
      <w:r w:rsidR="00DD6562" w:rsidRPr="00A64751">
        <w:t xml:space="preserve"> Rzesz</w:t>
      </w:r>
      <w:r w:rsidR="00C436F3" w:rsidRPr="00A64751">
        <w:t>owie</w:t>
      </w:r>
      <w:r w:rsidR="00DD6562" w:rsidRPr="00A64751">
        <w:t xml:space="preserve"> – </w:t>
      </w:r>
      <w:r w:rsidR="006A4A03" w:rsidRPr="00A64751">
        <w:t>3</w:t>
      </w:r>
      <w:r w:rsidR="00DD6562" w:rsidRPr="00A64751">
        <w:t> </w:t>
      </w:r>
      <w:r w:rsidR="006A4A03" w:rsidRPr="00A64751">
        <w:t>822</w:t>
      </w:r>
      <w:r w:rsidR="00DD6562" w:rsidRPr="00A64751">
        <w:t xml:space="preserve">, </w:t>
      </w:r>
      <w:r w:rsidR="00C436F3" w:rsidRPr="00A64751">
        <w:t>powiecie</w:t>
      </w:r>
      <w:r w:rsidR="006A4A03" w:rsidRPr="00A64751">
        <w:t xml:space="preserve"> jasielskim</w:t>
      </w:r>
      <w:r w:rsidR="00DD6562" w:rsidRPr="00A64751">
        <w:t xml:space="preserve"> – </w:t>
      </w:r>
      <w:r w:rsidR="006A4A03" w:rsidRPr="00A64751">
        <w:t>3</w:t>
      </w:r>
      <w:r w:rsidR="00DD6562" w:rsidRPr="00A64751">
        <w:t> </w:t>
      </w:r>
      <w:r w:rsidR="006A4A03" w:rsidRPr="00A64751">
        <w:t>814</w:t>
      </w:r>
      <w:r w:rsidR="00DD6562" w:rsidRPr="00A64751">
        <w:t>, rzeszowski</w:t>
      </w:r>
      <w:r w:rsidR="00C436F3" w:rsidRPr="00A64751">
        <w:t>m</w:t>
      </w:r>
      <w:r w:rsidR="00DD6562" w:rsidRPr="00A64751">
        <w:t xml:space="preserve"> – </w:t>
      </w:r>
      <w:r w:rsidR="006A4A03" w:rsidRPr="00A64751">
        <w:t>3</w:t>
      </w:r>
      <w:r w:rsidR="00DD6562" w:rsidRPr="00A64751">
        <w:t> </w:t>
      </w:r>
      <w:r w:rsidR="006A4A03" w:rsidRPr="00A64751">
        <w:t>740</w:t>
      </w:r>
      <w:r w:rsidR="00DD6562" w:rsidRPr="00A64751">
        <w:t xml:space="preserve">, </w:t>
      </w:r>
      <w:r w:rsidR="006A4A03" w:rsidRPr="00A64751">
        <w:t>mieleckim</w:t>
      </w:r>
      <w:r w:rsidR="00C436F3" w:rsidRPr="00A64751">
        <w:t xml:space="preserve"> – </w:t>
      </w:r>
      <w:r w:rsidR="006A4A03" w:rsidRPr="00A64751">
        <w:t>3</w:t>
      </w:r>
      <w:r w:rsidR="00C436F3" w:rsidRPr="00A64751">
        <w:t> </w:t>
      </w:r>
      <w:r w:rsidR="006A4A03" w:rsidRPr="00A64751">
        <w:t>549</w:t>
      </w:r>
      <w:r w:rsidR="00C436F3" w:rsidRPr="00A64751">
        <w:t xml:space="preserve">, </w:t>
      </w:r>
      <w:r w:rsidR="00DD6562" w:rsidRPr="00A64751">
        <w:t>dębicki</w:t>
      </w:r>
      <w:r w:rsidR="00C436F3" w:rsidRPr="00A64751">
        <w:t xml:space="preserve">m – </w:t>
      </w:r>
      <w:r w:rsidR="00DD6562" w:rsidRPr="00A64751">
        <w:t>3</w:t>
      </w:r>
      <w:r w:rsidR="00C436F3" w:rsidRPr="00A64751">
        <w:t> </w:t>
      </w:r>
      <w:r w:rsidR="00067709" w:rsidRPr="00A64751">
        <w:t>309</w:t>
      </w:r>
      <w:r w:rsidR="00C436F3" w:rsidRPr="00A64751">
        <w:t>.</w:t>
      </w:r>
      <w:r w:rsidR="003C515A" w:rsidRPr="00A64751">
        <w:t xml:space="preserve"> </w:t>
      </w:r>
      <w:r w:rsidR="0081673A" w:rsidRPr="00A64751">
        <w:t>N</w:t>
      </w:r>
      <w:r w:rsidR="00726DAB" w:rsidRPr="00A64751">
        <w:t xml:space="preserve">ajmniej </w:t>
      </w:r>
      <w:r w:rsidR="0081673A" w:rsidRPr="00A64751">
        <w:t xml:space="preserve">osób </w:t>
      </w:r>
      <w:r w:rsidR="00726DAB" w:rsidRPr="00A64751">
        <w:t>bezrobotnych zarejestrowało się w:</w:t>
      </w:r>
      <w:r w:rsidR="009769B2" w:rsidRPr="00A64751">
        <w:t xml:space="preserve"> powiecie bieszczadzkim – </w:t>
      </w:r>
      <w:r w:rsidR="00A64751" w:rsidRPr="00A64751">
        <w:t>809</w:t>
      </w:r>
      <w:r w:rsidR="009769B2" w:rsidRPr="00A64751">
        <w:t xml:space="preserve">, </w:t>
      </w:r>
      <w:r w:rsidR="00A64751" w:rsidRPr="00A64751">
        <w:t xml:space="preserve">m. Krośnie – 1 085, </w:t>
      </w:r>
      <w:r w:rsidR="009769B2" w:rsidRPr="00A64751">
        <w:t>leskim – 1 </w:t>
      </w:r>
      <w:r w:rsidR="00A64751" w:rsidRPr="00A64751">
        <w:t>096</w:t>
      </w:r>
      <w:r w:rsidR="009769B2" w:rsidRPr="00A64751">
        <w:t>, Tarnobrzegu – 1 </w:t>
      </w:r>
      <w:r w:rsidR="00A64751" w:rsidRPr="00A64751">
        <w:t>3</w:t>
      </w:r>
      <w:r w:rsidR="009769B2" w:rsidRPr="00A64751">
        <w:t>7</w:t>
      </w:r>
      <w:r w:rsidR="00A64751" w:rsidRPr="00A64751">
        <w:t>6</w:t>
      </w:r>
      <w:r w:rsidR="009769B2" w:rsidRPr="00A64751">
        <w:t>, powiecie tarnobrzeskim – 1 </w:t>
      </w:r>
      <w:r w:rsidR="00A64751" w:rsidRPr="00A64751">
        <w:t>460</w:t>
      </w:r>
      <w:r w:rsidR="009769B2" w:rsidRPr="00A64751">
        <w:t xml:space="preserve">, </w:t>
      </w:r>
      <w:r w:rsidR="00A64751" w:rsidRPr="00A64751">
        <w:t xml:space="preserve">kolbuszowskim </w:t>
      </w:r>
      <w:r w:rsidR="009769B2" w:rsidRPr="00A64751">
        <w:t xml:space="preserve">– </w:t>
      </w:r>
      <w:r w:rsidR="00A64751" w:rsidRPr="00A64751">
        <w:t>1</w:t>
      </w:r>
      <w:r w:rsidR="009769B2" w:rsidRPr="00A64751">
        <w:t> </w:t>
      </w:r>
      <w:r w:rsidR="00A64751" w:rsidRPr="00A64751">
        <w:t>733</w:t>
      </w:r>
      <w:r w:rsidR="009769B2" w:rsidRPr="00A64751">
        <w:t xml:space="preserve">, </w:t>
      </w:r>
      <w:r w:rsidR="00A64751" w:rsidRPr="00A64751">
        <w:t xml:space="preserve">m. Przemyślu </w:t>
      </w:r>
      <w:r w:rsidR="009769B2" w:rsidRPr="00A64751">
        <w:t xml:space="preserve">– </w:t>
      </w:r>
      <w:r w:rsidR="00A64751" w:rsidRPr="00A64751">
        <w:t>1</w:t>
      </w:r>
      <w:r w:rsidR="009769B2" w:rsidRPr="00A64751">
        <w:t> </w:t>
      </w:r>
      <w:r w:rsidR="00A64751" w:rsidRPr="00A64751">
        <w:t>810</w:t>
      </w:r>
      <w:r w:rsidR="009769B2" w:rsidRPr="00A64751">
        <w:t xml:space="preserve"> i</w:t>
      </w:r>
      <w:r w:rsidR="003C515A" w:rsidRPr="00A64751">
        <w:t> </w:t>
      </w:r>
      <w:r w:rsidR="00A64751" w:rsidRPr="00A64751">
        <w:t xml:space="preserve">powiecie lubaczowskim </w:t>
      </w:r>
      <w:r w:rsidR="009769B2" w:rsidRPr="00A64751">
        <w:t>– 2 </w:t>
      </w:r>
      <w:r w:rsidR="00A64751" w:rsidRPr="00A64751">
        <w:t>065</w:t>
      </w:r>
      <w:r w:rsidR="009769B2" w:rsidRPr="00A64751">
        <w:t>.</w:t>
      </w:r>
    </w:p>
    <w:p w:rsidR="00726DAB" w:rsidRPr="00A64751" w:rsidRDefault="009769B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A64751">
        <w:t>W</w:t>
      </w:r>
      <w:r w:rsidR="00F33452" w:rsidRPr="00A64751">
        <w:t xml:space="preserve"> grupie osób rejestrujących się po raz pierwszy nastąpił</w:t>
      </w:r>
      <w:r w:rsidR="00A64751">
        <w:t xml:space="preserve">  </w:t>
      </w:r>
      <w:r w:rsidR="00323234" w:rsidRPr="00A64751">
        <w:t>spadek</w:t>
      </w:r>
      <w:r w:rsidR="00AE5712" w:rsidRPr="00A64751">
        <w:t xml:space="preserve"> o </w:t>
      </w:r>
      <w:r w:rsidR="00A64751" w:rsidRPr="00A64751">
        <w:t>1 061</w:t>
      </w:r>
      <w:r w:rsidR="00F33452" w:rsidRPr="00A64751">
        <w:t xml:space="preserve"> os</w:t>
      </w:r>
      <w:r w:rsidRPr="00A64751">
        <w:t>ó</w:t>
      </w:r>
      <w:r w:rsidR="00F33452" w:rsidRPr="00A64751">
        <w:t>b (</w:t>
      </w:r>
      <w:r w:rsidR="00A64751" w:rsidRPr="00A64751">
        <w:t>10</w:t>
      </w:r>
      <w:r w:rsidR="00323234" w:rsidRPr="00A64751">
        <w:t>,</w:t>
      </w:r>
      <w:r w:rsidR="00A64751" w:rsidRPr="00A64751">
        <w:t>08</w:t>
      </w:r>
      <w:r w:rsidR="00F33452" w:rsidRPr="00A64751">
        <w:t>%</w:t>
      </w:r>
      <w:r w:rsidR="00A64751" w:rsidRPr="00A64751">
        <w:t xml:space="preserve"> - </w:t>
      </w:r>
      <w:r w:rsidR="00323234" w:rsidRPr="00A64751">
        <w:t xml:space="preserve">przyjmując za 100,0% </w:t>
      </w:r>
      <w:r w:rsidR="00A64751" w:rsidRPr="00A64751">
        <w:t xml:space="preserve">napływ z </w:t>
      </w:r>
      <w:r w:rsidRPr="00A64751">
        <w:t xml:space="preserve">I półrocza </w:t>
      </w:r>
      <w:r w:rsidR="00F33452" w:rsidRPr="00A64751">
        <w:t>201</w:t>
      </w:r>
      <w:r w:rsidR="00A64751" w:rsidRPr="00A64751">
        <w:t>6</w:t>
      </w:r>
      <w:r w:rsidRPr="00A64751">
        <w:t xml:space="preserve"> r.</w:t>
      </w:r>
      <w:r w:rsidR="00F33452" w:rsidRPr="00A64751">
        <w:t>).</w:t>
      </w:r>
    </w:p>
    <w:p w:rsidR="00A64751" w:rsidRDefault="00A64751" w:rsidP="00911150">
      <w:pPr>
        <w:pStyle w:val="Default"/>
        <w:jc w:val="both"/>
        <w:rPr>
          <w:sz w:val="16"/>
          <w:szCs w:val="16"/>
          <w:highlight w:val="yellow"/>
        </w:rPr>
      </w:pPr>
    </w:p>
    <w:p w:rsidR="00A64751" w:rsidRDefault="00A64751">
      <w:pPr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726DAB" w:rsidRPr="00911150" w:rsidRDefault="00726DAB" w:rsidP="00911150">
      <w:pPr>
        <w:pStyle w:val="Nagwek3"/>
        <w:jc w:val="left"/>
        <w:rPr>
          <w:rFonts w:ascii="Times New Roman" w:hAnsi="Times New Roman" w:cs="Times New Roman"/>
          <w:i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4" w:name="_Toc489263944"/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„Odpływ</w:t>
      </w:r>
      <w:r w:rsidR="00D01094"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”</w:t>
      </w:r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bezrobotnych</w:t>
      </w:r>
      <w:bookmarkEnd w:id="4"/>
    </w:p>
    <w:p w:rsidR="008979C4" w:rsidRPr="0029506F" w:rsidRDefault="008979C4" w:rsidP="00C07F0F">
      <w:pPr>
        <w:pStyle w:val="Default"/>
        <w:jc w:val="both"/>
        <w:rPr>
          <w:sz w:val="16"/>
          <w:szCs w:val="16"/>
          <w:highlight w:val="yellow"/>
        </w:rPr>
      </w:pPr>
    </w:p>
    <w:p w:rsidR="006139D8" w:rsidRPr="00092438" w:rsidRDefault="007036E5" w:rsidP="00CE70F1">
      <w:pPr>
        <w:pStyle w:val="Default"/>
        <w:spacing w:line="360" w:lineRule="auto"/>
        <w:ind w:firstLine="708"/>
        <w:jc w:val="both"/>
        <w:rPr>
          <w:i/>
        </w:rPr>
      </w:pPr>
      <w:r w:rsidRPr="00092438">
        <w:rPr>
          <w:i/>
        </w:rPr>
        <w:t xml:space="preserve">„Odpływ” </w:t>
      </w:r>
      <w:r w:rsidR="00AE5712" w:rsidRPr="00092438">
        <w:rPr>
          <w:i/>
        </w:rPr>
        <w:t>z</w:t>
      </w:r>
      <w:r w:rsidR="008E2691" w:rsidRPr="00092438">
        <w:rPr>
          <w:i/>
        </w:rPr>
        <w:t xml:space="preserve"> </w:t>
      </w:r>
      <w:r w:rsidR="00CE70F1" w:rsidRPr="00092438">
        <w:rPr>
          <w:i/>
        </w:rPr>
        <w:t>powiatowych urzędów pracy</w:t>
      </w:r>
      <w:r w:rsidRPr="00092438">
        <w:rPr>
          <w:i/>
        </w:rPr>
        <w:t xml:space="preserve"> może wiązać się</w:t>
      </w:r>
      <w:r w:rsidR="00AE5712" w:rsidRPr="00092438">
        <w:rPr>
          <w:i/>
        </w:rPr>
        <w:t xml:space="preserve"> z </w:t>
      </w:r>
      <w:r w:rsidRPr="00092438">
        <w:rPr>
          <w:i/>
        </w:rPr>
        <w:t>całkowitym wyrejestrowaniem</w:t>
      </w:r>
      <w:r w:rsidR="008E2691" w:rsidRPr="00092438">
        <w:rPr>
          <w:i/>
        </w:rPr>
        <w:t xml:space="preserve"> </w:t>
      </w:r>
      <w:r w:rsidRPr="00092438">
        <w:rPr>
          <w:i/>
        </w:rPr>
        <w:t>(</w:t>
      </w:r>
      <w:r w:rsidR="00A64751">
        <w:rPr>
          <w:i/>
        </w:rPr>
        <w:t xml:space="preserve">tj. </w:t>
      </w:r>
      <w:r w:rsidRPr="00092438">
        <w:rPr>
          <w:i/>
        </w:rPr>
        <w:t>utratą statusu osoby bezrobotnej –</w:t>
      </w:r>
      <w:r w:rsidR="00AE5712" w:rsidRPr="00092438">
        <w:rPr>
          <w:i/>
        </w:rPr>
        <w:t xml:space="preserve"> z </w:t>
      </w:r>
      <w:r w:rsidRPr="00092438">
        <w:rPr>
          <w:i/>
        </w:rPr>
        <w:t>powodu podjęcia pracy lub innego powodu niż podjęcie pracy) bądź</w:t>
      </w:r>
      <w:r w:rsidR="00AE5712" w:rsidRPr="00092438">
        <w:rPr>
          <w:i/>
        </w:rPr>
        <w:t xml:space="preserve"> z </w:t>
      </w:r>
      <w:r w:rsidRPr="00092438">
        <w:rPr>
          <w:i/>
        </w:rPr>
        <w:t>wyłączeniem</w:t>
      </w:r>
      <w:r w:rsidR="00AE5712" w:rsidRPr="00092438">
        <w:rPr>
          <w:i/>
        </w:rPr>
        <w:t xml:space="preserve"> z </w:t>
      </w:r>
      <w:r w:rsidRPr="00092438">
        <w:rPr>
          <w:i/>
        </w:rPr>
        <w:t>rejestru (z powodu udziału</w:t>
      </w:r>
      <w:r w:rsidR="008E2691" w:rsidRPr="00092438">
        <w:rPr>
          <w:i/>
        </w:rPr>
        <w:t xml:space="preserve"> </w:t>
      </w:r>
      <w:r w:rsidR="00AE5712" w:rsidRPr="00092438">
        <w:rPr>
          <w:i/>
        </w:rPr>
        <w:t>w</w:t>
      </w:r>
      <w:r w:rsidR="008E2691" w:rsidRPr="00092438">
        <w:rPr>
          <w:i/>
        </w:rPr>
        <w:t xml:space="preserve"> </w:t>
      </w:r>
      <w:r w:rsidRPr="00092438">
        <w:rPr>
          <w:i/>
        </w:rPr>
        <w:t>formach aktywizacji zawodowej, które nie powodują utraty statusu osoby bezrobotnej).</w:t>
      </w:r>
    </w:p>
    <w:p w:rsidR="007036E5" w:rsidRPr="00092438" w:rsidRDefault="00C31034" w:rsidP="00CE70F1">
      <w:pPr>
        <w:pStyle w:val="Default"/>
        <w:spacing w:line="360" w:lineRule="auto"/>
        <w:ind w:firstLine="708"/>
        <w:jc w:val="both"/>
      </w:pPr>
      <w:r w:rsidRPr="00092438">
        <w:t>W</w:t>
      </w:r>
      <w:r w:rsidR="00AE5712" w:rsidRPr="00092438">
        <w:t> </w:t>
      </w:r>
      <w:r w:rsidR="007036E5" w:rsidRPr="00092438">
        <w:t xml:space="preserve">okresie </w:t>
      </w:r>
      <w:r w:rsidR="0057312E" w:rsidRPr="00092438">
        <w:t xml:space="preserve">pierwszych 6 </w:t>
      </w:r>
      <w:r w:rsidR="007036E5" w:rsidRPr="00092438">
        <w:t>miesięcy 201</w:t>
      </w:r>
      <w:r w:rsidR="00092438" w:rsidRPr="00092438">
        <w:t>7</w:t>
      </w:r>
      <w:r w:rsidR="007036E5" w:rsidRPr="00092438">
        <w:t xml:space="preserve"> r</w:t>
      </w:r>
      <w:r w:rsidR="009769B2" w:rsidRPr="00092438">
        <w:t>.</w:t>
      </w:r>
      <w:r w:rsidR="00AE5712" w:rsidRPr="00092438">
        <w:t xml:space="preserve"> w </w:t>
      </w:r>
      <w:r w:rsidR="007036E5" w:rsidRPr="00092438">
        <w:t>województwie</w:t>
      </w:r>
      <w:r w:rsidR="001A7686" w:rsidRPr="00092438">
        <w:t xml:space="preserve"> </w:t>
      </w:r>
      <w:r w:rsidR="007036E5" w:rsidRPr="00092438">
        <w:t>podkarpackim</w:t>
      </w:r>
      <w:r w:rsidR="001A7686" w:rsidRPr="00092438">
        <w:t xml:space="preserve"> </w:t>
      </w:r>
      <w:r w:rsidR="007036E5" w:rsidRPr="00092438">
        <w:t>nastąpił „odpływ</w:t>
      </w:r>
      <w:r w:rsidR="007036E5" w:rsidRPr="00A64751">
        <w:t>”</w:t>
      </w:r>
      <w:r w:rsidR="001A7686" w:rsidRPr="00A64751">
        <w:t> 7</w:t>
      </w:r>
      <w:r w:rsidR="00A64751" w:rsidRPr="00A64751">
        <w:t>8</w:t>
      </w:r>
      <w:r w:rsidR="00FE0B53" w:rsidRPr="00A64751">
        <w:t> </w:t>
      </w:r>
      <w:r w:rsidR="00A64751" w:rsidRPr="00A64751">
        <w:t>562</w:t>
      </w:r>
      <w:r w:rsidR="007036E5" w:rsidRPr="00A64751">
        <w:t xml:space="preserve"> bezrobotnych</w:t>
      </w:r>
      <w:r w:rsidR="001A7686" w:rsidRPr="00092438">
        <w:t xml:space="preserve"> (w</w:t>
      </w:r>
      <w:r w:rsidR="00AE5712" w:rsidRPr="00092438">
        <w:t> </w:t>
      </w:r>
      <w:r w:rsidR="009769B2" w:rsidRPr="00092438">
        <w:t>okresie 6 m</w:t>
      </w:r>
      <w:r w:rsidR="0057312E" w:rsidRPr="00092438">
        <w:t>iesięcy</w:t>
      </w:r>
      <w:r w:rsidR="009769B2" w:rsidRPr="00092438">
        <w:t xml:space="preserve"> 201</w:t>
      </w:r>
      <w:r w:rsidR="00092438" w:rsidRPr="00092438">
        <w:t>6</w:t>
      </w:r>
      <w:r w:rsidR="009769B2" w:rsidRPr="00092438">
        <w:t xml:space="preserve"> r.</w:t>
      </w:r>
      <w:r w:rsidR="0057312E" w:rsidRPr="00092438">
        <w:t xml:space="preserve"> – </w:t>
      </w:r>
      <w:r w:rsidR="001A7686" w:rsidRPr="00092438">
        <w:t>8</w:t>
      </w:r>
      <w:r w:rsidR="00092438" w:rsidRPr="00092438">
        <w:t>7</w:t>
      </w:r>
      <w:r w:rsidR="001A7686" w:rsidRPr="00092438">
        <w:t> </w:t>
      </w:r>
      <w:r w:rsidR="00092438" w:rsidRPr="00092438">
        <w:t>000</w:t>
      </w:r>
      <w:r w:rsidR="007036E5" w:rsidRPr="00092438">
        <w:t xml:space="preserve"> osób</w:t>
      </w:r>
      <w:r w:rsidR="001A7686" w:rsidRPr="00092438">
        <w:t>)</w:t>
      </w:r>
      <w:r w:rsidR="007036E5" w:rsidRPr="00092438">
        <w:t>.</w:t>
      </w:r>
    </w:p>
    <w:p w:rsidR="008233CF" w:rsidRDefault="00C127C4" w:rsidP="0009243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 w:rsidRPr="00C127C4">
        <w:rPr>
          <w:noProof/>
          <w:lang w:eastAsia="pl-PL"/>
        </w:rPr>
        <w:drawing>
          <wp:inline distT="0" distB="0" distL="0" distR="0" wp14:anchorId="7C11F6F4" wp14:editId="583BDB36">
            <wp:extent cx="5759450" cy="436370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6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751" w:rsidRDefault="00A64751" w:rsidP="0009243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A64751" w:rsidRPr="00092438" w:rsidRDefault="00BB0F48" w:rsidP="00092438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 w:rsidRPr="00BB0F48">
        <w:rPr>
          <w:noProof/>
          <w:lang w:eastAsia="pl-PL"/>
        </w:rPr>
        <w:drawing>
          <wp:inline distT="0" distB="0" distL="0" distR="0" wp14:anchorId="1123CC9A" wp14:editId="256CDFE7">
            <wp:extent cx="5759450" cy="2082057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8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48" w:rsidRDefault="00BB0F48">
      <w:pPr>
        <w:rPr>
          <w:noProof/>
          <w:highlight w:val="yellow"/>
          <w:lang w:eastAsia="pl-PL"/>
        </w:rPr>
      </w:pPr>
      <w:r>
        <w:rPr>
          <w:noProof/>
          <w:highlight w:val="yellow"/>
          <w:lang w:eastAsia="pl-PL"/>
        </w:rPr>
        <w:br w:type="page"/>
      </w:r>
    </w:p>
    <w:p w:rsidR="00BB0F48" w:rsidRPr="0029506F" w:rsidRDefault="00BB0F48" w:rsidP="008233CF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BB0F48">
        <w:rPr>
          <w:noProof/>
          <w:lang w:eastAsia="pl-PL"/>
        </w:rPr>
        <w:lastRenderedPageBreak/>
        <w:drawing>
          <wp:inline distT="0" distB="0" distL="0" distR="0" wp14:anchorId="5CD65DFC" wp14:editId="26E067D0">
            <wp:extent cx="5759450" cy="1919673"/>
            <wp:effectExtent l="0" t="0" r="0" b="444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19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48" w:rsidRDefault="00BB0F48" w:rsidP="00BB0F48">
      <w:pPr>
        <w:spacing w:after="0" w:line="240" w:lineRule="auto"/>
        <w:rPr>
          <w:sz w:val="16"/>
          <w:szCs w:val="16"/>
          <w:highlight w:val="yellow"/>
        </w:rPr>
      </w:pPr>
    </w:p>
    <w:p w:rsidR="00105677" w:rsidRDefault="0001149D" w:rsidP="00BB0F48">
      <w:pPr>
        <w:spacing w:after="0" w:line="240" w:lineRule="auto"/>
        <w:rPr>
          <w:sz w:val="16"/>
          <w:szCs w:val="16"/>
          <w:highlight w:val="yellow"/>
        </w:rPr>
      </w:pPr>
      <w:r w:rsidRPr="0001149D">
        <w:rPr>
          <w:noProof/>
          <w:lang w:eastAsia="pl-PL"/>
        </w:rPr>
        <w:drawing>
          <wp:inline distT="0" distB="0" distL="0" distR="0" wp14:anchorId="09FB532F" wp14:editId="09B2E388">
            <wp:extent cx="5759450" cy="2655889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55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677" w:rsidRDefault="00105677" w:rsidP="00BB0F48">
      <w:pPr>
        <w:spacing w:after="0" w:line="240" w:lineRule="auto"/>
        <w:rPr>
          <w:sz w:val="16"/>
          <w:szCs w:val="16"/>
          <w:highlight w:val="yellow"/>
        </w:rPr>
      </w:pPr>
    </w:p>
    <w:p w:rsidR="0001149D" w:rsidRDefault="0001149D" w:rsidP="00BB0F48">
      <w:pPr>
        <w:spacing w:after="0" w:line="240" w:lineRule="auto"/>
        <w:rPr>
          <w:sz w:val="16"/>
          <w:szCs w:val="16"/>
          <w:highlight w:val="yellow"/>
        </w:rPr>
      </w:pPr>
    </w:p>
    <w:p w:rsidR="0001149D" w:rsidRPr="002E242E" w:rsidRDefault="0001149D" w:rsidP="0001149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E242E">
        <w:rPr>
          <w:rFonts w:ascii="Times New Roman" w:hAnsi="Times New Roman" w:cs="Times New Roman"/>
          <w:b/>
          <w:sz w:val="20"/>
          <w:szCs w:val="20"/>
        </w:rPr>
        <w:t>Tabela VI. BEZROBOTNI, KTÓRZY PODJĘLI PRACĘ (c.d.)</w:t>
      </w:r>
    </w:p>
    <w:p w:rsidR="0001149D" w:rsidRPr="0001149D" w:rsidRDefault="0001149D" w:rsidP="0001149D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  <w:r w:rsidRPr="0001149D">
        <w:rPr>
          <w:rFonts w:ascii="Times New Roman" w:hAnsi="Times New Roman" w:cs="Times New Roman"/>
          <w:sz w:val="20"/>
          <w:szCs w:val="20"/>
        </w:rPr>
        <w:t xml:space="preserve">                  województwo podkarpackie</w:t>
      </w:r>
    </w:p>
    <w:p w:rsidR="0001149D" w:rsidRDefault="0001149D" w:rsidP="00BB0F48">
      <w:pPr>
        <w:spacing w:after="0" w:line="240" w:lineRule="auto"/>
        <w:rPr>
          <w:sz w:val="16"/>
          <w:szCs w:val="16"/>
          <w:highlight w:val="yellow"/>
        </w:rPr>
      </w:pP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1275"/>
        <w:gridCol w:w="851"/>
        <w:gridCol w:w="1276"/>
        <w:gridCol w:w="850"/>
        <w:gridCol w:w="1015"/>
        <w:gridCol w:w="1111"/>
      </w:tblGrid>
      <w:tr w:rsidR="0001149D" w:rsidRPr="0001149D" w:rsidTr="0001149D">
        <w:trPr>
          <w:trHeight w:val="330"/>
        </w:trPr>
        <w:tc>
          <w:tcPr>
            <w:tcW w:w="9087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struktura powiatowa bezrobotnych dotychczas niepracujących</w:t>
            </w:r>
          </w:p>
        </w:tc>
      </w:tr>
      <w:tr w:rsidR="0001149D" w:rsidRPr="0001149D" w:rsidTr="0001149D">
        <w:trPr>
          <w:trHeight w:val="285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Powiaty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 półrocze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2016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liczbach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01149D">
              <w:rPr>
                <w:rFonts w:ascii="Cambria" w:eastAsia="Times New Roman" w:hAnsi="Cambria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 półrocze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2017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liczbach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4DFEC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01149D">
              <w:rPr>
                <w:rFonts w:ascii="Cambria" w:eastAsia="Times New Roman" w:hAnsi="Cambria" w:cs="Times New Roman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wzrost/spadek</w:t>
            </w:r>
          </w:p>
        </w:tc>
      </w:tr>
      <w:tr w:rsidR="0001149D" w:rsidRPr="0001149D" w:rsidTr="0001149D">
        <w:trPr>
          <w:trHeight w:val="930"/>
        </w:trPr>
        <w:tc>
          <w:tcPr>
            <w:tcW w:w="2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01149D">
              <w:rPr>
                <w:rFonts w:ascii="Cambria" w:eastAsia="Times New Roman" w:hAnsi="Cambria" w:cs="Times New Roman"/>
                <w:color w:val="000000"/>
                <w:lang w:eastAsia="pl-PL"/>
              </w:rPr>
              <w:t>% w ogółem</w:t>
            </w:r>
          </w:p>
          <w:p w:rsidR="0001149D" w:rsidRPr="0001149D" w:rsidRDefault="0001149D" w:rsidP="0001149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01149D">
              <w:rPr>
                <w:rFonts w:ascii="Cambria" w:eastAsia="Times New Roman" w:hAnsi="Cambria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4DFEC"/>
            <w:vAlign w:val="center"/>
            <w:hideMark/>
          </w:tcPr>
          <w:p w:rsidR="0001149D" w:rsidRDefault="0001149D" w:rsidP="00011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01149D">
              <w:rPr>
                <w:rFonts w:ascii="Cambria" w:eastAsia="Times New Roman" w:hAnsi="Cambria" w:cs="Times New Roman"/>
                <w:color w:val="000000"/>
                <w:lang w:eastAsia="pl-PL"/>
              </w:rPr>
              <w:t>%</w:t>
            </w:r>
            <w:r>
              <w:rPr>
                <w:rFonts w:ascii="Cambria" w:eastAsia="Times New Roman" w:hAnsi="Cambria" w:cs="Times New Roman"/>
                <w:color w:val="000000"/>
                <w:lang w:eastAsia="pl-PL"/>
              </w:rPr>
              <w:t xml:space="preserve"> w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01149D">
              <w:rPr>
                <w:rFonts w:ascii="Cambria" w:eastAsia="Times New Roman" w:hAnsi="Cambria" w:cs="Times New Roman"/>
                <w:color w:val="000000"/>
                <w:lang w:eastAsia="pl-PL"/>
              </w:rPr>
              <w:t>ogółem</w:t>
            </w:r>
          </w:p>
          <w:p w:rsidR="0001149D" w:rsidRPr="0001149D" w:rsidRDefault="0001149D" w:rsidP="0001149D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 w:rsidRPr="0001149D">
              <w:rPr>
                <w:rFonts w:ascii="Cambria" w:eastAsia="Times New Roman" w:hAnsi="Cambria" w:cs="Times New Roman"/>
                <w:color w:val="000000"/>
                <w:lang w:eastAsia="pl-PL"/>
              </w:rPr>
              <w:t> 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liczbach</w:t>
            </w:r>
          </w:p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% </w:t>
            </w:r>
          </w:p>
        </w:tc>
      </w:tr>
      <w:tr w:rsidR="0001149D" w:rsidRPr="0001149D" w:rsidTr="0001149D">
        <w:trPr>
          <w:trHeight w:val="67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województwo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6 074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5 014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100,0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-1 060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-17,45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bieszczadzki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1,0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-20,0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brzozowski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3,4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-20,9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dębicki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5,0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-13,7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jarosławski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8,1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-37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-8,4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jasielski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6,8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-3,4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kolbuszowski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1,8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-114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-55,3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krośnieński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4,4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-65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-22,9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1,6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25,8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leżajski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4,0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-15,8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lubaczowski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-16,1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łańcucki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-18,4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-146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-42,9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niżański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-88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-32,8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-5,4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przeworski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-10,3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ropczycko-sędziszowski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-3,0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rzeszowski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-3,8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sanocki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-63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-21,9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stalowowolski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-16,3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strzyżowski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-59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-27,6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tarnobrzeski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-29,7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Krosno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-4,3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Przemyśl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-15,6</w:t>
            </w:r>
          </w:p>
        </w:tc>
      </w:tr>
      <w:tr w:rsidR="0001149D" w:rsidRPr="0001149D" w:rsidTr="0001149D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-76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-21,5</w:t>
            </w:r>
          </w:p>
        </w:tc>
      </w:tr>
      <w:tr w:rsidR="0001149D" w:rsidRPr="0001149D" w:rsidTr="0001149D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49D" w:rsidRPr="0001149D" w:rsidRDefault="0001149D" w:rsidP="0001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1,2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49D" w:rsidRPr="0001149D" w:rsidRDefault="0001149D" w:rsidP="0001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1149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-35,5</w:t>
            </w:r>
          </w:p>
        </w:tc>
      </w:tr>
    </w:tbl>
    <w:p w:rsidR="0001149D" w:rsidRDefault="0001149D" w:rsidP="00BB0F48">
      <w:pPr>
        <w:spacing w:after="0" w:line="240" w:lineRule="auto"/>
        <w:rPr>
          <w:sz w:val="16"/>
          <w:szCs w:val="16"/>
          <w:highlight w:val="yellow"/>
        </w:rPr>
      </w:pPr>
    </w:p>
    <w:p w:rsidR="0001149D" w:rsidRDefault="00F737F6" w:rsidP="00BB0F48">
      <w:pPr>
        <w:spacing w:after="0" w:line="240" w:lineRule="auto"/>
        <w:rPr>
          <w:sz w:val="16"/>
          <w:szCs w:val="16"/>
          <w:highlight w:val="yellow"/>
        </w:rPr>
      </w:pPr>
      <w:r w:rsidRPr="00F737F6">
        <w:rPr>
          <w:noProof/>
          <w:lang w:eastAsia="pl-PL"/>
        </w:rPr>
        <w:drawing>
          <wp:inline distT="0" distB="0" distL="0" distR="0" wp14:anchorId="2ECF8763" wp14:editId="6A89B688">
            <wp:extent cx="5759450" cy="4683660"/>
            <wp:effectExtent l="0" t="0" r="0" b="3175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8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49D" w:rsidRDefault="0001149D" w:rsidP="00BB0F48">
      <w:pPr>
        <w:spacing w:after="0" w:line="240" w:lineRule="auto"/>
        <w:rPr>
          <w:sz w:val="16"/>
          <w:szCs w:val="16"/>
          <w:highlight w:val="yellow"/>
        </w:rPr>
      </w:pPr>
    </w:p>
    <w:p w:rsidR="00F737F6" w:rsidRDefault="00F737F6" w:rsidP="00BB0F48">
      <w:pPr>
        <w:spacing w:after="0" w:line="240" w:lineRule="auto"/>
        <w:rPr>
          <w:sz w:val="16"/>
          <w:szCs w:val="16"/>
          <w:highlight w:val="yellow"/>
        </w:rPr>
      </w:pPr>
    </w:p>
    <w:p w:rsidR="00F737F6" w:rsidRDefault="00F737F6" w:rsidP="00BB0F48">
      <w:pPr>
        <w:spacing w:after="0" w:line="240" w:lineRule="auto"/>
        <w:rPr>
          <w:sz w:val="16"/>
          <w:szCs w:val="16"/>
          <w:highlight w:val="yellow"/>
        </w:rPr>
      </w:pPr>
    </w:p>
    <w:p w:rsidR="00F737F6" w:rsidRDefault="00F737F6">
      <w:pPr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726DAB" w:rsidRPr="004F28A7" w:rsidRDefault="008233CF" w:rsidP="009A1F42">
      <w:pPr>
        <w:pStyle w:val="Default"/>
        <w:spacing w:line="360" w:lineRule="auto"/>
        <w:jc w:val="both"/>
      </w:pPr>
      <w:r w:rsidRPr="004F28A7">
        <w:lastRenderedPageBreak/>
        <w:t>Wnioski</w:t>
      </w:r>
      <w:r w:rsidR="00726DAB" w:rsidRPr="004F28A7">
        <w:t>:</w:t>
      </w:r>
    </w:p>
    <w:p w:rsidR="008A2874" w:rsidRPr="002E242E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2E242E">
        <w:rPr>
          <w:rFonts w:ascii="Times New Roman" w:hAnsi="Times New Roman" w:cs="Times New Roman"/>
          <w:szCs w:val="24"/>
        </w:rPr>
        <w:t>(na podst</w:t>
      </w:r>
      <w:r w:rsidR="008A6A70">
        <w:rPr>
          <w:rFonts w:ascii="Times New Roman" w:hAnsi="Times New Roman" w:cs="Times New Roman"/>
          <w:szCs w:val="24"/>
        </w:rPr>
        <w:t>awie</w:t>
      </w:r>
      <w:r w:rsidRPr="002E242E">
        <w:rPr>
          <w:rFonts w:ascii="Times New Roman" w:hAnsi="Times New Roman" w:cs="Times New Roman"/>
          <w:szCs w:val="24"/>
        </w:rPr>
        <w:t xml:space="preserve"> danych</w:t>
      </w:r>
      <w:r w:rsidR="00AE5712" w:rsidRPr="002E242E">
        <w:rPr>
          <w:rFonts w:ascii="Times New Roman" w:hAnsi="Times New Roman" w:cs="Times New Roman"/>
          <w:szCs w:val="24"/>
        </w:rPr>
        <w:t xml:space="preserve"> z </w:t>
      </w:r>
      <w:r w:rsidR="007B4AD9" w:rsidRPr="002E242E">
        <w:rPr>
          <w:rFonts w:ascii="Times New Roman" w:hAnsi="Times New Roman" w:cs="Times New Roman"/>
          <w:szCs w:val="24"/>
        </w:rPr>
        <w:t>t</w:t>
      </w:r>
      <w:r w:rsidRPr="002E242E">
        <w:rPr>
          <w:rFonts w:ascii="Times New Roman" w:hAnsi="Times New Roman" w:cs="Times New Roman"/>
          <w:szCs w:val="24"/>
        </w:rPr>
        <w:t>abel</w:t>
      </w:r>
      <w:r w:rsidR="007B4AD9" w:rsidRPr="002E242E">
        <w:rPr>
          <w:rFonts w:ascii="Times New Roman" w:hAnsi="Times New Roman" w:cs="Times New Roman"/>
          <w:szCs w:val="24"/>
        </w:rPr>
        <w:t xml:space="preserve">: </w:t>
      </w:r>
      <w:r w:rsidR="002E242E" w:rsidRPr="002E242E">
        <w:rPr>
          <w:rFonts w:ascii="Times New Roman" w:hAnsi="Times New Roman" w:cs="Times New Roman"/>
          <w:szCs w:val="24"/>
        </w:rPr>
        <w:t>V</w:t>
      </w:r>
      <w:r w:rsidR="007B4AD9" w:rsidRPr="002E242E">
        <w:rPr>
          <w:rFonts w:ascii="Times New Roman" w:hAnsi="Times New Roman" w:cs="Times New Roman"/>
          <w:szCs w:val="24"/>
        </w:rPr>
        <w:t>,</w:t>
      </w:r>
      <w:r w:rsidR="002E242E" w:rsidRPr="002E242E">
        <w:rPr>
          <w:rFonts w:ascii="Times New Roman" w:hAnsi="Times New Roman" w:cs="Times New Roman"/>
          <w:szCs w:val="24"/>
        </w:rPr>
        <w:t>VI</w:t>
      </w:r>
      <w:r w:rsidR="00EC6107">
        <w:rPr>
          <w:rFonts w:ascii="Times New Roman" w:hAnsi="Times New Roman" w:cs="Times New Roman"/>
          <w:szCs w:val="24"/>
        </w:rPr>
        <w:t>,</w:t>
      </w:r>
      <w:r w:rsidR="002E242E" w:rsidRPr="002E242E">
        <w:rPr>
          <w:rFonts w:ascii="Times New Roman" w:hAnsi="Times New Roman" w:cs="Times New Roman"/>
          <w:szCs w:val="24"/>
        </w:rPr>
        <w:t>VII</w:t>
      </w:r>
      <w:r w:rsidR="00EC6107">
        <w:rPr>
          <w:rFonts w:ascii="Times New Roman" w:hAnsi="Times New Roman" w:cs="Times New Roman"/>
          <w:szCs w:val="24"/>
        </w:rPr>
        <w:t xml:space="preserve"> i </w:t>
      </w:r>
      <w:proofErr w:type="spellStart"/>
      <w:r w:rsidR="00CA05F7">
        <w:rPr>
          <w:rFonts w:ascii="Times New Roman" w:hAnsi="Times New Roman" w:cs="Times New Roman"/>
          <w:szCs w:val="24"/>
        </w:rPr>
        <w:t>I</w:t>
      </w:r>
      <w:proofErr w:type="spellEnd"/>
      <w:r w:rsidR="00CA05F7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CA05F7">
        <w:rPr>
          <w:rFonts w:ascii="Times New Roman" w:hAnsi="Times New Roman" w:cs="Times New Roman"/>
          <w:szCs w:val="24"/>
        </w:rPr>
        <w:t>Ia</w:t>
      </w:r>
      <w:proofErr w:type="spellEnd"/>
      <w:r w:rsidR="00CA05F7">
        <w:rPr>
          <w:rFonts w:ascii="Times New Roman" w:hAnsi="Times New Roman" w:cs="Times New Roman"/>
          <w:szCs w:val="24"/>
        </w:rPr>
        <w:t xml:space="preserve">, </w:t>
      </w:r>
      <w:r w:rsidR="00EC6107">
        <w:rPr>
          <w:rFonts w:ascii="Times New Roman" w:hAnsi="Times New Roman" w:cs="Times New Roman"/>
          <w:szCs w:val="24"/>
        </w:rPr>
        <w:t>XXVI</w:t>
      </w:r>
      <w:r w:rsidR="008233CF" w:rsidRPr="002E242E">
        <w:rPr>
          <w:rFonts w:ascii="Times New Roman" w:hAnsi="Times New Roman" w:cs="Times New Roman"/>
          <w:szCs w:val="24"/>
        </w:rPr>
        <w:t>)</w:t>
      </w:r>
    </w:p>
    <w:p w:rsidR="00E14AA5" w:rsidRPr="007C47BB" w:rsidRDefault="00D445D5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7C47BB">
        <w:rPr>
          <w:u w:val="single"/>
        </w:rPr>
        <w:t>4</w:t>
      </w:r>
      <w:r w:rsidR="007C47BB" w:rsidRPr="007C47BB">
        <w:rPr>
          <w:u w:val="single"/>
        </w:rPr>
        <w:t>1</w:t>
      </w:r>
      <w:r w:rsidR="00216032" w:rsidRPr="007C47BB">
        <w:rPr>
          <w:u w:val="single"/>
        </w:rPr>
        <w:t> </w:t>
      </w:r>
      <w:r w:rsidR="007C47BB" w:rsidRPr="007C47BB">
        <w:rPr>
          <w:u w:val="single"/>
        </w:rPr>
        <w:t>182</w:t>
      </w:r>
      <w:r w:rsidR="00216032" w:rsidRPr="007C47BB">
        <w:rPr>
          <w:u w:val="single"/>
        </w:rPr>
        <w:t xml:space="preserve"> </w:t>
      </w:r>
      <w:r w:rsidR="002539B6" w:rsidRPr="007C47BB">
        <w:rPr>
          <w:u w:val="single"/>
        </w:rPr>
        <w:t>–</w:t>
      </w:r>
      <w:r w:rsidR="00216032" w:rsidRPr="007C47BB">
        <w:rPr>
          <w:u w:val="single"/>
        </w:rPr>
        <w:t xml:space="preserve"> tj. ponad ½ </w:t>
      </w:r>
      <w:r w:rsidRPr="007C47BB">
        <w:rPr>
          <w:u w:val="single"/>
        </w:rPr>
        <w:t>ogółu wyrejestrowań</w:t>
      </w:r>
      <w:r w:rsidR="00216032" w:rsidRPr="007C47BB">
        <w:rPr>
          <w:u w:val="single"/>
        </w:rPr>
        <w:t xml:space="preserve"> osób</w:t>
      </w:r>
      <w:r w:rsidR="00E14AA5" w:rsidRPr="007C47BB">
        <w:rPr>
          <w:u w:val="single"/>
        </w:rPr>
        <w:t xml:space="preserve"> </w:t>
      </w:r>
      <w:r w:rsidRPr="007C47BB">
        <w:rPr>
          <w:u w:val="single"/>
        </w:rPr>
        <w:t xml:space="preserve">bezrobotnych </w:t>
      </w:r>
      <w:r w:rsidR="00216032" w:rsidRPr="007C47BB">
        <w:rPr>
          <w:u w:val="single"/>
        </w:rPr>
        <w:t>(5</w:t>
      </w:r>
      <w:r w:rsidR="007C47BB" w:rsidRPr="007C47BB">
        <w:rPr>
          <w:u w:val="single"/>
        </w:rPr>
        <w:t>2</w:t>
      </w:r>
      <w:r w:rsidR="00216032" w:rsidRPr="007C47BB">
        <w:rPr>
          <w:u w:val="single"/>
        </w:rPr>
        <w:t xml:space="preserve">,4%) nastąpiło </w:t>
      </w:r>
      <w:r w:rsidR="00AE5712" w:rsidRPr="007C47BB">
        <w:rPr>
          <w:u w:val="single"/>
        </w:rPr>
        <w:t>z </w:t>
      </w:r>
      <w:r w:rsidR="00E14AA5" w:rsidRPr="007C47BB">
        <w:rPr>
          <w:u w:val="single"/>
        </w:rPr>
        <w:t>powodu podjęcia pracy</w:t>
      </w:r>
      <w:r w:rsidR="007D7E92" w:rsidRPr="007C47BB">
        <w:rPr>
          <w:u w:val="single"/>
        </w:rPr>
        <w:t>.</w:t>
      </w:r>
    </w:p>
    <w:p w:rsidR="00EC00EE" w:rsidRPr="007C47BB" w:rsidRDefault="00EC00EE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7C47BB">
        <w:t xml:space="preserve">W grupie osób, które </w:t>
      </w:r>
      <w:r w:rsidR="00E755C3" w:rsidRPr="007C47BB">
        <w:t>podjęły</w:t>
      </w:r>
      <w:r w:rsidR="001A2394" w:rsidRPr="007C47BB">
        <w:t xml:space="preserve"> prac</w:t>
      </w:r>
      <w:r w:rsidR="00E755C3" w:rsidRPr="007C47BB">
        <w:t>ę</w:t>
      </w:r>
      <w:r w:rsidR="001A2394" w:rsidRPr="007C47BB">
        <w:t xml:space="preserve"> </w:t>
      </w:r>
      <w:r w:rsidR="005E606A" w:rsidRPr="007C47BB">
        <w:t>przeważa</w:t>
      </w:r>
      <w:r w:rsidR="00C14BEB" w:rsidRPr="007C47BB">
        <w:t>li</w:t>
      </w:r>
      <w:r w:rsidR="005E606A" w:rsidRPr="007C47BB">
        <w:t xml:space="preserve"> </w:t>
      </w:r>
      <w:r w:rsidR="00C14BEB" w:rsidRPr="007C47BB">
        <w:t>mężczyźni</w:t>
      </w:r>
      <w:r w:rsidR="00E755C3" w:rsidRPr="007C47BB">
        <w:t xml:space="preserve"> </w:t>
      </w:r>
      <w:r w:rsidR="007C47BB" w:rsidRPr="007C47BB">
        <w:t xml:space="preserve">(56,1% vs. 43,9% </w:t>
      </w:r>
      <w:r w:rsidR="00E755C3" w:rsidRPr="007C47BB">
        <w:t xml:space="preserve">– </w:t>
      </w:r>
      <w:r w:rsidRPr="007C47BB">
        <w:t xml:space="preserve">statystycznie </w:t>
      </w:r>
      <w:r w:rsidR="00C14BEB" w:rsidRPr="007C47BB">
        <w:t xml:space="preserve">kobiety rzadziej uzyskują </w:t>
      </w:r>
      <w:r w:rsidRPr="007C47BB">
        <w:t>zatrudnieni</w:t>
      </w:r>
      <w:r w:rsidR="00C14BEB" w:rsidRPr="007C47BB">
        <w:t>e</w:t>
      </w:r>
      <w:r w:rsidRPr="007C47BB">
        <w:t>.</w:t>
      </w:r>
    </w:p>
    <w:p w:rsidR="00FE0B53" w:rsidRPr="007C47BB" w:rsidRDefault="00AC0B8B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7C47BB">
        <w:t>W grupie osób, które wyrejestrowały się</w:t>
      </w:r>
      <w:r w:rsidR="00AE5712" w:rsidRPr="007C47BB">
        <w:t xml:space="preserve"> z </w:t>
      </w:r>
      <w:r w:rsidRPr="007C47BB">
        <w:t xml:space="preserve">powodu podjęcia pracy </w:t>
      </w:r>
      <w:r w:rsidR="002539B6" w:rsidRPr="007C47BB">
        <w:t>znaczną przewagę</w:t>
      </w:r>
      <w:r w:rsidRPr="007C47BB">
        <w:t xml:space="preserve"> stanowiły osoby poprzednio pracujące </w:t>
      </w:r>
      <w:r w:rsidR="002539B6" w:rsidRPr="007C47BB">
        <w:t>(8</w:t>
      </w:r>
      <w:r w:rsidR="007C47BB" w:rsidRPr="007C47BB">
        <w:t>7</w:t>
      </w:r>
      <w:r w:rsidR="002539B6" w:rsidRPr="007C47BB">
        <w:t>,</w:t>
      </w:r>
      <w:r w:rsidR="007C47BB" w:rsidRPr="007C47BB">
        <w:t>8</w:t>
      </w:r>
      <w:r w:rsidR="002539B6" w:rsidRPr="007C47BB">
        <w:t>% ogółu podjęć).</w:t>
      </w:r>
      <w:r w:rsidR="00AE5712" w:rsidRPr="007C47BB">
        <w:t xml:space="preserve"> </w:t>
      </w:r>
      <w:r w:rsidR="00E20DE6" w:rsidRPr="007C47BB">
        <w:t>W</w:t>
      </w:r>
      <w:r w:rsidR="002539B6" w:rsidRPr="007C47BB">
        <w:t xml:space="preserve">śród poprzednio pracujących nastąpił </w:t>
      </w:r>
      <w:r w:rsidR="007C47BB" w:rsidRPr="007C47BB">
        <w:t>spadek</w:t>
      </w:r>
      <w:r w:rsidR="002539B6" w:rsidRPr="007C47BB">
        <w:t xml:space="preserve"> o 2 </w:t>
      </w:r>
      <w:r w:rsidR="007C47BB" w:rsidRPr="007C47BB">
        <w:t>473</w:t>
      </w:r>
      <w:r w:rsidR="002539B6" w:rsidRPr="007C47BB">
        <w:t xml:space="preserve"> bezrobotnych, a w grupie</w:t>
      </w:r>
      <w:r w:rsidRPr="007C47BB">
        <w:t xml:space="preserve"> dotychczas niepracujących spadek</w:t>
      </w:r>
      <w:r w:rsidR="002539B6" w:rsidRPr="007C47BB">
        <w:t xml:space="preserve"> o </w:t>
      </w:r>
      <w:r w:rsidR="007C47BB" w:rsidRPr="007C47BB">
        <w:t>1 060</w:t>
      </w:r>
      <w:r w:rsidR="002539B6" w:rsidRPr="007C47BB">
        <w:t xml:space="preserve"> </w:t>
      </w:r>
      <w:r w:rsidRPr="007C47BB">
        <w:t>osób</w:t>
      </w:r>
      <w:r w:rsidR="00E20DE6" w:rsidRPr="007C47BB">
        <w:t xml:space="preserve"> </w:t>
      </w:r>
      <w:r w:rsidR="006139D8" w:rsidRPr="007C47BB">
        <w:t>–</w:t>
      </w:r>
      <w:r w:rsidR="00E20DE6" w:rsidRPr="007C47BB">
        <w:t xml:space="preserve"> </w:t>
      </w:r>
      <w:r w:rsidRPr="007C47BB">
        <w:t>które podjęły zatrudnienie.</w:t>
      </w:r>
    </w:p>
    <w:p w:rsidR="00AC0B8B" w:rsidRPr="007C47BB" w:rsidRDefault="00AC0B8B" w:rsidP="003C515A">
      <w:pPr>
        <w:pStyle w:val="Default"/>
        <w:spacing w:line="360" w:lineRule="auto"/>
        <w:ind w:left="360"/>
        <w:jc w:val="both"/>
      </w:pPr>
      <w:r w:rsidRPr="007C47BB">
        <w:t xml:space="preserve">Biorąc pod uwagę spadek liczby bezrobotnych </w:t>
      </w:r>
      <w:r w:rsidR="00E20DE6" w:rsidRPr="007C47BB">
        <w:t xml:space="preserve">ogółem </w:t>
      </w:r>
      <w:r w:rsidR="00791C37" w:rsidRPr="007C47BB">
        <w:t xml:space="preserve">wynikający z większego </w:t>
      </w:r>
      <w:r w:rsidR="00FA0020" w:rsidRPr="007C47BB">
        <w:t>spadk</w:t>
      </w:r>
      <w:r w:rsidR="00791C37" w:rsidRPr="007C47BB">
        <w:t>u</w:t>
      </w:r>
      <w:r w:rsidR="00FA0020" w:rsidRPr="007C47BB">
        <w:t xml:space="preserve"> liczby</w:t>
      </w:r>
      <w:r w:rsidRPr="007C47BB">
        <w:t xml:space="preserve"> </w:t>
      </w:r>
      <w:r w:rsidR="00FA0020" w:rsidRPr="007C47BB">
        <w:t xml:space="preserve">osób </w:t>
      </w:r>
      <w:r w:rsidR="009607C2" w:rsidRPr="007C47BB">
        <w:t xml:space="preserve">poprzednio pracujących i </w:t>
      </w:r>
      <w:r w:rsidRPr="007C47BB">
        <w:t xml:space="preserve">podejmujących zatrudnienie </w:t>
      </w:r>
      <w:r w:rsidR="00FA0020" w:rsidRPr="007C47BB">
        <w:t>w porównaniu do dotychczas niepracujących</w:t>
      </w:r>
      <w:r w:rsidR="00791C37" w:rsidRPr="007C47BB">
        <w:t xml:space="preserve"> – </w:t>
      </w:r>
      <w:r w:rsidR="00FA0020" w:rsidRPr="007C47BB">
        <w:t>dowodzi</w:t>
      </w:r>
      <w:r w:rsidR="00B41C76" w:rsidRPr="007C47BB">
        <w:t>, że p</w:t>
      </w:r>
      <w:r w:rsidR="009607C2" w:rsidRPr="007C47BB">
        <w:t>rawdopodobieństwo wyjścia z</w:t>
      </w:r>
      <w:r w:rsidR="00B41C76" w:rsidRPr="007C47BB">
        <w:t> </w:t>
      </w:r>
      <w:r w:rsidR="009607C2" w:rsidRPr="007C47BB">
        <w:t xml:space="preserve">bezrobocia wśród osób, które już wcześniej </w:t>
      </w:r>
      <w:r w:rsidR="00FE0B53" w:rsidRPr="007C47BB">
        <w:t xml:space="preserve">były zatrudnione </w:t>
      </w:r>
      <w:r w:rsidR="009607C2" w:rsidRPr="007C47BB">
        <w:t>jest wysokie</w:t>
      </w:r>
      <w:r w:rsidR="00B41C76" w:rsidRPr="007C47BB">
        <w:t xml:space="preserve"> – a więc może być </w:t>
      </w:r>
      <w:r w:rsidR="003C515A" w:rsidRPr="007C47BB">
        <w:t xml:space="preserve">potwierdzeniem </w:t>
      </w:r>
      <w:r w:rsidR="00B41C76" w:rsidRPr="007C47BB">
        <w:t xml:space="preserve">celowości </w:t>
      </w:r>
      <w:r w:rsidR="007C47BB">
        <w:t xml:space="preserve">aktywizacji osób bezrobotnych, w tym realizacji </w:t>
      </w:r>
      <w:r w:rsidR="00B41C76" w:rsidRPr="007C47BB">
        <w:t>staży i</w:t>
      </w:r>
      <w:r w:rsidR="007C47BB">
        <w:t> </w:t>
      </w:r>
      <w:r w:rsidR="00B41C76" w:rsidRPr="007C47BB">
        <w:t xml:space="preserve">praktyk zawodowych </w:t>
      </w:r>
      <w:r w:rsidR="007C47BB">
        <w:t>u pracodawców</w:t>
      </w:r>
      <w:r w:rsidR="00B41C76" w:rsidRPr="007C47BB">
        <w:t>.</w:t>
      </w:r>
    </w:p>
    <w:p w:rsidR="0084048B" w:rsidRPr="008A6A70" w:rsidRDefault="0084048B" w:rsidP="0084048B">
      <w:pPr>
        <w:pStyle w:val="Default"/>
        <w:numPr>
          <w:ilvl w:val="0"/>
          <w:numId w:val="3"/>
        </w:numPr>
        <w:spacing w:line="360" w:lineRule="auto"/>
        <w:jc w:val="both"/>
      </w:pPr>
      <w:r w:rsidRPr="00E13EC7">
        <w:t xml:space="preserve">Wśród bezrobotnych, którzy podjęli pracę: </w:t>
      </w:r>
      <w:r w:rsidR="008A6A70" w:rsidRPr="00E13EC7">
        <w:t xml:space="preserve">ograniczenie liczby bezrobotnych </w:t>
      </w:r>
      <w:r w:rsidRPr="00E13EC7">
        <w:t>odnotowano zarówno wśród osób poprzednio pracujących jak i dotychczas nie pracujących.</w:t>
      </w:r>
      <w:r w:rsidRPr="00E13EC7">
        <w:rPr>
          <w:b/>
        </w:rPr>
        <w:t xml:space="preserve"> </w:t>
      </w:r>
      <w:r w:rsidRPr="008A6A70">
        <w:t>Największy procentowy spadek bezrobotnych dotyczył dotychczas nie pracujących (o</w:t>
      </w:r>
      <w:r w:rsidR="00910434">
        <w:t> </w:t>
      </w:r>
      <w:r w:rsidRPr="008A6A70">
        <w:t>17,5%). Spadek odnotowano również wśród poprzednio pracujących (o 6,4%), w tym zwolnionych z przyczyn dotyczących zakładu pracy (o 12,7%).</w:t>
      </w:r>
    </w:p>
    <w:p w:rsidR="00FF0A80" w:rsidRDefault="00962230" w:rsidP="00BD16CD">
      <w:pPr>
        <w:pStyle w:val="Default"/>
        <w:numPr>
          <w:ilvl w:val="0"/>
          <w:numId w:val="1"/>
        </w:numPr>
        <w:spacing w:line="360" w:lineRule="auto"/>
        <w:jc w:val="both"/>
      </w:pPr>
      <w:r w:rsidRPr="00EC6107">
        <w:t xml:space="preserve">Zmniejszyła się ilość </w:t>
      </w:r>
      <w:r w:rsidR="00AC0B8B" w:rsidRPr="00EC6107">
        <w:t>osób, które podjęły zatrudnienie po uprzedniej utracie pracy</w:t>
      </w:r>
      <w:r w:rsidR="00AE5712" w:rsidRPr="00EC6107">
        <w:t xml:space="preserve"> z </w:t>
      </w:r>
      <w:r w:rsidR="00AC0B8B" w:rsidRPr="00EC6107">
        <w:t>przyczyn dotyczących zakładu pracy</w:t>
      </w:r>
      <w:r w:rsidR="00F25F03" w:rsidRPr="00EC6107">
        <w:t>.</w:t>
      </w:r>
      <w:r w:rsidR="00EC6107">
        <w:t xml:space="preserve"> </w:t>
      </w:r>
      <w:r w:rsidR="00EC6107" w:rsidRPr="00EC6107">
        <w:t>J</w:t>
      </w:r>
      <w:r w:rsidR="0077672C" w:rsidRPr="00EC6107">
        <w:t xml:space="preserve">ednocześnie </w:t>
      </w:r>
      <w:r w:rsidR="00AC0B8B" w:rsidRPr="00EC6107">
        <w:t xml:space="preserve">spadła liczba </w:t>
      </w:r>
      <w:r w:rsidR="00F25F03" w:rsidRPr="00EC6107">
        <w:t>ogółem</w:t>
      </w:r>
      <w:r w:rsidR="00EC6107">
        <w:t xml:space="preserve"> – </w:t>
      </w:r>
      <w:r w:rsidR="00F25F03" w:rsidRPr="00EC6107">
        <w:t xml:space="preserve">nowych rejestracji tych </w:t>
      </w:r>
      <w:r w:rsidR="00AC0B8B" w:rsidRPr="00EC6107">
        <w:t>osób</w:t>
      </w:r>
      <w:r w:rsidR="00AE5712" w:rsidRPr="00EC6107">
        <w:t xml:space="preserve"> </w:t>
      </w:r>
      <w:r w:rsidR="00AC0B8B" w:rsidRPr="00EC6107">
        <w:t>(</w:t>
      </w:r>
      <w:r w:rsidR="00F25F03" w:rsidRPr="00EC6107">
        <w:t xml:space="preserve">w I </w:t>
      </w:r>
      <w:r w:rsidR="00F25F03" w:rsidRPr="00CA05F7">
        <w:t>półrocz</w:t>
      </w:r>
      <w:r w:rsidR="00366ED4" w:rsidRPr="00CA05F7">
        <w:t>u</w:t>
      </w:r>
      <w:r w:rsidR="00F25F03" w:rsidRPr="00CA05F7">
        <w:t xml:space="preserve"> 201</w:t>
      </w:r>
      <w:r w:rsidR="00EC6107" w:rsidRPr="00CA05F7">
        <w:t>7</w:t>
      </w:r>
      <w:r w:rsidR="00F25F03" w:rsidRPr="00CA05F7">
        <w:t xml:space="preserve"> r.</w:t>
      </w:r>
      <w:r w:rsidR="00AC0B8B" w:rsidRPr="00CA05F7">
        <w:t xml:space="preserve"> </w:t>
      </w:r>
      <w:r w:rsidR="00F25F03" w:rsidRPr="00CA05F7">
        <w:t>zarejestrowano 2 </w:t>
      </w:r>
      <w:r w:rsidR="00CA05F7" w:rsidRPr="00CA05F7">
        <w:t>415</w:t>
      </w:r>
      <w:r w:rsidR="00AC0B8B" w:rsidRPr="00CA05F7">
        <w:t xml:space="preserve"> os</w:t>
      </w:r>
      <w:r w:rsidR="00F25F03" w:rsidRPr="00CA05F7">
        <w:t>o</w:t>
      </w:r>
      <w:r w:rsidR="00AC0B8B" w:rsidRPr="00CA05F7">
        <w:t>b</w:t>
      </w:r>
      <w:r w:rsidR="00F25F03" w:rsidRPr="00CA05F7">
        <w:t>y</w:t>
      </w:r>
      <w:r w:rsidR="00AE5712" w:rsidRPr="00CA05F7">
        <w:t xml:space="preserve"> </w:t>
      </w:r>
      <w:r w:rsidR="00EC6107" w:rsidRPr="00CA05F7">
        <w:t>zwolnione grupowo</w:t>
      </w:r>
      <w:r w:rsidR="00AC0B8B" w:rsidRPr="00CA05F7">
        <w:t xml:space="preserve">, </w:t>
      </w:r>
      <w:r w:rsidR="00F25F03" w:rsidRPr="00CA05F7">
        <w:t>a w I półrocz</w:t>
      </w:r>
      <w:r w:rsidR="00366ED4" w:rsidRPr="00CA05F7">
        <w:t>u</w:t>
      </w:r>
      <w:r w:rsidR="00F25F03" w:rsidRPr="00CA05F7">
        <w:t xml:space="preserve"> 201</w:t>
      </w:r>
      <w:r w:rsidR="00EC6107" w:rsidRPr="00CA05F7">
        <w:t>6</w:t>
      </w:r>
      <w:r w:rsidR="00F25F03" w:rsidRPr="00CA05F7">
        <w:t xml:space="preserve"> r. </w:t>
      </w:r>
      <w:r w:rsidR="00AC0B8B" w:rsidRPr="00CA05F7">
        <w:t xml:space="preserve">– </w:t>
      </w:r>
      <w:r w:rsidR="00EC6107" w:rsidRPr="00CA05F7">
        <w:t>2</w:t>
      </w:r>
      <w:r w:rsidR="00F25F03" w:rsidRPr="00CA05F7">
        <w:t> </w:t>
      </w:r>
      <w:r w:rsidR="00EC6107" w:rsidRPr="00CA05F7">
        <w:t>593</w:t>
      </w:r>
      <w:r w:rsidR="00AC0B8B" w:rsidRPr="00CA05F7">
        <w:t xml:space="preserve"> osób)</w:t>
      </w:r>
      <w:r w:rsidR="00F25F03" w:rsidRPr="00CA05F7">
        <w:t xml:space="preserve"> – </w:t>
      </w:r>
      <w:r w:rsidR="00AC0B8B" w:rsidRPr="00CA05F7">
        <w:t xml:space="preserve">co </w:t>
      </w:r>
      <w:r w:rsidR="00F25F03" w:rsidRPr="00CA05F7">
        <w:t>w połączeniu ze spadkiem na koniec okresu sprawozdawczego w tej kategorii</w:t>
      </w:r>
      <w:r w:rsidR="00AB700A">
        <w:t xml:space="preserve"> (nominalnie)</w:t>
      </w:r>
      <w:r w:rsidR="00CA05F7">
        <w:t xml:space="preserve"> – </w:t>
      </w:r>
      <w:r w:rsidR="0077672C" w:rsidRPr="00CA05F7">
        <w:t>oznacza</w:t>
      </w:r>
      <w:r w:rsidR="00BD16CD" w:rsidRPr="00CA05F7">
        <w:t>:</w:t>
      </w:r>
      <w:r w:rsidR="005446A3" w:rsidRPr="00CA05F7">
        <w:t xml:space="preserve"> </w:t>
      </w:r>
      <w:r w:rsidR="00BD16CD" w:rsidRPr="00CA05F7">
        <w:t>a</w:t>
      </w:r>
      <w:r w:rsidR="00EC6107" w:rsidRPr="00CA05F7">
        <w:t>)</w:t>
      </w:r>
      <w:r w:rsidR="00BD16CD" w:rsidRPr="00CA05F7">
        <w:t xml:space="preserve"> mniejszy poziom bezrobotnych zarejestrowanych z przyczyn dotyczących zakładu pracy</w:t>
      </w:r>
      <w:r w:rsidR="005446A3" w:rsidRPr="00CA05F7">
        <w:t xml:space="preserve">, </w:t>
      </w:r>
      <w:r w:rsidR="00BD16CD" w:rsidRPr="00CA05F7">
        <w:t xml:space="preserve">b/ </w:t>
      </w:r>
      <w:r w:rsidR="00AB700A">
        <w:t xml:space="preserve">pośrednio – </w:t>
      </w:r>
      <w:r w:rsidR="00BD16CD" w:rsidRPr="00CA05F7">
        <w:t>wyższy poziom bezrobotnych wyrejestrowanych z tego powodu.</w:t>
      </w:r>
    </w:p>
    <w:p w:rsidR="00AC0B8B" w:rsidRPr="00EC6107" w:rsidRDefault="00CA05F7" w:rsidP="00BD16CD">
      <w:pPr>
        <w:pStyle w:val="Default"/>
        <w:numPr>
          <w:ilvl w:val="0"/>
          <w:numId w:val="1"/>
        </w:numPr>
        <w:spacing w:line="360" w:lineRule="auto"/>
        <w:jc w:val="both"/>
      </w:pPr>
      <w:r>
        <w:t xml:space="preserve">Wobec odnotowanego wzrostu zgłoszeń zwolnień i wzrostu rzeczywistych wypowiedzeń umów o pracę – dowodzi to mniejszej liczby nowych rejestracji ze zwolnień </w:t>
      </w:r>
      <w:r w:rsidRPr="00EC6107">
        <w:t>grupowych.</w:t>
      </w:r>
      <w:r>
        <w:t xml:space="preserve"> </w:t>
      </w:r>
      <w:r w:rsidR="00366ED4" w:rsidRPr="00EC6107">
        <w:t>Spadek stanu na koniec okresu sprawozdawczego</w:t>
      </w:r>
      <w:r>
        <w:t xml:space="preserve"> – może być </w:t>
      </w:r>
      <w:r w:rsidR="00366ED4" w:rsidRPr="00EC6107">
        <w:t xml:space="preserve">warunkowany </w:t>
      </w:r>
      <w:r w:rsidR="007549BB" w:rsidRPr="00EC6107">
        <w:t>lepszą sytuacj</w:t>
      </w:r>
      <w:r w:rsidR="00366ED4" w:rsidRPr="00EC6107">
        <w:t>ą</w:t>
      </w:r>
      <w:r w:rsidR="007549BB" w:rsidRPr="00EC6107">
        <w:t xml:space="preserve"> na rynku pracy.</w:t>
      </w:r>
      <w:r>
        <w:t xml:space="preserve"> </w:t>
      </w:r>
    </w:p>
    <w:p w:rsidR="00E14AA5" w:rsidRPr="00CA05F7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EC6107">
        <w:lastRenderedPageBreak/>
        <w:t>Z</w:t>
      </w:r>
      <w:r w:rsidR="00E14AA5" w:rsidRPr="00EC6107">
        <w:t xml:space="preserve"> ogólnej liczby podjęć </w:t>
      </w:r>
      <w:r w:rsidR="00E14AA5" w:rsidRPr="00CA05F7">
        <w:t>pracy</w:t>
      </w:r>
      <w:r w:rsidR="00C31034" w:rsidRPr="00CA05F7">
        <w:t xml:space="preserve"> </w:t>
      </w:r>
      <w:r w:rsidR="0051348C" w:rsidRPr="00CA05F7">
        <w:t>(4</w:t>
      </w:r>
      <w:r w:rsidR="00CA05F7" w:rsidRPr="00CA05F7">
        <w:t>1</w:t>
      </w:r>
      <w:r w:rsidR="0051348C" w:rsidRPr="00CA05F7">
        <w:t> </w:t>
      </w:r>
      <w:r w:rsidR="00CA05F7" w:rsidRPr="00CA05F7">
        <w:t>182</w:t>
      </w:r>
      <w:r w:rsidR="0051348C" w:rsidRPr="00CA05F7">
        <w:t>)</w:t>
      </w:r>
      <w:r w:rsidR="00AB63E5" w:rsidRPr="00CA05F7">
        <w:t xml:space="preserve"> </w:t>
      </w:r>
      <w:r w:rsidR="0051348C" w:rsidRPr="00CA05F7">
        <w:t xml:space="preserve"> 22,9%</w:t>
      </w:r>
      <w:r w:rsidR="00574578">
        <w:t xml:space="preserve"> </w:t>
      </w:r>
      <w:r w:rsidR="00E14AA5" w:rsidRPr="00CA05F7">
        <w:t>stanowiło zatrudnienie</w:t>
      </w:r>
      <w:r w:rsidR="00AE5712" w:rsidRPr="00CA05F7">
        <w:t xml:space="preserve"> w </w:t>
      </w:r>
      <w:r w:rsidR="00E14AA5" w:rsidRPr="00CA05F7">
        <w:t>ramach miejsc pracy subsydiowanej (ze środków publicznych)</w:t>
      </w:r>
      <w:r w:rsidR="00CA05F7">
        <w:t xml:space="preserve">, a </w:t>
      </w:r>
      <w:r w:rsidR="00574578">
        <w:t>77,1% stanowiły podjęcia pracy niesubsydiowanej</w:t>
      </w:r>
      <w:r w:rsidRPr="00CA05F7">
        <w:t>.</w:t>
      </w:r>
    </w:p>
    <w:p w:rsidR="00AB63E5" w:rsidRPr="00574578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574578">
        <w:t>N</w:t>
      </w:r>
      <w:r w:rsidR="00AB63E5" w:rsidRPr="00574578">
        <w:t>ajwyższ</w:t>
      </w:r>
      <w:r w:rsidR="0051348C" w:rsidRPr="00574578">
        <w:t>e</w:t>
      </w:r>
      <w:r w:rsidR="00AB63E5" w:rsidRPr="00574578">
        <w:t xml:space="preserve"> </w:t>
      </w:r>
      <w:r w:rsidR="0051348C" w:rsidRPr="00574578">
        <w:t xml:space="preserve">wartości liczbowe w </w:t>
      </w:r>
      <w:r w:rsidR="00AB63E5" w:rsidRPr="00574578">
        <w:t>zatrudnieni</w:t>
      </w:r>
      <w:r w:rsidR="0051348C" w:rsidRPr="00574578">
        <w:t>u</w:t>
      </w:r>
      <w:r w:rsidR="00AB63E5" w:rsidRPr="00574578">
        <w:t xml:space="preserve"> subsydiowan</w:t>
      </w:r>
      <w:r w:rsidR="0051348C" w:rsidRPr="00574578">
        <w:t xml:space="preserve">ym </w:t>
      </w:r>
      <w:r w:rsidR="00AB63E5" w:rsidRPr="00574578">
        <w:t>stanowiły</w:t>
      </w:r>
      <w:r w:rsidR="00EC6F4C" w:rsidRPr="00574578">
        <w:t xml:space="preserve"> następujące aktywne formy</w:t>
      </w:r>
      <w:r w:rsidR="00AB63E5" w:rsidRPr="00574578">
        <w:t>: prace interwencyjne (</w:t>
      </w:r>
      <w:r w:rsidR="00EC6F4C" w:rsidRPr="00574578">
        <w:t>2</w:t>
      </w:r>
      <w:r w:rsidR="00D443BB" w:rsidRPr="00574578">
        <w:t> </w:t>
      </w:r>
      <w:r w:rsidR="00EC6F4C" w:rsidRPr="00574578">
        <w:t>23</w:t>
      </w:r>
      <w:r w:rsidR="00574578" w:rsidRPr="00574578">
        <w:t>4</w:t>
      </w:r>
      <w:r w:rsidR="00AB63E5" w:rsidRPr="00574578">
        <w:t xml:space="preserve">), </w:t>
      </w:r>
      <w:r w:rsidR="00574578" w:rsidRPr="00574578">
        <w:t xml:space="preserve">roboty publiczne (1 702), </w:t>
      </w:r>
      <w:r w:rsidR="00AB63E5" w:rsidRPr="00574578">
        <w:t>podjęcie pracy</w:t>
      </w:r>
      <w:r w:rsidR="00AE5712" w:rsidRPr="00574578">
        <w:t xml:space="preserve"> w </w:t>
      </w:r>
      <w:r w:rsidR="00AB63E5" w:rsidRPr="00574578">
        <w:t>ramach refundacji kosztów zatrudnienia bezrobotnego (</w:t>
      </w:r>
      <w:r w:rsidR="00EC6F4C" w:rsidRPr="00574578">
        <w:t>1</w:t>
      </w:r>
      <w:r w:rsidR="00AB63E5" w:rsidRPr="00574578">
        <w:t xml:space="preserve"> </w:t>
      </w:r>
      <w:r w:rsidR="00574578" w:rsidRPr="00574578">
        <w:t>518</w:t>
      </w:r>
      <w:r w:rsidR="00AB63E5" w:rsidRPr="00574578">
        <w:t>),</w:t>
      </w:r>
      <w:r w:rsidR="00EC6F4C" w:rsidRPr="00574578">
        <w:t xml:space="preserve">  </w:t>
      </w:r>
      <w:r w:rsidR="00AB63E5" w:rsidRPr="00574578">
        <w:t>otrzymanie dotacji na uruchomienie działalności gospodarczej (</w:t>
      </w:r>
      <w:r w:rsidR="00EC6F4C" w:rsidRPr="00574578">
        <w:t>1</w:t>
      </w:r>
      <w:r w:rsidR="00AB63E5" w:rsidRPr="00574578">
        <w:t xml:space="preserve"> </w:t>
      </w:r>
      <w:r w:rsidR="00574578" w:rsidRPr="00574578">
        <w:t>184</w:t>
      </w:r>
      <w:r w:rsidR="00AB63E5" w:rsidRPr="00574578">
        <w:t>)</w:t>
      </w:r>
      <w:r w:rsidRPr="00574578">
        <w:t>.</w:t>
      </w:r>
    </w:p>
    <w:p w:rsidR="00D443BB" w:rsidRPr="007D1CB3" w:rsidRDefault="00574578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FF0A80">
        <w:rPr>
          <w:u w:val="single"/>
        </w:rPr>
        <w:t>28</w:t>
      </w:r>
      <w:r w:rsidR="00D443BB" w:rsidRPr="00FF0A80">
        <w:rPr>
          <w:u w:val="single"/>
        </w:rPr>
        <w:t> </w:t>
      </w:r>
      <w:r w:rsidRPr="00FF0A80">
        <w:rPr>
          <w:u w:val="single"/>
        </w:rPr>
        <w:t>069</w:t>
      </w:r>
      <w:r w:rsidR="00D443BB" w:rsidRPr="00FF0A80">
        <w:rPr>
          <w:u w:val="single"/>
        </w:rPr>
        <w:t xml:space="preserve"> </w:t>
      </w:r>
      <w:r w:rsidR="00C809DC" w:rsidRPr="00FF0A80">
        <w:rPr>
          <w:u w:val="single"/>
        </w:rPr>
        <w:t xml:space="preserve">bezrobotnych </w:t>
      </w:r>
      <w:r w:rsidR="00D443BB" w:rsidRPr="00FF0A80">
        <w:rPr>
          <w:u w:val="single"/>
        </w:rPr>
        <w:t>(</w:t>
      </w:r>
      <w:r w:rsidR="007D7E92" w:rsidRPr="00FF0A80">
        <w:rPr>
          <w:u w:val="single"/>
        </w:rPr>
        <w:t>3</w:t>
      </w:r>
      <w:r w:rsidR="00C809DC" w:rsidRPr="00FF0A80">
        <w:rPr>
          <w:u w:val="single"/>
        </w:rPr>
        <w:t>5</w:t>
      </w:r>
      <w:r w:rsidRPr="00FF0A80">
        <w:rPr>
          <w:u w:val="single"/>
        </w:rPr>
        <w:t>,7</w:t>
      </w:r>
      <w:r w:rsidR="00D443BB" w:rsidRPr="00FF0A80">
        <w:rPr>
          <w:u w:val="single"/>
        </w:rPr>
        <w:t>%</w:t>
      </w:r>
      <w:r w:rsidR="00C809DC" w:rsidRPr="00FF0A80">
        <w:rPr>
          <w:u w:val="single"/>
        </w:rPr>
        <w:t xml:space="preserve"> odpływu</w:t>
      </w:r>
      <w:r w:rsidR="00D443BB" w:rsidRPr="00FF0A80">
        <w:rPr>
          <w:u w:val="single"/>
        </w:rPr>
        <w:t>) wyrejestrowało się</w:t>
      </w:r>
      <w:r w:rsidR="00AE5712" w:rsidRPr="00FF0A80">
        <w:rPr>
          <w:u w:val="single"/>
        </w:rPr>
        <w:t xml:space="preserve"> z </w:t>
      </w:r>
      <w:r w:rsidR="00D443BB" w:rsidRPr="00FF0A80">
        <w:rPr>
          <w:u w:val="single"/>
        </w:rPr>
        <w:t>innego powodu niż podjęcie pracy</w:t>
      </w:r>
      <w:r w:rsidR="007D7E92" w:rsidRPr="00FF0A80">
        <w:rPr>
          <w:u w:val="single"/>
        </w:rPr>
        <w:t>.</w:t>
      </w:r>
      <w:r w:rsidR="00FF0A80">
        <w:rPr>
          <w:u w:val="single"/>
        </w:rPr>
        <w:t xml:space="preserve"> </w:t>
      </w:r>
      <w:r w:rsidR="007D7E92" w:rsidRPr="007D1CB3">
        <w:t>W</w:t>
      </w:r>
      <w:r w:rsidR="00D443BB" w:rsidRPr="007D1CB3">
        <w:t>śród innych powodów najczęstszym był</w:t>
      </w:r>
      <w:r w:rsidR="002E2123" w:rsidRPr="007D1CB3">
        <w:t>y:</w:t>
      </w:r>
      <w:r w:rsidR="00D443BB" w:rsidRPr="007D1CB3">
        <w:t xml:space="preserve"> niepotwierdzenie przez bezrobotnych gotowości do podjęcia pracy</w:t>
      </w:r>
      <w:r w:rsidR="002E2123" w:rsidRPr="007D1CB3">
        <w:t xml:space="preserve"> (</w:t>
      </w:r>
      <w:r w:rsidR="00C809DC" w:rsidRPr="007D1CB3">
        <w:t>1</w:t>
      </w:r>
      <w:r w:rsidR="007D1CB3" w:rsidRPr="007D1CB3">
        <w:t>4</w:t>
      </w:r>
      <w:r w:rsidR="00D443BB" w:rsidRPr="007D1CB3">
        <w:t> </w:t>
      </w:r>
      <w:r w:rsidR="007D1CB3" w:rsidRPr="007D1CB3">
        <w:t>574</w:t>
      </w:r>
      <w:r w:rsidR="00D443BB" w:rsidRPr="007D1CB3">
        <w:t xml:space="preserve"> osób)</w:t>
      </w:r>
      <w:r w:rsidR="00C127C4">
        <w:t xml:space="preserve"> i </w:t>
      </w:r>
      <w:r w:rsidR="002E2123" w:rsidRPr="007D1CB3">
        <w:t xml:space="preserve">dobrowolna rezygnacja </w:t>
      </w:r>
      <w:r w:rsidR="007D7E92" w:rsidRPr="007D1CB3">
        <w:t>ze statusu bezrobotnego (</w:t>
      </w:r>
      <w:r w:rsidR="007D1CB3" w:rsidRPr="007D1CB3">
        <w:t>5</w:t>
      </w:r>
      <w:r w:rsidR="007D7E92" w:rsidRPr="007D1CB3">
        <w:t> </w:t>
      </w:r>
      <w:r w:rsidR="007D1CB3" w:rsidRPr="007D1CB3">
        <w:t>884</w:t>
      </w:r>
      <w:r w:rsidR="007D7E92" w:rsidRPr="007D1CB3">
        <w:t>).</w:t>
      </w:r>
    </w:p>
    <w:p w:rsidR="00221BB6" w:rsidRPr="007D1CB3" w:rsidRDefault="007D1CB3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FF0A80">
        <w:rPr>
          <w:u w:val="single"/>
        </w:rPr>
        <w:t>9</w:t>
      </w:r>
      <w:r w:rsidR="00F62BE0" w:rsidRPr="00FF0A80">
        <w:rPr>
          <w:u w:val="single"/>
        </w:rPr>
        <w:t> </w:t>
      </w:r>
      <w:r w:rsidRPr="00FF0A80">
        <w:rPr>
          <w:u w:val="single"/>
        </w:rPr>
        <w:t>311</w:t>
      </w:r>
      <w:r w:rsidR="00F62BE0" w:rsidRPr="00FF0A80">
        <w:rPr>
          <w:u w:val="single"/>
        </w:rPr>
        <w:t xml:space="preserve"> bezrobotnych</w:t>
      </w:r>
      <w:r w:rsidR="00221BB6" w:rsidRPr="00FF0A80">
        <w:rPr>
          <w:u w:val="single"/>
        </w:rPr>
        <w:t xml:space="preserve"> (</w:t>
      </w:r>
      <w:r w:rsidR="007D7E92" w:rsidRPr="00FF0A80">
        <w:rPr>
          <w:u w:val="single"/>
        </w:rPr>
        <w:t>1</w:t>
      </w:r>
      <w:r w:rsidRPr="00FF0A80">
        <w:rPr>
          <w:u w:val="single"/>
        </w:rPr>
        <w:t>1</w:t>
      </w:r>
      <w:r w:rsidR="007D7E92" w:rsidRPr="00FF0A80">
        <w:rPr>
          <w:u w:val="single"/>
        </w:rPr>
        <w:t>,</w:t>
      </w:r>
      <w:r w:rsidRPr="00FF0A80">
        <w:rPr>
          <w:u w:val="single"/>
        </w:rPr>
        <w:t>9</w:t>
      </w:r>
      <w:r w:rsidR="00221BB6" w:rsidRPr="00FF0A80">
        <w:rPr>
          <w:u w:val="single"/>
        </w:rPr>
        <w:t>%</w:t>
      </w:r>
      <w:r w:rsidR="00F62BE0" w:rsidRPr="00FF0A80">
        <w:rPr>
          <w:u w:val="single"/>
        </w:rPr>
        <w:t xml:space="preserve"> odpływu</w:t>
      </w:r>
      <w:r w:rsidR="00221BB6" w:rsidRPr="00FF0A80">
        <w:rPr>
          <w:u w:val="single"/>
        </w:rPr>
        <w:t>) zostało wyłączonych</w:t>
      </w:r>
      <w:r w:rsidR="00F62BE0" w:rsidRPr="00FF0A80">
        <w:rPr>
          <w:u w:val="single"/>
        </w:rPr>
        <w:t xml:space="preserve"> </w:t>
      </w:r>
      <w:r w:rsidRPr="00FF0A80">
        <w:rPr>
          <w:u w:val="single"/>
        </w:rPr>
        <w:t>w</w:t>
      </w:r>
      <w:r w:rsidR="00F62BE0" w:rsidRPr="00FF0A80">
        <w:rPr>
          <w:u w:val="single"/>
        </w:rPr>
        <w:t xml:space="preserve"> PUP</w:t>
      </w:r>
      <w:r w:rsidRPr="00FF0A80">
        <w:rPr>
          <w:u w:val="single"/>
        </w:rPr>
        <w:t xml:space="preserve"> </w:t>
      </w:r>
      <w:r w:rsidR="00AE5712" w:rsidRPr="00FF0A80">
        <w:rPr>
          <w:u w:val="single"/>
        </w:rPr>
        <w:t>z</w:t>
      </w:r>
      <w:r w:rsidRPr="00FF0A80">
        <w:rPr>
          <w:u w:val="single"/>
        </w:rPr>
        <w:t xml:space="preserve"> </w:t>
      </w:r>
      <w:r w:rsidR="00221BB6" w:rsidRPr="00FF0A80">
        <w:rPr>
          <w:u w:val="single"/>
        </w:rPr>
        <w:t>ewidencji</w:t>
      </w:r>
      <w:r w:rsidR="00AE5712" w:rsidRPr="00FF0A80">
        <w:rPr>
          <w:u w:val="single"/>
        </w:rPr>
        <w:t xml:space="preserve"> </w:t>
      </w:r>
      <w:r w:rsidR="00F62BE0" w:rsidRPr="00FF0A80">
        <w:rPr>
          <w:u w:val="single"/>
        </w:rPr>
        <w:t xml:space="preserve">osób bezrobotnych </w:t>
      </w:r>
      <w:r w:rsidR="00AE5712" w:rsidRPr="00FF0A80">
        <w:rPr>
          <w:u w:val="single"/>
        </w:rPr>
        <w:t>z </w:t>
      </w:r>
      <w:r w:rsidR="00221BB6" w:rsidRPr="00FF0A80">
        <w:rPr>
          <w:u w:val="single"/>
        </w:rPr>
        <w:t>powodu udziału</w:t>
      </w:r>
      <w:r w:rsidR="00AE5712" w:rsidRPr="00FF0A80">
        <w:rPr>
          <w:u w:val="single"/>
        </w:rPr>
        <w:t xml:space="preserve"> w </w:t>
      </w:r>
      <w:r w:rsidR="00221BB6" w:rsidRPr="00FF0A80">
        <w:rPr>
          <w:u w:val="single"/>
        </w:rPr>
        <w:t>formach aktywizacji zawodowej nie powodujących utraty statusu bezrobotnych</w:t>
      </w:r>
      <w:r w:rsidR="007D7E92" w:rsidRPr="00FF0A80">
        <w:rPr>
          <w:u w:val="single"/>
        </w:rPr>
        <w:t>.</w:t>
      </w:r>
      <w:r w:rsidR="00FF0A80">
        <w:rPr>
          <w:u w:val="single"/>
        </w:rPr>
        <w:t xml:space="preserve"> </w:t>
      </w:r>
      <w:r w:rsidR="007D7E92" w:rsidRPr="007D1CB3">
        <w:t>W</w:t>
      </w:r>
      <w:r w:rsidR="00221BB6" w:rsidRPr="007D1CB3">
        <w:t>śród powodów wyłączeń (bez utraty statusu) najczęstsze były: staże (</w:t>
      </w:r>
      <w:r w:rsidRPr="007D1CB3">
        <w:t>7</w:t>
      </w:r>
      <w:r w:rsidR="00221BB6" w:rsidRPr="007D1CB3">
        <w:t> </w:t>
      </w:r>
      <w:r w:rsidRPr="007D1CB3">
        <w:t>110</w:t>
      </w:r>
      <w:r w:rsidR="00221BB6" w:rsidRPr="007D1CB3">
        <w:t>)</w:t>
      </w:r>
      <w:r w:rsidR="002B1443">
        <w:t xml:space="preserve">, </w:t>
      </w:r>
      <w:r w:rsidR="00221BB6" w:rsidRPr="007D1CB3">
        <w:t>szkolenia (</w:t>
      </w:r>
      <w:r w:rsidR="008810C6" w:rsidRPr="007D1CB3">
        <w:t>1</w:t>
      </w:r>
      <w:r w:rsidR="00221BB6" w:rsidRPr="007D1CB3">
        <w:t> </w:t>
      </w:r>
      <w:r w:rsidRPr="007D1CB3">
        <w:t>031</w:t>
      </w:r>
      <w:r w:rsidR="00221BB6" w:rsidRPr="007D1CB3">
        <w:t>)</w:t>
      </w:r>
      <w:r w:rsidRPr="007D1CB3">
        <w:t xml:space="preserve"> i rozpoczęcie prac społecznie użytecznych (868)</w:t>
      </w:r>
      <w:r w:rsidR="007D7E92" w:rsidRPr="007D1CB3">
        <w:t>.</w:t>
      </w:r>
    </w:p>
    <w:p w:rsidR="00193D9F" w:rsidRPr="00193D9F" w:rsidRDefault="007D7E92" w:rsidP="00193D9F">
      <w:pPr>
        <w:pStyle w:val="Default"/>
        <w:numPr>
          <w:ilvl w:val="0"/>
          <w:numId w:val="1"/>
        </w:numPr>
        <w:spacing w:line="360" w:lineRule="auto"/>
        <w:jc w:val="both"/>
      </w:pPr>
      <w:r w:rsidRPr="00193D9F">
        <w:t>N</w:t>
      </w:r>
      <w:r w:rsidR="00E14AA5" w:rsidRPr="00193D9F">
        <w:t>ajwiększ</w:t>
      </w:r>
      <w:r w:rsidR="00AB63E5" w:rsidRPr="00193D9F">
        <w:t xml:space="preserve">y „odpływ” bezrobotnych </w:t>
      </w:r>
      <w:r w:rsidR="00E14AA5" w:rsidRPr="00193D9F">
        <w:t>odnotowano w</w:t>
      </w:r>
      <w:r w:rsidR="00193D9F">
        <w:t xml:space="preserve"> powiatach</w:t>
      </w:r>
      <w:r w:rsidR="00AB63E5" w:rsidRPr="00193D9F">
        <w:t xml:space="preserve">: </w:t>
      </w:r>
      <w:r w:rsidR="00193D9F">
        <w:t>jarosławskim – 5 132, jasielskim – 5 016, rzeszowskim – 4 623, m. Rzeszowie – 4 447, mieleckim – 4 395, dębickim – 4 393 i przeworskim – 3 921.</w:t>
      </w:r>
      <w:r w:rsidR="00FF0A80">
        <w:t xml:space="preserve"> </w:t>
      </w:r>
      <w:r w:rsidR="00815964" w:rsidRPr="00193D9F">
        <w:t>N</w:t>
      </w:r>
      <w:r w:rsidR="00E14AA5" w:rsidRPr="00193D9F">
        <w:t>ajmniej</w:t>
      </w:r>
      <w:r w:rsidR="00AB63E5" w:rsidRPr="00193D9F">
        <w:t xml:space="preserve">szy „odpływ” </w:t>
      </w:r>
      <w:r w:rsidR="00815964" w:rsidRPr="00193D9F">
        <w:t xml:space="preserve">bezrobotnych </w:t>
      </w:r>
      <w:r w:rsidR="00AB63E5" w:rsidRPr="00193D9F">
        <w:t>nastąpił w</w:t>
      </w:r>
      <w:r w:rsidR="000E24F0">
        <w:t> </w:t>
      </w:r>
      <w:r w:rsidR="00193D9F" w:rsidRPr="00193D9F">
        <w:t>powiatach</w:t>
      </w:r>
      <w:r w:rsidR="00E14AA5" w:rsidRPr="00193D9F">
        <w:t>:</w:t>
      </w:r>
      <w:r w:rsidR="00AB63E5" w:rsidRPr="00193D9F">
        <w:t xml:space="preserve"> </w:t>
      </w:r>
      <w:r w:rsidR="00193D9F" w:rsidRPr="00193D9F">
        <w:t>bieszczadzkim – 1 071, m. Krośnie – 1 307, leskim – 1 685, m. Tarnobrzegu – 1 702, tarnobrzeskim – 1 847, m. Przemyślu – 1 988, kolbuszowskim – 2 219, lubaczowskim – 2 665, niżańskim – 2 860 i przemyskim – 2 874.</w:t>
      </w:r>
    </w:p>
    <w:p w:rsidR="00193D9F" w:rsidRPr="002E242E" w:rsidRDefault="00193D9F" w:rsidP="002E242E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0A2DBD" w:rsidRPr="00911150" w:rsidRDefault="000A2DBD" w:rsidP="00911150">
      <w:pPr>
        <w:pStyle w:val="Nagwek3"/>
        <w:jc w:val="left"/>
        <w:rPr>
          <w:rFonts w:ascii="Times New Roman" w:hAnsi="Times New Roman" w:cs="Times New Roman"/>
          <w:i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5" w:name="_Toc489263945"/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</w:t>
      </w:r>
      <w:r w:rsidR="00AE5712"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</w:t>
      </w:r>
      <w:r w:rsid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prawem do zasiłku</w:t>
      </w:r>
      <w:bookmarkEnd w:id="5"/>
    </w:p>
    <w:p w:rsidR="00193D9F" w:rsidRPr="0029506F" w:rsidRDefault="00193D9F" w:rsidP="008979C4">
      <w:pPr>
        <w:pStyle w:val="Default"/>
        <w:jc w:val="both"/>
        <w:rPr>
          <w:b/>
          <w:bCs/>
          <w:sz w:val="16"/>
          <w:szCs w:val="16"/>
          <w:highlight w:val="yellow"/>
        </w:rPr>
      </w:pPr>
    </w:p>
    <w:p w:rsidR="000258C5" w:rsidRPr="00193D9F" w:rsidRDefault="00587A87" w:rsidP="00193D9F">
      <w:pPr>
        <w:pStyle w:val="Default"/>
        <w:spacing w:line="360" w:lineRule="auto"/>
        <w:ind w:firstLine="709"/>
        <w:jc w:val="both"/>
      </w:pPr>
      <w:r w:rsidRPr="00193D9F">
        <w:t>W</w:t>
      </w:r>
      <w:r w:rsidR="00A65AF3" w:rsidRPr="00193D9F">
        <w:t>śród ogółu bezrobotnych</w:t>
      </w:r>
      <w:r w:rsidR="00AE5712" w:rsidRPr="00193D9F">
        <w:t xml:space="preserve"> w </w:t>
      </w:r>
      <w:r w:rsidR="000258C5" w:rsidRPr="00193D9F">
        <w:t xml:space="preserve">województwie podkarpackim </w:t>
      </w:r>
      <w:r w:rsidR="00273E11" w:rsidRPr="00193D9F">
        <w:t xml:space="preserve">prawo do </w:t>
      </w:r>
      <w:r w:rsidR="00A65AF3" w:rsidRPr="00193D9F">
        <w:t xml:space="preserve">pobierania </w:t>
      </w:r>
      <w:r w:rsidR="00273E11" w:rsidRPr="00193D9F">
        <w:t xml:space="preserve">zasiłku dla bezrobotnych </w:t>
      </w:r>
      <w:r w:rsidR="00193D9F" w:rsidRPr="00193D9F">
        <w:t xml:space="preserve">według stanu </w:t>
      </w:r>
      <w:r w:rsidR="000258C5" w:rsidRPr="00193D9F">
        <w:t>na 3</w:t>
      </w:r>
      <w:r w:rsidR="00193D9F" w:rsidRPr="00193D9F">
        <w:t xml:space="preserve">0 </w:t>
      </w:r>
      <w:r w:rsidR="00C14BEB" w:rsidRPr="00193D9F">
        <w:t>VI</w:t>
      </w:r>
      <w:r w:rsidR="00193D9F" w:rsidRPr="00193D9F">
        <w:t xml:space="preserve"> </w:t>
      </w:r>
      <w:r w:rsidR="000258C5" w:rsidRPr="00193D9F">
        <w:t>201</w:t>
      </w:r>
      <w:r w:rsidR="00193D9F" w:rsidRPr="00193D9F">
        <w:t>7</w:t>
      </w:r>
      <w:r w:rsidR="00AE5712" w:rsidRPr="00193D9F">
        <w:t> r.</w:t>
      </w:r>
      <w:r w:rsidR="000258C5" w:rsidRPr="00193D9F">
        <w:t xml:space="preserve"> </w:t>
      </w:r>
      <w:r w:rsidR="00A65AF3" w:rsidRPr="00193D9F">
        <w:t>posiadało</w:t>
      </w:r>
      <w:r w:rsidR="00273E11" w:rsidRPr="00193D9F">
        <w:t xml:space="preserve"> </w:t>
      </w:r>
      <w:r w:rsidR="00E17ECC" w:rsidRPr="00193D9F">
        <w:t>1</w:t>
      </w:r>
      <w:r w:rsidR="00193D9F" w:rsidRPr="00193D9F">
        <w:t>1</w:t>
      </w:r>
      <w:r w:rsidR="00E17ECC" w:rsidRPr="00193D9F">
        <w:t xml:space="preserve"> </w:t>
      </w:r>
      <w:r w:rsidR="00193D9F" w:rsidRPr="00193D9F">
        <w:t>960</w:t>
      </w:r>
      <w:r w:rsidR="00E17ECC" w:rsidRPr="00193D9F">
        <w:t xml:space="preserve"> </w:t>
      </w:r>
      <w:r w:rsidR="00273E11" w:rsidRPr="00193D9F">
        <w:t>osób</w:t>
      </w:r>
      <w:r w:rsidR="00636188" w:rsidRPr="00193D9F">
        <w:t>.</w:t>
      </w:r>
    </w:p>
    <w:p w:rsidR="002E242E" w:rsidRDefault="00193D9F" w:rsidP="002E242E">
      <w:pPr>
        <w:pStyle w:val="Default"/>
        <w:jc w:val="both"/>
        <w:rPr>
          <w:sz w:val="16"/>
          <w:szCs w:val="16"/>
          <w:highlight w:val="yellow"/>
        </w:rPr>
      </w:pPr>
      <w:r w:rsidRPr="00193D9F">
        <w:rPr>
          <w:noProof/>
          <w:lang w:eastAsia="pl-PL"/>
        </w:rPr>
        <w:drawing>
          <wp:inline distT="0" distB="0" distL="0" distR="0" wp14:anchorId="402C69E1" wp14:editId="02E6BADA">
            <wp:extent cx="5759450" cy="1913106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13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9F" w:rsidRDefault="00193D9F">
      <w:pPr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695477" w:rsidRPr="00695477" w:rsidRDefault="00695477" w:rsidP="00695477">
      <w:pPr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695477">
        <w:rPr>
          <w:rFonts w:ascii="Times New Roman" w:hAnsi="Times New Roman" w:cs="Times New Roman"/>
          <w:b/>
          <w:color w:val="000000"/>
          <w:sz w:val="18"/>
          <w:szCs w:val="18"/>
        </w:rPr>
        <w:lastRenderedPageBreak/>
        <w:t>Tabela VIII. BEZROBOTNI POSIADAJĄCY PRAWO DO ZASIŁKU (c.d.)</w:t>
      </w:r>
    </w:p>
    <w:p w:rsidR="00695477" w:rsidRPr="00695477" w:rsidRDefault="00695477" w:rsidP="00695477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695477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województwo podkarpackie</w:t>
      </w:r>
    </w:p>
    <w:p w:rsidR="00695477" w:rsidRDefault="00695477" w:rsidP="00695477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193D9F" w:rsidRDefault="00695477" w:rsidP="00193D9F">
      <w:pPr>
        <w:pStyle w:val="Default"/>
        <w:jc w:val="both"/>
        <w:rPr>
          <w:sz w:val="16"/>
          <w:szCs w:val="16"/>
        </w:rPr>
      </w:pPr>
      <w:r w:rsidRPr="00695477">
        <w:rPr>
          <w:noProof/>
          <w:lang w:eastAsia="pl-PL"/>
        </w:rPr>
        <w:drawing>
          <wp:inline distT="0" distB="0" distL="0" distR="0" wp14:anchorId="689AF610" wp14:editId="1BDEBEDA">
            <wp:extent cx="5759450" cy="4576277"/>
            <wp:effectExtent l="0" t="0" r="0" b="0"/>
            <wp:docPr id="38" name="Obraz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576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9F" w:rsidRPr="00193D9F" w:rsidRDefault="00193D9F" w:rsidP="00193D9F">
      <w:pPr>
        <w:pStyle w:val="Default"/>
        <w:jc w:val="both"/>
        <w:rPr>
          <w:sz w:val="16"/>
          <w:szCs w:val="16"/>
        </w:rPr>
      </w:pPr>
    </w:p>
    <w:p w:rsidR="000258C5" w:rsidRPr="002E242E" w:rsidRDefault="00636188" w:rsidP="00695477">
      <w:pPr>
        <w:pStyle w:val="Default"/>
        <w:jc w:val="both"/>
      </w:pPr>
      <w:r w:rsidRPr="002E242E">
        <w:t>Wnioski:</w:t>
      </w:r>
    </w:p>
    <w:p w:rsidR="008A2874" w:rsidRDefault="008A2874" w:rsidP="00695477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2E242E">
        <w:rPr>
          <w:rFonts w:ascii="Times New Roman" w:hAnsi="Times New Roman" w:cs="Times New Roman"/>
          <w:szCs w:val="24"/>
        </w:rPr>
        <w:t>(na podstawie danych</w:t>
      </w:r>
      <w:r w:rsidR="00AE5712" w:rsidRPr="002E242E">
        <w:rPr>
          <w:rFonts w:ascii="Times New Roman" w:hAnsi="Times New Roman" w:cs="Times New Roman"/>
          <w:szCs w:val="24"/>
        </w:rPr>
        <w:t xml:space="preserve"> z </w:t>
      </w:r>
      <w:r w:rsidR="00C14BEB" w:rsidRPr="002E242E">
        <w:rPr>
          <w:rFonts w:ascii="Times New Roman" w:hAnsi="Times New Roman" w:cs="Times New Roman"/>
          <w:szCs w:val="24"/>
        </w:rPr>
        <w:t>t</w:t>
      </w:r>
      <w:r w:rsidRPr="002E242E">
        <w:rPr>
          <w:rFonts w:ascii="Times New Roman" w:hAnsi="Times New Roman" w:cs="Times New Roman"/>
          <w:szCs w:val="24"/>
        </w:rPr>
        <w:t>abeli</w:t>
      </w:r>
      <w:r w:rsidR="00C14BEB" w:rsidRPr="002E242E">
        <w:rPr>
          <w:rFonts w:ascii="Times New Roman" w:hAnsi="Times New Roman" w:cs="Times New Roman"/>
          <w:szCs w:val="24"/>
        </w:rPr>
        <w:t xml:space="preserve"> </w:t>
      </w:r>
      <w:r w:rsidR="002E242E" w:rsidRPr="002E242E">
        <w:rPr>
          <w:rFonts w:ascii="Times New Roman" w:hAnsi="Times New Roman" w:cs="Times New Roman"/>
          <w:szCs w:val="24"/>
        </w:rPr>
        <w:t>VIII</w:t>
      </w:r>
      <w:r w:rsidR="00636188" w:rsidRPr="002E242E">
        <w:rPr>
          <w:rFonts w:ascii="Times New Roman" w:hAnsi="Times New Roman" w:cs="Times New Roman"/>
          <w:szCs w:val="24"/>
        </w:rPr>
        <w:t>)</w:t>
      </w:r>
    </w:p>
    <w:p w:rsidR="00695477" w:rsidRPr="00695477" w:rsidRDefault="00695477" w:rsidP="00695477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0258C5" w:rsidRPr="00063A18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063A18">
        <w:t>W</w:t>
      </w:r>
      <w:r w:rsidR="000258C5" w:rsidRPr="00063A18">
        <w:t> porównaniu do stanu</w:t>
      </w:r>
      <w:r w:rsidR="00AE5712" w:rsidRPr="00063A18">
        <w:t xml:space="preserve"> z </w:t>
      </w:r>
      <w:r w:rsidR="000258C5" w:rsidRPr="00063A18">
        <w:t xml:space="preserve">końca </w:t>
      </w:r>
      <w:r w:rsidR="00A1747F" w:rsidRPr="00063A18">
        <w:t>czerwca</w:t>
      </w:r>
      <w:r w:rsidR="000258C5" w:rsidRPr="00063A18">
        <w:t xml:space="preserve"> 201</w:t>
      </w:r>
      <w:r w:rsidR="00063A18" w:rsidRPr="00063A18">
        <w:t>6</w:t>
      </w:r>
      <w:r w:rsidR="00AE5712" w:rsidRPr="00063A18">
        <w:t> r.</w:t>
      </w:r>
      <w:r w:rsidR="000258C5" w:rsidRPr="00063A18">
        <w:t xml:space="preserve"> (1</w:t>
      </w:r>
      <w:r w:rsidR="00063A18" w:rsidRPr="00063A18">
        <w:t>2</w:t>
      </w:r>
      <w:r w:rsidR="000258C5" w:rsidRPr="00063A18">
        <w:t> </w:t>
      </w:r>
      <w:r w:rsidR="00063A18" w:rsidRPr="00063A18">
        <w:t>612</w:t>
      </w:r>
      <w:r w:rsidR="000258C5" w:rsidRPr="00063A18">
        <w:t>) liczba zasiłkobiorców zmniejszyła się</w:t>
      </w:r>
      <w:r w:rsidR="00AE5712" w:rsidRPr="00063A18">
        <w:t xml:space="preserve"> o </w:t>
      </w:r>
      <w:r w:rsidR="00A1747F" w:rsidRPr="00063A18">
        <w:t>6</w:t>
      </w:r>
      <w:r w:rsidR="00063A18" w:rsidRPr="00063A18">
        <w:t>52</w:t>
      </w:r>
      <w:r w:rsidR="000258C5" w:rsidRPr="00063A18">
        <w:t xml:space="preserve"> os</w:t>
      </w:r>
      <w:r w:rsidR="00A1747F" w:rsidRPr="00063A18">
        <w:t>ó</w:t>
      </w:r>
      <w:r w:rsidR="000258C5" w:rsidRPr="00063A18">
        <w:t>b</w:t>
      </w:r>
      <w:r w:rsidR="001278BA" w:rsidRPr="00063A18">
        <w:t xml:space="preserve"> (</w:t>
      </w:r>
      <w:r w:rsidR="00063A18" w:rsidRPr="00063A18">
        <w:t>5</w:t>
      </w:r>
      <w:r w:rsidR="00A1747F" w:rsidRPr="00063A18">
        <w:t>,</w:t>
      </w:r>
      <w:r w:rsidR="00063A18" w:rsidRPr="00063A18">
        <w:t>2</w:t>
      </w:r>
      <w:r w:rsidR="001278BA" w:rsidRPr="00063A18">
        <w:t>%)</w:t>
      </w:r>
      <w:r w:rsidRPr="00063A18">
        <w:t>.</w:t>
      </w:r>
    </w:p>
    <w:p w:rsidR="000258C5" w:rsidRPr="00063A18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063A18">
        <w:t>W</w:t>
      </w:r>
      <w:r w:rsidR="000258C5" w:rsidRPr="00063A18">
        <w:t xml:space="preserve"> ogólnej grupie zasiłkobiorców </w:t>
      </w:r>
      <w:r w:rsidR="00063A18" w:rsidRPr="00063A18">
        <w:t>1</w:t>
      </w:r>
      <w:r w:rsidR="00037BD8" w:rsidRPr="00063A18">
        <w:t xml:space="preserve"> </w:t>
      </w:r>
      <w:r w:rsidR="00063A18" w:rsidRPr="00063A18">
        <w:t>869</w:t>
      </w:r>
      <w:r w:rsidR="00037BD8" w:rsidRPr="00063A18">
        <w:t xml:space="preserve"> </w:t>
      </w:r>
      <w:r w:rsidR="00A1747F" w:rsidRPr="00063A18">
        <w:t>bezrobotnych</w:t>
      </w:r>
      <w:r w:rsidR="00037BD8" w:rsidRPr="00063A18">
        <w:t xml:space="preserve"> zwolnion</w:t>
      </w:r>
      <w:r w:rsidR="00A1747F" w:rsidRPr="00063A18">
        <w:t>ych</w:t>
      </w:r>
      <w:r w:rsidR="00AE5712" w:rsidRPr="00063A18">
        <w:t xml:space="preserve"> </w:t>
      </w:r>
      <w:r w:rsidR="00A1747F" w:rsidRPr="00063A18">
        <w:t xml:space="preserve">zostało </w:t>
      </w:r>
      <w:r w:rsidR="00AE5712" w:rsidRPr="00063A18">
        <w:t>z </w:t>
      </w:r>
      <w:r w:rsidR="00037BD8" w:rsidRPr="00063A18">
        <w:t>przyczyn dotyczących zakładu pracy</w:t>
      </w:r>
      <w:r w:rsidRPr="00063A18">
        <w:t>.</w:t>
      </w:r>
    </w:p>
    <w:p w:rsidR="000258C5" w:rsidRPr="00063A18" w:rsidRDefault="00636188" w:rsidP="00063A18">
      <w:pPr>
        <w:pStyle w:val="Default"/>
        <w:numPr>
          <w:ilvl w:val="0"/>
          <w:numId w:val="1"/>
        </w:numPr>
        <w:spacing w:line="360" w:lineRule="auto"/>
        <w:jc w:val="both"/>
      </w:pPr>
      <w:r w:rsidRPr="00063A18">
        <w:t>W</w:t>
      </w:r>
      <w:r w:rsidR="00EB7938" w:rsidRPr="00063A18">
        <w:t>zrost odsetka</w:t>
      </w:r>
      <w:r w:rsidR="001278BA" w:rsidRPr="00063A18">
        <w:t xml:space="preserve"> zasiłkobiorców odnotowano</w:t>
      </w:r>
      <w:r w:rsidR="00AE5712" w:rsidRPr="00063A18">
        <w:t xml:space="preserve"> w </w:t>
      </w:r>
      <w:r w:rsidR="00063A18" w:rsidRPr="00063A18">
        <w:t>5</w:t>
      </w:r>
      <w:r w:rsidR="00EB7938" w:rsidRPr="00063A18">
        <w:t xml:space="preserve"> powiatach: </w:t>
      </w:r>
      <w:r w:rsidR="00063A18" w:rsidRPr="00063A18">
        <w:t>jarosławskim - 26,0%, niżańskim – 13,6%, przeworskim – 10,7%, m. Przemyślu – 7,8% i leżajskim – 1,9 %.</w:t>
      </w:r>
    </w:p>
    <w:p w:rsidR="008979C4" w:rsidRPr="00063A18" w:rsidRDefault="00636188" w:rsidP="00063A18">
      <w:pPr>
        <w:pStyle w:val="Default"/>
        <w:numPr>
          <w:ilvl w:val="0"/>
          <w:numId w:val="1"/>
        </w:numPr>
        <w:spacing w:line="360" w:lineRule="auto"/>
        <w:jc w:val="both"/>
      </w:pPr>
      <w:r w:rsidRPr="00063A18">
        <w:t>S</w:t>
      </w:r>
      <w:r w:rsidR="00EB7938" w:rsidRPr="00063A18">
        <w:t>padek odsetka zasiłkobiorców odnotowano we wszystkich pozostałych powiatach</w:t>
      </w:r>
      <w:r w:rsidR="00AE5712" w:rsidRPr="00063A18">
        <w:t xml:space="preserve"> i </w:t>
      </w:r>
      <w:r w:rsidR="00EB7938" w:rsidRPr="00063A18">
        <w:t>miastach na prawach powiatu</w:t>
      </w:r>
      <w:r w:rsidR="007549BB" w:rsidRPr="00063A18">
        <w:t xml:space="preserve"> – </w:t>
      </w:r>
      <w:r w:rsidR="00AE5712" w:rsidRPr="00063A18">
        <w:t>w </w:t>
      </w:r>
      <w:r w:rsidR="00EB7938" w:rsidRPr="00063A18">
        <w:t xml:space="preserve">tym największy w: </w:t>
      </w:r>
      <w:r w:rsidR="00063A18" w:rsidRPr="00063A18">
        <w:t>mieleckim – 29,1%, bieszczadzkim – 21,2%, przemyskim – 20,3%, sanockim – 15,8%, jasielskim – 14,7%, m. Tarnobrzegu – 12,8%, rzeszowskim – 10,8%, brzozowskim – 10,8% i m. Krośnie – 10,7%.</w:t>
      </w:r>
    </w:p>
    <w:p w:rsidR="00BB17F4" w:rsidRDefault="00BB17F4">
      <w:pPr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8A2874" w:rsidRDefault="003950BA" w:rsidP="00911150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6" w:name="_Toc489263946"/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w</w:t>
      </w:r>
      <w:r w:rsidR="005015C3"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</w:t>
      </w:r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wieku</w:t>
      </w:r>
      <w:bookmarkEnd w:id="6"/>
    </w:p>
    <w:p w:rsidR="002E242E" w:rsidRDefault="002E242E" w:rsidP="002E242E">
      <w:pPr>
        <w:spacing w:after="0" w:line="240" w:lineRule="auto"/>
        <w:rPr>
          <w:sz w:val="16"/>
          <w:szCs w:val="16"/>
          <w:lang w:val="de-DE" w:eastAsia="pl-PL"/>
        </w:rPr>
      </w:pPr>
    </w:p>
    <w:p w:rsidR="006B4CB5" w:rsidRPr="002E242E" w:rsidRDefault="006B4CB5" w:rsidP="002E242E">
      <w:pPr>
        <w:spacing w:after="0" w:line="240" w:lineRule="auto"/>
        <w:rPr>
          <w:sz w:val="16"/>
          <w:szCs w:val="16"/>
          <w:lang w:val="de-DE" w:eastAsia="pl-PL"/>
        </w:rPr>
      </w:pPr>
    </w:p>
    <w:p w:rsidR="002E242E" w:rsidRPr="002E242E" w:rsidRDefault="002E242E" w:rsidP="002E242E">
      <w:pPr>
        <w:spacing w:after="0" w:line="240" w:lineRule="auto"/>
        <w:rPr>
          <w:sz w:val="16"/>
          <w:szCs w:val="16"/>
          <w:lang w:val="de-DE" w:eastAsia="pl-PL"/>
        </w:rPr>
      </w:pPr>
      <w:r w:rsidRPr="002E242E">
        <w:rPr>
          <w:noProof/>
          <w:lang w:eastAsia="pl-PL"/>
        </w:rPr>
        <w:drawing>
          <wp:inline distT="0" distB="0" distL="0" distR="0" wp14:anchorId="4B4C5F0D" wp14:editId="4BE755DB">
            <wp:extent cx="5526405" cy="3117215"/>
            <wp:effectExtent l="0" t="0" r="0" b="6985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05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42E" w:rsidRDefault="002E242E" w:rsidP="002E242E">
      <w:pPr>
        <w:spacing w:after="0" w:line="240" w:lineRule="auto"/>
        <w:rPr>
          <w:sz w:val="16"/>
          <w:szCs w:val="16"/>
          <w:lang w:val="de-DE" w:eastAsia="pl-PL"/>
        </w:rPr>
      </w:pPr>
    </w:p>
    <w:p w:rsidR="008A2874" w:rsidRPr="002E242E" w:rsidRDefault="00637246" w:rsidP="00CF269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E242E">
        <w:rPr>
          <w:rFonts w:ascii="Times New Roman" w:hAnsi="Times New Roman" w:cs="Times New Roman"/>
          <w:color w:val="000000" w:themeColor="text1"/>
          <w:sz w:val="24"/>
          <w:szCs w:val="24"/>
        </w:rPr>
        <w:t>Wnioski:</w:t>
      </w:r>
    </w:p>
    <w:p w:rsidR="008A2874" w:rsidRPr="002E242E" w:rsidRDefault="008A2874" w:rsidP="00CF269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2E242E">
        <w:rPr>
          <w:rFonts w:ascii="Times New Roman" w:hAnsi="Times New Roman" w:cs="Times New Roman"/>
          <w:color w:val="000000" w:themeColor="text1"/>
          <w:szCs w:val="24"/>
        </w:rPr>
        <w:t>(na podstawie danych</w:t>
      </w:r>
      <w:r w:rsidR="00AE5712" w:rsidRPr="002E242E">
        <w:rPr>
          <w:rFonts w:ascii="Times New Roman" w:hAnsi="Times New Roman" w:cs="Times New Roman"/>
          <w:color w:val="000000" w:themeColor="text1"/>
          <w:szCs w:val="24"/>
        </w:rPr>
        <w:t xml:space="preserve"> z </w:t>
      </w:r>
      <w:r w:rsidR="00CF269B" w:rsidRPr="006B4CB5">
        <w:rPr>
          <w:rFonts w:ascii="Times New Roman" w:hAnsi="Times New Roman" w:cs="Times New Roman"/>
          <w:color w:val="000000" w:themeColor="text1"/>
          <w:szCs w:val="24"/>
        </w:rPr>
        <w:t>t</w:t>
      </w:r>
      <w:r w:rsidRPr="006B4CB5">
        <w:rPr>
          <w:rFonts w:ascii="Times New Roman" w:hAnsi="Times New Roman" w:cs="Times New Roman"/>
          <w:color w:val="000000" w:themeColor="text1"/>
          <w:szCs w:val="24"/>
        </w:rPr>
        <w:t xml:space="preserve">abeli </w:t>
      </w:r>
      <w:r w:rsidR="002E242E" w:rsidRPr="006B4CB5">
        <w:rPr>
          <w:rFonts w:ascii="Times New Roman" w:hAnsi="Times New Roman" w:cs="Times New Roman"/>
          <w:color w:val="000000" w:themeColor="text1"/>
          <w:szCs w:val="24"/>
        </w:rPr>
        <w:t>IX</w:t>
      </w:r>
      <w:r w:rsidR="00AE5712" w:rsidRPr="006B4CB5">
        <w:rPr>
          <w:rFonts w:ascii="Times New Roman" w:hAnsi="Times New Roman" w:cs="Times New Roman"/>
          <w:color w:val="000000" w:themeColor="text1"/>
          <w:szCs w:val="24"/>
        </w:rPr>
        <w:t xml:space="preserve"> i</w:t>
      </w:r>
      <w:r w:rsidR="006B4CB5" w:rsidRPr="006B4CB5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="002E242E" w:rsidRPr="006B4CB5">
        <w:rPr>
          <w:rFonts w:ascii="Times New Roman" w:hAnsi="Times New Roman" w:cs="Times New Roman"/>
          <w:color w:val="000000" w:themeColor="text1"/>
          <w:szCs w:val="24"/>
        </w:rPr>
        <w:t>XII</w:t>
      </w:r>
      <w:r w:rsidRPr="006B4CB5">
        <w:rPr>
          <w:rFonts w:ascii="Times New Roman" w:hAnsi="Times New Roman" w:cs="Times New Roman"/>
          <w:color w:val="000000" w:themeColor="text1"/>
          <w:szCs w:val="24"/>
        </w:rPr>
        <w:t>)</w:t>
      </w:r>
    </w:p>
    <w:p w:rsidR="00CF269B" w:rsidRPr="0029506F" w:rsidRDefault="00CF269B" w:rsidP="00CF269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16"/>
          <w:szCs w:val="16"/>
          <w:highlight w:val="yellow"/>
        </w:rPr>
      </w:pPr>
    </w:p>
    <w:p w:rsidR="001B2026" w:rsidRPr="006B4CB5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8A2874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ajliczniejszą grupę wśród bezrobotnych stanowiły osoby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="008A2874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wieku od 25 do 34 lat 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8A2874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30,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A2874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), co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połączeniu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 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grupą osób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269B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młodych – 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w 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wieku od 18 do 24 roku życia (</w:t>
      </w:r>
      <w:r w:rsidR="00CF269B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 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sumuje się do 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% ogółu</w:t>
      </w:r>
      <w:r w:rsidR="00807F5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7F5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soby młode stanowią zatem prawie </w:t>
      </w:r>
      <w:r w:rsidR="006D2DF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½ zbiorowości osób 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bezrobotnych</w:t>
      </w: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4CB5" w:rsidRPr="006B4CB5" w:rsidRDefault="00CF269B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Spadek bezrobocia spowodował „odchudzenie” ilości osób w poszczególnych przedziałach wieku – nie zmieniając w sposób znaczący 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ilości osób zawartych w</w:t>
      </w:r>
      <w:r w:rsidR="006B4CB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poszczególnych przedział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ach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wieku, analizowanych 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względem siebie</w:t>
      </w: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Nie zmieniły się w sposób diametralny – proporcje pomiędzy poszczególnymi przedziałami wiek</w:t>
      </w:r>
      <w:r w:rsidR="006B4CB5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2026" w:rsidRPr="006B4CB5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porównania udział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ów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poszczególnych kategorii wiekowych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ogólnej grupie bezrobotnych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</w:t>
      </w:r>
      <w:r w:rsidR="00D96CF9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g stanu na ostatni dzień I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półrocz</w:t>
      </w:r>
      <w:r w:rsidR="00D96CF9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y: 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96CF9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i 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</w:t>
      </w:r>
      <w:r w:rsidR="001B2026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wynika 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brak znacznych zmian pomiędzy </w:t>
      </w:r>
      <w:r w:rsid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ilościami obserwacji zawartymi w 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poszczególny</w:t>
      </w:r>
      <w:r w:rsid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 </w:t>
      </w:r>
      <w:r w:rsidR="004819AA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przedziała</w:t>
      </w:r>
      <w:r w:rsidR="006B4CB5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7943" w:rsidRPr="006B4CB5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b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młod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E5712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wieku od 18 do </w:t>
      </w:r>
      <w:r w:rsidR="003737AD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24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roku życia 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najczęściej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pozostają bez pracy 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okres 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</w:t>
      </w:r>
      <w:r w:rsidR="003737AD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3737AD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AD036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miesięcy (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2 705</w:t>
      </w:r>
      <w:r w:rsidR="000246BF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737AD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37AD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W wieku od 25 do 34 lat – pow. 24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miesięcy (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4CB5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076</w:t>
      </w:r>
      <w:r w:rsidR="003E7943"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6B4CB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A2874" w:rsidRPr="00F46067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grupie </w:t>
      </w:r>
      <w:r w:rsidR="006B4CB5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osób 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długotrwale bezrobotnych przeważają </w:t>
      </w:r>
      <w:r w:rsidR="006B4CB5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będący </w:t>
      </w:r>
      <w:r w:rsidR="00AE5712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w 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wieku </w:t>
      </w:r>
      <w:r w:rsidR="00F46067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737AD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F46067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34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lat (</w:t>
      </w:r>
      <w:r w:rsidR="00B1650A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46067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46067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165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737AD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37AD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737AD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–4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4 lat (</w:t>
      </w:r>
      <w:r w:rsidR="003737AD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46067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F46067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255</w:t>
      </w:r>
      <w:r w:rsidR="003E7943"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F4606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242E" w:rsidRDefault="002E242E" w:rsidP="002E242E">
      <w:pPr>
        <w:pStyle w:val="Default"/>
        <w:jc w:val="both"/>
        <w:rPr>
          <w:color w:val="000000" w:themeColor="text1"/>
          <w:sz w:val="16"/>
          <w:szCs w:val="16"/>
          <w:highlight w:val="yellow"/>
        </w:rPr>
      </w:pPr>
    </w:p>
    <w:p w:rsidR="006B4CB5" w:rsidRDefault="006B4CB5">
      <w:pPr>
        <w:rPr>
          <w:rFonts w:ascii="Times New Roman" w:hAnsi="Times New Roman" w:cs="Times New Roman"/>
          <w:color w:val="000000" w:themeColor="text1"/>
          <w:sz w:val="16"/>
          <w:szCs w:val="16"/>
          <w:highlight w:val="yellow"/>
        </w:rPr>
      </w:pPr>
      <w:r>
        <w:rPr>
          <w:color w:val="000000" w:themeColor="text1"/>
          <w:sz w:val="16"/>
          <w:szCs w:val="16"/>
          <w:highlight w:val="yellow"/>
        </w:rPr>
        <w:br w:type="page"/>
      </w:r>
    </w:p>
    <w:p w:rsidR="001B2026" w:rsidRPr="00911150" w:rsidRDefault="001B2026" w:rsidP="00911150">
      <w:pPr>
        <w:pStyle w:val="Nagwek3"/>
        <w:jc w:val="left"/>
        <w:rPr>
          <w:rFonts w:ascii="Times New Roman" w:hAnsi="Times New Roman" w:cs="Times New Roman"/>
          <w:i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7" w:name="_Toc489263947"/>
      <w:r w:rsidRPr="00911150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według poziomu wykształcenia</w:t>
      </w:r>
      <w:bookmarkEnd w:id="7"/>
    </w:p>
    <w:p w:rsidR="002E242E" w:rsidRPr="002E242E" w:rsidRDefault="002E242E" w:rsidP="001B2026">
      <w:pPr>
        <w:pStyle w:val="Default"/>
        <w:jc w:val="both"/>
        <w:rPr>
          <w:color w:val="000000" w:themeColor="text1"/>
          <w:sz w:val="16"/>
          <w:szCs w:val="16"/>
          <w:highlight w:val="yellow"/>
        </w:rPr>
      </w:pPr>
    </w:p>
    <w:p w:rsidR="00AE2F19" w:rsidRPr="0029506F" w:rsidRDefault="006B4CB5" w:rsidP="00637246">
      <w:pPr>
        <w:pStyle w:val="Bezodstpw"/>
        <w:jc w:val="both"/>
        <w:rPr>
          <w:rFonts w:ascii="Times New Roman" w:hAnsi="Times New Roman" w:cs="Times New Roman"/>
          <w:color w:val="FF0000"/>
          <w:highlight w:val="yellow"/>
        </w:rPr>
      </w:pPr>
      <w:r w:rsidRPr="006B4CB5">
        <w:rPr>
          <w:noProof/>
          <w:lang w:eastAsia="pl-PL"/>
        </w:rPr>
        <w:drawing>
          <wp:inline distT="0" distB="0" distL="0" distR="0" wp14:anchorId="04D58E20" wp14:editId="0FBA13C1">
            <wp:extent cx="5526405" cy="3140710"/>
            <wp:effectExtent l="0" t="0" r="0" b="254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05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246" w:rsidRPr="0029506F" w:rsidRDefault="00637246" w:rsidP="00637246">
      <w:pPr>
        <w:pStyle w:val="Bezodstpw"/>
        <w:jc w:val="both"/>
        <w:rPr>
          <w:rFonts w:ascii="Times New Roman" w:hAnsi="Times New Roman" w:cs="Times New Roman"/>
          <w:color w:val="000000" w:themeColor="text1"/>
          <w:highlight w:val="yellow"/>
        </w:rPr>
      </w:pPr>
    </w:p>
    <w:p w:rsidR="00046F19" w:rsidRPr="00F46067" w:rsidRDefault="00637246" w:rsidP="00A72BDC">
      <w:pPr>
        <w:pStyle w:val="Default"/>
        <w:jc w:val="both"/>
        <w:rPr>
          <w:color w:val="000000" w:themeColor="text1"/>
        </w:rPr>
      </w:pPr>
      <w:r w:rsidRPr="00F46067">
        <w:rPr>
          <w:color w:val="000000" w:themeColor="text1"/>
        </w:rPr>
        <w:t>Wnioski:</w:t>
      </w:r>
    </w:p>
    <w:p w:rsidR="00046F19" w:rsidRPr="00F46067" w:rsidRDefault="00046F19" w:rsidP="00A72BDC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F46067">
        <w:rPr>
          <w:rFonts w:ascii="Times New Roman" w:hAnsi="Times New Roman" w:cs="Times New Roman"/>
          <w:color w:val="000000" w:themeColor="text1"/>
          <w:szCs w:val="24"/>
        </w:rPr>
        <w:t>(na podstawie danych</w:t>
      </w:r>
      <w:r w:rsidR="00AE5712" w:rsidRPr="00F46067">
        <w:rPr>
          <w:rFonts w:ascii="Times New Roman" w:hAnsi="Times New Roman" w:cs="Times New Roman"/>
          <w:color w:val="000000" w:themeColor="text1"/>
          <w:szCs w:val="24"/>
        </w:rPr>
        <w:t xml:space="preserve"> z </w:t>
      </w:r>
      <w:r w:rsidR="004819AA" w:rsidRPr="00F46067">
        <w:rPr>
          <w:rFonts w:ascii="Times New Roman" w:hAnsi="Times New Roman" w:cs="Times New Roman"/>
          <w:color w:val="000000" w:themeColor="text1"/>
          <w:szCs w:val="24"/>
        </w:rPr>
        <w:t>t</w:t>
      </w:r>
      <w:r w:rsidRPr="00F46067">
        <w:rPr>
          <w:rFonts w:ascii="Times New Roman" w:hAnsi="Times New Roman" w:cs="Times New Roman"/>
          <w:color w:val="000000" w:themeColor="text1"/>
          <w:szCs w:val="24"/>
        </w:rPr>
        <w:t xml:space="preserve">abel </w:t>
      </w:r>
      <w:r w:rsidR="00F46067" w:rsidRPr="00F46067">
        <w:rPr>
          <w:rFonts w:ascii="Times New Roman" w:hAnsi="Times New Roman" w:cs="Times New Roman"/>
          <w:color w:val="000000" w:themeColor="text1"/>
          <w:szCs w:val="24"/>
        </w:rPr>
        <w:t>X</w:t>
      </w:r>
      <w:r w:rsidR="00AE5712" w:rsidRPr="00F46067">
        <w:rPr>
          <w:rFonts w:ascii="Times New Roman" w:hAnsi="Times New Roman" w:cs="Times New Roman"/>
          <w:color w:val="000000" w:themeColor="text1"/>
          <w:szCs w:val="24"/>
        </w:rPr>
        <w:t xml:space="preserve"> i </w:t>
      </w:r>
      <w:r w:rsidR="00F46067" w:rsidRPr="00F46067">
        <w:rPr>
          <w:rFonts w:ascii="Times New Roman" w:hAnsi="Times New Roman" w:cs="Times New Roman"/>
          <w:color w:val="000000" w:themeColor="text1"/>
          <w:szCs w:val="24"/>
        </w:rPr>
        <w:t>XIII</w:t>
      </w:r>
      <w:r w:rsidRPr="00F46067">
        <w:rPr>
          <w:rFonts w:ascii="Times New Roman" w:hAnsi="Times New Roman" w:cs="Times New Roman"/>
          <w:color w:val="000000" w:themeColor="text1"/>
          <w:szCs w:val="24"/>
        </w:rPr>
        <w:t>)</w:t>
      </w:r>
    </w:p>
    <w:p w:rsidR="001847A7" w:rsidRPr="0029506F" w:rsidRDefault="001847A7" w:rsidP="00A72BDC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Cs w:val="24"/>
          <w:highlight w:val="yellow"/>
        </w:rPr>
      </w:pPr>
    </w:p>
    <w:p w:rsidR="00252290" w:rsidRPr="00AA7ACB" w:rsidRDefault="00183AB1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AA7ACB">
        <w:rPr>
          <w:color w:val="000000" w:themeColor="text1"/>
        </w:rPr>
        <w:t>N</w:t>
      </w:r>
      <w:r w:rsidR="001B2026" w:rsidRPr="00AA7ACB">
        <w:rPr>
          <w:color w:val="000000" w:themeColor="text1"/>
        </w:rPr>
        <w:t xml:space="preserve">ajliczniejszy udział </w:t>
      </w:r>
      <w:r w:rsidR="00046F19" w:rsidRPr="00AA7ACB">
        <w:rPr>
          <w:color w:val="000000" w:themeColor="text1"/>
        </w:rPr>
        <w:t xml:space="preserve">wśród osób bezrobotnych </w:t>
      </w:r>
      <w:r w:rsidR="001B2026" w:rsidRPr="00AA7ACB">
        <w:rPr>
          <w:color w:val="000000" w:themeColor="text1"/>
        </w:rPr>
        <w:t>stanowiły osoby posiadające wykształcenie zasadnicze zawodowe (2</w:t>
      </w:r>
      <w:r w:rsidR="00D05F06" w:rsidRPr="00AA7ACB">
        <w:rPr>
          <w:color w:val="000000" w:themeColor="text1"/>
        </w:rPr>
        <w:t>8,4</w:t>
      </w:r>
      <w:r w:rsidR="001B2026" w:rsidRPr="00AA7ACB">
        <w:rPr>
          <w:color w:val="000000" w:themeColor="text1"/>
        </w:rPr>
        <w:t>%)</w:t>
      </w:r>
      <w:r w:rsidRPr="00AA7ACB">
        <w:rPr>
          <w:color w:val="000000" w:themeColor="text1"/>
        </w:rPr>
        <w:t>,</w:t>
      </w:r>
      <w:r w:rsidR="001B2026" w:rsidRPr="00AA7ACB">
        <w:rPr>
          <w:color w:val="000000" w:themeColor="text1"/>
        </w:rPr>
        <w:t xml:space="preserve"> policealne</w:t>
      </w:r>
      <w:r w:rsidR="00AE5712" w:rsidRPr="00AA7ACB">
        <w:rPr>
          <w:color w:val="000000" w:themeColor="text1"/>
        </w:rPr>
        <w:t xml:space="preserve"> i </w:t>
      </w:r>
      <w:r w:rsidR="001B2026" w:rsidRPr="00AA7ACB">
        <w:rPr>
          <w:color w:val="000000" w:themeColor="text1"/>
        </w:rPr>
        <w:t>średnie zawodowe (25,</w:t>
      </w:r>
      <w:r w:rsidR="00D05F06" w:rsidRPr="00AA7ACB">
        <w:rPr>
          <w:color w:val="000000" w:themeColor="text1"/>
        </w:rPr>
        <w:t>4</w:t>
      </w:r>
      <w:r w:rsidR="001B2026" w:rsidRPr="00AA7ACB">
        <w:rPr>
          <w:color w:val="000000" w:themeColor="text1"/>
        </w:rPr>
        <w:t>%)</w:t>
      </w:r>
      <w:r w:rsidRPr="00AA7ACB">
        <w:rPr>
          <w:color w:val="000000" w:themeColor="text1"/>
        </w:rPr>
        <w:t xml:space="preserve"> oraz gimnazjalne</w:t>
      </w:r>
      <w:r w:rsidR="00AE5712" w:rsidRPr="00AA7ACB">
        <w:rPr>
          <w:color w:val="000000" w:themeColor="text1"/>
        </w:rPr>
        <w:t xml:space="preserve"> i </w:t>
      </w:r>
      <w:r w:rsidRPr="00AA7ACB">
        <w:rPr>
          <w:color w:val="000000" w:themeColor="text1"/>
        </w:rPr>
        <w:t>niższe (20,</w:t>
      </w:r>
      <w:r w:rsidR="00D05F06" w:rsidRPr="00AA7ACB">
        <w:rPr>
          <w:color w:val="000000" w:themeColor="text1"/>
        </w:rPr>
        <w:t>6</w:t>
      </w:r>
      <w:r w:rsidRPr="00AA7ACB">
        <w:rPr>
          <w:color w:val="000000" w:themeColor="text1"/>
        </w:rPr>
        <w:t>%) – szacuje się, że to właśnie</w:t>
      </w:r>
      <w:r w:rsidR="00AE5712" w:rsidRPr="00AA7ACB">
        <w:rPr>
          <w:color w:val="000000" w:themeColor="text1"/>
        </w:rPr>
        <w:t xml:space="preserve"> w </w:t>
      </w:r>
      <w:r w:rsidRPr="00AA7ACB">
        <w:rPr>
          <w:color w:val="000000" w:themeColor="text1"/>
        </w:rPr>
        <w:t xml:space="preserve">tych trzech wskazanych grupach </w:t>
      </w:r>
      <w:r w:rsidR="004C12D0" w:rsidRPr="00AA7ACB">
        <w:rPr>
          <w:color w:val="000000" w:themeColor="text1"/>
        </w:rPr>
        <w:t>znaczny</w:t>
      </w:r>
      <w:r w:rsidRPr="00AA7ACB">
        <w:rPr>
          <w:color w:val="000000" w:themeColor="text1"/>
        </w:rPr>
        <w:t xml:space="preserve"> odsetek </w:t>
      </w:r>
      <w:r w:rsidR="004C12D0" w:rsidRPr="00AA7ACB">
        <w:rPr>
          <w:color w:val="000000" w:themeColor="text1"/>
        </w:rPr>
        <w:t xml:space="preserve">mogą </w:t>
      </w:r>
      <w:r w:rsidRPr="00AA7ACB">
        <w:rPr>
          <w:color w:val="000000" w:themeColor="text1"/>
        </w:rPr>
        <w:t>stanowi</w:t>
      </w:r>
      <w:r w:rsidR="004C12D0" w:rsidRPr="00AA7ACB">
        <w:rPr>
          <w:color w:val="000000" w:themeColor="text1"/>
        </w:rPr>
        <w:t>ć</w:t>
      </w:r>
      <w:r w:rsidRPr="00AA7ACB">
        <w:rPr>
          <w:color w:val="000000" w:themeColor="text1"/>
        </w:rPr>
        <w:t xml:space="preserve"> pracując</w:t>
      </w:r>
      <w:r w:rsidR="004C12D0" w:rsidRPr="00AA7ACB">
        <w:rPr>
          <w:color w:val="000000" w:themeColor="text1"/>
        </w:rPr>
        <w:t>y</w:t>
      </w:r>
      <w:r w:rsidR="00AE5712" w:rsidRPr="00AA7ACB">
        <w:rPr>
          <w:color w:val="000000" w:themeColor="text1"/>
        </w:rPr>
        <w:t xml:space="preserve"> w </w:t>
      </w:r>
      <w:r w:rsidR="004C12D0" w:rsidRPr="00AA7ACB">
        <w:rPr>
          <w:color w:val="000000" w:themeColor="text1"/>
        </w:rPr>
        <w:t xml:space="preserve">tzw. </w:t>
      </w:r>
      <w:r w:rsidRPr="00AA7ACB">
        <w:rPr>
          <w:color w:val="000000" w:themeColor="text1"/>
        </w:rPr>
        <w:t>„szarej strefie”.</w:t>
      </w:r>
    </w:p>
    <w:p w:rsidR="00591D4B" w:rsidRPr="00CD421D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 w:rsidRPr="00CD421D">
        <w:rPr>
          <w:color w:val="000000" w:themeColor="text1"/>
        </w:rPr>
        <w:t>N</w:t>
      </w:r>
      <w:r w:rsidR="00591D4B" w:rsidRPr="00CD421D">
        <w:rPr>
          <w:color w:val="000000" w:themeColor="text1"/>
        </w:rPr>
        <w:t>ajmniejszy udział odnotowuje się</w:t>
      </w:r>
      <w:r w:rsidR="00AE5712" w:rsidRPr="00CD421D">
        <w:rPr>
          <w:color w:val="000000" w:themeColor="text1"/>
        </w:rPr>
        <w:t xml:space="preserve"> w </w:t>
      </w:r>
      <w:r w:rsidR="00591D4B" w:rsidRPr="00CD421D">
        <w:rPr>
          <w:color w:val="000000" w:themeColor="text1"/>
        </w:rPr>
        <w:t>grupie osób</w:t>
      </w:r>
      <w:r w:rsidR="006D2DF3" w:rsidRPr="00CD421D">
        <w:rPr>
          <w:color w:val="000000" w:themeColor="text1"/>
        </w:rPr>
        <w:t xml:space="preserve"> o </w:t>
      </w:r>
      <w:r w:rsidR="00591D4B" w:rsidRPr="00CD421D">
        <w:rPr>
          <w:color w:val="000000" w:themeColor="text1"/>
        </w:rPr>
        <w:t>wykształceni</w:t>
      </w:r>
      <w:r w:rsidR="006D2DF3" w:rsidRPr="00CD421D">
        <w:rPr>
          <w:color w:val="000000" w:themeColor="text1"/>
        </w:rPr>
        <w:t xml:space="preserve">u </w:t>
      </w:r>
      <w:r w:rsidR="00591D4B" w:rsidRPr="00CD421D">
        <w:rPr>
          <w:color w:val="000000" w:themeColor="text1"/>
        </w:rPr>
        <w:t>średnim ogólnokształcącym (10,</w:t>
      </w:r>
      <w:r w:rsidR="002D6628" w:rsidRPr="00CD421D">
        <w:rPr>
          <w:color w:val="000000" w:themeColor="text1"/>
        </w:rPr>
        <w:t>7</w:t>
      </w:r>
      <w:r w:rsidR="00591D4B" w:rsidRPr="00CD421D">
        <w:rPr>
          <w:color w:val="000000" w:themeColor="text1"/>
        </w:rPr>
        <w:t xml:space="preserve">%) – powodem może być fakt, że osoby kończące licea ogólnokształcące najczęściej kontynuują kształcenie </w:t>
      </w:r>
      <w:r w:rsidR="00CD421D" w:rsidRPr="00CD421D">
        <w:rPr>
          <w:color w:val="000000" w:themeColor="text1"/>
        </w:rPr>
        <w:t xml:space="preserve">np. </w:t>
      </w:r>
      <w:r w:rsidR="00591D4B" w:rsidRPr="00CD421D">
        <w:rPr>
          <w:color w:val="000000" w:themeColor="text1"/>
        </w:rPr>
        <w:t>na poziomie wyższym</w:t>
      </w:r>
      <w:r w:rsidR="00AE5712" w:rsidRPr="00CD421D">
        <w:rPr>
          <w:color w:val="000000" w:themeColor="text1"/>
        </w:rPr>
        <w:t xml:space="preserve"> w </w:t>
      </w:r>
      <w:r w:rsidR="00591D4B" w:rsidRPr="00CD421D">
        <w:rPr>
          <w:color w:val="000000" w:themeColor="text1"/>
        </w:rPr>
        <w:t>trybie dziennym, bądź</w:t>
      </w:r>
      <w:r w:rsidR="00AE5712" w:rsidRPr="00CD421D">
        <w:rPr>
          <w:color w:val="000000" w:themeColor="text1"/>
        </w:rPr>
        <w:t xml:space="preserve"> w </w:t>
      </w:r>
      <w:r w:rsidR="00591D4B" w:rsidRPr="00CD421D">
        <w:rPr>
          <w:color w:val="000000" w:themeColor="text1"/>
        </w:rPr>
        <w:t>trybie zaocznym</w:t>
      </w:r>
      <w:r w:rsidR="00CD421D" w:rsidRPr="00CD421D">
        <w:rPr>
          <w:color w:val="000000" w:themeColor="text1"/>
        </w:rPr>
        <w:t>,</w:t>
      </w:r>
      <w:r w:rsidR="00591D4B" w:rsidRPr="00CD421D">
        <w:rPr>
          <w:color w:val="000000" w:themeColor="text1"/>
        </w:rPr>
        <w:t xml:space="preserve"> jednocześnie </w:t>
      </w:r>
      <w:r w:rsidR="00CD421D" w:rsidRPr="00CD421D">
        <w:rPr>
          <w:color w:val="000000" w:themeColor="text1"/>
        </w:rPr>
        <w:t xml:space="preserve">niejednokrotnie – </w:t>
      </w:r>
      <w:r w:rsidR="00591D4B" w:rsidRPr="00CD421D">
        <w:rPr>
          <w:color w:val="000000" w:themeColor="text1"/>
        </w:rPr>
        <w:t xml:space="preserve">podejmując </w:t>
      </w:r>
      <w:r w:rsidR="002D6628" w:rsidRPr="00CD421D">
        <w:rPr>
          <w:color w:val="000000" w:themeColor="text1"/>
        </w:rPr>
        <w:t>prace zlecone. D</w:t>
      </w:r>
      <w:r w:rsidR="00591D4B" w:rsidRPr="00CD421D">
        <w:rPr>
          <w:color w:val="000000" w:themeColor="text1"/>
        </w:rPr>
        <w:t>latego nie rejestrują się</w:t>
      </w:r>
      <w:r w:rsidR="00AE5712" w:rsidRPr="00CD421D">
        <w:rPr>
          <w:color w:val="000000" w:themeColor="text1"/>
        </w:rPr>
        <w:t xml:space="preserve"> </w:t>
      </w:r>
      <w:r w:rsidR="00CD421D" w:rsidRPr="00CD421D">
        <w:rPr>
          <w:color w:val="000000" w:themeColor="text1"/>
        </w:rPr>
        <w:t xml:space="preserve">już tak licznie </w:t>
      </w:r>
      <w:r w:rsidR="00AE5712" w:rsidRPr="00CD421D">
        <w:rPr>
          <w:color w:val="000000" w:themeColor="text1"/>
        </w:rPr>
        <w:t>w </w:t>
      </w:r>
      <w:r w:rsidR="00591D4B" w:rsidRPr="00CD421D">
        <w:rPr>
          <w:color w:val="000000" w:themeColor="text1"/>
        </w:rPr>
        <w:t>PUP</w:t>
      </w:r>
      <w:r w:rsidR="00CD421D" w:rsidRPr="00CD421D">
        <w:rPr>
          <w:color w:val="000000" w:themeColor="text1"/>
        </w:rPr>
        <w:t xml:space="preserve"> – jak pozostali graduanci</w:t>
      </w:r>
      <w:r w:rsidRPr="00CD421D">
        <w:rPr>
          <w:color w:val="000000" w:themeColor="text1"/>
        </w:rPr>
        <w:t>.</w:t>
      </w:r>
    </w:p>
    <w:p w:rsidR="00591D4B" w:rsidRPr="00C320DF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lang w:eastAsia="pl-PL"/>
        </w:rPr>
      </w:pPr>
      <w:r w:rsidRPr="009C4D14">
        <w:rPr>
          <w:color w:val="auto"/>
        </w:rPr>
        <w:t>G</w:t>
      </w:r>
      <w:r w:rsidR="001B2026" w:rsidRPr="009C4D14">
        <w:rPr>
          <w:color w:val="auto"/>
        </w:rPr>
        <w:t xml:space="preserve">rupa </w:t>
      </w:r>
      <w:r w:rsidR="00205F08" w:rsidRPr="009C4D14">
        <w:rPr>
          <w:color w:val="auto"/>
        </w:rPr>
        <w:t xml:space="preserve">osób </w:t>
      </w:r>
      <w:r w:rsidR="001B2026" w:rsidRPr="009C4D14">
        <w:rPr>
          <w:color w:val="auto"/>
        </w:rPr>
        <w:t>bezrobotnych</w:t>
      </w:r>
      <w:r w:rsidR="00AE5712" w:rsidRPr="009C4D14">
        <w:rPr>
          <w:color w:val="auto"/>
        </w:rPr>
        <w:t xml:space="preserve"> z </w:t>
      </w:r>
      <w:r w:rsidR="001B2026" w:rsidRPr="009C4D14">
        <w:rPr>
          <w:color w:val="auto"/>
        </w:rPr>
        <w:t xml:space="preserve">wykształceniem wyższym </w:t>
      </w:r>
      <w:r w:rsidR="001B2026" w:rsidRPr="00C320DF">
        <w:rPr>
          <w:color w:val="auto"/>
        </w:rPr>
        <w:t>t</w:t>
      </w:r>
      <w:r w:rsidR="00591D4B" w:rsidRPr="00C320DF">
        <w:rPr>
          <w:color w:val="auto"/>
        </w:rPr>
        <w:t>o</w:t>
      </w:r>
      <w:r w:rsidR="001B2026" w:rsidRPr="00C320DF">
        <w:rPr>
          <w:color w:val="auto"/>
        </w:rPr>
        <w:t xml:space="preserve"> 14,</w:t>
      </w:r>
      <w:r w:rsidR="00C320DF" w:rsidRPr="00C320DF">
        <w:rPr>
          <w:color w:val="auto"/>
        </w:rPr>
        <w:t>9</w:t>
      </w:r>
      <w:r w:rsidR="001B2026" w:rsidRPr="00C320DF">
        <w:rPr>
          <w:color w:val="auto"/>
        </w:rPr>
        <w:t>% ogółu</w:t>
      </w:r>
      <w:r w:rsidR="00C320DF" w:rsidRPr="00C320DF">
        <w:rPr>
          <w:color w:val="auto"/>
        </w:rPr>
        <w:t>.</w:t>
      </w:r>
      <w:r w:rsidR="00591D4B" w:rsidRPr="00C320DF">
        <w:rPr>
          <w:color w:val="auto"/>
        </w:rPr>
        <w:t xml:space="preserve"> </w:t>
      </w:r>
      <w:r w:rsidR="00C320DF" w:rsidRPr="00C320DF">
        <w:rPr>
          <w:color w:val="auto"/>
        </w:rPr>
        <w:t>J</w:t>
      </w:r>
      <w:r w:rsidR="001B2026" w:rsidRPr="00C320DF">
        <w:rPr>
          <w:color w:val="auto"/>
        </w:rPr>
        <w:t xml:space="preserve">uż od kilku lat </w:t>
      </w:r>
      <w:r w:rsidR="00205F08" w:rsidRPr="00C320DF">
        <w:rPr>
          <w:color w:val="auto"/>
        </w:rPr>
        <w:t>wzrasta</w:t>
      </w:r>
      <w:r w:rsidR="00183AB1" w:rsidRPr="00C320DF">
        <w:rPr>
          <w:color w:val="auto"/>
        </w:rPr>
        <w:t xml:space="preserve"> odsetek osób</w:t>
      </w:r>
      <w:r w:rsidR="00AE5712" w:rsidRPr="00C320DF">
        <w:rPr>
          <w:color w:val="auto"/>
        </w:rPr>
        <w:t xml:space="preserve"> z </w:t>
      </w:r>
      <w:r w:rsidR="00183AB1" w:rsidRPr="00C320DF">
        <w:rPr>
          <w:color w:val="auto"/>
        </w:rPr>
        <w:t xml:space="preserve">wykształceniem wyższym wśród </w:t>
      </w:r>
      <w:r w:rsidR="001B2026" w:rsidRPr="00C320DF">
        <w:rPr>
          <w:color w:val="auto"/>
        </w:rPr>
        <w:t>bezrobotnych</w:t>
      </w:r>
      <w:r w:rsidRPr="00C320DF">
        <w:rPr>
          <w:color w:val="auto"/>
        </w:rPr>
        <w:t>.</w:t>
      </w:r>
      <w:r w:rsidR="00205F08" w:rsidRPr="00C320DF">
        <w:rPr>
          <w:color w:val="auto"/>
        </w:rPr>
        <w:t xml:space="preserve"> Powodem może być</w:t>
      </w:r>
      <w:r w:rsidR="00990ED0">
        <w:rPr>
          <w:color w:val="auto"/>
        </w:rPr>
        <w:t>:</w:t>
      </w:r>
      <w:r w:rsidR="00205F08" w:rsidRPr="00C320DF">
        <w:rPr>
          <w:color w:val="auto"/>
        </w:rPr>
        <w:t xml:space="preserve"> mniejsza chłonność specjalistów przez firmy</w:t>
      </w:r>
      <w:r w:rsidR="00990ED0">
        <w:rPr>
          <w:color w:val="auto"/>
        </w:rPr>
        <w:t>, nieatrakcyjne wynagrodzenia w stosunku do obowiązków</w:t>
      </w:r>
      <w:r w:rsidR="00205F08" w:rsidRPr="00C320DF">
        <w:rPr>
          <w:color w:val="auto"/>
        </w:rPr>
        <w:t xml:space="preserve"> </w:t>
      </w:r>
      <w:r w:rsidR="00990ED0">
        <w:rPr>
          <w:color w:val="auto"/>
        </w:rPr>
        <w:t>oraz</w:t>
      </w:r>
      <w:r w:rsidR="00205F08" w:rsidRPr="00C320DF">
        <w:rPr>
          <w:color w:val="auto"/>
        </w:rPr>
        <w:t xml:space="preserve"> coraz większa powszechność tego typu wykształcenia w</w:t>
      </w:r>
      <w:r w:rsidR="00990ED0">
        <w:t> </w:t>
      </w:r>
      <w:r w:rsidR="006D2DF3" w:rsidRPr="00C320DF">
        <w:rPr>
          <w:color w:val="auto"/>
        </w:rPr>
        <w:t>społeczeństwie</w:t>
      </w:r>
      <w:r w:rsidR="00205F08" w:rsidRPr="00C320DF">
        <w:rPr>
          <w:color w:val="auto"/>
        </w:rPr>
        <w:t>.</w:t>
      </w:r>
    </w:p>
    <w:p w:rsidR="006D2DF3" w:rsidRPr="00E92912" w:rsidRDefault="006D2DF3" w:rsidP="00E92912">
      <w:pPr>
        <w:pStyle w:val="Default"/>
        <w:numPr>
          <w:ilvl w:val="0"/>
          <w:numId w:val="5"/>
        </w:numPr>
        <w:spacing w:line="360" w:lineRule="auto"/>
        <w:jc w:val="both"/>
        <w:rPr>
          <w:color w:val="auto"/>
          <w:lang w:eastAsia="pl-PL"/>
        </w:rPr>
      </w:pPr>
      <w:r w:rsidRPr="00E92912">
        <w:rPr>
          <w:color w:val="auto"/>
        </w:rPr>
        <w:t>Analiza czasu pozostawania bez pracy wyraźnie pokazuje, że w</w:t>
      </w:r>
      <w:r w:rsidR="00E92912" w:rsidRPr="00E92912">
        <w:rPr>
          <w:color w:val="auto"/>
        </w:rPr>
        <w:t xml:space="preserve">e wszystkich </w:t>
      </w:r>
      <w:r w:rsidRPr="00E92912">
        <w:rPr>
          <w:color w:val="auto"/>
        </w:rPr>
        <w:t xml:space="preserve">grupach osób </w:t>
      </w:r>
      <w:r w:rsidR="00E92912" w:rsidRPr="00E92912">
        <w:rPr>
          <w:color w:val="auto"/>
        </w:rPr>
        <w:t xml:space="preserve">wg </w:t>
      </w:r>
      <w:r w:rsidRPr="00E92912">
        <w:rPr>
          <w:color w:val="auto"/>
        </w:rPr>
        <w:t>wykształceni</w:t>
      </w:r>
      <w:r w:rsidR="00E92912" w:rsidRPr="00E92912">
        <w:rPr>
          <w:color w:val="auto"/>
        </w:rPr>
        <w:t xml:space="preserve">a – </w:t>
      </w:r>
      <w:r w:rsidRPr="00E92912">
        <w:rPr>
          <w:color w:val="auto"/>
        </w:rPr>
        <w:t>przybywa osób bezrobotnych wraz z wydłużaniem się okresu braku aktywności zawodowej</w:t>
      </w:r>
      <w:r w:rsidR="00E92912" w:rsidRPr="00E92912">
        <w:rPr>
          <w:color w:val="auto"/>
        </w:rPr>
        <w:t>.</w:t>
      </w:r>
      <w:r w:rsidR="00902C75" w:rsidRPr="00E92912">
        <w:rPr>
          <w:color w:val="auto"/>
        </w:rPr>
        <w:t xml:space="preserve"> </w:t>
      </w:r>
      <w:r w:rsidR="00E92912" w:rsidRPr="00E92912">
        <w:rPr>
          <w:color w:val="auto"/>
        </w:rPr>
        <w:t>G</w:t>
      </w:r>
      <w:r w:rsidRPr="00E92912">
        <w:rPr>
          <w:color w:val="auto"/>
        </w:rPr>
        <w:t>rup</w:t>
      </w:r>
      <w:r w:rsidR="00E92912" w:rsidRPr="00E92912">
        <w:rPr>
          <w:color w:val="auto"/>
        </w:rPr>
        <w:t>a</w:t>
      </w:r>
      <w:r w:rsidRPr="00E92912">
        <w:rPr>
          <w:color w:val="auto"/>
        </w:rPr>
        <w:t xml:space="preserve"> osób pozostających bez pracy powyżej 24 miesięcy </w:t>
      </w:r>
      <w:r w:rsidRPr="00E92912">
        <w:rPr>
          <w:color w:val="auto"/>
        </w:rPr>
        <w:lastRenderedPageBreak/>
        <w:t xml:space="preserve">(długotrwale bezrobotnych) </w:t>
      </w:r>
      <w:r w:rsidR="00E92912" w:rsidRPr="00E92912">
        <w:rPr>
          <w:color w:val="auto"/>
        </w:rPr>
        <w:t xml:space="preserve">kumuluje bezrobotnych niezależnie od poziomu wykształcenia. Może to być związane z brakiem chęci do podejmowania zatrudnienia </w:t>
      </w:r>
      <w:r w:rsidR="00E92912">
        <w:rPr>
          <w:color w:val="auto"/>
        </w:rPr>
        <w:t>na oferowanych warunkach (wyższe poziomy wykształcenia) lub brakiem kwalifikacji lub ich dezaktualizacją (niższe poziomy wykształcenia)</w:t>
      </w:r>
      <w:r w:rsidRPr="00E92912">
        <w:rPr>
          <w:color w:val="auto"/>
        </w:rPr>
        <w:t>.</w:t>
      </w:r>
    </w:p>
    <w:p w:rsidR="009E2201" w:rsidRPr="0029506F" w:rsidRDefault="009E2201" w:rsidP="001D424C">
      <w:pPr>
        <w:pStyle w:val="Default"/>
        <w:jc w:val="both"/>
        <w:outlineLvl w:val="1"/>
        <w:rPr>
          <w:b/>
          <w:bCs/>
          <w:color w:val="auto"/>
          <w:sz w:val="16"/>
          <w:szCs w:val="16"/>
          <w:highlight w:val="yellow"/>
        </w:rPr>
      </w:pPr>
    </w:p>
    <w:p w:rsidR="001B2026" w:rsidRPr="004F28A7" w:rsidRDefault="001B2026" w:rsidP="004F28A7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8" w:name="_Toc489263948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według stażu pracy</w:t>
      </w:r>
      <w:bookmarkEnd w:id="8"/>
    </w:p>
    <w:p w:rsidR="001B2026" w:rsidRPr="004F28A7" w:rsidRDefault="001B2026" w:rsidP="001B2026">
      <w:pPr>
        <w:pStyle w:val="Default"/>
        <w:jc w:val="both"/>
        <w:rPr>
          <w:bCs/>
          <w:color w:val="000000" w:themeColor="text1"/>
          <w:sz w:val="18"/>
          <w:szCs w:val="18"/>
          <w:highlight w:val="yellow"/>
        </w:rPr>
      </w:pPr>
    </w:p>
    <w:p w:rsidR="00AE2F19" w:rsidRPr="0029506F" w:rsidRDefault="006B4CB5" w:rsidP="001B7AFA">
      <w:pPr>
        <w:pStyle w:val="Bezodstpw"/>
        <w:jc w:val="both"/>
        <w:rPr>
          <w:rFonts w:ascii="Times New Roman" w:hAnsi="Times New Roman" w:cs="Times New Roman"/>
          <w:color w:val="FF0000"/>
          <w:highlight w:val="yellow"/>
        </w:rPr>
      </w:pPr>
      <w:r w:rsidRPr="006B4CB5">
        <w:rPr>
          <w:noProof/>
          <w:lang w:eastAsia="pl-PL"/>
        </w:rPr>
        <w:drawing>
          <wp:inline distT="0" distB="0" distL="0" distR="0" wp14:anchorId="70949A71" wp14:editId="0FF5DE42">
            <wp:extent cx="5526405" cy="3267710"/>
            <wp:effectExtent l="0" t="0" r="0" b="889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405" cy="326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9E1" w:rsidRDefault="001759E1" w:rsidP="001759E1">
      <w:pPr>
        <w:pStyle w:val="Bezodstpw"/>
        <w:jc w:val="both"/>
        <w:rPr>
          <w:rFonts w:ascii="Times New Roman" w:hAnsi="Times New Roman" w:cs="Times New Roman"/>
          <w:color w:val="000000" w:themeColor="text1"/>
          <w:sz w:val="16"/>
          <w:szCs w:val="16"/>
          <w:highlight w:val="yellow"/>
        </w:rPr>
      </w:pPr>
    </w:p>
    <w:p w:rsidR="004F28A7" w:rsidRPr="004F28A7" w:rsidRDefault="004F28A7" w:rsidP="001759E1">
      <w:pPr>
        <w:pStyle w:val="Bezodstpw"/>
        <w:jc w:val="both"/>
        <w:rPr>
          <w:rFonts w:ascii="Times New Roman" w:hAnsi="Times New Roman" w:cs="Times New Roman"/>
          <w:color w:val="000000" w:themeColor="text1"/>
          <w:sz w:val="16"/>
          <w:szCs w:val="16"/>
          <w:highlight w:val="yellow"/>
        </w:rPr>
      </w:pPr>
    </w:p>
    <w:p w:rsidR="000A5B66" w:rsidRPr="00D83048" w:rsidRDefault="001B7AFA" w:rsidP="000A5B66">
      <w:pPr>
        <w:pStyle w:val="Default"/>
        <w:spacing w:line="360" w:lineRule="auto"/>
        <w:jc w:val="both"/>
        <w:rPr>
          <w:color w:val="auto"/>
        </w:rPr>
      </w:pPr>
      <w:r w:rsidRPr="00D83048">
        <w:rPr>
          <w:color w:val="auto"/>
        </w:rPr>
        <w:t>Wnioski:</w:t>
      </w:r>
    </w:p>
    <w:p w:rsidR="000A5B66" w:rsidRPr="00D83048" w:rsidRDefault="000A5B66" w:rsidP="000A5B66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D83048">
        <w:rPr>
          <w:rFonts w:ascii="Times New Roman" w:hAnsi="Times New Roman" w:cs="Times New Roman"/>
          <w:szCs w:val="24"/>
        </w:rPr>
        <w:t>(na podstawie danych</w:t>
      </w:r>
      <w:r w:rsidR="00AE5712" w:rsidRPr="00D83048">
        <w:rPr>
          <w:rFonts w:ascii="Times New Roman" w:hAnsi="Times New Roman" w:cs="Times New Roman"/>
          <w:szCs w:val="24"/>
        </w:rPr>
        <w:t xml:space="preserve"> z </w:t>
      </w:r>
      <w:r w:rsidR="001847A7" w:rsidRPr="00D83048">
        <w:rPr>
          <w:rFonts w:ascii="Times New Roman" w:hAnsi="Times New Roman" w:cs="Times New Roman"/>
          <w:szCs w:val="24"/>
        </w:rPr>
        <w:t>t</w:t>
      </w:r>
      <w:r w:rsidRPr="00D83048">
        <w:rPr>
          <w:rFonts w:ascii="Times New Roman" w:hAnsi="Times New Roman" w:cs="Times New Roman"/>
          <w:szCs w:val="24"/>
        </w:rPr>
        <w:t xml:space="preserve">abeli </w:t>
      </w:r>
      <w:r w:rsidR="00D83048" w:rsidRPr="00D83048">
        <w:rPr>
          <w:rFonts w:ascii="Times New Roman" w:hAnsi="Times New Roman" w:cs="Times New Roman"/>
          <w:szCs w:val="24"/>
        </w:rPr>
        <w:t>XI</w:t>
      </w:r>
      <w:r w:rsidR="00AE5712" w:rsidRPr="00D83048">
        <w:rPr>
          <w:rFonts w:ascii="Times New Roman" w:hAnsi="Times New Roman" w:cs="Times New Roman"/>
          <w:szCs w:val="24"/>
        </w:rPr>
        <w:t xml:space="preserve"> i </w:t>
      </w:r>
      <w:r w:rsidR="00D83048" w:rsidRPr="00D83048">
        <w:rPr>
          <w:rFonts w:ascii="Times New Roman" w:hAnsi="Times New Roman" w:cs="Times New Roman"/>
          <w:szCs w:val="24"/>
        </w:rPr>
        <w:t>XIV</w:t>
      </w:r>
      <w:r w:rsidR="001B7AFA" w:rsidRPr="00D83048">
        <w:rPr>
          <w:rFonts w:ascii="Times New Roman" w:hAnsi="Times New Roman" w:cs="Times New Roman"/>
          <w:szCs w:val="24"/>
        </w:rPr>
        <w:t>)</w:t>
      </w:r>
    </w:p>
    <w:p w:rsidR="001B2026" w:rsidRPr="001A2D2F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  <w:color w:val="auto"/>
        </w:rPr>
      </w:pPr>
      <w:r w:rsidRPr="001A2D2F">
        <w:rPr>
          <w:color w:val="auto"/>
        </w:rPr>
        <w:t>O</w:t>
      </w:r>
      <w:r w:rsidR="000A5B66" w:rsidRPr="001A2D2F">
        <w:rPr>
          <w:color w:val="auto"/>
        </w:rPr>
        <w:t xml:space="preserve">soby </w:t>
      </w:r>
      <w:r w:rsidR="00847383" w:rsidRPr="001A2D2F">
        <w:rPr>
          <w:color w:val="auto"/>
        </w:rPr>
        <w:t xml:space="preserve">bez stażu pracy oraz osoby </w:t>
      </w:r>
      <w:r w:rsidR="000A5B66" w:rsidRPr="001A2D2F">
        <w:rPr>
          <w:color w:val="auto"/>
        </w:rPr>
        <w:t>ze stażem pracy do 5 lat</w:t>
      </w:r>
      <w:r w:rsidR="00F929B2" w:rsidRPr="001A2D2F">
        <w:rPr>
          <w:color w:val="auto"/>
        </w:rPr>
        <w:t xml:space="preserve"> wg stanu na 30</w:t>
      </w:r>
      <w:r w:rsidR="001A2D2F" w:rsidRPr="001A2D2F">
        <w:rPr>
          <w:color w:val="auto"/>
        </w:rPr>
        <w:t xml:space="preserve"> </w:t>
      </w:r>
      <w:r w:rsidR="00F929B2" w:rsidRPr="001A2D2F">
        <w:rPr>
          <w:color w:val="auto"/>
        </w:rPr>
        <w:t>VI</w:t>
      </w:r>
      <w:r w:rsidR="001A2D2F" w:rsidRPr="001A2D2F">
        <w:rPr>
          <w:color w:val="auto"/>
        </w:rPr>
        <w:t xml:space="preserve"> </w:t>
      </w:r>
      <w:r w:rsidR="00F929B2" w:rsidRPr="001A2D2F">
        <w:rPr>
          <w:color w:val="auto"/>
        </w:rPr>
        <w:t>201</w:t>
      </w:r>
      <w:r w:rsidR="001A2D2F" w:rsidRPr="001A2D2F">
        <w:rPr>
          <w:color w:val="auto"/>
        </w:rPr>
        <w:t>7</w:t>
      </w:r>
      <w:r w:rsidR="00F929B2" w:rsidRPr="001A2D2F">
        <w:rPr>
          <w:color w:val="auto"/>
        </w:rPr>
        <w:t xml:space="preserve"> r.</w:t>
      </w:r>
      <w:r w:rsidR="000A5B66" w:rsidRPr="001A2D2F">
        <w:rPr>
          <w:color w:val="auto"/>
        </w:rPr>
        <w:t xml:space="preserve"> stanowi</w:t>
      </w:r>
      <w:r w:rsidR="00F929B2" w:rsidRPr="001A2D2F">
        <w:rPr>
          <w:color w:val="auto"/>
        </w:rPr>
        <w:t>ły</w:t>
      </w:r>
      <w:r w:rsidR="00AE5712" w:rsidRPr="001A2D2F">
        <w:rPr>
          <w:color w:val="auto"/>
        </w:rPr>
        <w:t xml:space="preserve"> w </w:t>
      </w:r>
      <w:r w:rsidR="000A5B66" w:rsidRPr="001A2D2F">
        <w:rPr>
          <w:color w:val="auto"/>
        </w:rPr>
        <w:t xml:space="preserve">sumie </w:t>
      </w:r>
      <w:r w:rsidR="0063069E" w:rsidRPr="001A2D2F">
        <w:rPr>
          <w:color w:val="auto"/>
        </w:rPr>
        <w:t>59</w:t>
      </w:r>
      <w:r w:rsidR="000A5B66" w:rsidRPr="001A2D2F">
        <w:rPr>
          <w:color w:val="auto"/>
        </w:rPr>
        <w:t>,</w:t>
      </w:r>
      <w:r w:rsidR="001A2D2F" w:rsidRPr="001A2D2F">
        <w:rPr>
          <w:color w:val="auto"/>
        </w:rPr>
        <w:t>6</w:t>
      </w:r>
      <w:r w:rsidR="000A5B66" w:rsidRPr="001A2D2F">
        <w:rPr>
          <w:color w:val="auto"/>
        </w:rPr>
        <w:t xml:space="preserve">% ogółu </w:t>
      </w:r>
      <w:r w:rsidR="00A97EF7" w:rsidRPr="001A2D2F">
        <w:rPr>
          <w:color w:val="auto"/>
        </w:rPr>
        <w:t xml:space="preserve">osób </w:t>
      </w:r>
      <w:r w:rsidR="000A5B66" w:rsidRPr="001A2D2F">
        <w:rPr>
          <w:color w:val="auto"/>
        </w:rPr>
        <w:t xml:space="preserve">bezrobotnych – liczba ta </w:t>
      </w:r>
      <w:r w:rsidR="001A2D2F">
        <w:rPr>
          <w:color w:val="auto"/>
        </w:rPr>
        <w:t>potwierdza</w:t>
      </w:r>
      <w:r w:rsidR="000A5B66" w:rsidRPr="001A2D2F">
        <w:rPr>
          <w:color w:val="auto"/>
        </w:rPr>
        <w:t xml:space="preserve"> większ</w:t>
      </w:r>
      <w:r w:rsidR="00C31034" w:rsidRPr="001A2D2F">
        <w:rPr>
          <w:color w:val="auto"/>
        </w:rPr>
        <w:t>e</w:t>
      </w:r>
      <w:r w:rsidR="000A5B66" w:rsidRPr="001A2D2F">
        <w:rPr>
          <w:color w:val="auto"/>
        </w:rPr>
        <w:t xml:space="preserve"> </w:t>
      </w:r>
      <w:r w:rsidR="00C31034" w:rsidRPr="001A2D2F">
        <w:rPr>
          <w:color w:val="auto"/>
        </w:rPr>
        <w:t xml:space="preserve">trudności </w:t>
      </w:r>
      <w:r w:rsidR="000A5B66" w:rsidRPr="001A2D2F">
        <w:rPr>
          <w:color w:val="auto"/>
        </w:rPr>
        <w:t xml:space="preserve">ze znalezieniem </w:t>
      </w:r>
      <w:r w:rsidR="00D5513F" w:rsidRPr="001A2D2F">
        <w:rPr>
          <w:color w:val="auto"/>
        </w:rPr>
        <w:t>zatrudnienia przez</w:t>
      </w:r>
      <w:r w:rsidR="001153DE" w:rsidRPr="001A2D2F">
        <w:rPr>
          <w:color w:val="auto"/>
        </w:rPr>
        <w:t xml:space="preserve"> os</w:t>
      </w:r>
      <w:r w:rsidR="00D5513F" w:rsidRPr="001A2D2F">
        <w:rPr>
          <w:color w:val="auto"/>
        </w:rPr>
        <w:t>o</w:t>
      </w:r>
      <w:r w:rsidR="001153DE" w:rsidRPr="001A2D2F">
        <w:rPr>
          <w:color w:val="auto"/>
        </w:rPr>
        <w:t>b</w:t>
      </w:r>
      <w:r w:rsidR="00D5513F" w:rsidRPr="001A2D2F">
        <w:rPr>
          <w:color w:val="auto"/>
        </w:rPr>
        <w:t>y</w:t>
      </w:r>
      <w:r w:rsidR="00AE5712" w:rsidRPr="001A2D2F">
        <w:rPr>
          <w:color w:val="auto"/>
        </w:rPr>
        <w:t xml:space="preserve"> </w:t>
      </w:r>
      <w:r w:rsidR="00D5513F" w:rsidRPr="001A2D2F">
        <w:rPr>
          <w:color w:val="auto"/>
        </w:rPr>
        <w:t>posiadające</w:t>
      </w:r>
      <w:r w:rsidR="00AE5712" w:rsidRPr="001A2D2F">
        <w:rPr>
          <w:color w:val="auto"/>
        </w:rPr>
        <w:t> </w:t>
      </w:r>
      <w:r w:rsidR="00F929B2" w:rsidRPr="001A2D2F">
        <w:rPr>
          <w:color w:val="auto"/>
        </w:rPr>
        <w:t>krótki</w:t>
      </w:r>
      <w:r w:rsidR="00D5513F" w:rsidRPr="001A2D2F">
        <w:rPr>
          <w:color w:val="auto"/>
        </w:rPr>
        <w:t>e</w:t>
      </w:r>
      <w:r w:rsidR="00F929B2" w:rsidRPr="001A2D2F">
        <w:rPr>
          <w:color w:val="auto"/>
        </w:rPr>
        <w:t xml:space="preserve"> </w:t>
      </w:r>
      <w:r w:rsidR="001153DE" w:rsidRPr="001A2D2F">
        <w:rPr>
          <w:color w:val="auto"/>
        </w:rPr>
        <w:t xml:space="preserve">doświadczenie </w:t>
      </w:r>
      <w:r w:rsidR="00D5513F" w:rsidRPr="001A2D2F">
        <w:rPr>
          <w:color w:val="auto"/>
        </w:rPr>
        <w:t>pracy w danym zawodzie</w:t>
      </w:r>
      <w:r w:rsidR="00847383" w:rsidRPr="001A2D2F">
        <w:rPr>
          <w:color w:val="auto"/>
        </w:rPr>
        <w:t>.</w:t>
      </w:r>
    </w:p>
    <w:p w:rsidR="001B2026" w:rsidRPr="001A2D2F" w:rsidRDefault="00847383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  <w:color w:val="auto"/>
        </w:rPr>
      </w:pPr>
      <w:r w:rsidRPr="001A2D2F">
        <w:rPr>
          <w:color w:val="auto"/>
        </w:rPr>
        <w:t>W</w:t>
      </w:r>
      <w:r w:rsidR="001B2026" w:rsidRPr="001A2D2F">
        <w:rPr>
          <w:color w:val="auto"/>
        </w:rPr>
        <w:t>arto</w:t>
      </w:r>
      <w:r w:rsidR="00787236">
        <w:rPr>
          <w:color w:val="auto"/>
        </w:rPr>
        <w:t xml:space="preserve"> </w:t>
      </w:r>
      <w:r w:rsidR="001B2026" w:rsidRPr="001A2D2F">
        <w:rPr>
          <w:color w:val="auto"/>
        </w:rPr>
        <w:t>zaznaczyć</w:t>
      </w:r>
      <w:r w:rsidR="00A97EF7" w:rsidRPr="001A2D2F">
        <w:rPr>
          <w:color w:val="auto"/>
        </w:rPr>
        <w:t>,</w:t>
      </w:r>
      <w:r w:rsidR="00787236">
        <w:rPr>
          <w:color w:val="auto"/>
        </w:rPr>
        <w:t xml:space="preserve"> </w:t>
      </w:r>
      <w:r w:rsidR="001153DE" w:rsidRPr="001A2D2F">
        <w:rPr>
          <w:color w:val="auto"/>
        </w:rPr>
        <w:t>że</w:t>
      </w:r>
      <w:r w:rsidR="00787236">
        <w:rPr>
          <w:color w:val="auto"/>
        </w:rPr>
        <w:t xml:space="preserve"> </w:t>
      </w:r>
      <w:r w:rsidR="00AE5712" w:rsidRPr="001A2D2F">
        <w:rPr>
          <w:color w:val="auto"/>
        </w:rPr>
        <w:t>w</w:t>
      </w:r>
      <w:r w:rsidR="00787236">
        <w:rPr>
          <w:color w:val="auto"/>
        </w:rPr>
        <w:t xml:space="preserve"> </w:t>
      </w:r>
      <w:r w:rsidR="001B2026" w:rsidRPr="001A2D2F">
        <w:rPr>
          <w:color w:val="auto"/>
        </w:rPr>
        <w:t xml:space="preserve">jeszcze większym stopniu opisana sytuacja dotyczyła bezrobotnych kobiet bez </w:t>
      </w:r>
      <w:r w:rsidR="001153DE" w:rsidRPr="001A2D2F">
        <w:rPr>
          <w:color w:val="auto"/>
        </w:rPr>
        <w:t xml:space="preserve">doświadczenia </w:t>
      </w:r>
      <w:r w:rsidR="00A97EF7" w:rsidRPr="001A2D2F">
        <w:rPr>
          <w:color w:val="auto"/>
        </w:rPr>
        <w:t xml:space="preserve">zawodowego </w:t>
      </w:r>
      <w:r w:rsidR="001B2026" w:rsidRPr="001A2D2F">
        <w:rPr>
          <w:color w:val="auto"/>
        </w:rPr>
        <w:t>lub z</w:t>
      </w:r>
      <w:r w:rsidR="001153DE" w:rsidRPr="001A2D2F">
        <w:rPr>
          <w:color w:val="auto"/>
        </w:rPr>
        <w:t>e</w:t>
      </w:r>
      <w:r w:rsidR="001B2026" w:rsidRPr="001A2D2F">
        <w:rPr>
          <w:color w:val="auto"/>
        </w:rPr>
        <w:t xml:space="preserve"> stażem pracy</w:t>
      </w:r>
      <w:r w:rsidR="001153DE" w:rsidRPr="001A2D2F">
        <w:rPr>
          <w:color w:val="auto"/>
        </w:rPr>
        <w:t xml:space="preserve"> do 5 lat</w:t>
      </w:r>
      <w:r w:rsidR="001A2D2F" w:rsidRPr="001A2D2F">
        <w:rPr>
          <w:color w:val="auto"/>
        </w:rPr>
        <w:t xml:space="preserve">, albowiem </w:t>
      </w:r>
      <w:r w:rsidR="001B2026" w:rsidRPr="001A2D2F">
        <w:rPr>
          <w:color w:val="auto"/>
        </w:rPr>
        <w:t xml:space="preserve">stanowiły </w:t>
      </w:r>
      <w:r w:rsidR="001153DE" w:rsidRPr="001A2D2F">
        <w:rPr>
          <w:color w:val="auto"/>
        </w:rPr>
        <w:t xml:space="preserve">one </w:t>
      </w:r>
      <w:r w:rsidR="001B2026" w:rsidRPr="001A2D2F">
        <w:rPr>
          <w:color w:val="auto"/>
        </w:rPr>
        <w:t>6</w:t>
      </w:r>
      <w:r w:rsidR="00553E33" w:rsidRPr="001A2D2F">
        <w:rPr>
          <w:color w:val="auto"/>
        </w:rPr>
        <w:t>4</w:t>
      </w:r>
      <w:r w:rsidR="001B2026" w:rsidRPr="001A2D2F">
        <w:rPr>
          <w:color w:val="auto"/>
        </w:rPr>
        <w:t>,</w:t>
      </w:r>
      <w:r w:rsidR="001A2D2F" w:rsidRPr="001A2D2F">
        <w:rPr>
          <w:color w:val="auto"/>
        </w:rPr>
        <w:t>6</w:t>
      </w:r>
      <w:r w:rsidR="001B2026" w:rsidRPr="001A2D2F">
        <w:rPr>
          <w:color w:val="auto"/>
        </w:rPr>
        <w:t>%</w:t>
      </w:r>
      <w:r w:rsidR="00A97EF7" w:rsidRPr="001A2D2F">
        <w:rPr>
          <w:color w:val="auto"/>
        </w:rPr>
        <w:t xml:space="preserve"> ogółu</w:t>
      </w:r>
      <w:r w:rsidRPr="001A2D2F">
        <w:rPr>
          <w:color w:val="auto"/>
        </w:rPr>
        <w:t>.</w:t>
      </w:r>
    </w:p>
    <w:p w:rsidR="001153DE" w:rsidRPr="00910434" w:rsidRDefault="007F0993" w:rsidP="00B51C47">
      <w:pPr>
        <w:pStyle w:val="Default"/>
        <w:numPr>
          <w:ilvl w:val="0"/>
          <w:numId w:val="5"/>
        </w:numPr>
        <w:spacing w:line="360" w:lineRule="auto"/>
        <w:jc w:val="both"/>
        <w:rPr>
          <w:bCs/>
          <w:color w:val="auto"/>
        </w:rPr>
      </w:pPr>
      <w:r w:rsidRPr="00910434">
        <w:rPr>
          <w:color w:val="auto"/>
        </w:rPr>
        <w:t>Osoby bezrobotne</w:t>
      </w:r>
      <w:r w:rsidR="00AE5712" w:rsidRPr="00910434">
        <w:rPr>
          <w:color w:val="auto"/>
        </w:rPr>
        <w:t xml:space="preserve"> z</w:t>
      </w:r>
      <w:r w:rsidR="00C62A12" w:rsidRPr="00910434">
        <w:rPr>
          <w:color w:val="auto"/>
        </w:rPr>
        <w:t xml:space="preserve"> </w:t>
      </w:r>
      <w:r w:rsidR="001A2D2F" w:rsidRPr="00910434">
        <w:rPr>
          <w:color w:val="auto"/>
        </w:rPr>
        <w:t xml:space="preserve">małym </w:t>
      </w:r>
      <w:r w:rsidR="00560E0B" w:rsidRPr="00910434">
        <w:rPr>
          <w:color w:val="auto"/>
        </w:rPr>
        <w:t>s</w:t>
      </w:r>
      <w:r w:rsidR="001153DE" w:rsidRPr="00910434">
        <w:rPr>
          <w:color w:val="auto"/>
        </w:rPr>
        <w:t xml:space="preserve">tażem </w:t>
      </w:r>
      <w:r w:rsidR="0063069E" w:rsidRPr="00910434">
        <w:rPr>
          <w:color w:val="auto"/>
        </w:rPr>
        <w:t xml:space="preserve">– </w:t>
      </w:r>
      <w:r w:rsidRPr="00910434">
        <w:rPr>
          <w:color w:val="auto"/>
        </w:rPr>
        <w:t xml:space="preserve">przeważają </w:t>
      </w:r>
      <w:r w:rsidR="00AE5712" w:rsidRPr="00910434">
        <w:rPr>
          <w:color w:val="auto"/>
        </w:rPr>
        <w:t>w </w:t>
      </w:r>
      <w:r w:rsidR="001153DE" w:rsidRPr="00910434">
        <w:rPr>
          <w:color w:val="auto"/>
        </w:rPr>
        <w:t>każdej kategorii czasu pozostawania bez pracy</w:t>
      </w:r>
      <w:r w:rsidR="00F12869">
        <w:rPr>
          <w:color w:val="auto"/>
        </w:rPr>
        <w:t>.</w:t>
      </w:r>
      <w:r w:rsidR="00560E0B" w:rsidRPr="00910434">
        <w:rPr>
          <w:color w:val="auto"/>
        </w:rPr>
        <w:t xml:space="preserve"> </w:t>
      </w:r>
      <w:r w:rsidR="00F12869">
        <w:rPr>
          <w:color w:val="auto"/>
        </w:rPr>
        <w:t>S</w:t>
      </w:r>
      <w:r w:rsidR="00560E0B" w:rsidRPr="00910434">
        <w:rPr>
          <w:color w:val="auto"/>
        </w:rPr>
        <w:t>zczególnie wśród bezrobotnych długotrwale</w:t>
      </w:r>
      <w:r w:rsidRPr="00910434">
        <w:rPr>
          <w:color w:val="auto"/>
        </w:rPr>
        <w:t>.</w:t>
      </w:r>
      <w:r w:rsidR="00B51C47" w:rsidRPr="00910434">
        <w:rPr>
          <w:bCs/>
          <w:color w:val="auto"/>
        </w:rPr>
        <w:t xml:space="preserve"> </w:t>
      </w:r>
      <w:r w:rsidR="007931F1">
        <w:rPr>
          <w:bCs/>
          <w:color w:val="auto"/>
        </w:rPr>
        <w:t>Kumulatywne kategorie to o</w:t>
      </w:r>
      <w:r w:rsidR="00910434" w:rsidRPr="00910434">
        <w:rPr>
          <w:bCs/>
          <w:color w:val="auto"/>
        </w:rPr>
        <w:t>soby</w:t>
      </w:r>
      <w:r w:rsidRPr="00910434">
        <w:rPr>
          <w:color w:val="auto"/>
        </w:rPr>
        <w:t xml:space="preserve"> pozostając</w:t>
      </w:r>
      <w:r w:rsidR="00910434" w:rsidRPr="00910434">
        <w:rPr>
          <w:color w:val="auto"/>
        </w:rPr>
        <w:t>e</w:t>
      </w:r>
      <w:r w:rsidRPr="00910434">
        <w:rPr>
          <w:color w:val="auto"/>
        </w:rPr>
        <w:t xml:space="preserve"> bez pracy powyżej 24 miesięcy </w:t>
      </w:r>
      <w:r w:rsidR="0063069E" w:rsidRPr="00910434">
        <w:rPr>
          <w:color w:val="auto"/>
        </w:rPr>
        <w:t xml:space="preserve">i </w:t>
      </w:r>
      <w:r w:rsidRPr="00910434">
        <w:rPr>
          <w:color w:val="auto"/>
        </w:rPr>
        <w:t xml:space="preserve">osoby bez stażu pracy oraz ze stażem nie </w:t>
      </w:r>
      <w:r w:rsidR="00E93921" w:rsidRPr="00910434">
        <w:rPr>
          <w:color w:val="auto"/>
        </w:rPr>
        <w:t>przekraczającym</w:t>
      </w:r>
      <w:r w:rsidRPr="00910434">
        <w:rPr>
          <w:color w:val="auto"/>
        </w:rPr>
        <w:t xml:space="preserve"> 5 lat</w:t>
      </w:r>
      <w:r w:rsidR="007931F1">
        <w:rPr>
          <w:color w:val="auto"/>
        </w:rPr>
        <w:t xml:space="preserve"> </w:t>
      </w:r>
      <w:r w:rsidR="0063069E" w:rsidRPr="00910434">
        <w:rPr>
          <w:color w:val="auto"/>
        </w:rPr>
        <w:t xml:space="preserve">– </w:t>
      </w:r>
      <w:r w:rsidRPr="00910434">
        <w:rPr>
          <w:color w:val="auto"/>
        </w:rPr>
        <w:t xml:space="preserve">łącznie </w:t>
      </w:r>
      <w:r w:rsidR="0063069E" w:rsidRPr="00910434">
        <w:rPr>
          <w:color w:val="auto"/>
        </w:rPr>
        <w:t>1</w:t>
      </w:r>
      <w:r w:rsidR="001A2D2F" w:rsidRPr="00910434">
        <w:rPr>
          <w:color w:val="auto"/>
        </w:rPr>
        <w:t>6</w:t>
      </w:r>
      <w:r w:rsidR="00847383" w:rsidRPr="00910434">
        <w:rPr>
          <w:color w:val="auto"/>
        </w:rPr>
        <w:t> </w:t>
      </w:r>
      <w:r w:rsidR="001A2D2F" w:rsidRPr="00910434">
        <w:rPr>
          <w:color w:val="auto"/>
        </w:rPr>
        <w:t>702</w:t>
      </w:r>
      <w:r w:rsidR="00847383" w:rsidRPr="00910434">
        <w:rPr>
          <w:color w:val="auto"/>
        </w:rPr>
        <w:t xml:space="preserve"> </w:t>
      </w:r>
      <w:r w:rsidR="007931F1">
        <w:rPr>
          <w:color w:val="auto"/>
        </w:rPr>
        <w:t xml:space="preserve">tj. </w:t>
      </w:r>
      <w:r w:rsidR="00E93921" w:rsidRPr="00910434">
        <w:rPr>
          <w:color w:val="auto"/>
        </w:rPr>
        <w:t>55,</w:t>
      </w:r>
      <w:r w:rsidR="001A2D2F" w:rsidRPr="00910434">
        <w:rPr>
          <w:color w:val="auto"/>
        </w:rPr>
        <w:t>7</w:t>
      </w:r>
      <w:r w:rsidR="00E93921" w:rsidRPr="00910434">
        <w:rPr>
          <w:color w:val="auto"/>
        </w:rPr>
        <w:t>% bezrobotnych powyżej 24 m</w:t>
      </w:r>
      <w:r w:rsidR="001A2D2F" w:rsidRPr="00910434">
        <w:rPr>
          <w:color w:val="auto"/>
        </w:rPr>
        <w:t>iesięcy</w:t>
      </w:r>
      <w:r w:rsidR="00847383" w:rsidRPr="00910434">
        <w:rPr>
          <w:color w:val="auto"/>
        </w:rPr>
        <w:t>.</w:t>
      </w:r>
    </w:p>
    <w:p w:rsidR="001153DE" w:rsidRPr="00910434" w:rsidRDefault="001153DE" w:rsidP="009A1F42">
      <w:pPr>
        <w:pStyle w:val="Default"/>
        <w:jc w:val="both"/>
        <w:rPr>
          <w:bCs/>
          <w:color w:val="auto"/>
          <w:highlight w:val="yellow"/>
        </w:rPr>
        <w:sectPr w:rsidR="001153DE" w:rsidRPr="00910434" w:rsidSect="00E013F7">
          <w:footerReference w:type="default" r:id="rId23"/>
          <w:pgSz w:w="11906" w:h="16838"/>
          <w:pgMar w:top="1418" w:right="1418" w:bottom="1702" w:left="1418" w:header="709" w:footer="709" w:gutter="0"/>
          <w:cols w:space="708"/>
          <w:docGrid w:linePitch="360"/>
        </w:sectPr>
      </w:pPr>
    </w:p>
    <w:p w:rsidR="001153DE" w:rsidRPr="0029506F" w:rsidRDefault="006B4CB5" w:rsidP="009A1F42">
      <w:pPr>
        <w:pStyle w:val="Default"/>
        <w:jc w:val="both"/>
        <w:rPr>
          <w:b/>
          <w:bCs/>
          <w:color w:val="FF0000"/>
          <w:highlight w:val="yellow"/>
        </w:rPr>
        <w:sectPr w:rsidR="001153DE" w:rsidRPr="0029506F" w:rsidSect="005C7F7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6B4CB5">
        <w:rPr>
          <w:noProof/>
          <w:lang w:eastAsia="pl-PL"/>
        </w:rPr>
        <w:lastRenderedPageBreak/>
        <w:drawing>
          <wp:inline distT="0" distB="0" distL="0" distR="0" wp14:anchorId="665C5188" wp14:editId="7EB0BA26">
            <wp:extent cx="8891270" cy="5322011"/>
            <wp:effectExtent l="0" t="0" r="508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5322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4E9" w:rsidRPr="004F28A7" w:rsidRDefault="00E324E9" w:rsidP="002439C2">
      <w:pPr>
        <w:pStyle w:val="Nagwek3"/>
        <w:pageBreakBefore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9" w:name="_Toc489263949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zamieszkali na wsi</w:t>
      </w:r>
      <w:bookmarkEnd w:id="9"/>
    </w:p>
    <w:p w:rsidR="00B7165C" w:rsidRPr="005015C3" w:rsidRDefault="00B7165C" w:rsidP="009A1F42">
      <w:pPr>
        <w:pStyle w:val="Default"/>
        <w:jc w:val="both"/>
        <w:rPr>
          <w:b/>
          <w:bCs/>
          <w:highlight w:val="yellow"/>
        </w:rPr>
      </w:pPr>
    </w:p>
    <w:p w:rsidR="00E324E9" w:rsidRPr="001A2D2F" w:rsidRDefault="00E324E9" w:rsidP="006B4CB5">
      <w:pPr>
        <w:pStyle w:val="Default"/>
        <w:spacing w:line="360" w:lineRule="auto"/>
        <w:ind w:firstLine="709"/>
        <w:jc w:val="both"/>
      </w:pPr>
      <w:r w:rsidRPr="001A2D2F">
        <w:t xml:space="preserve">Na </w:t>
      </w:r>
      <w:r w:rsidR="00F53FE2" w:rsidRPr="001A2D2F">
        <w:t>dzień 3</w:t>
      </w:r>
      <w:r w:rsidR="00D96515" w:rsidRPr="001A2D2F">
        <w:t>0</w:t>
      </w:r>
      <w:r w:rsidR="001A2D2F" w:rsidRPr="001A2D2F">
        <w:t xml:space="preserve"> </w:t>
      </w:r>
      <w:r w:rsidR="00D96515" w:rsidRPr="001A2D2F">
        <w:t>VI</w:t>
      </w:r>
      <w:r w:rsidR="001A2D2F" w:rsidRPr="001A2D2F">
        <w:t xml:space="preserve"> </w:t>
      </w:r>
      <w:r w:rsidR="00F53FE2" w:rsidRPr="001A2D2F">
        <w:t>201</w:t>
      </w:r>
      <w:r w:rsidR="001A2D2F" w:rsidRPr="001A2D2F">
        <w:t>7</w:t>
      </w:r>
      <w:r w:rsidRPr="001A2D2F">
        <w:t xml:space="preserve"> r</w:t>
      </w:r>
      <w:r w:rsidR="00D96515" w:rsidRPr="001A2D2F">
        <w:t>.</w:t>
      </w:r>
      <w:r w:rsidRPr="001A2D2F">
        <w:t xml:space="preserve"> spośród ogółu zarejestrowanych bezrobotnych </w:t>
      </w:r>
      <w:r w:rsidR="001A2D2F" w:rsidRPr="001A2D2F">
        <w:t>5</w:t>
      </w:r>
      <w:r w:rsidR="007755CD">
        <w:t>6</w:t>
      </w:r>
      <w:r w:rsidRPr="001A2D2F">
        <w:t xml:space="preserve"> </w:t>
      </w:r>
      <w:r w:rsidR="001A2D2F" w:rsidRPr="001A2D2F">
        <w:t>703</w:t>
      </w:r>
      <w:r w:rsidRPr="001A2D2F">
        <w:t xml:space="preserve"> osób mieszkało na terenach wiejskich</w:t>
      </w:r>
      <w:r w:rsidR="00F53FE2" w:rsidRPr="001A2D2F">
        <w:t xml:space="preserve"> (</w:t>
      </w:r>
      <w:r w:rsidRPr="001A2D2F">
        <w:t>6</w:t>
      </w:r>
      <w:r w:rsidR="00D96515" w:rsidRPr="001A2D2F">
        <w:t>1</w:t>
      </w:r>
      <w:r w:rsidRPr="001A2D2F">
        <w:t>,</w:t>
      </w:r>
      <w:r w:rsidR="001A2D2F" w:rsidRPr="001A2D2F">
        <w:t>6</w:t>
      </w:r>
      <w:r w:rsidRPr="001A2D2F">
        <w:t>% ogółu bezrobotnych</w:t>
      </w:r>
      <w:r w:rsidR="00F53FE2" w:rsidRPr="001A2D2F">
        <w:t>)</w:t>
      </w:r>
      <w:r w:rsidR="00B56D55" w:rsidRPr="001A2D2F">
        <w:t>.</w:t>
      </w:r>
    </w:p>
    <w:p w:rsidR="0058701B" w:rsidRPr="0029506F" w:rsidRDefault="0058701B" w:rsidP="009A1F42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58701B" w:rsidRPr="0029506F" w:rsidRDefault="006B4CB5" w:rsidP="00D665E1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6B4CB5">
        <w:rPr>
          <w:noProof/>
          <w:lang w:eastAsia="pl-PL"/>
        </w:rPr>
        <w:drawing>
          <wp:inline distT="0" distB="0" distL="0" distR="0" wp14:anchorId="5CE24BA6" wp14:editId="707D0548">
            <wp:extent cx="5759450" cy="6640293"/>
            <wp:effectExtent l="0" t="0" r="0" b="8255"/>
            <wp:docPr id="44" name="Obraz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40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55" w:rsidRPr="0029506F" w:rsidRDefault="00B56D55" w:rsidP="00D665E1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011FA8" w:rsidRPr="004F28A7" w:rsidRDefault="00B56D55" w:rsidP="00F020B1">
      <w:pPr>
        <w:pStyle w:val="Default"/>
        <w:jc w:val="both"/>
      </w:pPr>
      <w:r w:rsidRPr="004F28A7">
        <w:t>Wnioski</w:t>
      </w:r>
      <w:r w:rsidR="00011FA8" w:rsidRPr="004F28A7">
        <w:t>:</w:t>
      </w:r>
    </w:p>
    <w:p w:rsidR="00F020B1" w:rsidRPr="001A2D2F" w:rsidRDefault="00E135B6" w:rsidP="00F020B1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1A2D2F">
        <w:rPr>
          <w:rFonts w:ascii="Times New Roman" w:hAnsi="Times New Roman" w:cs="Times New Roman"/>
          <w:szCs w:val="24"/>
        </w:rPr>
        <w:t>(na podstawie danych</w:t>
      </w:r>
      <w:r w:rsidR="00AE5712" w:rsidRPr="001A2D2F">
        <w:rPr>
          <w:rFonts w:ascii="Times New Roman" w:hAnsi="Times New Roman" w:cs="Times New Roman"/>
          <w:szCs w:val="24"/>
        </w:rPr>
        <w:t xml:space="preserve"> z </w:t>
      </w:r>
      <w:r w:rsidR="00D96515" w:rsidRPr="001A2D2F">
        <w:rPr>
          <w:rFonts w:ascii="Times New Roman" w:hAnsi="Times New Roman" w:cs="Times New Roman"/>
          <w:szCs w:val="24"/>
        </w:rPr>
        <w:t>t</w:t>
      </w:r>
      <w:r w:rsidRPr="001A2D2F">
        <w:rPr>
          <w:rFonts w:ascii="Times New Roman" w:hAnsi="Times New Roman" w:cs="Times New Roman"/>
          <w:szCs w:val="24"/>
        </w:rPr>
        <w:t xml:space="preserve">abeli </w:t>
      </w:r>
      <w:r w:rsidR="001A2D2F" w:rsidRPr="001A2D2F">
        <w:rPr>
          <w:rFonts w:ascii="Times New Roman" w:hAnsi="Times New Roman" w:cs="Times New Roman"/>
          <w:szCs w:val="24"/>
        </w:rPr>
        <w:t>XV</w:t>
      </w:r>
      <w:r w:rsidR="00B56D55" w:rsidRPr="001A2D2F">
        <w:rPr>
          <w:rFonts w:ascii="Times New Roman" w:hAnsi="Times New Roman" w:cs="Times New Roman"/>
          <w:szCs w:val="24"/>
        </w:rPr>
        <w:t>)</w:t>
      </w:r>
    </w:p>
    <w:p w:rsidR="00E135B6" w:rsidRPr="0029506F" w:rsidRDefault="00E135B6" w:rsidP="00F020B1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407FE3" w:rsidRPr="00B54DC3" w:rsidRDefault="00137ADF" w:rsidP="00717080">
      <w:pPr>
        <w:pStyle w:val="Default"/>
        <w:numPr>
          <w:ilvl w:val="0"/>
          <w:numId w:val="2"/>
        </w:numPr>
        <w:spacing w:line="360" w:lineRule="auto"/>
        <w:jc w:val="both"/>
      </w:pPr>
      <w:r w:rsidRPr="00B54DC3">
        <w:lastRenderedPageBreak/>
        <w:t>W</w:t>
      </w:r>
      <w:r w:rsidR="00407FE3" w:rsidRPr="00B54DC3">
        <w:t> porównaniu ze stanem</w:t>
      </w:r>
      <w:r w:rsidR="00AE5712" w:rsidRPr="00B54DC3">
        <w:t xml:space="preserve"> </w:t>
      </w:r>
      <w:r w:rsidR="00D96515" w:rsidRPr="00B54DC3">
        <w:t>31</w:t>
      </w:r>
      <w:r w:rsidR="00B54DC3" w:rsidRPr="00B54DC3">
        <w:t xml:space="preserve"> </w:t>
      </w:r>
      <w:r w:rsidR="00D96515" w:rsidRPr="00B54DC3">
        <w:t>XII</w:t>
      </w:r>
      <w:r w:rsidR="00B54DC3" w:rsidRPr="00B54DC3">
        <w:t xml:space="preserve"> </w:t>
      </w:r>
      <w:r w:rsidR="00D96515" w:rsidRPr="00B54DC3">
        <w:t>201</w:t>
      </w:r>
      <w:r w:rsidR="00B54DC3" w:rsidRPr="00B54DC3">
        <w:t>6</w:t>
      </w:r>
      <w:r w:rsidR="00D96515" w:rsidRPr="00B54DC3">
        <w:t xml:space="preserve"> r.  </w:t>
      </w:r>
      <w:r w:rsidR="00C62A12" w:rsidRPr="00B54DC3">
        <w:t>–</w:t>
      </w:r>
      <w:r w:rsidR="00D96515" w:rsidRPr="00B54DC3">
        <w:t xml:space="preserve"> </w:t>
      </w:r>
      <w:r w:rsidR="00B54DC3" w:rsidRPr="00B54DC3">
        <w:t>67</w:t>
      </w:r>
      <w:r w:rsidR="00407FE3" w:rsidRPr="00B54DC3">
        <w:t xml:space="preserve"> </w:t>
      </w:r>
      <w:r w:rsidR="00B54DC3" w:rsidRPr="00B54DC3">
        <w:t>753</w:t>
      </w:r>
      <w:r w:rsidR="00407FE3" w:rsidRPr="00B54DC3">
        <w:t xml:space="preserve"> liczba bezrobotnych zamieszkałych na wsi </w:t>
      </w:r>
      <w:r w:rsidR="005B201D" w:rsidRPr="00B54DC3">
        <w:t xml:space="preserve">zmniejszyła się </w:t>
      </w:r>
      <w:r w:rsidR="00AE5712" w:rsidRPr="00B54DC3">
        <w:t>o </w:t>
      </w:r>
      <w:r w:rsidR="00D96515" w:rsidRPr="00B54DC3">
        <w:t>11</w:t>
      </w:r>
      <w:r w:rsidR="00407FE3" w:rsidRPr="00B54DC3">
        <w:t xml:space="preserve"> </w:t>
      </w:r>
      <w:r w:rsidR="00D96515" w:rsidRPr="00B54DC3">
        <w:t>0</w:t>
      </w:r>
      <w:r w:rsidR="00B54DC3" w:rsidRPr="00B54DC3">
        <w:t>50</w:t>
      </w:r>
      <w:r w:rsidR="00407FE3" w:rsidRPr="00B54DC3">
        <w:t xml:space="preserve"> os</w:t>
      </w:r>
      <w:r w:rsidR="00B54DC3" w:rsidRPr="00B54DC3">
        <w:t>ó</w:t>
      </w:r>
      <w:r w:rsidR="00407FE3" w:rsidRPr="00B54DC3">
        <w:t>b</w:t>
      </w:r>
      <w:r w:rsidR="00851165" w:rsidRPr="00B54DC3">
        <w:t xml:space="preserve"> – </w:t>
      </w:r>
      <w:r w:rsidR="00717080" w:rsidRPr="00B54DC3">
        <w:t>co stanowiło</w:t>
      </w:r>
      <w:r w:rsidR="00C62A12" w:rsidRPr="00B54DC3">
        <w:t xml:space="preserve"> </w:t>
      </w:r>
      <w:r w:rsidR="00B54DC3" w:rsidRPr="00B54DC3">
        <w:t>69</w:t>
      </w:r>
      <w:r w:rsidR="00717080" w:rsidRPr="00B54DC3">
        <w:t>,</w:t>
      </w:r>
      <w:r w:rsidR="00B54DC3" w:rsidRPr="00B54DC3">
        <w:t>05</w:t>
      </w:r>
      <w:r w:rsidR="00717080" w:rsidRPr="00B54DC3">
        <w:t>% spadku odnotowanego wśród bezrobotnych ogółem</w:t>
      </w:r>
      <w:r w:rsidR="00C62A12" w:rsidRPr="00B54DC3">
        <w:t xml:space="preserve"> (1</w:t>
      </w:r>
      <w:r w:rsidR="00B54DC3" w:rsidRPr="00B54DC3">
        <w:t>6</w:t>
      </w:r>
      <w:r w:rsidR="00C62A12" w:rsidRPr="00B54DC3">
        <w:t> </w:t>
      </w:r>
      <w:r w:rsidR="00B54DC3" w:rsidRPr="00B54DC3">
        <w:t>003</w:t>
      </w:r>
      <w:r w:rsidR="00C62A12" w:rsidRPr="00B54DC3">
        <w:t>)</w:t>
      </w:r>
      <w:r w:rsidR="00717080" w:rsidRPr="00B54DC3">
        <w:t>.</w:t>
      </w:r>
    </w:p>
    <w:p w:rsidR="00B15740" w:rsidRPr="00B15740" w:rsidRDefault="00137ADF" w:rsidP="00B15740">
      <w:pPr>
        <w:pStyle w:val="Default"/>
        <w:numPr>
          <w:ilvl w:val="0"/>
          <w:numId w:val="2"/>
        </w:numPr>
        <w:spacing w:line="360" w:lineRule="auto"/>
        <w:jc w:val="both"/>
      </w:pPr>
      <w:r w:rsidRPr="00B15740">
        <w:t>N</w:t>
      </w:r>
      <w:r w:rsidR="000A50E1" w:rsidRPr="00B15740">
        <w:t xml:space="preserve">ajwyższy </w:t>
      </w:r>
      <w:r w:rsidR="00011FA8" w:rsidRPr="00B15740">
        <w:t xml:space="preserve">spadek </w:t>
      </w:r>
      <w:r w:rsidR="000A50E1" w:rsidRPr="00B15740">
        <w:t>udział</w:t>
      </w:r>
      <w:r w:rsidR="00011FA8" w:rsidRPr="00B15740">
        <w:t>u</w:t>
      </w:r>
      <w:r w:rsidR="000A50E1" w:rsidRPr="00B15740">
        <w:t xml:space="preserve"> bezrobotnych zamieszkałych na wsi </w:t>
      </w:r>
      <w:r w:rsidR="00381086" w:rsidRPr="00B15740">
        <w:t>(w okresie I półrocza 201</w:t>
      </w:r>
      <w:r w:rsidR="00B54DC3" w:rsidRPr="00B15740">
        <w:t>7</w:t>
      </w:r>
      <w:r w:rsidR="00DF6420" w:rsidRPr="00B15740">
        <w:t> </w:t>
      </w:r>
      <w:r w:rsidR="00381086" w:rsidRPr="00B15740">
        <w:t xml:space="preserve">r.) </w:t>
      </w:r>
      <w:r w:rsidR="000A50E1" w:rsidRPr="00B15740">
        <w:t>odnotowano</w:t>
      </w:r>
      <w:r w:rsidR="00B15740">
        <w:t xml:space="preserve"> miedzy innymi </w:t>
      </w:r>
      <w:r w:rsidR="00AE5712" w:rsidRPr="00B15740">
        <w:t>w </w:t>
      </w:r>
      <w:r w:rsidR="000A50E1" w:rsidRPr="00B15740">
        <w:t xml:space="preserve">następujących powiatach: </w:t>
      </w:r>
      <w:r w:rsidR="00B15740" w:rsidRPr="00B15740">
        <w:t>leskim – 25,6%, lubaczowskim – 24,3%, łańcuckim – 22,0%, stalowowolskim – 21,1%, strzyżowskim – 19,7%, sanockim – 19,6%, dębicki – 19,6%, kolbuszowskim – 19,1%, mieleckim – 19,0%, jasielskim – 18,3%.</w:t>
      </w:r>
    </w:p>
    <w:p w:rsidR="00381086" w:rsidRPr="009C5522" w:rsidRDefault="00137ADF" w:rsidP="009C5522">
      <w:pPr>
        <w:pStyle w:val="Default"/>
        <w:numPr>
          <w:ilvl w:val="0"/>
          <w:numId w:val="2"/>
        </w:numPr>
        <w:spacing w:line="360" w:lineRule="auto"/>
        <w:jc w:val="both"/>
      </w:pPr>
      <w:r w:rsidRPr="009C5522">
        <w:t>N</w:t>
      </w:r>
      <w:r w:rsidR="00011FA8" w:rsidRPr="009C5522">
        <w:t>ajniższy spadek udziału bezrobotnych zamieszkałych na wsi odnotowano</w:t>
      </w:r>
      <w:r w:rsidR="00AE5712" w:rsidRPr="009C5522">
        <w:t xml:space="preserve"> </w:t>
      </w:r>
      <w:r w:rsidR="009C5522" w:rsidRPr="009C5522">
        <w:t xml:space="preserve">miedzy innymi w </w:t>
      </w:r>
      <w:r w:rsidR="00011FA8" w:rsidRPr="009C5522">
        <w:t xml:space="preserve">następujących powiatach: </w:t>
      </w:r>
      <w:r w:rsidR="009C5522" w:rsidRPr="009C5522">
        <w:t>ropczycko – sędziszowskim – 6,3%, jarosławskim – 10,8%, przemyskim – 11,6%, rzeszowskim – 11,8%, niżańskim – 13,4%, brzozowskim – 14,3%, leżajskim – 15,5%, tarnobrzeskim – 16,6%, krośnieńskim – 16,9%.</w:t>
      </w:r>
    </w:p>
    <w:p w:rsidR="00925F63" w:rsidRPr="001048B8" w:rsidRDefault="00523A93" w:rsidP="008E2EAC">
      <w:pPr>
        <w:pStyle w:val="Default"/>
        <w:numPr>
          <w:ilvl w:val="0"/>
          <w:numId w:val="2"/>
        </w:numPr>
        <w:spacing w:line="360" w:lineRule="auto"/>
        <w:jc w:val="both"/>
      </w:pPr>
      <w:r w:rsidRPr="001048B8">
        <w:rPr>
          <w:u w:val="single"/>
        </w:rPr>
        <w:t>T</w:t>
      </w:r>
      <w:r w:rsidR="00925F63" w:rsidRPr="001048B8">
        <w:rPr>
          <w:u w:val="single"/>
        </w:rPr>
        <w:t>endencja wskazująca na związek pomiędzy spadkiem stopy bezrobocia</w:t>
      </w:r>
      <w:r w:rsidR="008E2EAC" w:rsidRPr="001048B8">
        <w:rPr>
          <w:u w:val="single"/>
        </w:rPr>
        <w:t xml:space="preserve"> –</w:t>
      </w:r>
      <w:r w:rsidRPr="001048B8">
        <w:rPr>
          <w:u w:val="single"/>
        </w:rPr>
        <w:t xml:space="preserve"> </w:t>
      </w:r>
      <w:r w:rsidR="00AE5712" w:rsidRPr="001048B8">
        <w:rPr>
          <w:u w:val="single"/>
        </w:rPr>
        <w:t>a </w:t>
      </w:r>
      <w:r w:rsidR="003A746A" w:rsidRPr="001048B8">
        <w:rPr>
          <w:u w:val="single"/>
        </w:rPr>
        <w:t>spadkiem l</w:t>
      </w:r>
      <w:r w:rsidR="00925F63" w:rsidRPr="001048B8">
        <w:rPr>
          <w:u w:val="single"/>
        </w:rPr>
        <w:t>iczby bezrobotnych zamieszkałych na wsi</w:t>
      </w:r>
      <w:r w:rsidRPr="001048B8">
        <w:t>.</w:t>
      </w:r>
      <w:r w:rsidR="00925F63" w:rsidRPr="001048B8">
        <w:t xml:space="preserve"> </w:t>
      </w:r>
      <w:r w:rsidRPr="001048B8">
        <w:t>W</w:t>
      </w:r>
      <w:r w:rsidR="00AE5712" w:rsidRPr="001048B8">
        <w:t> </w:t>
      </w:r>
      <w:r w:rsidR="00925F63" w:rsidRPr="001048B8">
        <w:t>powiatach,</w:t>
      </w:r>
      <w:r w:rsidR="00AE5712" w:rsidRPr="001048B8">
        <w:t xml:space="preserve"> w </w:t>
      </w:r>
      <w:r w:rsidR="00925F63" w:rsidRPr="001048B8">
        <w:t>których nastąpił duży spadek stopy bezrobocia</w:t>
      </w:r>
      <w:r w:rsidR="001048B8" w:rsidRPr="001048B8">
        <w:t xml:space="preserve"> – j</w:t>
      </w:r>
      <w:r w:rsidR="00925F63" w:rsidRPr="001048B8">
        <w:t xml:space="preserve">ednocześnie odnotowano spadek liczby bezrobotnych zamieszkałych na wsi (powiat </w:t>
      </w:r>
      <w:r w:rsidR="001048B8" w:rsidRPr="001048B8">
        <w:t>leski</w:t>
      </w:r>
      <w:r w:rsidR="00925F63" w:rsidRPr="001048B8">
        <w:t>:</w:t>
      </w:r>
      <w:r w:rsidR="00AD036F" w:rsidRPr="001048B8">
        <w:t xml:space="preserve"> </w:t>
      </w:r>
      <w:r w:rsidR="001048B8" w:rsidRPr="001048B8">
        <w:t>4</w:t>
      </w:r>
      <w:r w:rsidR="00925F63" w:rsidRPr="001048B8">
        <w:t>,</w:t>
      </w:r>
      <w:r w:rsidR="001048B8" w:rsidRPr="001048B8">
        <w:t>3</w:t>
      </w:r>
      <w:r w:rsidR="00925F63" w:rsidRPr="001048B8">
        <w:t xml:space="preserve">% do </w:t>
      </w:r>
      <w:r w:rsidR="001048B8" w:rsidRPr="001048B8">
        <w:t>25</w:t>
      </w:r>
      <w:r w:rsidR="00925F63" w:rsidRPr="001048B8">
        <w:t>,</w:t>
      </w:r>
      <w:r w:rsidR="001048B8" w:rsidRPr="001048B8">
        <w:t>6</w:t>
      </w:r>
      <w:r w:rsidR="00925F63" w:rsidRPr="001048B8">
        <w:t xml:space="preserve">%; </w:t>
      </w:r>
      <w:r w:rsidR="001048B8" w:rsidRPr="001048B8">
        <w:t>strzyżowski</w:t>
      </w:r>
      <w:r w:rsidR="00925F63" w:rsidRPr="001048B8">
        <w:t xml:space="preserve">: </w:t>
      </w:r>
      <w:r w:rsidR="001048B8" w:rsidRPr="001048B8">
        <w:t>3</w:t>
      </w:r>
      <w:r w:rsidR="00925F63" w:rsidRPr="001048B8">
        <w:t>,</w:t>
      </w:r>
      <w:r w:rsidR="001048B8" w:rsidRPr="001048B8">
        <w:t>1</w:t>
      </w:r>
      <w:r w:rsidR="00925F63" w:rsidRPr="001048B8">
        <w:t xml:space="preserve">% do </w:t>
      </w:r>
      <w:r w:rsidR="001048B8" w:rsidRPr="001048B8">
        <w:t>19</w:t>
      </w:r>
      <w:r w:rsidR="00925F63" w:rsidRPr="001048B8">
        <w:t>,</w:t>
      </w:r>
      <w:r w:rsidR="001048B8" w:rsidRPr="001048B8">
        <w:t>7</w:t>
      </w:r>
      <w:r w:rsidR="00925F63" w:rsidRPr="001048B8">
        <w:t xml:space="preserve">%; </w:t>
      </w:r>
      <w:r w:rsidR="001048B8" w:rsidRPr="001048B8">
        <w:t>łańcucki</w:t>
      </w:r>
      <w:r w:rsidR="00925F63" w:rsidRPr="001048B8">
        <w:t xml:space="preserve">: </w:t>
      </w:r>
      <w:r w:rsidR="001048B8" w:rsidRPr="001048B8">
        <w:t>2</w:t>
      </w:r>
      <w:r w:rsidR="00925F63" w:rsidRPr="001048B8">
        <w:t>,</w:t>
      </w:r>
      <w:r w:rsidR="001048B8" w:rsidRPr="001048B8">
        <w:t>8</w:t>
      </w:r>
      <w:r w:rsidR="00925F63" w:rsidRPr="001048B8">
        <w:t xml:space="preserve">% do </w:t>
      </w:r>
      <w:r w:rsidR="008E2EAC" w:rsidRPr="001048B8">
        <w:t>2</w:t>
      </w:r>
      <w:r w:rsidR="001048B8" w:rsidRPr="001048B8">
        <w:t>2</w:t>
      </w:r>
      <w:r w:rsidR="00925F63" w:rsidRPr="001048B8">
        <w:t>,</w:t>
      </w:r>
      <w:r w:rsidR="001048B8" w:rsidRPr="001048B8">
        <w:t>0</w:t>
      </w:r>
      <w:r w:rsidR="00925F63" w:rsidRPr="001048B8">
        <w:t xml:space="preserve">%; </w:t>
      </w:r>
      <w:r w:rsidR="001048B8" w:rsidRPr="001048B8">
        <w:t>bieszczadzki</w:t>
      </w:r>
      <w:r w:rsidR="00851165" w:rsidRPr="001048B8">
        <w:t xml:space="preserve">: </w:t>
      </w:r>
      <w:r w:rsidR="00925F63" w:rsidRPr="001048B8">
        <w:t>2,</w:t>
      </w:r>
      <w:r w:rsidR="001048B8" w:rsidRPr="001048B8">
        <w:t>7</w:t>
      </w:r>
      <w:r w:rsidR="00925F63" w:rsidRPr="001048B8">
        <w:t xml:space="preserve">% do </w:t>
      </w:r>
      <w:r w:rsidR="00D80063" w:rsidRPr="001048B8">
        <w:t>1</w:t>
      </w:r>
      <w:r w:rsidR="001048B8" w:rsidRPr="001048B8">
        <w:t>8</w:t>
      </w:r>
      <w:r w:rsidR="00D80063" w:rsidRPr="001048B8">
        <w:t>,</w:t>
      </w:r>
      <w:r w:rsidR="001048B8" w:rsidRPr="001048B8">
        <w:t>1</w:t>
      </w:r>
      <w:r w:rsidR="00D80063" w:rsidRPr="001048B8">
        <w:t>%)</w:t>
      </w:r>
      <w:r w:rsidR="00A97EF7" w:rsidRPr="001048B8">
        <w:t>.</w:t>
      </w:r>
    </w:p>
    <w:p w:rsidR="00B54DC3" w:rsidRPr="00B54DC3" w:rsidRDefault="00851165" w:rsidP="00261445">
      <w:pPr>
        <w:pStyle w:val="Default"/>
        <w:spacing w:line="360" w:lineRule="auto"/>
        <w:ind w:left="360"/>
        <w:jc w:val="both"/>
      </w:pPr>
      <w:r w:rsidRPr="00B54DC3">
        <w:t xml:space="preserve">Przyczyną może być fakt, że </w:t>
      </w:r>
      <w:r w:rsidR="003A746A" w:rsidRPr="00B54DC3">
        <w:t xml:space="preserve">bezrobotni na </w:t>
      </w:r>
      <w:r w:rsidR="00EC69E9" w:rsidRPr="00B54DC3">
        <w:t xml:space="preserve">terenach klasyfikowanych jako wieś </w:t>
      </w:r>
      <w:r w:rsidR="003A746A" w:rsidRPr="00B54DC3">
        <w:t xml:space="preserve">stanowią znaczny </w:t>
      </w:r>
      <w:r w:rsidR="00AA15FF" w:rsidRPr="00B54DC3">
        <w:t xml:space="preserve">odsetek bezrobotnych zarejestrowanych w </w:t>
      </w:r>
      <w:r w:rsidR="00A47B99" w:rsidRPr="00B54DC3">
        <w:t>województwie podkarpackim</w:t>
      </w:r>
      <w:r w:rsidR="00AA15FF" w:rsidRPr="00B54DC3">
        <w:t>.</w:t>
      </w:r>
      <w:r w:rsidR="00521AA2" w:rsidRPr="00B54DC3">
        <w:t xml:space="preserve"> </w:t>
      </w:r>
      <w:r w:rsidR="00AA15FF" w:rsidRPr="00B54DC3">
        <w:t>W</w:t>
      </w:r>
      <w:r w:rsidR="00EC69E9" w:rsidRPr="00B54DC3">
        <w:t> </w:t>
      </w:r>
      <w:r w:rsidR="00AA15FF" w:rsidRPr="00B54DC3">
        <w:t xml:space="preserve">porównaniu do innych </w:t>
      </w:r>
      <w:r w:rsidR="00521AA2" w:rsidRPr="00B54DC3">
        <w:t xml:space="preserve">województw </w:t>
      </w:r>
      <w:r w:rsidR="005E1FA7" w:rsidRPr="00B54DC3">
        <w:t xml:space="preserve">(gdzie obowiązuje taki sam podział bezrobotnych na miasto i wieś) </w:t>
      </w:r>
      <w:r w:rsidR="00EC69E9" w:rsidRPr="00B54DC3">
        <w:t xml:space="preserve">jest on </w:t>
      </w:r>
      <w:r w:rsidR="00A47B99" w:rsidRPr="00B54DC3">
        <w:t>najwyższy</w:t>
      </w:r>
      <w:r w:rsidR="00E806DE" w:rsidRPr="00B54DC3">
        <w:t>.</w:t>
      </w:r>
    </w:p>
    <w:p w:rsidR="00261445" w:rsidRDefault="00A47B99" w:rsidP="00261445">
      <w:pPr>
        <w:pStyle w:val="Default"/>
        <w:spacing w:line="360" w:lineRule="auto"/>
        <w:ind w:left="360"/>
        <w:jc w:val="both"/>
      </w:pPr>
      <w:r w:rsidRPr="00B54DC3">
        <w:t xml:space="preserve">Bezrobotni na </w:t>
      </w:r>
      <w:r w:rsidR="00EC69E9" w:rsidRPr="00B54DC3">
        <w:t xml:space="preserve">podkarpackiej </w:t>
      </w:r>
      <w:r w:rsidRPr="00B54DC3">
        <w:t>wsi</w:t>
      </w:r>
      <w:r w:rsidR="003A746A" w:rsidRPr="00B54DC3">
        <w:t xml:space="preserve"> </w:t>
      </w:r>
      <w:r w:rsidR="00851165" w:rsidRPr="00B54DC3">
        <w:t>podejm</w:t>
      </w:r>
      <w:r w:rsidRPr="00B54DC3">
        <w:t xml:space="preserve">ują </w:t>
      </w:r>
      <w:r w:rsidR="00EC69E9" w:rsidRPr="00B54DC3">
        <w:t xml:space="preserve">w miarę możliwości </w:t>
      </w:r>
      <w:r w:rsidR="00851165" w:rsidRPr="00B54DC3">
        <w:t xml:space="preserve">zatrudnienie poza rolnictwem lub w przypadku </w:t>
      </w:r>
      <w:r w:rsidR="007E7255" w:rsidRPr="00B54DC3">
        <w:t>terenów</w:t>
      </w:r>
      <w:r w:rsidR="00851165" w:rsidRPr="00B54DC3">
        <w:t xml:space="preserve"> </w:t>
      </w:r>
      <w:r w:rsidR="007E7255" w:rsidRPr="00B54DC3">
        <w:t xml:space="preserve">słabo zindustrializowanych – </w:t>
      </w:r>
      <w:r w:rsidR="003A746A" w:rsidRPr="00B54DC3">
        <w:t xml:space="preserve">często przemieszczają się </w:t>
      </w:r>
      <w:r w:rsidR="00EC69E9" w:rsidRPr="00B54DC3">
        <w:t>w celu uzyskania zatrudnienia</w:t>
      </w:r>
      <w:r w:rsidR="00851165" w:rsidRPr="00B54DC3">
        <w:t>.</w:t>
      </w:r>
      <w:r w:rsidR="00D80063" w:rsidRPr="00B54DC3">
        <w:t xml:space="preserve"> </w:t>
      </w:r>
      <w:r w:rsidR="00EC69E9" w:rsidRPr="00B54DC3">
        <w:t>Z</w:t>
      </w:r>
      <w:r w:rsidR="00261445" w:rsidRPr="00B54DC3">
        <w:t xml:space="preserve">mniejszenie się liczby bezrobotnych na wsi wynika </w:t>
      </w:r>
      <w:r w:rsidR="00EC69E9" w:rsidRPr="00B54DC3">
        <w:t xml:space="preserve">również </w:t>
      </w:r>
      <w:r w:rsidR="00261445" w:rsidRPr="00B54DC3">
        <w:t>z</w:t>
      </w:r>
      <w:r w:rsidR="00E806DE" w:rsidRPr="00B54DC3">
        <w:t> </w:t>
      </w:r>
      <w:r w:rsidR="00261445" w:rsidRPr="00B54DC3">
        <w:t>efektywniejsz</w:t>
      </w:r>
      <w:r w:rsidR="00EC69E9" w:rsidRPr="00B54DC3">
        <w:t xml:space="preserve">ej realizacji aktywnych </w:t>
      </w:r>
      <w:r w:rsidR="00E806DE" w:rsidRPr="00B54DC3">
        <w:t xml:space="preserve">programów </w:t>
      </w:r>
      <w:r w:rsidR="00EC69E9" w:rsidRPr="00B54DC3">
        <w:t>rynku pracy</w:t>
      </w:r>
      <w:r w:rsidR="00261445" w:rsidRPr="00B54DC3">
        <w:t>.</w:t>
      </w:r>
    </w:p>
    <w:p w:rsidR="00B54DC3" w:rsidRPr="00B54DC3" w:rsidRDefault="00B54DC3" w:rsidP="00B54DC3">
      <w:pPr>
        <w:pStyle w:val="Default"/>
        <w:jc w:val="both"/>
        <w:rPr>
          <w:sz w:val="16"/>
          <w:szCs w:val="16"/>
        </w:rPr>
      </w:pPr>
    </w:p>
    <w:p w:rsidR="00B54DC3" w:rsidRPr="004F28A7" w:rsidRDefault="00B54DC3" w:rsidP="00B54DC3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0" w:name="_Toc489263950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 szczególnej sytuacji na rynku pracy</w:t>
      </w:r>
      <w:bookmarkEnd w:id="10"/>
    </w:p>
    <w:p w:rsidR="00B54DC3" w:rsidRPr="00B54DC3" w:rsidRDefault="00B54DC3" w:rsidP="00B54DC3">
      <w:pPr>
        <w:pStyle w:val="Default"/>
        <w:spacing w:line="360" w:lineRule="auto"/>
        <w:jc w:val="both"/>
        <w:rPr>
          <w:sz w:val="16"/>
          <w:szCs w:val="16"/>
        </w:rPr>
      </w:pPr>
    </w:p>
    <w:p w:rsidR="00261445" w:rsidRPr="0029506F" w:rsidRDefault="00B54DC3" w:rsidP="0026144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  <w:r w:rsidRPr="00B54DC3">
        <w:rPr>
          <w:noProof/>
          <w:lang w:eastAsia="pl-PL"/>
        </w:rPr>
        <w:drawing>
          <wp:inline distT="0" distB="0" distL="0" distR="0" wp14:anchorId="07407D2B" wp14:editId="500E7E36">
            <wp:extent cx="5759450" cy="1408428"/>
            <wp:effectExtent l="0" t="0" r="0" b="1905"/>
            <wp:docPr id="46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408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C3" w:rsidRDefault="00B54DC3">
      <w:pPr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B54DC3" w:rsidRPr="00B54DC3" w:rsidRDefault="00B54DC3" w:rsidP="00B54DC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54DC3">
        <w:rPr>
          <w:rFonts w:ascii="Times New Roman" w:hAnsi="Times New Roman" w:cs="Times New Roman"/>
          <w:sz w:val="16"/>
          <w:szCs w:val="16"/>
        </w:rPr>
        <w:lastRenderedPageBreak/>
        <w:t>Tabela XVI. BEZROBOTNI W SZCZEGÓLNEJ SYTUACJI NA RYNKU PRACY</w:t>
      </w:r>
      <w:r>
        <w:rPr>
          <w:rFonts w:ascii="Times New Roman" w:hAnsi="Times New Roman" w:cs="Times New Roman"/>
          <w:sz w:val="16"/>
          <w:szCs w:val="16"/>
        </w:rPr>
        <w:t xml:space="preserve"> (.</w:t>
      </w:r>
      <w:proofErr w:type="spellStart"/>
      <w:r>
        <w:rPr>
          <w:rFonts w:ascii="Times New Roman" w:hAnsi="Times New Roman" w:cs="Times New Roman"/>
          <w:sz w:val="16"/>
          <w:szCs w:val="16"/>
        </w:rPr>
        <w:t>c.d</w:t>
      </w:r>
      <w:proofErr w:type="spellEnd"/>
      <w:r>
        <w:rPr>
          <w:rFonts w:ascii="Times New Roman" w:hAnsi="Times New Roman" w:cs="Times New Roman"/>
          <w:sz w:val="16"/>
          <w:szCs w:val="16"/>
        </w:rPr>
        <w:t>)</w:t>
      </w:r>
    </w:p>
    <w:p w:rsidR="00B54DC3" w:rsidRPr="00B54DC3" w:rsidRDefault="00B54DC3" w:rsidP="00B54DC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 w:rsidRPr="00B54DC3">
        <w:rPr>
          <w:rFonts w:ascii="Times New Roman" w:hAnsi="Times New Roman" w:cs="Times New Roman"/>
          <w:sz w:val="16"/>
          <w:szCs w:val="16"/>
        </w:rPr>
        <w:t xml:space="preserve">                     województwo podkarpackie</w:t>
      </w:r>
    </w:p>
    <w:p w:rsidR="00B54DC3" w:rsidRDefault="00B54DC3">
      <w:pPr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B54DC3" w:rsidRDefault="00B54DC3" w:rsidP="00EC400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  <w:r w:rsidRPr="00B54DC3">
        <w:rPr>
          <w:noProof/>
          <w:lang w:eastAsia="pl-PL"/>
        </w:rPr>
        <w:drawing>
          <wp:inline distT="0" distB="0" distL="0" distR="0" wp14:anchorId="570CC22B" wp14:editId="1F81E2AF">
            <wp:extent cx="5759450" cy="2012212"/>
            <wp:effectExtent l="0" t="0" r="0" b="7620"/>
            <wp:docPr id="47" name="Obraz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01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DC3" w:rsidRDefault="00B54DC3" w:rsidP="00EC400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B54DC3" w:rsidRPr="0029506F" w:rsidRDefault="00C12441" w:rsidP="00EC400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  <w:r w:rsidRPr="00C12441">
        <w:rPr>
          <w:noProof/>
          <w:lang w:eastAsia="pl-PL"/>
        </w:rPr>
        <w:drawing>
          <wp:inline distT="0" distB="0" distL="0" distR="0" wp14:anchorId="54E21F1A" wp14:editId="01D005E3">
            <wp:extent cx="5759450" cy="5308623"/>
            <wp:effectExtent l="0" t="0" r="0" b="6350"/>
            <wp:docPr id="48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308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441" w:rsidRDefault="00C12441">
      <w:pPr>
        <w:rPr>
          <w:noProof/>
          <w:highlight w:val="yellow"/>
          <w:lang w:eastAsia="pl-PL"/>
        </w:rPr>
      </w:pPr>
      <w:r>
        <w:rPr>
          <w:noProof/>
          <w:highlight w:val="yellow"/>
          <w:lang w:eastAsia="pl-PL"/>
        </w:rPr>
        <w:br w:type="page"/>
      </w:r>
    </w:p>
    <w:p w:rsidR="00C12441" w:rsidRDefault="00A75823">
      <w:pPr>
        <w:rPr>
          <w:noProof/>
          <w:highlight w:val="yellow"/>
          <w:lang w:eastAsia="pl-PL"/>
        </w:rPr>
      </w:pPr>
      <w:r w:rsidRPr="00A75823">
        <w:rPr>
          <w:noProof/>
          <w:lang w:eastAsia="pl-PL"/>
        </w:rPr>
        <w:lastRenderedPageBreak/>
        <w:drawing>
          <wp:inline distT="0" distB="0" distL="0" distR="0" wp14:anchorId="455C1680" wp14:editId="78D7F76D">
            <wp:extent cx="5759450" cy="4333961"/>
            <wp:effectExtent l="0" t="0" r="0" b="952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3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BFA" w:rsidRPr="00293424" w:rsidRDefault="000B5D76" w:rsidP="00404BFA">
      <w:pPr>
        <w:pStyle w:val="Default"/>
        <w:spacing w:line="360" w:lineRule="auto"/>
        <w:jc w:val="both"/>
      </w:pPr>
      <w:r w:rsidRPr="00293424">
        <w:t>Wnioski:</w:t>
      </w:r>
    </w:p>
    <w:p w:rsidR="00404BFA" w:rsidRPr="00790720" w:rsidRDefault="00404BFA" w:rsidP="00404BF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790720">
        <w:rPr>
          <w:rFonts w:ascii="Times New Roman" w:hAnsi="Times New Roman" w:cs="Times New Roman"/>
          <w:szCs w:val="24"/>
        </w:rPr>
        <w:t>(na podstawie danych</w:t>
      </w:r>
      <w:r w:rsidR="00AE5712" w:rsidRPr="00790720">
        <w:rPr>
          <w:rFonts w:ascii="Times New Roman" w:hAnsi="Times New Roman" w:cs="Times New Roman"/>
          <w:szCs w:val="24"/>
        </w:rPr>
        <w:t xml:space="preserve"> z </w:t>
      </w:r>
      <w:r w:rsidR="00065395" w:rsidRPr="00790720">
        <w:rPr>
          <w:rFonts w:ascii="Times New Roman" w:hAnsi="Times New Roman" w:cs="Times New Roman"/>
          <w:szCs w:val="24"/>
        </w:rPr>
        <w:t>t</w:t>
      </w:r>
      <w:r w:rsidRPr="00790720">
        <w:rPr>
          <w:rFonts w:ascii="Times New Roman" w:hAnsi="Times New Roman" w:cs="Times New Roman"/>
          <w:szCs w:val="24"/>
        </w:rPr>
        <w:t xml:space="preserve">abeli </w:t>
      </w:r>
      <w:r w:rsidR="00790720" w:rsidRPr="00790720">
        <w:rPr>
          <w:rFonts w:ascii="Times New Roman" w:hAnsi="Times New Roman" w:cs="Times New Roman"/>
          <w:szCs w:val="24"/>
        </w:rPr>
        <w:t>XVI</w:t>
      </w:r>
      <w:r w:rsidR="000B5D76" w:rsidRPr="00790720">
        <w:rPr>
          <w:rFonts w:ascii="Times New Roman" w:hAnsi="Times New Roman" w:cs="Times New Roman"/>
          <w:szCs w:val="24"/>
        </w:rPr>
        <w:t>,</w:t>
      </w:r>
      <w:r w:rsidRPr="00790720">
        <w:rPr>
          <w:rFonts w:ascii="Times New Roman" w:hAnsi="Times New Roman" w:cs="Times New Roman"/>
          <w:szCs w:val="24"/>
        </w:rPr>
        <w:t xml:space="preserve"> </w:t>
      </w:r>
      <w:r w:rsidR="00790720" w:rsidRPr="00790720">
        <w:rPr>
          <w:rFonts w:ascii="Times New Roman" w:hAnsi="Times New Roman" w:cs="Times New Roman"/>
          <w:szCs w:val="24"/>
        </w:rPr>
        <w:t>XVII</w:t>
      </w:r>
      <w:r w:rsidR="00AE5712" w:rsidRPr="00790720">
        <w:rPr>
          <w:rFonts w:ascii="Times New Roman" w:hAnsi="Times New Roman" w:cs="Times New Roman"/>
          <w:szCs w:val="24"/>
        </w:rPr>
        <w:t xml:space="preserve"> i </w:t>
      </w:r>
      <w:r w:rsidR="00790720" w:rsidRPr="00790720">
        <w:rPr>
          <w:rFonts w:ascii="Times New Roman" w:hAnsi="Times New Roman" w:cs="Times New Roman"/>
          <w:szCs w:val="24"/>
        </w:rPr>
        <w:t>XVIII</w:t>
      </w:r>
      <w:r w:rsidRPr="00790720">
        <w:rPr>
          <w:rFonts w:ascii="Times New Roman" w:hAnsi="Times New Roman" w:cs="Times New Roman"/>
          <w:szCs w:val="24"/>
        </w:rPr>
        <w:t>)</w:t>
      </w:r>
    </w:p>
    <w:p w:rsidR="0067454E" w:rsidRPr="00E2483F" w:rsidRDefault="00FB1767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E2483F">
        <w:rPr>
          <w:u w:val="single"/>
        </w:rPr>
        <w:t>N</w:t>
      </w:r>
      <w:r w:rsidR="0067454E" w:rsidRPr="00E2483F">
        <w:rPr>
          <w:u w:val="single"/>
        </w:rPr>
        <w:t>aj</w:t>
      </w:r>
      <w:r w:rsidR="007C0E95" w:rsidRPr="00E2483F">
        <w:rPr>
          <w:u w:val="single"/>
        </w:rPr>
        <w:t>liczniejsza grupa</w:t>
      </w:r>
      <w:r w:rsidR="00817A06" w:rsidRPr="00E2483F">
        <w:rPr>
          <w:u w:val="single"/>
        </w:rPr>
        <w:t xml:space="preserve"> </w:t>
      </w:r>
      <w:r w:rsidR="00C02574" w:rsidRPr="00E2483F">
        <w:rPr>
          <w:u w:val="single"/>
        </w:rPr>
        <w:t xml:space="preserve">bezrobotnych będących </w:t>
      </w:r>
      <w:r w:rsidR="00AE5712" w:rsidRPr="00E2483F">
        <w:rPr>
          <w:u w:val="single"/>
        </w:rPr>
        <w:t>w</w:t>
      </w:r>
      <w:r w:rsidR="00817A06" w:rsidRPr="00E2483F">
        <w:rPr>
          <w:u w:val="single"/>
        </w:rPr>
        <w:t xml:space="preserve"> </w:t>
      </w:r>
      <w:r w:rsidR="007C0E95" w:rsidRPr="00E2483F">
        <w:rPr>
          <w:u w:val="single"/>
        </w:rPr>
        <w:t>szczególnej</w:t>
      </w:r>
      <w:r w:rsidR="00817A06" w:rsidRPr="00E2483F">
        <w:rPr>
          <w:u w:val="single"/>
        </w:rPr>
        <w:t xml:space="preserve"> </w:t>
      </w:r>
      <w:r w:rsidR="007C0E95" w:rsidRPr="00E2483F">
        <w:rPr>
          <w:u w:val="single"/>
        </w:rPr>
        <w:t>sytuacji na rynku pracy t</w:t>
      </w:r>
      <w:r w:rsidR="00A97EF7" w:rsidRPr="00E2483F">
        <w:rPr>
          <w:u w:val="single"/>
        </w:rPr>
        <w:t>o</w:t>
      </w:r>
      <w:r w:rsidR="007C0E95" w:rsidRPr="00E2483F">
        <w:rPr>
          <w:u w:val="single"/>
        </w:rPr>
        <w:t xml:space="preserve"> długotrwale bezrobotn</w:t>
      </w:r>
      <w:r w:rsidR="00C02574" w:rsidRPr="00E2483F">
        <w:rPr>
          <w:u w:val="single"/>
        </w:rPr>
        <w:t xml:space="preserve">i – </w:t>
      </w:r>
      <w:r w:rsidR="006D01E1" w:rsidRPr="00E2483F">
        <w:rPr>
          <w:u w:val="single"/>
        </w:rPr>
        <w:t>5</w:t>
      </w:r>
      <w:r w:rsidR="00E459A1" w:rsidRPr="00E2483F">
        <w:t>7</w:t>
      </w:r>
      <w:r w:rsidR="007C0E95" w:rsidRPr="00E2483F">
        <w:t> </w:t>
      </w:r>
      <w:r w:rsidR="006D01E1" w:rsidRPr="00E2483F">
        <w:t>553</w:t>
      </w:r>
      <w:r w:rsidR="007C0E95" w:rsidRPr="00E2483F">
        <w:t xml:space="preserve"> (</w:t>
      </w:r>
      <w:r w:rsidR="00E2483F" w:rsidRPr="00E2483F">
        <w:t>69,7</w:t>
      </w:r>
      <w:r w:rsidR="0067454E" w:rsidRPr="00E2483F">
        <w:t>%</w:t>
      </w:r>
      <w:r w:rsidR="00E2483F" w:rsidRPr="00E2483F">
        <w:t xml:space="preserve"> ogółu bezrobotnych w szczególnej sytuacji na rynku pracy</w:t>
      </w:r>
      <w:r w:rsidR="007C0E95" w:rsidRPr="00E2483F">
        <w:t>)</w:t>
      </w:r>
      <w:r w:rsidR="00C02574" w:rsidRPr="00E2483F">
        <w:t xml:space="preserve">. </w:t>
      </w:r>
      <w:r w:rsidR="00E2483F" w:rsidRPr="00E2483F">
        <w:t>Ponadto w</w:t>
      </w:r>
      <w:r w:rsidR="002D5EA4" w:rsidRPr="00E2483F">
        <w:t xml:space="preserve"> okresie </w:t>
      </w:r>
      <w:r w:rsidR="00904BA5" w:rsidRPr="00E2483F">
        <w:t xml:space="preserve">I półrocza </w:t>
      </w:r>
      <w:r w:rsidR="007C0E95" w:rsidRPr="00E2483F">
        <w:t>201</w:t>
      </w:r>
      <w:r w:rsidR="00790720" w:rsidRPr="00E2483F">
        <w:t>7</w:t>
      </w:r>
      <w:r w:rsidR="007C0E95" w:rsidRPr="00E2483F">
        <w:t xml:space="preserve"> </w:t>
      </w:r>
      <w:r w:rsidR="002D5EA4" w:rsidRPr="00E2483F">
        <w:t xml:space="preserve">r. </w:t>
      </w:r>
      <w:r w:rsidR="00C02574" w:rsidRPr="00E2483F">
        <w:t xml:space="preserve">nastąpił spadek </w:t>
      </w:r>
      <w:r w:rsidR="00AE5712" w:rsidRPr="00E2483F">
        <w:t>o </w:t>
      </w:r>
      <w:r w:rsidR="00E2483F" w:rsidRPr="00E2483F">
        <w:t>7</w:t>
      </w:r>
      <w:r w:rsidR="007C0E95" w:rsidRPr="00E2483F">
        <w:t> </w:t>
      </w:r>
      <w:r w:rsidR="00E2483F" w:rsidRPr="00E2483F">
        <w:t>285</w:t>
      </w:r>
      <w:r w:rsidR="007C0E95" w:rsidRPr="00E2483F">
        <w:t xml:space="preserve"> osób</w:t>
      </w:r>
      <w:r w:rsidRPr="00E2483F">
        <w:t>.</w:t>
      </w:r>
      <w:r w:rsidR="00E459A1" w:rsidRPr="00E2483F">
        <w:t xml:space="preserve"> </w:t>
      </w:r>
    </w:p>
    <w:p w:rsidR="00F14F05" w:rsidRPr="00031F0A" w:rsidRDefault="00F14F05" w:rsidP="0046000D">
      <w:pPr>
        <w:pStyle w:val="Default"/>
        <w:numPr>
          <w:ilvl w:val="0"/>
          <w:numId w:val="7"/>
        </w:numPr>
        <w:spacing w:line="360" w:lineRule="auto"/>
        <w:jc w:val="both"/>
      </w:pPr>
      <w:r w:rsidRPr="00031F0A">
        <w:t xml:space="preserve">W </w:t>
      </w:r>
      <w:r w:rsidR="009360A8" w:rsidRPr="00031F0A">
        <w:t xml:space="preserve">ogólnej </w:t>
      </w:r>
      <w:r w:rsidRPr="00031F0A">
        <w:t xml:space="preserve">strukturze bezrobotnych długotrwale </w:t>
      </w:r>
      <w:r w:rsidR="009360A8" w:rsidRPr="00031F0A">
        <w:t xml:space="preserve">w województwie </w:t>
      </w:r>
      <w:r w:rsidRPr="00031F0A">
        <w:t>przeważają kobiety</w:t>
      </w:r>
      <w:r w:rsidR="00154DF3">
        <w:t>.</w:t>
      </w:r>
      <w:r w:rsidR="00124A1A" w:rsidRPr="00031F0A">
        <w:t xml:space="preserve"> </w:t>
      </w:r>
      <w:r w:rsidR="00154DF3">
        <w:t>W</w:t>
      </w:r>
      <w:r w:rsidR="00135178" w:rsidRPr="00031F0A">
        <w:t> </w:t>
      </w:r>
      <w:r w:rsidR="00124A1A" w:rsidRPr="00031F0A">
        <w:t xml:space="preserve">powiatach </w:t>
      </w:r>
      <w:r w:rsidR="009360A8" w:rsidRPr="00031F0A">
        <w:t>n</w:t>
      </w:r>
      <w:r w:rsidR="00435EF8" w:rsidRPr="00031F0A">
        <w:t>ajwiększ</w:t>
      </w:r>
      <w:r w:rsidR="00124A1A" w:rsidRPr="00031F0A">
        <w:t>y</w:t>
      </w:r>
      <w:r w:rsidR="00435EF8" w:rsidRPr="00031F0A">
        <w:t xml:space="preserve"> </w:t>
      </w:r>
      <w:r w:rsidR="00154DF3">
        <w:t xml:space="preserve">ich </w:t>
      </w:r>
      <w:r w:rsidR="00124A1A" w:rsidRPr="00031F0A">
        <w:t xml:space="preserve">udział </w:t>
      </w:r>
      <w:r w:rsidR="009355F7" w:rsidRPr="00031F0A">
        <w:t>odnotowano</w:t>
      </w:r>
      <w:r w:rsidRPr="00031F0A">
        <w:t xml:space="preserve"> </w:t>
      </w:r>
      <w:r w:rsidR="0046000D" w:rsidRPr="00031F0A">
        <w:t xml:space="preserve">między innymi </w:t>
      </w:r>
      <w:r w:rsidR="00AE5712" w:rsidRPr="00031F0A">
        <w:t>w</w:t>
      </w:r>
      <w:r w:rsidR="00124A1A" w:rsidRPr="00031F0A">
        <w:t xml:space="preserve"> następujących</w:t>
      </w:r>
      <w:r w:rsidR="00435EF8" w:rsidRPr="00031F0A">
        <w:t xml:space="preserve">: </w:t>
      </w:r>
      <w:r w:rsidR="0046000D" w:rsidRPr="00031F0A">
        <w:t>dębickim – 66,65%, jasielskim – 65,63</w:t>
      </w:r>
      <w:r w:rsidR="00031F0A" w:rsidRPr="00031F0A">
        <w:t xml:space="preserve">%, </w:t>
      </w:r>
      <w:r w:rsidR="0046000D" w:rsidRPr="00031F0A">
        <w:t>tarnobrzeski</w:t>
      </w:r>
      <w:r w:rsidR="00031F0A" w:rsidRPr="00031F0A">
        <w:t xml:space="preserve">m – </w:t>
      </w:r>
      <w:r w:rsidR="0046000D" w:rsidRPr="00031F0A">
        <w:t>63,29</w:t>
      </w:r>
      <w:r w:rsidR="00031F0A" w:rsidRPr="00031F0A">
        <w:t xml:space="preserve">%, </w:t>
      </w:r>
      <w:r w:rsidR="0046000D" w:rsidRPr="00031F0A">
        <w:t>brzozowski</w:t>
      </w:r>
      <w:r w:rsidR="00031F0A" w:rsidRPr="00031F0A">
        <w:t xml:space="preserve">m – </w:t>
      </w:r>
      <w:r w:rsidR="0046000D" w:rsidRPr="00031F0A">
        <w:t>63,03</w:t>
      </w:r>
      <w:r w:rsidR="00031F0A" w:rsidRPr="00031F0A">
        <w:t xml:space="preserve">%, </w:t>
      </w:r>
      <w:r w:rsidR="0046000D" w:rsidRPr="00031F0A">
        <w:t>krośnieński</w:t>
      </w:r>
      <w:r w:rsidR="00031F0A" w:rsidRPr="00031F0A">
        <w:t xml:space="preserve">m – </w:t>
      </w:r>
      <w:r w:rsidR="0046000D" w:rsidRPr="00031F0A">
        <w:t>62,66</w:t>
      </w:r>
      <w:r w:rsidR="00031F0A" w:rsidRPr="00031F0A">
        <w:t xml:space="preserve">%, </w:t>
      </w:r>
      <w:r w:rsidR="0046000D" w:rsidRPr="00031F0A">
        <w:t>stalowowolski</w:t>
      </w:r>
      <w:r w:rsidR="00031F0A" w:rsidRPr="00031F0A">
        <w:t xml:space="preserve">m – </w:t>
      </w:r>
      <w:r w:rsidR="0046000D" w:rsidRPr="00031F0A">
        <w:t>62,35</w:t>
      </w:r>
      <w:r w:rsidR="00031F0A" w:rsidRPr="00031F0A">
        <w:t xml:space="preserve">%, </w:t>
      </w:r>
      <w:r w:rsidR="0046000D" w:rsidRPr="00031F0A">
        <w:t>mielecki</w:t>
      </w:r>
      <w:r w:rsidR="00031F0A" w:rsidRPr="00031F0A">
        <w:t xml:space="preserve">m – </w:t>
      </w:r>
      <w:r w:rsidR="0046000D" w:rsidRPr="00031F0A">
        <w:t>60,54</w:t>
      </w:r>
      <w:r w:rsidR="00031F0A" w:rsidRPr="00031F0A">
        <w:t xml:space="preserve">%, </w:t>
      </w:r>
      <w:r w:rsidR="0046000D" w:rsidRPr="00031F0A">
        <w:t>strzyżowski</w:t>
      </w:r>
      <w:r w:rsidR="00031F0A" w:rsidRPr="00031F0A">
        <w:t xml:space="preserve">m – </w:t>
      </w:r>
      <w:r w:rsidR="0046000D" w:rsidRPr="00031F0A">
        <w:t>60,32</w:t>
      </w:r>
      <w:r w:rsidR="00031F0A" w:rsidRPr="00031F0A">
        <w:t xml:space="preserve">%, </w:t>
      </w:r>
      <w:r w:rsidR="0046000D" w:rsidRPr="00031F0A">
        <w:t>przeworski</w:t>
      </w:r>
      <w:r w:rsidR="00031F0A" w:rsidRPr="00031F0A">
        <w:t xml:space="preserve">m – </w:t>
      </w:r>
      <w:r w:rsidR="0046000D" w:rsidRPr="00031F0A">
        <w:t>59,28</w:t>
      </w:r>
      <w:r w:rsidR="00031F0A" w:rsidRPr="00031F0A">
        <w:t xml:space="preserve">% czy </w:t>
      </w:r>
      <w:r w:rsidR="0046000D" w:rsidRPr="00031F0A">
        <w:t>ropczycko-sędziszowski</w:t>
      </w:r>
      <w:r w:rsidR="00031F0A" w:rsidRPr="00031F0A">
        <w:t xml:space="preserve">m – </w:t>
      </w:r>
      <w:r w:rsidR="0046000D" w:rsidRPr="00031F0A">
        <w:t>59,04</w:t>
      </w:r>
      <w:r w:rsidR="00031F0A" w:rsidRPr="00031F0A">
        <w:t xml:space="preserve">% i m. </w:t>
      </w:r>
      <w:r w:rsidR="0046000D" w:rsidRPr="00031F0A">
        <w:t>Kro</w:t>
      </w:r>
      <w:r w:rsidR="00031F0A" w:rsidRPr="00031F0A">
        <w:t xml:space="preserve">śnie – </w:t>
      </w:r>
      <w:r w:rsidR="0046000D" w:rsidRPr="00031F0A">
        <w:t>58,66</w:t>
      </w:r>
      <w:r w:rsidR="00031F0A" w:rsidRPr="00031F0A">
        <w:t>%.</w:t>
      </w:r>
    </w:p>
    <w:p w:rsidR="00435EF8" w:rsidRPr="00154DF3" w:rsidRDefault="00E03053" w:rsidP="00E03053">
      <w:pPr>
        <w:pStyle w:val="Default"/>
        <w:numPr>
          <w:ilvl w:val="0"/>
          <w:numId w:val="7"/>
        </w:numPr>
        <w:spacing w:line="360" w:lineRule="auto"/>
        <w:jc w:val="both"/>
      </w:pPr>
      <w:r w:rsidRPr="00154DF3">
        <w:t xml:space="preserve">W </w:t>
      </w:r>
      <w:r w:rsidR="00031F0A" w:rsidRPr="00154DF3">
        <w:t>1</w:t>
      </w:r>
      <w:r w:rsidRPr="00154DF3">
        <w:t xml:space="preserve"> pow</w:t>
      </w:r>
      <w:r w:rsidR="00154DF3" w:rsidRPr="00154DF3">
        <w:t xml:space="preserve">iecie – </w:t>
      </w:r>
      <w:r w:rsidRPr="00154DF3">
        <w:t>kobiety bezrobotne długotrwale nie stanowiły przewagi. Był to następując</w:t>
      </w:r>
      <w:r w:rsidR="00154DF3" w:rsidRPr="00154DF3">
        <w:t>y</w:t>
      </w:r>
      <w:r w:rsidR="00154DF3">
        <w:t xml:space="preserve"> – </w:t>
      </w:r>
      <w:r w:rsidR="00154DF3" w:rsidRPr="00154DF3">
        <w:t xml:space="preserve">powiat leski </w:t>
      </w:r>
      <w:r w:rsidR="00154DF3">
        <w:t>(</w:t>
      </w:r>
      <w:r w:rsidRPr="00154DF3">
        <w:t>49,</w:t>
      </w:r>
      <w:r w:rsidR="00154DF3" w:rsidRPr="00154DF3">
        <w:t>66</w:t>
      </w:r>
      <w:r w:rsidR="009360A8" w:rsidRPr="00154DF3">
        <w:t>%</w:t>
      </w:r>
      <w:r w:rsidR="00154DF3">
        <w:t>)</w:t>
      </w:r>
      <w:r w:rsidR="00154DF3" w:rsidRPr="00154DF3">
        <w:t>.</w:t>
      </w:r>
    </w:p>
    <w:p w:rsidR="00F020B1" w:rsidRPr="00385FBF" w:rsidRDefault="00CB472E" w:rsidP="00046A38">
      <w:pPr>
        <w:pStyle w:val="Default"/>
        <w:numPr>
          <w:ilvl w:val="0"/>
          <w:numId w:val="7"/>
        </w:numPr>
        <w:spacing w:line="360" w:lineRule="auto"/>
        <w:jc w:val="both"/>
      </w:pPr>
      <w:r w:rsidRPr="00385FBF">
        <w:t>W</w:t>
      </w:r>
      <w:r w:rsidR="00435EF8" w:rsidRPr="00385FBF">
        <w:t xml:space="preserve"> </w:t>
      </w:r>
      <w:r w:rsidR="002D5EA4" w:rsidRPr="00385FBF">
        <w:t>okresie</w:t>
      </w:r>
      <w:r w:rsidR="00435EF8" w:rsidRPr="00385FBF">
        <w:t xml:space="preserve"> </w:t>
      </w:r>
      <w:r w:rsidR="009355F7" w:rsidRPr="00385FBF">
        <w:t xml:space="preserve">I półrocza </w:t>
      </w:r>
      <w:r w:rsidR="00435EF8" w:rsidRPr="00385FBF">
        <w:t>201</w:t>
      </w:r>
      <w:r w:rsidR="00790720" w:rsidRPr="00385FBF">
        <w:t>7</w:t>
      </w:r>
      <w:r w:rsidR="009355F7" w:rsidRPr="00385FBF">
        <w:t xml:space="preserve"> r.</w:t>
      </w:r>
      <w:r w:rsidR="00435EF8" w:rsidRPr="00385FBF">
        <w:t xml:space="preserve"> </w:t>
      </w:r>
      <w:r w:rsidR="003838F7" w:rsidRPr="00385FBF">
        <w:t>we wszystkich powiatach</w:t>
      </w:r>
      <w:r w:rsidR="009360A8" w:rsidRPr="00385FBF">
        <w:t xml:space="preserve"> w województwie nastąpił </w:t>
      </w:r>
      <w:r w:rsidR="003838F7" w:rsidRPr="00385FBF">
        <w:t>spadek bezrobotnych długotrwale</w:t>
      </w:r>
      <w:r w:rsidR="009360A8" w:rsidRPr="00385FBF">
        <w:t xml:space="preserve"> – </w:t>
      </w:r>
      <w:r w:rsidR="003838F7" w:rsidRPr="00385FBF">
        <w:t xml:space="preserve">w tym </w:t>
      </w:r>
      <w:r w:rsidR="00435EF8" w:rsidRPr="00385FBF">
        <w:t>największy</w:t>
      </w:r>
      <w:r w:rsidR="003838F7" w:rsidRPr="00385FBF">
        <w:t xml:space="preserve"> </w:t>
      </w:r>
      <w:r w:rsidR="00641441" w:rsidRPr="00385FBF">
        <w:t xml:space="preserve">(w wartościach procentowych) </w:t>
      </w:r>
      <w:r w:rsidR="00046A38" w:rsidRPr="00385FBF">
        <w:t xml:space="preserve">między innymi </w:t>
      </w:r>
      <w:r w:rsidR="002C02E3" w:rsidRPr="00385FBF">
        <w:t xml:space="preserve">w: </w:t>
      </w:r>
      <w:r w:rsidR="00641441" w:rsidRPr="00385FBF">
        <w:t xml:space="preserve">łańcuckim i lubaczowskim – po 17,0%, mieleckim – 16,6%, krośnieńskim – </w:t>
      </w:r>
      <w:r w:rsidR="00641441" w:rsidRPr="00385FBF">
        <w:lastRenderedPageBreak/>
        <w:t>16,4%, dębickim – 16,4%, sanockim – 16,2%, strzyżowskim – 15,3%, stalowowolskim – 14,5%, leskim – 13,6%</w:t>
      </w:r>
      <w:r w:rsidR="003838F7" w:rsidRPr="00385FBF">
        <w:t>.</w:t>
      </w:r>
    </w:p>
    <w:p w:rsidR="005A64DA" w:rsidRPr="00385FBF" w:rsidRDefault="00CB472E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385FBF">
        <w:rPr>
          <w:u w:val="single"/>
        </w:rPr>
        <w:t>D</w:t>
      </w:r>
      <w:r w:rsidR="007C0E95" w:rsidRPr="00385FBF">
        <w:rPr>
          <w:u w:val="single"/>
        </w:rPr>
        <w:t>rugą</w:t>
      </w:r>
      <w:r w:rsidR="002D5EA4" w:rsidRPr="00385FBF">
        <w:rPr>
          <w:u w:val="single"/>
        </w:rPr>
        <w:t xml:space="preserve"> – </w:t>
      </w:r>
      <w:r w:rsidR="002C02E3" w:rsidRPr="00385FBF">
        <w:rPr>
          <w:u w:val="single"/>
        </w:rPr>
        <w:t xml:space="preserve">co do </w:t>
      </w:r>
      <w:r w:rsidR="00385FBF" w:rsidRPr="00385FBF">
        <w:rPr>
          <w:u w:val="single"/>
        </w:rPr>
        <w:t>wielkości</w:t>
      </w:r>
      <w:r w:rsidR="005A64DA" w:rsidRPr="00385FBF">
        <w:rPr>
          <w:u w:val="single"/>
        </w:rPr>
        <w:t xml:space="preserve"> – </w:t>
      </w:r>
      <w:r w:rsidR="002C02E3" w:rsidRPr="00385FBF">
        <w:rPr>
          <w:u w:val="single"/>
        </w:rPr>
        <w:t>stanowi</w:t>
      </w:r>
      <w:r w:rsidR="00385FBF" w:rsidRPr="00385FBF">
        <w:rPr>
          <w:u w:val="single"/>
        </w:rPr>
        <w:t>ła</w:t>
      </w:r>
      <w:r w:rsidR="002C02E3" w:rsidRPr="00385FBF">
        <w:rPr>
          <w:u w:val="single"/>
        </w:rPr>
        <w:t xml:space="preserve"> zbiorowość </w:t>
      </w:r>
      <w:r w:rsidR="005A64DA" w:rsidRPr="00385FBF">
        <w:rPr>
          <w:u w:val="single"/>
        </w:rPr>
        <w:t xml:space="preserve">osób </w:t>
      </w:r>
      <w:r w:rsidR="002C02E3" w:rsidRPr="00385FBF">
        <w:rPr>
          <w:u w:val="single"/>
        </w:rPr>
        <w:t>bezrobotnych</w:t>
      </w:r>
      <w:r w:rsidR="007C0E95" w:rsidRPr="00385FBF">
        <w:rPr>
          <w:u w:val="single"/>
        </w:rPr>
        <w:t xml:space="preserve"> </w:t>
      </w:r>
      <w:r w:rsidR="00385FBF" w:rsidRPr="00385FBF">
        <w:rPr>
          <w:u w:val="single"/>
        </w:rPr>
        <w:t xml:space="preserve">będących </w:t>
      </w:r>
      <w:r w:rsidR="007C0E95" w:rsidRPr="00385FBF">
        <w:rPr>
          <w:u w:val="single"/>
        </w:rPr>
        <w:t>do 30 roku życia</w:t>
      </w:r>
      <w:r w:rsidR="007C0E95" w:rsidRPr="00385FBF">
        <w:t xml:space="preserve">, która </w:t>
      </w:r>
      <w:r w:rsidR="002474CA" w:rsidRPr="00385FBF">
        <w:t>w</w:t>
      </w:r>
      <w:r w:rsidR="002D5EA4" w:rsidRPr="00385FBF">
        <w:t xml:space="preserve">g stanu na koniec </w:t>
      </w:r>
      <w:r w:rsidR="005A64DA" w:rsidRPr="00385FBF">
        <w:t>I półrocz</w:t>
      </w:r>
      <w:r w:rsidR="002D5EA4" w:rsidRPr="00385FBF">
        <w:t xml:space="preserve">a </w:t>
      </w:r>
      <w:r w:rsidR="002474CA" w:rsidRPr="00385FBF">
        <w:t>201</w:t>
      </w:r>
      <w:r w:rsidR="00385FBF" w:rsidRPr="00385FBF">
        <w:t>7</w:t>
      </w:r>
      <w:r w:rsidR="002474CA" w:rsidRPr="00385FBF">
        <w:t xml:space="preserve"> r. </w:t>
      </w:r>
      <w:r w:rsidR="00385FBF" w:rsidRPr="00385FBF">
        <w:t>obejmowała</w:t>
      </w:r>
      <w:r w:rsidR="005A64DA" w:rsidRPr="00385FBF">
        <w:t xml:space="preserve"> </w:t>
      </w:r>
      <w:r w:rsidR="00385FBF" w:rsidRPr="00385FBF">
        <w:t>26</w:t>
      </w:r>
      <w:r w:rsidR="005A64DA" w:rsidRPr="00385FBF">
        <w:t> </w:t>
      </w:r>
      <w:r w:rsidR="00385FBF" w:rsidRPr="00385FBF">
        <w:t>576</w:t>
      </w:r>
      <w:r w:rsidR="007C0E95" w:rsidRPr="00385FBF">
        <w:t xml:space="preserve"> </w:t>
      </w:r>
      <w:r w:rsidR="005A64DA" w:rsidRPr="00385FBF">
        <w:t>bezrobotnych</w:t>
      </w:r>
      <w:r w:rsidR="007C0E95" w:rsidRPr="00385FBF">
        <w:t xml:space="preserve"> (</w:t>
      </w:r>
      <w:r w:rsidR="00F6040F" w:rsidRPr="00385FBF">
        <w:t>3</w:t>
      </w:r>
      <w:r w:rsidR="00385FBF" w:rsidRPr="00385FBF">
        <w:t>2</w:t>
      </w:r>
      <w:r w:rsidR="00F6040F" w:rsidRPr="00385FBF">
        <w:t>,</w:t>
      </w:r>
      <w:r w:rsidR="00385FBF" w:rsidRPr="00385FBF">
        <w:t>2</w:t>
      </w:r>
      <w:r w:rsidR="00F6040F" w:rsidRPr="00385FBF">
        <w:t>%</w:t>
      </w:r>
      <w:r w:rsidR="005A64DA" w:rsidRPr="00385FBF">
        <w:t xml:space="preserve"> ogółu bezrobotnych będących w szczególnej sytuacji</w:t>
      </w:r>
      <w:r w:rsidR="007C0E95" w:rsidRPr="00385FBF">
        <w:t>)</w:t>
      </w:r>
      <w:r w:rsidR="005A64DA" w:rsidRPr="00385FBF">
        <w:t>.</w:t>
      </w:r>
      <w:r w:rsidR="00385FBF" w:rsidRPr="00385FBF">
        <w:t xml:space="preserve"> </w:t>
      </w:r>
      <w:r w:rsidR="005A64DA" w:rsidRPr="00385FBF">
        <w:t>W I półrocz</w:t>
      </w:r>
      <w:r w:rsidR="002D5EA4" w:rsidRPr="00385FBF">
        <w:t>u</w:t>
      </w:r>
      <w:r w:rsidR="005A64DA" w:rsidRPr="00385FBF">
        <w:t xml:space="preserve"> 201</w:t>
      </w:r>
      <w:r w:rsidR="00385FBF" w:rsidRPr="00385FBF">
        <w:t>7</w:t>
      </w:r>
      <w:r w:rsidR="005A64DA" w:rsidRPr="00385FBF">
        <w:t xml:space="preserve"> r. odnotowano spadek o </w:t>
      </w:r>
      <w:r w:rsidR="00385FBF" w:rsidRPr="00385FBF">
        <w:t>7</w:t>
      </w:r>
      <w:r w:rsidR="005A64DA" w:rsidRPr="00385FBF">
        <w:t> </w:t>
      </w:r>
      <w:r w:rsidR="00385FBF" w:rsidRPr="00385FBF">
        <w:t>028</w:t>
      </w:r>
      <w:r w:rsidR="005A64DA" w:rsidRPr="00385FBF">
        <w:t xml:space="preserve"> bezrobotnych.</w:t>
      </w:r>
    </w:p>
    <w:p w:rsidR="00121588" w:rsidRPr="00121588" w:rsidRDefault="00CB472E" w:rsidP="00121588">
      <w:pPr>
        <w:pStyle w:val="Default"/>
        <w:numPr>
          <w:ilvl w:val="0"/>
          <w:numId w:val="7"/>
        </w:numPr>
        <w:spacing w:line="360" w:lineRule="auto"/>
        <w:jc w:val="both"/>
      </w:pPr>
      <w:r w:rsidRPr="00121588">
        <w:t>N</w:t>
      </w:r>
      <w:r w:rsidR="007B1E3D" w:rsidRPr="00121588">
        <w:t>ajwięcej bezrobotnych</w:t>
      </w:r>
      <w:r w:rsidR="00AE5712" w:rsidRPr="00121588">
        <w:t xml:space="preserve"> </w:t>
      </w:r>
      <w:r w:rsidR="007B1E3D" w:rsidRPr="00121588">
        <w:t xml:space="preserve">do 30 roku życia </w:t>
      </w:r>
      <w:r w:rsidR="00F01915" w:rsidRPr="00121588">
        <w:t xml:space="preserve">kumuluje się w </w:t>
      </w:r>
      <w:r w:rsidR="002B6FBA" w:rsidRPr="00121588">
        <w:t xml:space="preserve">następujących </w:t>
      </w:r>
      <w:r w:rsidR="007B1E3D" w:rsidRPr="00121588">
        <w:t>powiatach</w:t>
      </w:r>
      <w:r w:rsidR="002B6FBA" w:rsidRPr="00121588">
        <w:t xml:space="preserve"> (lub miastach na prawach powiatów)</w:t>
      </w:r>
      <w:r w:rsidR="007B1E3D" w:rsidRPr="00121588">
        <w:t xml:space="preserve">: </w:t>
      </w:r>
      <w:r w:rsidR="00121588" w:rsidRPr="00121588">
        <w:t xml:space="preserve">rzeszowskim – 2 269, jarosławskim – 1 914, m. Rzeszowie – 1 709, jasielskim – </w:t>
      </w:r>
      <w:r w:rsidR="00121588" w:rsidRPr="00121588">
        <w:tab/>
        <w:t xml:space="preserve">1 520, dębickim – 1 424, przemyskim – 1 373, przeworskim – 1 358, niżańskim – 1 348, leżajskim – 1 274, brzozowskim – </w:t>
      </w:r>
      <w:r w:rsidR="00121588" w:rsidRPr="00121588">
        <w:tab/>
        <w:t>1 259, ropczycko – sędziszowskim – 1 189 czy strzyżowskim – 1 127.</w:t>
      </w:r>
    </w:p>
    <w:p w:rsidR="00121588" w:rsidRPr="000A23EA" w:rsidRDefault="00CB472E" w:rsidP="00121588">
      <w:pPr>
        <w:pStyle w:val="Default"/>
        <w:numPr>
          <w:ilvl w:val="0"/>
          <w:numId w:val="7"/>
        </w:numPr>
        <w:spacing w:line="360" w:lineRule="auto"/>
        <w:jc w:val="both"/>
      </w:pPr>
      <w:r w:rsidRPr="000A23EA">
        <w:t>N</w:t>
      </w:r>
      <w:r w:rsidR="007B1E3D" w:rsidRPr="000A23EA">
        <w:t>ajmniej osób bezrobotnych</w:t>
      </w:r>
      <w:r w:rsidR="00AE5712" w:rsidRPr="000A23EA">
        <w:t xml:space="preserve"> </w:t>
      </w:r>
      <w:r w:rsidR="007B1E3D" w:rsidRPr="000A23EA">
        <w:t xml:space="preserve">do 30 roku życia </w:t>
      </w:r>
      <w:r w:rsidR="00AB5C19" w:rsidRPr="000A23EA">
        <w:t>odnotowano w</w:t>
      </w:r>
      <w:r w:rsidR="0043422B" w:rsidRPr="000A23EA">
        <w:t xml:space="preserve">: </w:t>
      </w:r>
      <w:r w:rsidR="00121588" w:rsidRPr="000A23EA">
        <w:t xml:space="preserve">m. Krośnie – 231, m. Tarnobrzegu – 358, powiecie bieszczadzkim – 410, leskim – 522, tarnobrzeskim – </w:t>
      </w:r>
      <w:r w:rsidR="00121588" w:rsidRPr="000A23EA">
        <w:tab/>
        <w:t xml:space="preserve">563, kolbuszowskim – </w:t>
      </w:r>
      <w:r w:rsidR="00121588" w:rsidRPr="000A23EA">
        <w:tab/>
        <w:t>665 i stalowowolskim – 684</w:t>
      </w:r>
      <w:r w:rsidR="000A23EA" w:rsidRPr="000A23EA">
        <w:t>.</w:t>
      </w:r>
    </w:p>
    <w:p w:rsidR="00CC18AD" w:rsidRPr="00371F3D" w:rsidRDefault="00371F3D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371F3D">
        <w:t xml:space="preserve">W </w:t>
      </w:r>
      <w:r w:rsidR="002D0461">
        <w:t xml:space="preserve">grupie </w:t>
      </w:r>
      <w:r w:rsidRPr="00371F3D">
        <w:t>osób bezrobotnych do 30 roku życia – w</w:t>
      </w:r>
      <w:r w:rsidR="00E13217" w:rsidRPr="00371F3D">
        <w:t xml:space="preserve"> okresie I półrocza 201</w:t>
      </w:r>
      <w:r w:rsidRPr="00371F3D">
        <w:t>7</w:t>
      </w:r>
      <w:r w:rsidR="00E13217" w:rsidRPr="00371F3D">
        <w:t xml:space="preserve"> r. </w:t>
      </w:r>
      <w:r w:rsidR="00CC18AD" w:rsidRPr="00371F3D">
        <w:t>zmniejszył</w:t>
      </w:r>
      <w:r w:rsidR="00E13217" w:rsidRPr="00371F3D">
        <w:t>a</w:t>
      </w:r>
      <w:r w:rsidR="00CC18AD" w:rsidRPr="00371F3D">
        <w:t xml:space="preserve"> się</w:t>
      </w:r>
      <w:r w:rsidR="00D31778" w:rsidRPr="00371F3D">
        <w:t xml:space="preserve"> </w:t>
      </w:r>
      <w:r w:rsidR="00E13217" w:rsidRPr="00371F3D">
        <w:t xml:space="preserve">liczba bezrobotnych do </w:t>
      </w:r>
      <w:r w:rsidR="00E13217" w:rsidRPr="00BE18DD">
        <w:rPr>
          <w:b/>
        </w:rPr>
        <w:t>25 roku życia</w:t>
      </w:r>
      <w:r w:rsidR="00E13217" w:rsidRPr="00371F3D">
        <w:t xml:space="preserve"> </w:t>
      </w:r>
      <w:r w:rsidR="00AE5712" w:rsidRPr="00371F3D">
        <w:t>o</w:t>
      </w:r>
      <w:r w:rsidR="00E13217" w:rsidRPr="00371F3D">
        <w:t> </w:t>
      </w:r>
      <w:r w:rsidR="00D31778" w:rsidRPr="00371F3D">
        <w:t>2</w:t>
      </w:r>
      <w:r w:rsidRPr="00371F3D">
        <w:t>4</w:t>
      </w:r>
      <w:r w:rsidR="00CC18AD" w:rsidRPr="00371F3D">
        <w:t>,</w:t>
      </w:r>
      <w:r w:rsidRPr="00371F3D">
        <w:t>8</w:t>
      </w:r>
      <w:r w:rsidR="00CC18AD" w:rsidRPr="00371F3D">
        <w:t xml:space="preserve">%, którzy </w:t>
      </w:r>
      <w:r w:rsidR="00E13217" w:rsidRPr="00371F3D">
        <w:t>wg stanu na 30</w:t>
      </w:r>
      <w:r w:rsidRPr="00371F3D">
        <w:t xml:space="preserve"> </w:t>
      </w:r>
      <w:r w:rsidR="00E13217" w:rsidRPr="00371F3D">
        <w:t>VI</w:t>
      </w:r>
      <w:r w:rsidRPr="00371F3D">
        <w:t xml:space="preserve"> </w:t>
      </w:r>
      <w:r w:rsidR="00E13217" w:rsidRPr="00371F3D">
        <w:t>201</w:t>
      </w:r>
      <w:r w:rsidRPr="00371F3D">
        <w:t>7</w:t>
      </w:r>
      <w:r w:rsidR="00E13217" w:rsidRPr="00371F3D">
        <w:t xml:space="preserve"> r.</w:t>
      </w:r>
      <w:r w:rsidRPr="00371F3D">
        <w:t xml:space="preserve"> </w:t>
      </w:r>
      <w:r w:rsidR="00BE18DD">
        <w:t xml:space="preserve">stanowili </w:t>
      </w:r>
      <w:r w:rsidR="00CC18AD" w:rsidRPr="00371F3D">
        <w:t>1</w:t>
      </w:r>
      <w:r w:rsidRPr="00371F3D">
        <w:t>4</w:t>
      </w:r>
      <w:r w:rsidR="00CC18AD" w:rsidRPr="00371F3D">
        <w:t>,</w:t>
      </w:r>
      <w:r w:rsidRPr="00371F3D">
        <w:t>8</w:t>
      </w:r>
      <w:r w:rsidR="00CC18AD" w:rsidRPr="00371F3D">
        <w:t>% ogółu bezrobotnych</w:t>
      </w:r>
      <w:r w:rsidR="00D31778" w:rsidRPr="00371F3D">
        <w:t xml:space="preserve"> </w:t>
      </w:r>
      <w:r w:rsidR="00BE18DD">
        <w:t xml:space="preserve">będących </w:t>
      </w:r>
      <w:r w:rsidR="00D31778" w:rsidRPr="00371F3D">
        <w:t>w</w:t>
      </w:r>
      <w:r w:rsidR="00E13217" w:rsidRPr="00371F3D">
        <w:t> </w:t>
      </w:r>
      <w:r w:rsidR="00D31778" w:rsidRPr="00371F3D">
        <w:t>szczególnej sytuacji na rynku pracy</w:t>
      </w:r>
      <w:r w:rsidR="00CC18AD" w:rsidRPr="00371F3D">
        <w:t xml:space="preserve">. </w:t>
      </w:r>
    </w:p>
    <w:p w:rsidR="00F6040F" w:rsidRPr="00822605" w:rsidRDefault="00CB472E" w:rsidP="00160DB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605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7C0E95" w:rsidRPr="00822605">
        <w:rPr>
          <w:rFonts w:ascii="Times New Roman" w:hAnsi="Times New Roman" w:cs="Times New Roman"/>
          <w:sz w:val="24"/>
          <w:szCs w:val="24"/>
          <w:u w:val="single"/>
        </w:rPr>
        <w:t>rzecią</w:t>
      </w:r>
      <w:r w:rsidR="00AE5712" w:rsidRPr="00822605">
        <w:rPr>
          <w:rFonts w:ascii="Times New Roman" w:hAnsi="Times New Roman" w:cs="Times New Roman"/>
          <w:sz w:val="24"/>
          <w:szCs w:val="24"/>
          <w:u w:val="single"/>
        </w:rPr>
        <w:t xml:space="preserve"> w </w:t>
      </w:r>
      <w:r w:rsidR="007C0E95" w:rsidRPr="00822605">
        <w:rPr>
          <w:rFonts w:ascii="Times New Roman" w:hAnsi="Times New Roman" w:cs="Times New Roman"/>
          <w:sz w:val="24"/>
          <w:szCs w:val="24"/>
          <w:u w:val="single"/>
        </w:rPr>
        <w:t xml:space="preserve">kolejności </w:t>
      </w:r>
      <w:r w:rsidR="002D0461" w:rsidRPr="00822605">
        <w:rPr>
          <w:rFonts w:ascii="Times New Roman" w:hAnsi="Times New Roman" w:cs="Times New Roman"/>
          <w:sz w:val="24"/>
          <w:szCs w:val="24"/>
          <w:u w:val="single"/>
        </w:rPr>
        <w:t xml:space="preserve">jest </w:t>
      </w:r>
      <w:r w:rsidR="00E13217" w:rsidRPr="00822605">
        <w:rPr>
          <w:rFonts w:ascii="Times New Roman" w:hAnsi="Times New Roman" w:cs="Times New Roman"/>
          <w:sz w:val="24"/>
          <w:szCs w:val="24"/>
          <w:u w:val="single"/>
        </w:rPr>
        <w:t>zbiorowość bezrobotnych w szczególnej sytuacji</w:t>
      </w:r>
      <w:r w:rsidR="002D0461" w:rsidRPr="00822605">
        <w:rPr>
          <w:rFonts w:ascii="Times New Roman" w:hAnsi="Times New Roman" w:cs="Times New Roman"/>
          <w:sz w:val="24"/>
          <w:szCs w:val="24"/>
          <w:u w:val="single"/>
        </w:rPr>
        <w:t xml:space="preserve">, którą </w:t>
      </w:r>
      <w:r w:rsidR="00E13217" w:rsidRPr="00822605">
        <w:rPr>
          <w:rFonts w:ascii="Times New Roman" w:hAnsi="Times New Roman" w:cs="Times New Roman"/>
          <w:sz w:val="24"/>
          <w:szCs w:val="24"/>
          <w:u w:val="single"/>
        </w:rPr>
        <w:t xml:space="preserve"> stanowią osoby </w:t>
      </w:r>
      <w:r w:rsidR="007C0E95" w:rsidRPr="00822605">
        <w:rPr>
          <w:rFonts w:ascii="Times New Roman" w:hAnsi="Times New Roman" w:cs="Times New Roman"/>
          <w:sz w:val="24"/>
          <w:szCs w:val="24"/>
          <w:u w:val="single"/>
        </w:rPr>
        <w:t>powyżej 50 roku życia</w:t>
      </w:r>
      <w:r w:rsidR="00E13217" w:rsidRPr="0082260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3217" w:rsidRPr="00822605">
        <w:rPr>
          <w:rFonts w:ascii="Times New Roman" w:hAnsi="Times New Roman" w:cs="Times New Roman"/>
          <w:sz w:val="24"/>
          <w:szCs w:val="24"/>
        </w:rPr>
        <w:t xml:space="preserve">– </w:t>
      </w:r>
      <w:r w:rsidR="007C0E95" w:rsidRPr="00822605">
        <w:rPr>
          <w:rFonts w:ascii="Times New Roman" w:hAnsi="Times New Roman" w:cs="Times New Roman"/>
          <w:sz w:val="24"/>
          <w:szCs w:val="24"/>
        </w:rPr>
        <w:t>2</w:t>
      </w:r>
      <w:r w:rsidR="00822605" w:rsidRPr="00822605">
        <w:rPr>
          <w:rFonts w:ascii="Times New Roman" w:hAnsi="Times New Roman" w:cs="Times New Roman"/>
          <w:sz w:val="24"/>
          <w:szCs w:val="24"/>
        </w:rPr>
        <w:t>3</w:t>
      </w:r>
      <w:r w:rsidR="007C0E95" w:rsidRPr="00822605">
        <w:rPr>
          <w:rFonts w:ascii="Times New Roman" w:hAnsi="Times New Roman" w:cs="Times New Roman"/>
          <w:sz w:val="24"/>
          <w:szCs w:val="24"/>
        </w:rPr>
        <w:t xml:space="preserve"> </w:t>
      </w:r>
      <w:r w:rsidR="00822605" w:rsidRPr="00822605">
        <w:rPr>
          <w:rFonts w:ascii="Times New Roman" w:hAnsi="Times New Roman" w:cs="Times New Roman"/>
          <w:sz w:val="24"/>
          <w:szCs w:val="24"/>
        </w:rPr>
        <w:t>145</w:t>
      </w:r>
      <w:r w:rsidR="007C0E95" w:rsidRPr="00822605">
        <w:rPr>
          <w:rFonts w:ascii="Times New Roman" w:hAnsi="Times New Roman" w:cs="Times New Roman"/>
          <w:sz w:val="24"/>
          <w:szCs w:val="24"/>
        </w:rPr>
        <w:t xml:space="preserve"> os</w:t>
      </w:r>
      <w:r w:rsidR="00A97EF7" w:rsidRPr="00822605">
        <w:rPr>
          <w:rFonts w:ascii="Times New Roman" w:hAnsi="Times New Roman" w:cs="Times New Roman"/>
          <w:sz w:val="24"/>
          <w:szCs w:val="24"/>
        </w:rPr>
        <w:t>ó</w:t>
      </w:r>
      <w:r w:rsidR="007C0E95" w:rsidRPr="00822605">
        <w:rPr>
          <w:rFonts w:ascii="Times New Roman" w:hAnsi="Times New Roman" w:cs="Times New Roman"/>
          <w:sz w:val="24"/>
          <w:szCs w:val="24"/>
        </w:rPr>
        <w:t>b (2</w:t>
      </w:r>
      <w:r w:rsidR="00822605" w:rsidRPr="00822605">
        <w:rPr>
          <w:rFonts w:ascii="Times New Roman" w:hAnsi="Times New Roman" w:cs="Times New Roman"/>
          <w:sz w:val="24"/>
          <w:szCs w:val="24"/>
        </w:rPr>
        <w:t>8,0</w:t>
      </w:r>
      <w:r w:rsidR="007C0E95" w:rsidRPr="00822605">
        <w:rPr>
          <w:rFonts w:ascii="Times New Roman" w:hAnsi="Times New Roman" w:cs="Times New Roman"/>
          <w:sz w:val="24"/>
          <w:szCs w:val="24"/>
        </w:rPr>
        <w:t>%</w:t>
      </w:r>
      <w:r w:rsidR="00EE3E29" w:rsidRPr="00822605">
        <w:rPr>
          <w:rFonts w:ascii="Times New Roman" w:hAnsi="Times New Roman" w:cs="Times New Roman"/>
          <w:sz w:val="24"/>
          <w:szCs w:val="24"/>
        </w:rPr>
        <w:t xml:space="preserve"> ogółu bezrobotnych będących w</w:t>
      </w:r>
      <w:r w:rsidR="00E13217" w:rsidRPr="00822605">
        <w:rPr>
          <w:rFonts w:ascii="Times New Roman" w:hAnsi="Times New Roman" w:cs="Times New Roman"/>
          <w:sz w:val="24"/>
          <w:szCs w:val="24"/>
        </w:rPr>
        <w:t> </w:t>
      </w:r>
      <w:r w:rsidR="00EE3E29" w:rsidRPr="00822605">
        <w:rPr>
          <w:rFonts w:ascii="Times New Roman" w:hAnsi="Times New Roman" w:cs="Times New Roman"/>
          <w:sz w:val="24"/>
          <w:szCs w:val="24"/>
        </w:rPr>
        <w:t>szczególnej sytuacji</w:t>
      </w:r>
      <w:r w:rsidR="007C0E95" w:rsidRPr="00822605">
        <w:rPr>
          <w:rFonts w:ascii="Times New Roman" w:hAnsi="Times New Roman" w:cs="Times New Roman"/>
          <w:sz w:val="24"/>
          <w:szCs w:val="24"/>
        </w:rPr>
        <w:t>)</w:t>
      </w:r>
      <w:r w:rsidR="00EE3E29" w:rsidRPr="00822605">
        <w:rPr>
          <w:rFonts w:ascii="Times New Roman" w:hAnsi="Times New Roman" w:cs="Times New Roman"/>
          <w:sz w:val="24"/>
          <w:szCs w:val="24"/>
        </w:rPr>
        <w:t>.</w:t>
      </w:r>
      <w:r w:rsidR="007C0E95" w:rsidRPr="00822605">
        <w:rPr>
          <w:rFonts w:ascii="Times New Roman" w:hAnsi="Times New Roman" w:cs="Times New Roman"/>
          <w:sz w:val="24"/>
          <w:szCs w:val="24"/>
        </w:rPr>
        <w:t xml:space="preserve"> </w:t>
      </w:r>
      <w:r w:rsidR="00EE3E29" w:rsidRPr="00822605">
        <w:rPr>
          <w:rFonts w:ascii="Times New Roman" w:hAnsi="Times New Roman" w:cs="Times New Roman"/>
          <w:sz w:val="24"/>
          <w:szCs w:val="24"/>
        </w:rPr>
        <w:t>W</w:t>
      </w:r>
      <w:r w:rsidR="00AE5712" w:rsidRPr="00822605">
        <w:rPr>
          <w:rFonts w:ascii="Times New Roman" w:hAnsi="Times New Roman" w:cs="Times New Roman"/>
          <w:sz w:val="24"/>
          <w:szCs w:val="24"/>
        </w:rPr>
        <w:t> </w:t>
      </w:r>
      <w:r w:rsidR="00E13217" w:rsidRPr="00822605">
        <w:rPr>
          <w:rFonts w:ascii="Times New Roman" w:hAnsi="Times New Roman" w:cs="Times New Roman"/>
          <w:sz w:val="24"/>
          <w:szCs w:val="24"/>
        </w:rPr>
        <w:t>okresie I półrocza 201</w:t>
      </w:r>
      <w:r w:rsidR="00822605" w:rsidRPr="00822605">
        <w:rPr>
          <w:rFonts w:ascii="Times New Roman" w:hAnsi="Times New Roman" w:cs="Times New Roman"/>
          <w:sz w:val="24"/>
          <w:szCs w:val="24"/>
        </w:rPr>
        <w:t>7</w:t>
      </w:r>
      <w:r w:rsidR="00E13217" w:rsidRPr="00822605">
        <w:rPr>
          <w:rFonts w:ascii="Times New Roman" w:hAnsi="Times New Roman" w:cs="Times New Roman"/>
          <w:sz w:val="24"/>
          <w:szCs w:val="24"/>
        </w:rPr>
        <w:t xml:space="preserve"> r. </w:t>
      </w:r>
      <w:r w:rsidR="007C0E95" w:rsidRPr="00822605">
        <w:rPr>
          <w:rFonts w:ascii="Times New Roman" w:hAnsi="Times New Roman" w:cs="Times New Roman"/>
          <w:sz w:val="24"/>
          <w:szCs w:val="24"/>
        </w:rPr>
        <w:t xml:space="preserve">liczba </w:t>
      </w:r>
      <w:r w:rsidR="00EE3E29" w:rsidRPr="00822605">
        <w:rPr>
          <w:rFonts w:ascii="Times New Roman" w:hAnsi="Times New Roman" w:cs="Times New Roman"/>
          <w:sz w:val="24"/>
          <w:szCs w:val="24"/>
        </w:rPr>
        <w:t>bezrobotnych powyżej 50 roku życia</w:t>
      </w:r>
      <w:r w:rsidR="007C0E95" w:rsidRPr="00822605">
        <w:rPr>
          <w:rFonts w:ascii="Times New Roman" w:hAnsi="Times New Roman" w:cs="Times New Roman"/>
          <w:sz w:val="24"/>
          <w:szCs w:val="24"/>
        </w:rPr>
        <w:t xml:space="preserve"> spadła</w:t>
      </w:r>
      <w:r w:rsidR="00AD036F" w:rsidRPr="00822605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822605">
        <w:rPr>
          <w:rFonts w:ascii="Times New Roman" w:hAnsi="Times New Roman" w:cs="Times New Roman"/>
          <w:sz w:val="24"/>
          <w:szCs w:val="24"/>
        </w:rPr>
        <w:t>o </w:t>
      </w:r>
      <w:r w:rsidR="00822605" w:rsidRPr="00822605">
        <w:rPr>
          <w:rFonts w:ascii="Times New Roman" w:hAnsi="Times New Roman" w:cs="Times New Roman"/>
          <w:sz w:val="24"/>
          <w:szCs w:val="24"/>
        </w:rPr>
        <w:t>2</w:t>
      </w:r>
      <w:r w:rsidR="00EE3E29" w:rsidRPr="00822605">
        <w:rPr>
          <w:rFonts w:ascii="Times New Roman" w:hAnsi="Times New Roman" w:cs="Times New Roman"/>
          <w:sz w:val="24"/>
          <w:szCs w:val="24"/>
        </w:rPr>
        <w:t> </w:t>
      </w:r>
      <w:r w:rsidR="00822605" w:rsidRPr="00822605">
        <w:rPr>
          <w:rFonts w:ascii="Times New Roman" w:hAnsi="Times New Roman" w:cs="Times New Roman"/>
          <w:sz w:val="24"/>
          <w:szCs w:val="24"/>
        </w:rPr>
        <w:t>049</w:t>
      </w:r>
      <w:r w:rsidR="007C0E95" w:rsidRPr="00822605">
        <w:rPr>
          <w:rFonts w:ascii="Times New Roman" w:hAnsi="Times New Roman" w:cs="Times New Roman"/>
          <w:sz w:val="24"/>
          <w:szCs w:val="24"/>
        </w:rPr>
        <w:t xml:space="preserve"> os</w:t>
      </w:r>
      <w:r w:rsidR="00EE3E29" w:rsidRPr="00822605">
        <w:rPr>
          <w:rFonts w:ascii="Times New Roman" w:hAnsi="Times New Roman" w:cs="Times New Roman"/>
          <w:sz w:val="24"/>
          <w:szCs w:val="24"/>
        </w:rPr>
        <w:t>ó</w:t>
      </w:r>
      <w:r w:rsidR="007C0E95" w:rsidRPr="00822605">
        <w:rPr>
          <w:rFonts w:ascii="Times New Roman" w:hAnsi="Times New Roman" w:cs="Times New Roman"/>
          <w:sz w:val="24"/>
          <w:szCs w:val="24"/>
        </w:rPr>
        <w:t>b</w:t>
      </w:r>
      <w:r w:rsidRPr="00822605">
        <w:rPr>
          <w:rFonts w:ascii="Times New Roman" w:hAnsi="Times New Roman" w:cs="Times New Roman"/>
          <w:sz w:val="24"/>
          <w:szCs w:val="24"/>
        </w:rPr>
        <w:t>.</w:t>
      </w:r>
    </w:p>
    <w:p w:rsidR="00DD1ABB" w:rsidRPr="002821F8" w:rsidRDefault="00CB472E" w:rsidP="00600328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1F8">
        <w:rPr>
          <w:rFonts w:ascii="Times New Roman" w:hAnsi="Times New Roman" w:cs="Times New Roman"/>
          <w:sz w:val="24"/>
          <w:szCs w:val="24"/>
        </w:rPr>
        <w:t>N</w:t>
      </w:r>
      <w:r w:rsidR="0044373E" w:rsidRPr="002821F8">
        <w:rPr>
          <w:rFonts w:ascii="Times New Roman" w:hAnsi="Times New Roman" w:cs="Times New Roman"/>
          <w:sz w:val="24"/>
          <w:szCs w:val="24"/>
        </w:rPr>
        <w:t>ajwięcej osób bezrobotnych</w:t>
      </w:r>
      <w:r w:rsidR="00AE5712" w:rsidRPr="002821F8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2821F8">
        <w:rPr>
          <w:rFonts w:ascii="Times New Roman" w:hAnsi="Times New Roman" w:cs="Times New Roman"/>
          <w:sz w:val="24"/>
          <w:szCs w:val="24"/>
        </w:rPr>
        <w:t xml:space="preserve">grupie powyżej 50 roku życia </w:t>
      </w:r>
      <w:r w:rsidR="00DD1ABB" w:rsidRPr="002821F8">
        <w:rPr>
          <w:rFonts w:ascii="Times New Roman" w:hAnsi="Times New Roman" w:cs="Times New Roman"/>
          <w:sz w:val="24"/>
          <w:szCs w:val="24"/>
        </w:rPr>
        <w:t xml:space="preserve">odnotowano </w:t>
      </w:r>
      <w:r w:rsidR="00AE5712" w:rsidRPr="002821F8">
        <w:rPr>
          <w:rFonts w:ascii="Times New Roman" w:hAnsi="Times New Roman" w:cs="Times New Roman"/>
          <w:sz w:val="24"/>
          <w:szCs w:val="24"/>
        </w:rPr>
        <w:t>w</w:t>
      </w:r>
      <w:r w:rsidR="00371F3D" w:rsidRPr="002821F8">
        <w:rPr>
          <w:rFonts w:ascii="Times New Roman" w:hAnsi="Times New Roman" w:cs="Times New Roman"/>
          <w:sz w:val="24"/>
          <w:szCs w:val="24"/>
        </w:rPr>
        <w:t>:</w:t>
      </w:r>
      <w:r w:rsidR="00600328" w:rsidRPr="002821F8">
        <w:rPr>
          <w:rFonts w:ascii="Times New Roman" w:hAnsi="Times New Roman" w:cs="Times New Roman"/>
          <w:sz w:val="24"/>
          <w:szCs w:val="24"/>
        </w:rPr>
        <w:t xml:space="preserve"> m. Rzeszów – 2 142, powiecie – jarosławskim – 1 695, rzeszowskim – 1 559, jasielskim – 1 349, brzozowskim – 1 202, mieleckim – 1 107, dębickim – 1 090 czy Przemyślu – 1</w:t>
      </w:r>
      <w:r w:rsidR="002821F8" w:rsidRPr="002821F8">
        <w:rPr>
          <w:rFonts w:ascii="Times New Roman" w:hAnsi="Times New Roman" w:cs="Times New Roman"/>
          <w:sz w:val="24"/>
          <w:szCs w:val="24"/>
        </w:rPr>
        <w:t> </w:t>
      </w:r>
      <w:r w:rsidR="00600328" w:rsidRPr="002821F8">
        <w:rPr>
          <w:rFonts w:ascii="Times New Roman" w:hAnsi="Times New Roman" w:cs="Times New Roman"/>
          <w:sz w:val="24"/>
          <w:szCs w:val="24"/>
        </w:rPr>
        <w:t xml:space="preserve"> 069</w:t>
      </w:r>
      <w:r w:rsidR="002821F8" w:rsidRPr="002821F8">
        <w:rPr>
          <w:rFonts w:ascii="Times New Roman" w:hAnsi="Times New Roman" w:cs="Times New Roman"/>
          <w:sz w:val="24"/>
          <w:szCs w:val="24"/>
        </w:rPr>
        <w:t>.</w:t>
      </w:r>
    </w:p>
    <w:p w:rsidR="008A3644" w:rsidRPr="008A3644" w:rsidRDefault="00CB472E" w:rsidP="008A3644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A3644">
        <w:rPr>
          <w:rFonts w:ascii="Times New Roman" w:hAnsi="Times New Roman" w:cs="Times New Roman"/>
          <w:sz w:val="24"/>
          <w:szCs w:val="24"/>
        </w:rPr>
        <w:t>N</w:t>
      </w:r>
      <w:r w:rsidR="0044373E" w:rsidRPr="008A3644">
        <w:rPr>
          <w:rFonts w:ascii="Times New Roman" w:hAnsi="Times New Roman" w:cs="Times New Roman"/>
          <w:sz w:val="24"/>
          <w:szCs w:val="24"/>
        </w:rPr>
        <w:t>ajmniej osób bezrobotnych</w:t>
      </w:r>
      <w:r w:rsidR="00AE5712" w:rsidRPr="008A3644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8A3644">
        <w:rPr>
          <w:rFonts w:ascii="Times New Roman" w:hAnsi="Times New Roman" w:cs="Times New Roman"/>
          <w:sz w:val="24"/>
          <w:szCs w:val="24"/>
        </w:rPr>
        <w:t xml:space="preserve">grupie powyżej 50 roku życia </w:t>
      </w:r>
      <w:r w:rsidR="00DD1ABB" w:rsidRPr="008A3644">
        <w:rPr>
          <w:rFonts w:ascii="Times New Roman" w:hAnsi="Times New Roman" w:cs="Times New Roman"/>
          <w:sz w:val="24"/>
          <w:szCs w:val="24"/>
        </w:rPr>
        <w:t>odnotowano</w:t>
      </w:r>
      <w:r w:rsidR="00AE5712" w:rsidRPr="008A3644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8A3644">
        <w:rPr>
          <w:rFonts w:ascii="Times New Roman" w:hAnsi="Times New Roman" w:cs="Times New Roman"/>
          <w:sz w:val="24"/>
          <w:szCs w:val="24"/>
        </w:rPr>
        <w:t>powi</w:t>
      </w:r>
      <w:r w:rsidR="00DD1ABB" w:rsidRPr="008A3644">
        <w:rPr>
          <w:rFonts w:ascii="Times New Roman" w:hAnsi="Times New Roman" w:cs="Times New Roman"/>
          <w:sz w:val="24"/>
          <w:szCs w:val="24"/>
        </w:rPr>
        <w:t xml:space="preserve">atach: </w:t>
      </w:r>
      <w:r w:rsidR="008A3644" w:rsidRPr="008A3644">
        <w:rPr>
          <w:rFonts w:ascii="Times New Roman" w:hAnsi="Times New Roman" w:cs="Times New Roman"/>
          <w:sz w:val="24"/>
          <w:szCs w:val="24"/>
        </w:rPr>
        <w:t>bieszczadzkim – 325, m. Krośnie – 360, tarnobrzeskim – 469, leskim – 470, m. Tarnobrzegu – 482, powiecie ropczycko – sędziszowskim – 613, lubaczowskim – 616 czy kolbuszowskim – 658 i stalowowolskim – 784.</w:t>
      </w:r>
    </w:p>
    <w:p w:rsidR="00BA0AC6" w:rsidRDefault="00BA0AC6" w:rsidP="001759E1">
      <w:pPr>
        <w:pStyle w:val="Default"/>
        <w:jc w:val="both"/>
        <w:outlineLvl w:val="1"/>
        <w:rPr>
          <w:bCs/>
          <w:sz w:val="18"/>
          <w:szCs w:val="18"/>
          <w:highlight w:val="yellow"/>
        </w:rPr>
      </w:pPr>
    </w:p>
    <w:p w:rsidR="00F020B1" w:rsidRPr="004F28A7" w:rsidRDefault="00F020B1" w:rsidP="001759E1">
      <w:pPr>
        <w:pStyle w:val="Default"/>
        <w:jc w:val="both"/>
        <w:outlineLvl w:val="1"/>
        <w:rPr>
          <w:bCs/>
          <w:sz w:val="18"/>
          <w:szCs w:val="18"/>
          <w:highlight w:val="yellow"/>
        </w:rPr>
      </w:pPr>
    </w:p>
    <w:p w:rsidR="00F020B1" w:rsidRPr="0029506F" w:rsidRDefault="00F020B1">
      <w:pPr>
        <w:rPr>
          <w:rFonts w:ascii="Times New Roman" w:hAnsi="Times New Roman" w:cs="Times New Roman"/>
          <w:b/>
          <w:bCs/>
          <w:color w:val="000000"/>
          <w:sz w:val="28"/>
          <w:szCs w:val="28"/>
          <w:highlight w:val="yellow"/>
        </w:rPr>
      </w:pPr>
      <w:r w:rsidRPr="0029506F">
        <w:rPr>
          <w:b/>
          <w:bCs/>
          <w:sz w:val="28"/>
          <w:szCs w:val="28"/>
          <w:highlight w:val="yellow"/>
        </w:rPr>
        <w:br w:type="page"/>
      </w:r>
    </w:p>
    <w:p w:rsidR="00EC4005" w:rsidRPr="004F28A7" w:rsidRDefault="00EC4005" w:rsidP="004F28A7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1" w:name="_Toc489263951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według Polskiej Klasyfikacji Działalności</w:t>
      </w:r>
      <w:bookmarkEnd w:id="11"/>
    </w:p>
    <w:p w:rsidR="002B03E5" w:rsidRPr="0029506F" w:rsidRDefault="006A349E" w:rsidP="005248C6">
      <w:pPr>
        <w:pStyle w:val="Bezodstpw"/>
        <w:ind w:left="1410" w:hanging="1410"/>
        <w:jc w:val="both"/>
        <w:rPr>
          <w:b/>
          <w:bCs/>
          <w:highlight w:val="yellow"/>
        </w:rPr>
      </w:pPr>
      <w:r w:rsidRPr="006A349E">
        <w:rPr>
          <w:noProof/>
          <w:lang w:eastAsia="pl-PL"/>
        </w:rPr>
        <w:drawing>
          <wp:inline distT="0" distB="0" distL="0" distR="0" wp14:anchorId="3B49ADAB" wp14:editId="14983D4F">
            <wp:extent cx="5759450" cy="5804727"/>
            <wp:effectExtent l="0" t="0" r="0" b="571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04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205" w:rsidRPr="00293424" w:rsidRDefault="002B6DF5" w:rsidP="009A6205">
      <w:pPr>
        <w:pStyle w:val="Default"/>
        <w:spacing w:line="360" w:lineRule="auto"/>
        <w:jc w:val="both"/>
      </w:pPr>
      <w:r w:rsidRPr="00293424">
        <w:t>Wnioski</w:t>
      </w:r>
      <w:r w:rsidR="009A6205" w:rsidRPr="00293424">
        <w:t>:</w:t>
      </w:r>
    </w:p>
    <w:p w:rsidR="009A6205" w:rsidRPr="00293424" w:rsidRDefault="009A6205" w:rsidP="009A620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293424">
        <w:rPr>
          <w:rFonts w:ascii="Times New Roman" w:hAnsi="Times New Roman" w:cs="Times New Roman"/>
          <w:szCs w:val="24"/>
        </w:rPr>
        <w:t>(na podstawie danych</w:t>
      </w:r>
      <w:r w:rsidR="00AE5712" w:rsidRPr="00293424">
        <w:rPr>
          <w:rFonts w:ascii="Times New Roman" w:hAnsi="Times New Roman" w:cs="Times New Roman"/>
          <w:szCs w:val="24"/>
        </w:rPr>
        <w:t xml:space="preserve"> z </w:t>
      </w:r>
      <w:r w:rsidR="00904BA5" w:rsidRPr="00293424">
        <w:rPr>
          <w:rFonts w:ascii="Times New Roman" w:hAnsi="Times New Roman" w:cs="Times New Roman"/>
          <w:szCs w:val="24"/>
        </w:rPr>
        <w:t>t</w:t>
      </w:r>
      <w:r w:rsidRPr="00293424">
        <w:rPr>
          <w:rFonts w:ascii="Times New Roman" w:hAnsi="Times New Roman" w:cs="Times New Roman"/>
          <w:szCs w:val="24"/>
        </w:rPr>
        <w:t xml:space="preserve">abeli </w:t>
      </w:r>
      <w:r w:rsidR="00293424" w:rsidRPr="00293424">
        <w:rPr>
          <w:rFonts w:ascii="Times New Roman" w:hAnsi="Times New Roman" w:cs="Times New Roman"/>
          <w:szCs w:val="24"/>
        </w:rPr>
        <w:t>XIX</w:t>
      </w:r>
      <w:r w:rsidR="002B6DF5" w:rsidRPr="00293424">
        <w:rPr>
          <w:rFonts w:ascii="Times New Roman" w:hAnsi="Times New Roman" w:cs="Times New Roman"/>
          <w:szCs w:val="24"/>
        </w:rPr>
        <w:t>)</w:t>
      </w:r>
    </w:p>
    <w:p w:rsidR="008D0948" w:rsidRDefault="00230EA3" w:rsidP="00BA576F">
      <w:pPr>
        <w:pStyle w:val="Default"/>
        <w:numPr>
          <w:ilvl w:val="0"/>
          <w:numId w:val="7"/>
        </w:numPr>
        <w:spacing w:line="360" w:lineRule="auto"/>
        <w:jc w:val="both"/>
      </w:pPr>
      <w:r w:rsidRPr="00BA576F">
        <w:t>N</w:t>
      </w:r>
      <w:r w:rsidR="00EC4005" w:rsidRPr="00BA576F">
        <w:t xml:space="preserve">ajwięcej </w:t>
      </w:r>
      <w:r w:rsidRPr="00BA576F">
        <w:t xml:space="preserve">osób </w:t>
      </w:r>
      <w:r w:rsidR="00EC4005" w:rsidRPr="00BA576F">
        <w:t>bezrobotnych pracowało poprzednio</w:t>
      </w:r>
      <w:r w:rsidR="00AE5712" w:rsidRPr="00BA576F">
        <w:t xml:space="preserve"> w </w:t>
      </w:r>
      <w:r w:rsidR="00EC4005" w:rsidRPr="00BA576F">
        <w:t xml:space="preserve">zakładach pracy należących do następujących sekcji PKD: </w:t>
      </w:r>
      <w:r w:rsidR="00BA576F" w:rsidRPr="00BA576F">
        <w:t xml:space="preserve">handel (hurtowy i detaliczny, naprawa pojazdów samochodowych i motocykli) – </w:t>
      </w:r>
      <w:r w:rsidR="00BA576F" w:rsidRPr="00BA576F">
        <w:tab/>
        <w:t>15 362, przetwórstwo przemysłowe – 15 178, budownictwo – 8 578, pozostała działalność usługowa – 4 484, działalność w zakresie usług administrowania i działalność wspierająca – 3 953, administracja publiczna i obrona narodowa; obowiązkowe zabezpieczenia społeczne – 3</w:t>
      </w:r>
      <w:r w:rsidR="00BA576F">
        <w:t> </w:t>
      </w:r>
      <w:r w:rsidR="00BA576F" w:rsidRPr="00BA576F">
        <w:t>805.</w:t>
      </w:r>
    </w:p>
    <w:p w:rsidR="00BA576F" w:rsidRDefault="00230EA3" w:rsidP="00BA576F">
      <w:pPr>
        <w:pStyle w:val="Default"/>
        <w:numPr>
          <w:ilvl w:val="0"/>
          <w:numId w:val="7"/>
        </w:numPr>
        <w:spacing w:line="360" w:lineRule="auto"/>
        <w:jc w:val="both"/>
      </w:pPr>
      <w:r w:rsidRPr="00BA576F">
        <w:lastRenderedPageBreak/>
        <w:t>N</w:t>
      </w:r>
      <w:r w:rsidR="00EC4005" w:rsidRPr="00BA576F">
        <w:t xml:space="preserve">ajmniej </w:t>
      </w:r>
      <w:r w:rsidRPr="00BA576F">
        <w:t xml:space="preserve">osób </w:t>
      </w:r>
      <w:r w:rsidR="009A6205" w:rsidRPr="00BA576F">
        <w:t>bezrobotnych pracowało poprzednio</w:t>
      </w:r>
      <w:r w:rsidR="00AE5712" w:rsidRPr="00BA576F">
        <w:t xml:space="preserve"> w</w:t>
      </w:r>
      <w:r w:rsidR="00433544">
        <w:t xml:space="preserve"> </w:t>
      </w:r>
      <w:r w:rsidR="009A6205" w:rsidRPr="00BA576F">
        <w:t xml:space="preserve">zakładach pracy należących do następujących sekcji PKD: </w:t>
      </w:r>
      <w:r w:rsidR="00BA576F">
        <w:t>działalność związana z kulturą rozrywką i rekreacją – 706, działalność finansowa i ubezpieczeniowa – 1</w:t>
      </w:r>
      <w:r w:rsidR="00433544">
        <w:t xml:space="preserve"> </w:t>
      </w:r>
      <w:r w:rsidR="00BA576F">
        <w:t xml:space="preserve">020, opieka zdrowotna i pomoc społeczna – </w:t>
      </w:r>
    </w:p>
    <w:p w:rsidR="00BA576F" w:rsidRPr="0029506F" w:rsidRDefault="00BA576F" w:rsidP="00BA576F">
      <w:pPr>
        <w:pStyle w:val="Default"/>
        <w:spacing w:line="360" w:lineRule="auto"/>
        <w:ind w:left="360"/>
        <w:jc w:val="both"/>
      </w:pPr>
      <w:r>
        <w:t>2 047, transport i gospodarka magazynowa – 2</w:t>
      </w:r>
      <w:r w:rsidR="00433544">
        <w:t xml:space="preserve"> </w:t>
      </w:r>
      <w:r>
        <w:t>168, działalność profesjonalna, naukowa i</w:t>
      </w:r>
      <w:r w:rsidR="00433544">
        <w:t> </w:t>
      </w:r>
      <w:r>
        <w:t>techniczna – 2</w:t>
      </w:r>
      <w:r w:rsidR="00433544">
        <w:t xml:space="preserve"> </w:t>
      </w:r>
      <w:r>
        <w:t>175, edukacja – 2</w:t>
      </w:r>
      <w:r w:rsidR="00433544">
        <w:t xml:space="preserve"> </w:t>
      </w:r>
      <w:r>
        <w:t>433, rolnictwo, leśnictwo, łowiectwo i rybactwo – 2</w:t>
      </w:r>
      <w:r w:rsidR="00433544">
        <w:t> </w:t>
      </w:r>
      <w:r>
        <w:t>583, działalność związana z zakwaterowaniem i usługami gastronomicznymi – 2 916.</w:t>
      </w:r>
    </w:p>
    <w:p w:rsidR="005248C6" w:rsidRPr="0029506F" w:rsidRDefault="005248C6" w:rsidP="001759E1">
      <w:pPr>
        <w:pStyle w:val="Default"/>
        <w:jc w:val="both"/>
        <w:outlineLvl w:val="1"/>
        <w:rPr>
          <w:bCs/>
          <w:sz w:val="16"/>
          <w:szCs w:val="16"/>
          <w:highlight w:val="yellow"/>
        </w:rPr>
      </w:pPr>
    </w:p>
    <w:p w:rsidR="00EC4005" w:rsidRPr="004F28A7" w:rsidRDefault="00EC4005" w:rsidP="00C12441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2" w:name="_Toc489263952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według zawodów</w:t>
      </w:r>
      <w:bookmarkEnd w:id="12"/>
    </w:p>
    <w:p w:rsidR="00C12441" w:rsidRPr="0029506F" w:rsidRDefault="00C12441" w:rsidP="00BC528B">
      <w:pPr>
        <w:rPr>
          <w:highlight w:val="yellow"/>
        </w:rPr>
      </w:pPr>
    </w:p>
    <w:p w:rsidR="00AF27A0" w:rsidRDefault="000017AC" w:rsidP="00BC528B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0017AC">
        <w:rPr>
          <w:noProof/>
          <w:lang w:eastAsia="pl-PL"/>
        </w:rPr>
        <w:drawing>
          <wp:inline distT="0" distB="0" distL="0" distR="0" wp14:anchorId="0CF4BC06" wp14:editId="23DDDB8B">
            <wp:extent cx="5756745" cy="6575729"/>
            <wp:effectExtent l="0" t="0" r="0" b="0"/>
            <wp:docPr id="50" name="Obraz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78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7AC" w:rsidRDefault="000017AC" w:rsidP="00BC528B">
      <w:pPr>
        <w:rPr>
          <w:b/>
          <w:highlight w:val="yellow"/>
        </w:rPr>
      </w:pPr>
      <w:r w:rsidRPr="000017AC">
        <w:rPr>
          <w:noProof/>
          <w:lang w:eastAsia="pl-PL"/>
        </w:rPr>
        <w:lastRenderedPageBreak/>
        <w:drawing>
          <wp:inline distT="0" distB="0" distL="0" distR="0" wp14:anchorId="23B64A73" wp14:editId="2352E08A">
            <wp:extent cx="5759450" cy="5772313"/>
            <wp:effectExtent l="0" t="0" r="0" b="0"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72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C67" w:rsidRPr="004F28A7" w:rsidRDefault="00230EA3" w:rsidP="000017AC">
      <w:pPr>
        <w:spacing w:after="0" w:line="240" w:lineRule="auto"/>
        <w:rPr>
          <w:rFonts w:ascii="Times New Roman" w:hAnsi="Times New Roman" w:cs="Times New Roman"/>
        </w:rPr>
      </w:pPr>
      <w:r w:rsidRPr="004F28A7">
        <w:rPr>
          <w:rFonts w:ascii="Times New Roman" w:hAnsi="Times New Roman" w:cs="Times New Roman"/>
        </w:rPr>
        <w:t>Wnioski:</w:t>
      </w:r>
    </w:p>
    <w:p w:rsidR="00A44C67" w:rsidRDefault="00A44C67" w:rsidP="000017AC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0017AC">
        <w:rPr>
          <w:rFonts w:ascii="Times New Roman" w:hAnsi="Times New Roman" w:cs="Times New Roman"/>
          <w:szCs w:val="24"/>
        </w:rPr>
        <w:t>(na podstawie danych</w:t>
      </w:r>
      <w:r w:rsidR="00AE5712" w:rsidRPr="000017AC">
        <w:rPr>
          <w:rFonts w:ascii="Times New Roman" w:hAnsi="Times New Roman" w:cs="Times New Roman"/>
          <w:szCs w:val="24"/>
        </w:rPr>
        <w:t xml:space="preserve"> z </w:t>
      </w:r>
      <w:r w:rsidR="0063069E" w:rsidRPr="000017AC">
        <w:rPr>
          <w:rFonts w:ascii="Times New Roman" w:hAnsi="Times New Roman" w:cs="Times New Roman"/>
          <w:szCs w:val="24"/>
        </w:rPr>
        <w:t>t</w:t>
      </w:r>
      <w:r w:rsidRPr="000017AC">
        <w:rPr>
          <w:rFonts w:ascii="Times New Roman" w:hAnsi="Times New Roman" w:cs="Times New Roman"/>
          <w:szCs w:val="24"/>
        </w:rPr>
        <w:t xml:space="preserve">abeli </w:t>
      </w:r>
      <w:r w:rsidR="000017AC" w:rsidRPr="000017AC">
        <w:rPr>
          <w:rFonts w:ascii="Times New Roman" w:hAnsi="Times New Roman" w:cs="Times New Roman"/>
          <w:szCs w:val="24"/>
        </w:rPr>
        <w:t>XX</w:t>
      </w:r>
      <w:r w:rsidRPr="000017AC">
        <w:rPr>
          <w:rFonts w:ascii="Times New Roman" w:hAnsi="Times New Roman" w:cs="Times New Roman"/>
          <w:szCs w:val="24"/>
        </w:rPr>
        <w:t>)</w:t>
      </w:r>
    </w:p>
    <w:p w:rsidR="004F0124" w:rsidRPr="004F0124" w:rsidRDefault="004F0124" w:rsidP="000017AC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44C67" w:rsidRPr="004F0124" w:rsidRDefault="00EC6281" w:rsidP="00160DB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24">
        <w:rPr>
          <w:rFonts w:ascii="Times New Roman" w:hAnsi="Times New Roman" w:cs="Times New Roman"/>
          <w:sz w:val="24"/>
          <w:szCs w:val="24"/>
        </w:rPr>
        <w:t>N</w:t>
      </w:r>
      <w:r w:rsidR="00A44C67" w:rsidRPr="004F0124">
        <w:rPr>
          <w:rFonts w:ascii="Times New Roman" w:hAnsi="Times New Roman" w:cs="Times New Roman"/>
          <w:sz w:val="24"/>
          <w:szCs w:val="24"/>
        </w:rPr>
        <w:t>a dzień 3</w:t>
      </w:r>
      <w:r w:rsidR="005F37CB" w:rsidRPr="004F0124">
        <w:rPr>
          <w:rFonts w:ascii="Times New Roman" w:hAnsi="Times New Roman" w:cs="Times New Roman"/>
          <w:sz w:val="24"/>
          <w:szCs w:val="24"/>
        </w:rPr>
        <w:t>0</w:t>
      </w:r>
      <w:r w:rsidR="000017AC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5F37CB" w:rsidRPr="004F0124">
        <w:rPr>
          <w:rFonts w:ascii="Times New Roman" w:hAnsi="Times New Roman" w:cs="Times New Roman"/>
          <w:sz w:val="24"/>
          <w:szCs w:val="24"/>
        </w:rPr>
        <w:t>VI</w:t>
      </w:r>
      <w:r w:rsidR="000017AC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A44C67" w:rsidRPr="004F0124">
        <w:rPr>
          <w:rFonts w:ascii="Times New Roman" w:hAnsi="Times New Roman" w:cs="Times New Roman"/>
          <w:sz w:val="24"/>
          <w:szCs w:val="24"/>
        </w:rPr>
        <w:t>201</w:t>
      </w:r>
      <w:r w:rsidR="000017AC" w:rsidRPr="004F0124">
        <w:rPr>
          <w:rFonts w:ascii="Times New Roman" w:hAnsi="Times New Roman" w:cs="Times New Roman"/>
          <w:sz w:val="24"/>
          <w:szCs w:val="24"/>
        </w:rPr>
        <w:t>7</w:t>
      </w:r>
      <w:r w:rsidR="00AE5712" w:rsidRPr="004F0124">
        <w:rPr>
          <w:rFonts w:ascii="Times New Roman" w:hAnsi="Times New Roman" w:cs="Times New Roman"/>
          <w:sz w:val="24"/>
          <w:szCs w:val="24"/>
        </w:rPr>
        <w:t> r.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BA0AC6" w:rsidRPr="004F0124">
        <w:rPr>
          <w:rFonts w:ascii="Times New Roman" w:hAnsi="Times New Roman" w:cs="Times New Roman"/>
          <w:sz w:val="24"/>
          <w:szCs w:val="24"/>
        </w:rPr>
        <w:t xml:space="preserve">odnotowano znaczną ilość osób </w:t>
      </w:r>
      <w:r w:rsidR="00A44C67" w:rsidRPr="004F0124">
        <w:rPr>
          <w:rFonts w:ascii="Times New Roman" w:hAnsi="Times New Roman" w:cs="Times New Roman"/>
          <w:sz w:val="24"/>
          <w:szCs w:val="24"/>
        </w:rPr>
        <w:t>bezrobotnych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w 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następujących grupach </w:t>
      </w:r>
      <w:r w:rsidR="00661D75" w:rsidRPr="004F0124">
        <w:rPr>
          <w:rFonts w:ascii="Times New Roman" w:hAnsi="Times New Roman" w:cs="Times New Roman"/>
          <w:sz w:val="24"/>
          <w:szCs w:val="24"/>
        </w:rPr>
        <w:t>zawod</w:t>
      </w:r>
      <w:r w:rsidR="00BA0AC6" w:rsidRPr="004F0124">
        <w:rPr>
          <w:rFonts w:ascii="Times New Roman" w:hAnsi="Times New Roman" w:cs="Times New Roman"/>
          <w:sz w:val="24"/>
          <w:szCs w:val="24"/>
        </w:rPr>
        <w:t>ów</w:t>
      </w:r>
      <w:r w:rsidR="00A44C67" w:rsidRPr="004F0124">
        <w:rPr>
          <w:rFonts w:ascii="Times New Roman" w:hAnsi="Times New Roman" w:cs="Times New Roman"/>
          <w:sz w:val="24"/>
          <w:szCs w:val="24"/>
        </w:rPr>
        <w:t>: robotnicy przemysłowi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rzemieślnicy – </w:t>
      </w:r>
      <w:r w:rsidR="00A821E2" w:rsidRPr="004F0124">
        <w:rPr>
          <w:rFonts w:ascii="Times New Roman" w:hAnsi="Times New Roman" w:cs="Times New Roman"/>
          <w:sz w:val="24"/>
          <w:szCs w:val="24"/>
        </w:rPr>
        <w:t>21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A821E2" w:rsidRPr="004F0124">
        <w:rPr>
          <w:rFonts w:ascii="Times New Roman" w:hAnsi="Times New Roman" w:cs="Times New Roman"/>
          <w:sz w:val="24"/>
          <w:szCs w:val="24"/>
        </w:rPr>
        <w:t>427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(2</w:t>
      </w:r>
      <w:r w:rsidR="00A821E2" w:rsidRPr="004F0124">
        <w:rPr>
          <w:rFonts w:ascii="Times New Roman" w:hAnsi="Times New Roman" w:cs="Times New Roman"/>
          <w:sz w:val="24"/>
          <w:szCs w:val="24"/>
        </w:rPr>
        <w:t>6</w:t>
      </w:r>
      <w:r w:rsidR="00A44C67" w:rsidRPr="004F0124">
        <w:rPr>
          <w:rFonts w:ascii="Times New Roman" w:hAnsi="Times New Roman" w:cs="Times New Roman"/>
          <w:sz w:val="24"/>
          <w:szCs w:val="24"/>
        </w:rPr>
        <w:t>,</w:t>
      </w:r>
      <w:r w:rsidR="00A821E2" w:rsidRPr="004F0124">
        <w:rPr>
          <w:rFonts w:ascii="Times New Roman" w:hAnsi="Times New Roman" w:cs="Times New Roman"/>
          <w:sz w:val="24"/>
          <w:szCs w:val="24"/>
        </w:rPr>
        <w:t>9</w:t>
      </w:r>
      <w:r w:rsidR="00A44C67" w:rsidRPr="004F0124">
        <w:rPr>
          <w:rFonts w:ascii="Times New Roman" w:hAnsi="Times New Roman" w:cs="Times New Roman"/>
          <w:sz w:val="24"/>
          <w:szCs w:val="24"/>
        </w:rPr>
        <w:t>%</w:t>
      </w:r>
      <w:r w:rsidR="00A821E2" w:rsidRPr="004F0124">
        <w:rPr>
          <w:rFonts w:ascii="Times New Roman" w:hAnsi="Times New Roman" w:cs="Times New Roman"/>
          <w:sz w:val="24"/>
          <w:szCs w:val="24"/>
        </w:rPr>
        <w:t xml:space="preserve"> bezrobotnych w zawodach</w:t>
      </w:r>
      <w:r w:rsidR="00A44C67" w:rsidRPr="004F0124">
        <w:rPr>
          <w:rFonts w:ascii="Times New Roman" w:hAnsi="Times New Roman" w:cs="Times New Roman"/>
          <w:sz w:val="24"/>
          <w:szCs w:val="24"/>
        </w:rPr>
        <w:t>), pracownicy usług osobistych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sprzedawcy – </w:t>
      </w:r>
      <w:r w:rsidR="00D320CC" w:rsidRPr="004F0124">
        <w:rPr>
          <w:rFonts w:ascii="Times New Roman" w:hAnsi="Times New Roman" w:cs="Times New Roman"/>
          <w:sz w:val="24"/>
          <w:szCs w:val="24"/>
        </w:rPr>
        <w:t>16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D320CC" w:rsidRPr="004F0124">
        <w:rPr>
          <w:rFonts w:ascii="Times New Roman" w:hAnsi="Times New Roman" w:cs="Times New Roman"/>
          <w:sz w:val="24"/>
          <w:szCs w:val="24"/>
        </w:rPr>
        <w:t>343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(</w:t>
      </w:r>
      <w:r w:rsidR="00B26302" w:rsidRPr="004F0124">
        <w:rPr>
          <w:rFonts w:ascii="Times New Roman" w:hAnsi="Times New Roman" w:cs="Times New Roman"/>
          <w:sz w:val="24"/>
          <w:szCs w:val="24"/>
        </w:rPr>
        <w:t>20</w:t>
      </w:r>
      <w:r w:rsidR="00A44C67" w:rsidRPr="004F0124">
        <w:rPr>
          <w:rFonts w:ascii="Times New Roman" w:hAnsi="Times New Roman" w:cs="Times New Roman"/>
          <w:sz w:val="24"/>
          <w:szCs w:val="24"/>
        </w:rPr>
        <w:t>,</w:t>
      </w:r>
      <w:r w:rsidR="00D320CC" w:rsidRPr="004F0124">
        <w:rPr>
          <w:rFonts w:ascii="Times New Roman" w:hAnsi="Times New Roman" w:cs="Times New Roman"/>
          <w:sz w:val="24"/>
          <w:szCs w:val="24"/>
        </w:rPr>
        <w:t>5</w:t>
      </w:r>
      <w:r w:rsidR="00A44C67" w:rsidRPr="004F0124">
        <w:rPr>
          <w:rFonts w:ascii="Times New Roman" w:hAnsi="Times New Roman" w:cs="Times New Roman"/>
          <w:sz w:val="24"/>
          <w:szCs w:val="24"/>
        </w:rPr>
        <w:t>%), technicy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4F0124">
        <w:rPr>
          <w:rFonts w:ascii="Times New Roman" w:hAnsi="Times New Roman" w:cs="Times New Roman"/>
          <w:sz w:val="24"/>
          <w:szCs w:val="24"/>
        </w:rPr>
        <w:t>inny średni personel – 1</w:t>
      </w:r>
      <w:r w:rsidR="004F0124" w:rsidRPr="004F0124">
        <w:rPr>
          <w:rFonts w:ascii="Times New Roman" w:hAnsi="Times New Roman" w:cs="Times New Roman"/>
          <w:sz w:val="24"/>
          <w:szCs w:val="24"/>
        </w:rPr>
        <w:t>2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4F0124" w:rsidRPr="004F0124">
        <w:rPr>
          <w:rFonts w:ascii="Times New Roman" w:hAnsi="Times New Roman" w:cs="Times New Roman"/>
          <w:sz w:val="24"/>
          <w:szCs w:val="24"/>
        </w:rPr>
        <w:t>969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(16,3%), specjaliści – 1</w:t>
      </w:r>
      <w:r w:rsidR="004F0124" w:rsidRPr="004F0124">
        <w:rPr>
          <w:rFonts w:ascii="Times New Roman" w:hAnsi="Times New Roman" w:cs="Times New Roman"/>
          <w:sz w:val="24"/>
          <w:szCs w:val="24"/>
        </w:rPr>
        <w:t>0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4F0124" w:rsidRPr="004F0124">
        <w:rPr>
          <w:rFonts w:ascii="Times New Roman" w:hAnsi="Times New Roman" w:cs="Times New Roman"/>
          <w:sz w:val="24"/>
          <w:szCs w:val="24"/>
        </w:rPr>
        <w:t>907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(13,</w:t>
      </w:r>
      <w:r w:rsidR="004F0124" w:rsidRPr="004F0124">
        <w:rPr>
          <w:rFonts w:ascii="Times New Roman" w:hAnsi="Times New Roman" w:cs="Times New Roman"/>
          <w:sz w:val="24"/>
          <w:szCs w:val="24"/>
        </w:rPr>
        <w:t>7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%), pracownicy przy pracach prostych – </w:t>
      </w:r>
      <w:r w:rsidR="004F0124" w:rsidRPr="004F0124">
        <w:rPr>
          <w:rFonts w:ascii="Times New Roman" w:hAnsi="Times New Roman" w:cs="Times New Roman"/>
          <w:sz w:val="24"/>
          <w:szCs w:val="24"/>
        </w:rPr>
        <w:t>7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4F0124" w:rsidRPr="004F0124">
        <w:rPr>
          <w:rFonts w:ascii="Times New Roman" w:hAnsi="Times New Roman" w:cs="Times New Roman"/>
          <w:sz w:val="24"/>
          <w:szCs w:val="24"/>
        </w:rPr>
        <w:t>088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(</w:t>
      </w:r>
      <w:r w:rsidR="004F0124" w:rsidRPr="004F0124">
        <w:rPr>
          <w:rFonts w:ascii="Times New Roman" w:hAnsi="Times New Roman" w:cs="Times New Roman"/>
          <w:sz w:val="24"/>
          <w:szCs w:val="24"/>
        </w:rPr>
        <w:t>8,</w:t>
      </w:r>
      <w:r w:rsidR="00A44C67" w:rsidRPr="004F0124">
        <w:rPr>
          <w:rFonts w:ascii="Times New Roman" w:hAnsi="Times New Roman" w:cs="Times New Roman"/>
          <w:sz w:val="24"/>
          <w:szCs w:val="24"/>
        </w:rPr>
        <w:t>9%)</w:t>
      </w:r>
      <w:r w:rsidRPr="004F0124">
        <w:rPr>
          <w:rFonts w:ascii="Times New Roman" w:hAnsi="Times New Roman" w:cs="Times New Roman"/>
          <w:sz w:val="24"/>
          <w:szCs w:val="24"/>
        </w:rPr>
        <w:t>.</w:t>
      </w:r>
    </w:p>
    <w:p w:rsidR="00A44C67" w:rsidRPr="004F0124" w:rsidRDefault="00EC6281" w:rsidP="00160DB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24">
        <w:rPr>
          <w:rFonts w:ascii="Times New Roman" w:hAnsi="Times New Roman" w:cs="Times New Roman"/>
          <w:sz w:val="24"/>
          <w:szCs w:val="24"/>
        </w:rPr>
        <w:t>N</w:t>
      </w:r>
      <w:r w:rsidR="00A44C67" w:rsidRPr="004F0124">
        <w:rPr>
          <w:rFonts w:ascii="Times New Roman" w:hAnsi="Times New Roman" w:cs="Times New Roman"/>
          <w:sz w:val="24"/>
          <w:szCs w:val="24"/>
        </w:rPr>
        <w:t>ajmniej bezrobotnych odnotowano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w 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następujących grupach </w:t>
      </w:r>
      <w:r w:rsidR="004F0124" w:rsidRPr="004F0124">
        <w:rPr>
          <w:rFonts w:ascii="Times New Roman" w:hAnsi="Times New Roman" w:cs="Times New Roman"/>
          <w:sz w:val="24"/>
          <w:szCs w:val="24"/>
        </w:rPr>
        <w:t>zawodów (</w:t>
      </w:r>
      <w:r w:rsidR="001900DB" w:rsidRPr="004F0124">
        <w:rPr>
          <w:rFonts w:ascii="Times New Roman" w:hAnsi="Times New Roman" w:cs="Times New Roman"/>
          <w:sz w:val="24"/>
          <w:szCs w:val="24"/>
        </w:rPr>
        <w:t>związanych z</w:t>
      </w:r>
      <w:r w:rsidR="004F0124" w:rsidRPr="004F0124">
        <w:rPr>
          <w:rFonts w:ascii="Times New Roman" w:hAnsi="Times New Roman" w:cs="Times New Roman"/>
          <w:sz w:val="24"/>
          <w:szCs w:val="24"/>
        </w:rPr>
        <w:t> </w:t>
      </w:r>
      <w:r w:rsidR="001900DB" w:rsidRPr="004F0124">
        <w:rPr>
          <w:rFonts w:ascii="Times New Roman" w:hAnsi="Times New Roman" w:cs="Times New Roman"/>
          <w:sz w:val="24"/>
          <w:szCs w:val="24"/>
        </w:rPr>
        <w:t>kierunkami edukacji</w:t>
      </w:r>
      <w:r w:rsidR="004F0124" w:rsidRPr="004F0124">
        <w:rPr>
          <w:rFonts w:ascii="Times New Roman" w:hAnsi="Times New Roman" w:cs="Times New Roman"/>
          <w:sz w:val="24"/>
          <w:szCs w:val="24"/>
        </w:rPr>
        <w:t>)</w:t>
      </w:r>
      <w:r w:rsidR="001900DB" w:rsidRPr="004F0124">
        <w:rPr>
          <w:rFonts w:ascii="Times New Roman" w:hAnsi="Times New Roman" w:cs="Times New Roman"/>
          <w:sz w:val="24"/>
          <w:szCs w:val="24"/>
        </w:rPr>
        <w:t xml:space="preserve"> – kadra kierownicza (</w:t>
      </w:r>
      <w:r w:rsidR="00B26302" w:rsidRPr="004F0124">
        <w:rPr>
          <w:rFonts w:ascii="Times New Roman" w:hAnsi="Times New Roman" w:cs="Times New Roman"/>
          <w:sz w:val="24"/>
          <w:szCs w:val="24"/>
        </w:rPr>
        <w:t>5</w:t>
      </w:r>
      <w:r w:rsidR="004F0124" w:rsidRPr="004F0124">
        <w:rPr>
          <w:rFonts w:ascii="Times New Roman" w:hAnsi="Times New Roman" w:cs="Times New Roman"/>
          <w:sz w:val="24"/>
          <w:szCs w:val="24"/>
        </w:rPr>
        <w:t>10</w:t>
      </w:r>
      <w:r w:rsidR="00B26302" w:rsidRPr="004F0124">
        <w:rPr>
          <w:rFonts w:ascii="Times New Roman" w:hAnsi="Times New Roman" w:cs="Times New Roman"/>
          <w:sz w:val="24"/>
          <w:szCs w:val="24"/>
        </w:rPr>
        <w:t xml:space="preserve"> osób 0,6%</w:t>
      </w:r>
      <w:r w:rsidR="001900DB" w:rsidRPr="004F0124">
        <w:rPr>
          <w:rFonts w:ascii="Times New Roman" w:hAnsi="Times New Roman" w:cs="Times New Roman"/>
          <w:sz w:val="24"/>
          <w:szCs w:val="24"/>
        </w:rPr>
        <w:t>)</w:t>
      </w:r>
      <w:r w:rsidR="00B26302" w:rsidRPr="004F0124">
        <w:rPr>
          <w:rFonts w:ascii="Times New Roman" w:hAnsi="Times New Roman" w:cs="Times New Roman"/>
          <w:sz w:val="24"/>
          <w:szCs w:val="24"/>
        </w:rPr>
        <w:t xml:space="preserve">, </w:t>
      </w:r>
      <w:r w:rsidR="00A44C67" w:rsidRPr="004F0124">
        <w:rPr>
          <w:rFonts w:ascii="Times New Roman" w:hAnsi="Times New Roman" w:cs="Times New Roman"/>
          <w:sz w:val="24"/>
          <w:szCs w:val="24"/>
        </w:rPr>
        <w:t>rolnicy, ogrodnicy, leśnicy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rybacy – </w:t>
      </w:r>
      <w:r w:rsidR="00B26302" w:rsidRPr="004F0124">
        <w:rPr>
          <w:rFonts w:ascii="Times New Roman" w:hAnsi="Times New Roman" w:cs="Times New Roman"/>
          <w:sz w:val="24"/>
          <w:szCs w:val="24"/>
        </w:rPr>
        <w:t>1 </w:t>
      </w:r>
      <w:r w:rsidR="004F0124" w:rsidRPr="004F0124">
        <w:rPr>
          <w:rFonts w:ascii="Times New Roman" w:hAnsi="Times New Roman" w:cs="Times New Roman"/>
          <w:sz w:val="24"/>
          <w:szCs w:val="24"/>
        </w:rPr>
        <w:t>532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(</w:t>
      </w:r>
      <w:r w:rsidR="004F0124" w:rsidRPr="004F0124">
        <w:rPr>
          <w:rFonts w:ascii="Times New Roman" w:hAnsi="Times New Roman" w:cs="Times New Roman"/>
          <w:sz w:val="24"/>
          <w:szCs w:val="24"/>
        </w:rPr>
        <w:t>1,9</w:t>
      </w:r>
      <w:r w:rsidR="00A44C67" w:rsidRPr="004F0124">
        <w:rPr>
          <w:rFonts w:ascii="Times New Roman" w:hAnsi="Times New Roman" w:cs="Times New Roman"/>
          <w:sz w:val="24"/>
          <w:szCs w:val="24"/>
        </w:rPr>
        <w:t>%)</w:t>
      </w:r>
      <w:r w:rsidR="00B26302" w:rsidRPr="004F0124">
        <w:rPr>
          <w:rFonts w:ascii="Times New Roman" w:hAnsi="Times New Roman" w:cs="Times New Roman"/>
          <w:sz w:val="24"/>
          <w:szCs w:val="24"/>
        </w:rPr>
        <w:t>,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pracownicy biurowi</w:t>
      </w:r>
      <w:r w:rsidR="00BA0AC6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A44C67" w:rsidRPr="004F0124">
        <w:rPr>
          <w:rFonts w:ascii="Times New Roman" w:hAnsi="Times New Roman" w:cs="Times New Roman"/>
          <w:sz w:val="24"/>
          <w:szCs w:val="24"/>
        </w:rPr>
        <w:t>–</w:t>
      </w:r>
      <w:r w:rsidR="00BA0AC6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4F0124" w:rsidRPr="004F0124">
        <w:rPr>
          <w:rFonts w:ascii="Times New Roman" w:hAnsi="Times New Roman" w:cs="Times New Roman"/>
          <w:sz w:val="24"/>
          <w:szCs w:val="24"/>
        </w:rPr>
        <w:t>3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4F0124" w:rsidRPr="004F0124">
        <w:rPr>
          <w:rFonts w:ascii="Times New Roman" w:hAnsi="Times New Roman" w:cs="Times New Roman"/>
          <w:sz w:val="24"/>
          <w:szCs w:val="24"/>
        </w:rPr>
        <w:t>655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(4,</w:t>
      </w:r>
      <w:r w:rsidR="004F0124" w:rsidRPr="004F0124">
        <w:rPr>
          <w:rFonts w:ascii="Times New Roman" w:hAnsi="Times New Roman" w:cs="Times New Roman"/>
          <w:sz w:val="24"/>
          <w:szCs w:val="24"/>
        </w:rPr>
        <w:t>6</w:t>
      </w:r>
      <w:r w:rsidR="00A44C67" w:rsidRPr="004F0124">
        <w:rPr>
          <w:rFonts w:ascii="Times New Roman" w:hAnsi="Times New Roman" w:cs="Times New Roman"/>
          <w:sz w:val="24"/>
          <w:szCs w:val="24"/>
        </w:rPr>
        <w:t>%)</w:t>
      </w:r>
      <w:r w:rsidR="00F1229B" w:rsidRPr="004F0124">
        <w:rPr>
          <w:rFonts w:ascii="Times New Roman" w:hAnsi="Times New Roman" w:cs="Times New Roman"/>
          <w:sz w:val="24"/>
          <w:szCs w:val="24"/>
        </w:rPr>
        <w:t>, operatorzy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i </w:t>
      </w:r>
      <w:r w:rsidR="00F1229B" w:rsidRPr="004F0124">
        <w:rPr>
          <w:rFonts w:ascii="Times New Roman" w:hAnsi="Times New Roman" w:cs="Times New Roman"/>
          <w:sz w:val="24"/>
          <w:szCs w:val="24"/>
        </w:rPr>
        <w:t>monterzy maszyn</w:t>
      </w:r>
      <w:r w:rsidR="00AE5712" w:rsidRPr="004F0124">
        <w:rPr>
          <w:rFonts w:ascii="Times New Roman" w:hAnsi="Times New Roman" w:cs="Times New Roman"/>
          <w:sz w:val="24"/>
          <w:szCs w:val="24"/>
        </w:rPr>
        <w:t xml:space="preserve"> i </w:t>
      </w:r>
      <w:r w:rsidR="00F1229B" w:rsidRPr="004F0124">
        <w:rPr>
          <w:rFonts w:ascii="Times New Roman" w:hAnsi="Times New Roman" w:cs="Times New Roman"/>
          <w:sz w:val="24"/>
          <w:szCs w:val="24"/>
        </w:rPr>
        <w:t xml:space="preserve">urządzeń – </w:t>
      </w:r>
      <w:r w:rsidR="004F0124" w:rsidRPr="004F0124">
        <w:rPr>
          <w:rFonts w:ascii="Times New Roman" w:hAnsi="Times New Roman" w:cs="Times New Roman"/>
          <w:sz w:val="24"/>
          <w:szCs w:val="24"/>
        </w:rPr>
        <w:t>5</w:t>
      </w:r>
      <w:r w:rsidR="00F1229B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4F0124" w:rsidRPr="004F0124">
        <w:rPr>
          <w:rFonts w:ascii="Times New Roman" w:hAnsi="Times New Roman" w:cs="Times New Roman"/>
          <w:sz w:val="24"/>
          <w:szCs w:val="24"/>
        </w:rPr>
        <w:t>147</w:t>
      </w:r>
      <w:r w:rsidR="00F1229B" w:rsidRPr="004F0124">
        <w:rPr>
          <w:rFonts w:ascii="Times New Roman" w:hAnsi="Times New Roman" w:cs="Times New Roman"/>
          <w:sz w:val="24"/>
          <w:szCs w:val="24"/>
        </w:rPr>
        <w:t xml:space="preserve"> (6,</w:t>
      </w:r>
      <w:r w:rsidR="004F0124" w:rsidRPr="004F0124">
        <w:rPr>
          <w:rFonts w:ascii="Times New Roman" w:hAnsi="Times New Roman" w:cs="Times New Roman"/>
          <w:sz w:val="24"/>
          <w:szCs w:val="24"/>
        </w:rPr>
        <w:t>5</w:t>
      </w:r>
      <w:r w:rsidR="00F1229B" w:rsidRPr="004F0124">
        <w:rPr>
          <w:rFonts w:ascii="Times New Roman" w:hAnsi="Times New Roman" w:cs="Times New Roman"/>
          <w:sz w:val="24"/>
          <w:szCs w:val="24"/>
        </w:rPr>
        <w:t>%)</w:t>
      </w:r>
      <w:r w:rsidRPr="004F0124">
        <w:rPr>
          <w:rFonts w:ascii="Times New Roman" w:hAnsi="Times New Roman" w:cs="Times New Roman"/>
          <w:sz w:val="24"/>
          <w:szCs w:val="24"/>
        </w:rPr>
        <w:t>.</w:t>
      </w:r>
    </w:p>
    <w:p w:rsidR="00A44C67" w:rsidRPr="004F0124" w:rsidRDefault="00EC6281" w:rsidP="00160DB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24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A44C67" w:rsidRPr="004F0124">
        <w:rPr>
          <w:rFonts w:ascii="Times New Roman" w:hAnsi="Times New Roman" w:cs="Times New Roman"/>
          <w:sz w:val="24"/>
          <w:szCs w:val="24"/>
        </w:rPr>
        <w:t>naczną zbiorowość wśród bezrobotnych</w:t>
      </w:r>
      <w:r w:rsidR="00F1229B" w:rsidRPr="004F0124">
        <w:rPr>
          <w:rFonts w:ascii="Times New Roman" w:hAnsi="Times New Roman" w:cs="Times New Roman"/>
          <w:sz w:val="24"/>
          <w:szCs w:val="24"/>
        </w:rPr>
        <w:t>,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tj. 1</w:t>
      </w:r>
      <w:r w:rsidR="004F0124" w:rsidRPr="004F0124">
        <w:rPr>
          <w:rFonts w:ascii="Times New Roman" w:hAnsi="Times New Roman" w:cs="Times New Roman"/>
          <w:sz w:val="24"/>
          <w:szCs w:val="24"/>
        </w:rPr>
        <w:t>2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</w:t>
      </w:r>
      <w:r w:rsidR="004F0124" w:rsidRPr="004F0124">
        <w:rPr>
          <w:rFonts w:ascii="Times New Roman" w:hAnsi="Times New Roman" w:cs="Times New Roman"/>
          <w:sz w:val="24"/>
          <w:szCs w:val="24"/>
        </w:rPr>
        <w:t>363</w:t>
      </w:r>
      <w:r w:rsidR="00A44C67" w:rsidRPr="004F0124">
        <w:rPr>
          <w:rFonts w:ascii="Times New Roman" w:hAnsi="Times New Roman" w:cs="Times New Roman"/>
          <w:sz w:val="24"/>
          <w:szCs w:val="24"/>
        </w:rPr>
        <w:t xml:space="preserve"> stanowiły osoby bez określonego zawodu</w:t>
      </w:r>
      <w:r w:rsidR="00F1229B" w:rsidRPr="004F0124">
        <w:rPr>
          <w:rFonts w:ascii="Times New Roman" w:hAnsi="Times New Roman" w:cs="Times New Roman"/>
          <w:sz w:val="24"/>
          <w:szCs w:val="24"/>
        </w:rPr>
        <w:t xml:space="preserve"> (</w:t>
      </w:r>
      <w:r w:rsidR="005F37CB" w:rsidRPr="004F0124">
        <w:rPr>
          <w:rFonts w:ascii="Times New Roman" w:hAnsi="Times New Roman" w:cs="Times New Roman"/>
          <w:sz w:val="24"/>
          <w:szCs w:val="24"/>
        </w:rPr>
        <w:t>13,</w:t>
      </w:r>
      <w:r w:rsidR="004F0124" w:rsidRPr="004F0124">
        <w:rPr>
          <w:rFonts w:ascii="Times New Roman" w:hAnsi="Times New Roman" w:cs="Times New Roman"/>
          <w:sz w:val="24"/>
          <w:szCs w:val="24"/>
        </w:rPr>
        <w:t>4</w:t>
      </w:r>
      <w:r w:rsidR="00A44C67" w:rsidRPr="004F0124">
        <w:rPr>
          <w:rFonts w:ascii="Times New Roman" w:hAnsi="Times New Roman" w:cs="Times New Roman"/>
          <w:sz w:val="24"/>
          <w:szCs w:val="24"/>
        </w:rPr>
        <w:t>%</w:t>
      </w:r>
      <w:r w:rsidR="00F1229B" w:rsidRPr="004F0124">
        <w:rPr>
          <w:rFonts w:ascii="Times New Roman" w:hAnsi="Times New Roman" w:cs="Times New Roman"/>
          <w:sz w:val="24"/>
          <w:szCs w:val="24"/>
        </w:rPr>
        <w:t>)</w:t>
      </w:r>
      <w:r w:rsidRPr="004F0124">
        <w:rPr>
          <w:rFonts w:ascii="Times New Roman" w:hAnsi="Times New Roman" w:cs="Times New Roman"/>
          <w:sz w:val="24"/>
          <w:szCs w:val="24"/>
        </w:rPr>
        <w:t>.</w:t>
      </w:r>
    </w:p>
    <w:p w:rsidR="00B23508" w:rsidRDefault="00B23508" w:rsidP="00AE2F19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15129" w:rsidRDefault="00615129" w:rsidP="00AE2F19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  <w:r w:rsidRPr="00615129">
        <w:rPr>
          <w:noProof/>
          <w:lang w:eastAsia="pl-PL"/>
        </w:rPr>
        <w:drawing>
          <wp:inline distT="0" distB="0" distL="0" distR="0" wp14:anchorId="7606908E" wp14:editId="74E49576">
            <wp:extent cx="5759450" cy="4890957"/>
            <wp:effectExtent l="0" t="0" r="0" b="508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90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129" w:rsidRDefault="00615129" w:rsidP="00615129">
      <w:pPr>
        <w:spacing w:after="0" w:line="240" w:lineRule="auto"/>
        <w:jc w:val="both"/>
        <w:rPr>
          <w:sz w:val="16"/>
          <w:szCs w:val="16"/>
        </w:rPr>
      </w:pPr>
    </w:p>
    <w:p w:rsidR="00F1229B" w:rsidRPr="004F0124" w:rsidRDefault="00EC6281" w:rsidP="00F1229B">
      <w:pPr>
        <w:pStyle w:val="Default"/>
        <w:spacing w:line="360" w:lineRule="auto"/>
        <w:jc w:val="both"/>
        <w:rPr>
          <w:color w:val="auto"/>
        </w:rPr>
      </w:pPr>
      <w:r w:rsidRPr="004F0124">
        <w:rPr>
          <w:color w:val="auto"/>
        </w:rPr>
        <w:t>Wnioski:</w:t>
      </w:r>
    </w:p>
    <w:p w:rsidR="00F1229B" w:rsidRPr="004F0124" w:rsidRDefault="00F1229B" w:rsidP="00F1229B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4F0124">
        <w:rPr>
          <w:rFonts w:ascii="Times New Roman" w:hAnsi="Times New Roman" w:cs="Times New Roman"/>
          <w:szCs w:val="24"/>
        </w:rPr>
        <w:t>(na podstawie danych</w:t>
      </w:r>
      <w:r w:rsidR="00AE5712" w:rsidRPr="004F0124">
        <w:rPr>
          <w:rFonts w:ascii="Times New Roman" w:hAnsi="Times New Roman" w:cs="Times New Roman"/>
          <w:szCs w:val="24"/>
        </w:rPr>
        <w:t xml:space="preserve"> z </w:t>
      </w:r>
      <w:r w:rsidR="0063069E" w:rsidRPr="004F0124">
        <w:rPr>
          <w:rFonts w:ascii="Times New Roman" w:hAnsi="Times New Roman" w:cs="Times New Roman"/>
          <w:szCs w:val="24"/>
        </w:rPr>
        <w:t>t</w:t>
      </w:r>
      <w:r w:rsidRPr="004F0124">
        <w:rPr>
          <w:rFonts w:ascii="Times New Roman" w:hAnsi="Times New Roman" w:cs="Times New Roman"/>
          <w:szCs w:val="24"/>
        </w:rPr>
        <w:t xml:space="preserve">abeli </w:t>
      </w:r>
      <w:r w:rsidR="004F0124" w:rsidRPr="004F0124">
        <w:rPr>
          <w:rFonts w:ascii="Times New Roman" w:hAnsi="Times New Roman" w:cs="Times New Roman"/>
          <w:szCs w:val="24"/>
        </w:rPr>
        <w:t>XXI</w:t>
      </w:r>
      <w:r w:rsidR="00EC6281" w:rsidRPr="004F0124">
        <w:rPr>
          <w:rFonts w:ascii="Times New Roman" w:hAnsi="Times New Roman" w:cs="Times New Roman"/>
          <w:szCs w:val="24"/>
        </w:rPr>
        <w:t>)</w:t>
      </w:r>
    </w:p>
    <w:p w:rsidR="00B26302" w:rsidRPr="00C01A17" w:rsidRDefault="00C851A5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A17">
        <w:rPr>
          <w:rFonts w:ascii="Times New Roman" w:hAnsi="Times New Roman" w:cs="Times New Roman"/>
          <w:sz w:val="24"/>
          <w:szCs w:val="24"/>
        </w:rPr>
        <w:t>W</w:t>
      </w:r>
      <w:r w:rsidR="00F1229B" w:rsidRPr="00C01A17">
        <w:rPr>
          <w:rFonts w:ascii="Times New Roman" w:hAnsi="Times New Roman" w:cs="Times New Roman"/>
          <w:sz w:val="24"/>
          <w:szCs w:val="24"/>
        </w:rPr>
        <w:t xml:space="preserve"> dniu 3</w:t>
      </w:r>
      <w:r w:rsidR="00B26302" w:rsidRPr="00C01A17">
        <w:rPr>
          <w:rFonts w:ascii="Times New Roman" w:hAnsi="Times New Roman" w:cs="Times New Roman"/>
          <w:sz w:val="24"/>
          <w:szCs w:val="24"/>
        </w:rPr>
        <w:t>0</w:t>
      </w:r>
      <w:r w:rsidR="004F0124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B26302" w:rsidRPr="00C01A17">
        <w:rPr>
          <w:rFonts w:ascii="Times New Roman" w:hAnsi="Times New Roman" w:cs="Times New Roman"/>
          <w:sz w:val="24"/>
          <w:szCs w:val="24"/>
        </w:rPr>
        <w:t>VI</w:t>
      </w:r>
      <w:r w:rsidR="004F0124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F1229B" w:rsidRPr="00C01A17">
        <w:rPr>
          <w:rFonts w:ascii="Times New Roman" w:hAnsi="Times New Roman" w:cs="Times New Roman"/>
          <w:sz w:val="24"/>
          <w:szCs w:val="24"/>
        </w:rPr>
        <w:t>201</w:t>
      </w:r>
      <w:r w:rsidR="004F0124" w:rsidRPr="00C01A17">
        <w:rPr>
          <w:rFonts w:ascii="Times New Roman" w:hAnsi="Times New Roman" w:cs="Times New Roman"/>
          <w:sz w:val="24"/>
          <w:szCs w:val="24"/>
        </w:rPr>
        <w:t>7</w:t>
      </w:r>
      <w:r w:rsidR="00F1229B" w:rsidRPr="00C01A17">
        <w:rPr>
          <w:rFonts w:ascii="Times New Roman" w:hAnsi="Times New Roman" w:cs="Times New Roman"/>
          <w:sz w:val="24"/>
          <w:szCs w:val="24"/>
        </w:rPr>
        <w:t xml:space="preserve"> r</w:t>
      </w:r>
      <w:r w:rsidR="00661D75" w:rsidRPr="00C01A17">
        <w:rPr>
          <w:rFonts w:ascii="Times New Roman" w:hAnsi="Times New Roman" w:cs="Times New Roman"/>
          <w:sz w:val="24"/>
          <w:szCs w:val="24"/>
        </w:rPr>
        <w:t>.</w:t>
      </w:r>
      <w:r w:rsidR="00B26302" w:rsidRPr="00C01A17">
        <w:rPr>
          <w:rFonts w:ascii="Times New Roman" w:hAnsi="Times New Roman" w:cs="Times New Roman"/>
          <w:sz w:val="24"/>
          <w:szCs w:val="24"/>
        </w:rPr>
        <w:t xml:space="preserve">– </w:t>
      </w:r>
      <w:r w:rsidR="00AE5712" w:rsidRPr="00C01A17">
        <w:rPr>
          <w:rFonts w:ascii="Times New Roman" w:hAnsi="Times New Roman" w:cs="Times New Roman"/>
          <w:sz w:val="24"/>
          <w:szCs w:val="24"/>
        </w:rPr>
        <w:t>w </w:t>
      </w:r>
      <w:r w:rsidR="00F1229B" w:rsidRPr="00C01A17">
        <w:rPr>
          <w:rFonts w:ascii="Times New Roman" w:hAnsi="Times New Roman" w:cs="Times New Roman"/>
          <w:sz w:val="24"/>
          <w:szCs w:val="24"/>
        </w:rPr>
        <w:t>porównaniu do stanu</w:t>
      </w:r>
      <w:r w:rsidR="00AE5712" w:rsidRPr="00C01A17">
        <w:rPr>
          <w:rFonts w:ascii="Times New Roman" w:hAnsi="Times New Roman" w:cs="Times New Roman"/>
          <w:sz w:val="24"/>
          <w:szCs w:val="24"/>
        </w:rPr>
        <w:t xml:space="preserve"> z </w:t>
      </w:r>
      <w:r w:rsidR="00135178" w:rsidRPr="00C01A17">
        <w:rPr>
          <w:rFonts w:ascii="Times New Roman" w:hAnsi="Times New Roman" w:cs="Times New Roman"/>
          <w:sz w:val="24"/>
          <w:szCs w:val="24"/>
        </w:rPr>
        <w:t>31</w:t>
      </w:r>
      <w:r w:rsidR="004F0124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135178" w:rsidRPr="00C01A17">
        <w:rPr>
          <w:rFonts w:ascii="Times New Roman" w:hAnsi="Times New Roman" w:cs="Times New Roman"/>
          <w:sz w:val="24"/>
          <w:szCs w:val="24"/>
        </w:rPr>
        <w:t>XII</w:t>
      </w:r>
      <w:r w:rsidR="004F0124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F1229B" w:rsidRPr="00C01A17">
        <w:rPr>
          <w:rFonts w:ascii="Times New Roman" w:hAnsi="Times New Roman" w:cs="Times New Roman"/>
          <w:sz w:val="24"/>
          <w:szCs w:val="24"/>
        </w:rPr>
        <w:t>201</w:t>
      </w:r>
      <w:r w:rsidR="004F0124" w:rsidRPr="00C01A17">
        <w:rPr>
          <w:rFonts w:ascii="Times New Roman" w:hAnsi="Times New Roman" w:cs="Times New Roman"/>
          <w:sz w:val="24"/>
          <w:szCs w:val="24"/>
        </w:rPr>
        <w:t>6</w:t>
      </w:r>
      <w:r w:rsidR="00F1229B" w:rsidRPr="00C01A17">
        <w:rPr>
          <w:rFonts w:ascii="Times New Roman" w:hAnsi="Times New Roman" w:cs="Times New Roman"/>
          <w:sz w:val="24"/>
          <w:szCs w:val="24"/>
        </w:rPr>
        <w:t xml:space="preserve"> r</w:t>
      </w:r>
      <w:r w:rsidR="00661D75" w:rsidRPr="00C01A17">
        <w:rPr>
          <w:rFonts w:ascii="Times New Roman" w:hAnsi="Times New Roman" w:cs="Times New Roman"/>
          <w:sz w:val="24"/>
          <w:szCs w:val="24"/>
        </w:rPr>
        <w:t>.</w:t>
      </w:r>
      <w:r w:rsidR="00F1229B" w:rsidRPr="00C01A17">
        <w:rPr>
          <w:rFonts w:ascii="Times New Roman" w:hAnsi="Times New Roman" w:cs="Times New Roman"/>
          <w:sz w:val="24"/>
          <w:szCs w:val="24"/>
        </w:rPr>
        <w:t xml:space="preserve"> odnotowano </w:t>
      </w:r>
      <w:r w:rsidR="00B26302" w:rsidRPr="00C01A17">
        <w:rPr>
          <w:rFonts w:ascii="Times New Roman" w:hAnsi="Times New Roman" w:cs="Times New Roman"/>
          <w:sz w:val="24"/>
          <w:szCs w:val="24"/>
        </w:rPr>
        <w:t>spadek</w:t>
      </w:r>
      <w:r w:rsidR="00F1229B" w:rsidRPr="00C01A17">
        <w:rPr>
          <w:rFonts w:ascii="Times New Roman" w:hAnsi="Times New Roman" w:cs="Times New Roman"/>
          <w:sz w:val="24"/>
          <w:szCs w:val="24"/>
        </w:rPr>
        <w:t xml:space="preserve"> liczby bezrobotnych</w:t>
      </w:r>
      <w:r w:rsidR="00AE5712" w:rsidRPr="00C01A17">
        <w:rPr>
          <w:rFonts w:ascii="Times New Roman" w:hAnsi="Times New Roman" w:cs="Times New Roman"/>
          <w:sz w:val="24"/>
          <w:szCs w:val="24"/>
        </w:rPr>
        <w:t xml:space="preserve"> w</w:t>
      </w:r>
      <w:r w:rsidR="00B26302" w:rsidRPr="00C01A17">
        <w:rPr>
          <w:rFonts w:ascii="Times New Roman" w:hAnsi="Times New Roman" w:cs="Times New Roman"/>
          <w:sz w:val="24"/>
          <w:szCs w:val="24"/>
        </w:rPr>
        <w:t>e</w:t>
      </w:r>
      <w:r w:rsidR="00AE5712" w:rsidRPr="00C01A17">
        <w:rPr>
          <w:rFonts w:ascii="Times New Roman" w:hAnsi="Times New Roman" w:cs="Times New Roman"/>
          <w:sz w:val="24"/>
          <w:szCs w:val="24"/>
        </w:rPr>
        <w:t> </w:t>
      </w:r>
      <w:r w:rsidR="00B26302" w:rsidRPr="00C01A17">
        <w:rPr>
          <w:rFonts w:ascii="Times New Roman" w:hAnsi="Times New Roman" w:cs="Times New Roman"/>
          <w:sz w:val="24"/>
          <w:szCs w:val="24"/>
        </w:rPr>
        <w:t xml:space="preserve">wszystkich </w:t>
      </w:r>
      <w:r w:rsidR="00F1229B" w:rsidRPr="00C01A17">
        <w:rPr>
          <w:rFonts w:ascii="Times New Roman" w:hAnsi="Times New Roman" w:cs="Times New Roman"/>
          <w:sz w:val="24"/>
          <w:szCs w:val="24"/>
        </w:rPr>
        <w:t>grup</w:t>
      </w:r>
      <w:r w:rsidR="00B26302" w:rsidRPr="00C01A17">
        <w:rPr>
          <w:rFonts w:ascii="Times New Roman" w:hAnsi="Times New Roman" w:cs="Times New Roman"/>
          <w:sz w:val="24"/>
          <w:szCs w:val="24"/>
        </w:rPr>
        <w:t>ach</w:t>
      </w:r>
      <w:r w:rsidR="00F1229B" w:rsidRPr="00C01A17">
        <w:rPr>
          <w:rFonts w:ascii="Times New Roman" w:hAnsi="Times New Roman" w:cs="Times New Roman"/>
          <w:sz w:val="24"/>
          <w:szCs w:val="24"/>
        </w:rPr>
        <w:t xml:space="preserve"> zawodów</w:t>
      </w:r>
      <w:r w:rsidR="00B26302" w:rsidRPr="00C01A17">
        <w:rPr>
          <w:rFonts w:ascii="Times New Roman" w:hAnsi="Times New Roman" w:cs="Times New Roman"/>
          <w:sz w:val="24"/>
          <w:szCs w:val="24"/>
        </w:rPr>
        <w:t xml:space="preserve"> – największy dotyczył:</w:t>
      </w:r>
      <w:r w:rsidR="00F1229B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B26302" w:rsidRPr="00C01A17">
        <w:rPr>
          <w:rFonts w:ascii="Times New Roman" w:hAnsi="Times New Roman" w:cs="Times New Roman"/>
          <w:sz w:val="24"/>
          <w:szCs w:val="24"/>
        </w:rPr>
        <w:t>robotników przemysłowych i rzemieślników (4 1</w:t>
      </w:r>
      <w:r w:rsidR="004F0124" w:rsidRPr="00C01A17">
        <w:rPr>
          <w:rFonts w:ascii="Times New Roman" w:hAnsi="Times New Roman" w:cs="Times New Roman"/>
          <w:sz w:val="24"/>
          <w:szCs w:val="24"/>
        </w:rPr>
        <w:t>84</w:t>
      </w:r>
      <w:r w:rsidR="00B26302" w:rsidRPr="00C01A17">
        <w:rPr>
          <w:rFonts w:ascii="Times New Roman" w:hAnsi="Times New Roman" w:cs="Times New Roman"/>
          <w:sz w:val="24"/>
          <w:szCs w:val="24"/>
        </w:rPr>
        <w:t>), techników i innego średniego personelu (2 </w:t>
      </w:r>
      <w:r w:rsidR="004F0124" w:rsidRPr="00C01A17">
        <w:rPr>
          <w:rFonts w:ascii="Times New Roman" w:hAnsi="Times New Roman" w:cs="Times New Roman"/>
          <w:sz w:val="24"/>
          <w:szCs w:val="24"/>
        </w:rPr>
        <w:t>311</w:t>
      </w:r>
      <w:r w:rsidR="00B26302" w:rsidRPr="00C01A17">
        <w:rPr>
          <w:rFonts w:ascii="Times New Roman" w:hAnsi="Times New Roman" w:cs="Times New Roman"/>
          <w:sz w:val="24"/>
          <w:szCs w:val="24"/>
        </w:rPr>
        <w:t>), pracowników usług osobistych</w:t>
      </w:r>
      <w:r w:rsidR="00C01A17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B26302" w:rsidRPr="00C01A17">
        <w:rPr>
          <w:rFonts w:ascii="Times New Roman" w:hAnsi="Times New Roman" w:cs="Times New Roman"/>
          <w:sz w:val="24"/>
          <w:szCs w:val="24"/>
        </w:rPr>
        <w:t>i</w:t>
      </w:r>
      <w:r w:rsidR="00C01A17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B26302" w:rsidRPr="00C01A17">
        <w:rPr>
          <w:rFonts w:ascii="Times New Roman" w:hAnsi="Times New Roman" w:cs="Times New Roman"/>
          <w:sz w:val="24"/>
          <w:szCs w:val="24"/>
        </w:rPr>
        <w:t>sprzedawców (2 </w:t>
      </w:r>
      <w:r w:rsidR="004B5607" w:rsidRPr="00C01A17">
        <w:rPr>
          <w:rFonts w:ascii="Times New Roman" w:hAnsi="Times New Roman" w:cs="Times New Roman"/>
          <w:sz w:val="24"/>
          <w:szCs w:val="24"/>
        </w:rPr>
        <w:t>194</w:t>
      </w:r>
      <w:r w:rsidR="00B26302" w:rsidRPr="00C01A17">
        <w:rPr>
          <w:rFonts w:ascii="Times New Roman" w:hAnsi="Times New Roman" w:cs="Times New Roman"/>
          <w:sz w:val="24"/>
          <w:szCs w:val="24"/>
        </w:rPr>
        <w:t xml:space="preserve">), </w:t>
      </w:r>
      <w:r w:rsidR="004B5607" w:rsidRPr="00C01A17">
        <w:rPr>
          <w:rFonts w:ascii="Times New Roman" w:hAnsi="Times New Roman" w:cs="Times New Roman"/>
          <w:sz w:val="24"/>
          <w:szCs w:val="24"/>
        </w:rPr>
        <w:t>specjalistów (2 058) i</w:t>
      </w:r>
      <w:r w:rsidR="00C01A17" w:rsidRPr="00C01A17">
        <w:rPr>
          <w:rFonts w:ascii="Times New Roman" w:hAnsi="Times New Roman" w:cs="Times New Roman"/>
          <w:sz w:val="24"/>
          <w:szCs w:val="24"/>
        </w:rPr>
        <w:t> </w:t>
      </w:r>
      <w:r w:rsidR="00377691" w:rsidRPr="00C01A17">
        <w:rPr>
          <w:rFonts w:ascii="Times New Roman" w:hAnsi="Times New Roman" w:cs="Times New Roman"/>
          <w:sz w:val="24"/>
          <w:szCs w:val="24"/>
        </w:rPr>
        <w:t>pracowników przy pracach prostych (1 </w:t>
      </w:r>
      <w:r w:rsidR="004B5607" w:rsidRPr="00C01A17">
        <w:rPr>
          <w:rFonts w:ascii="Times New Roman" w:hAnsi="Times New Roman" w:cs="Times New Roman"/>
          <w:sz w:val="24"/>
          <w:szCs w:val="24"/>
        </w:rPr>
        <w:t>378</w:t>
      </w:r>
      <w:r w:rsidR="00377691" w:rsidRPr="00C01A17">
        <w:rPr>
          <w:rFonts w:ascii="Times New Roman" w:hAnsi="Times New Roman" w:cs="Times New Roman"/>
          <w:sz w:val="24"/>
          <w:szCs w:val="24"/>
        </w:rPr>
        <w:t>)</w:t>
      </w:r>
      <w:r w:rsidR="00B26302" w:rsidRPr="00C01A17">
        <w:rPr>
          <w:rFonts w:ascii="Times New Roman" w:hAnsi="Times New Roman" w:cs="Times New Roman"/>
          <w:sz w:val="24"/>
          <w:szCs w:val="24"/>
        </w:rPr>
        <w:t>.</w:t>
      </w:r>
    </w:p>
    <w:p w:rsidR="00B73D07" w:rsidRPr="00C01A17" w:rsidRDefault="00B73D07" w:rsidP="00160DBC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A17">
        <w:rPr>
          <w:rFonts w:ascii="Times New Roman" w:hAnsi="Times New Roman" w:cs="Times New Roman"/>
          <w:sz w:val="24"/>
          <w:szCs w:val="24"/>
        </w:rPr>
        <w:t>W grupie osób bez zawodu</w:t>
      </w:r>
      <w:r w:rsidR="00661D75" w:rsidRPr="00C01A17">
        <w:rPr>
          <w:rFonts w:ascii="Times New Roman" w:hAnsi="Times New Roman" w:cs="Times New Roman"/>
          <w:sz w:val="24"/>
          <w:szCs w:val="24"/>
        </w:rPr>
        <w:t xml:space="preserve"> obniżka</w:t>
      </w:r>
      <w:r w:rsidR="00AE5712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0C3F17">
        <w:rPr>
          <w:rFonts w:ascii="Times New Roman" w:hAnsi="Times New Roman" w:cs="Times New Roman"/>
          <w:sz w:val="24"/>
          <w:szCs w:val="24"/>
        </w:rPr>
        <w:t>(</w:t>
      </w:r>
      <w:r w:rsidR="00AE5712" w:rsidRPr="00C01A17">
        <w:rPr>
          <w:rFonts w:ascii="Times New Roman" w:hAnsi="Times New Roman" w:cs="Times New Roman"/>
          <w:sz w:val="24"/>
          <w:szCs w:val="24"/>
        </w:rPr>
        <w:t>w </w:t>
      </w:r>
      <w:r w:rsidRPr="00C01A17">
        <w:rPr>
          <w:rFonts w:ascii="Times New Roman" w:hAnsi="Times New Roman" w:cs="Times New Roman"/>
          <w:sz w:val="24"/>
          <w:szCs w:val="24"/>
        </w:rPr>
        <w:t xml:space="preserve">stosunku do </w:t>
      </w:r>
      <w:r w:rsidR="006F547C" w:rsidRPr="00C01A17">
        <w:rPr>
          <w:rFonts w:ascii="Times New Roman" w:hAnsi="Times New Roman" w:cs="Times New Roman"/>
          <w:sz w:val="24"/>
          <w:szCs w:val="24"/>
        </w:rPr>
        <w:t>stanu na</w:t>
      </w:r>
      <w:r w:rsidR="00AE5712" w:rsidRPr="00C01A17">
        <w:rPr>
          <w:rFonts w:ascii="Times New Roman" w:hAnsi="Times New Roman" w:cs="Times New Roman"/>
          <w:sz w:val="24"/>
          <w:szCs w:val="24"/>
        </w:rPr>
        <w:t> </w:t>
      </w:r>
      <w:r w:rsidR="00377691" w:rsidRPr="00C01A17">
        <w:rPr>
          <w:rFonts w:ascii="Times New Roman" w:hAnsi="Times New Roman" w:cs="Times New Roman"/>
          <w:sz w:val="24"/>
          <w:szCs w:val="24"/>
        </w:rPr>
        <w:t>31</w:t>
      </w:r>
      <w:r w:rsidR="00C01A17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377691" w:rsidRPr="00C01A17">
        <w:rPr>
          <w:rFonts w:ascii="Times New Roman" w:hAnsi="Times New Roman" w:cs="Times New Roman"/>
          <w:sz w:val="24"/>
          <w:szCs w:val="24"/>
        </w:rPr>
        <w:t>XII</w:t>
      </w:r>
      <w:r w:rsidR="00C01A17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Pr="00C01A17">
        <w:rPr>
          <w:rFonts w:ascii="Times New Roman" w:hAnsi="Times New Roman" w:cs="Times New Roman"/>
          <w:sz w:val="24"/>
          <w:szCs w:val="24"/>
        </w:rPr>
        <w:t>201</w:t>
      </w:r>
      <w:r w:rsidR="000C3F17">
        <w:rPr>
          <w:rFonts w:ascii="Times New Roman" w:hAnsi="Times New Roman" w:cs="Times New Roman"/>
          <w:sz w:val="24"/>
          <w:szCs w:val="24"/>
        </w:rPr>
        <w:t>6</w:t>
      </w:r>
      <w:r w:rsidR="00AE5712" w:rsidRPr="00C01A17">
        <w:rPr>
          <w:rFonts w:ascii="Times New Roman" w:hAnsi="Times New Roman" w:cs="Times New Roman"/>
          <w:sz w:val="24"/>
          <w:szCs w:val="24"/>
        </w:rPr>
        <w:t> r.</w:t>
      </w:r>
      <w:r w:rsidR="000C3F17">
        <w:rPr>
          <w:rFonts w:ascii="Times New Roman" w:hAnsi="Times New Roman" w:cs="Times New Roman"/>
          <w:sz w:val="24"/>
          <w:szCs w:val="24"/>
        </w:rPr>
        <w:t>)</w:t>
      </w:r>
      <w:r w:rsidR="00661D75" w:rsidRPr="00C01A17">
        <w:rPr>
          <w:rFonts w:ascii="Times New Roman" w:hAnsi="Times New Roman" w:cs="Times New Roman"/>
          <w:sz w:val="24"/>
          <w:szCs w:val="24"/>
        </w:rPr>
        <w:t xml:space="preserve"> wynos</w:t>
      </w:r>
      <w:r w:rsidR="006F547C" w:rsidRPr="00C01A17">
        <w:rPr>
          <w:rFonts w:ascii="Times New Roman" w:hAnsi="Times New Roman" w:cs="Times New Roman"/>
          <w:sz w:val="24"/>
          <w:szCs w:val="24"/>
        </w:rPr>
        <w:t>i</w:t>
      </w:r>
      <w:r w:rsidR="00661D75" w:rsidRPr="00C01A17">
        <w:rPr>
          <w:rFonts w:ascii="Times New Roman" w:hAnsi="Times New Roman" w:cs="Times New Roman"/>
          <w:sz w:val="24"/>
          <w:szCs w:val="24"/>
        </w:rPr>
        <w:t xml:space="preserve">ła  </w:t>
      </w:r>
      <w:r w:rsidR="00C01A17" w:rsidRPr="00C01A17">
        <w:rPr>
          <w:rFonts w:ascii="Times New Roman" w:hAnsi="Times New Roman" w:cs="Times New Roman"/>
          <w:sz w:val="24"/>
          <w:szCs w:val="24"/>
        </w:rPr>
        <w:t>1</w:t>
      </w:r>
      <w:r w:rsidR="00377691" w:rsidRPr="00C01A17">
        <w:rPr>
          <w:rFonts w:ascii="Times New Roman" w:hAnsi="Times New Roman" w:cs="Times New Roman"/>
          <w:sz w:val="24"/>
          <w:szCs w:val="24"/>
        </w:rPr>
        <w:t> 6</w:t>
      </w:r>
      <w:r w:rsidR="00C01A17" w:rsidRPr="00C01A17">
        <w:rPr>
          <w:rFonts w:ascii="Times New Roman" w:hAnsi="Times New Roman" w:cs="Times New Roman"/>
          <w:sz w:val="24"/>
          <w:szCs w:val="24"/>
        </w:rPr>
        <w:t>97</w:t>
      </w:r>
      <w:r w:rsidR="00377691" w:rsidRPr="00C01A17">
        <w:rPr>
          <w:rFonts w:ascii="Times New Roman" w:hAnsi="Times New Roman" w:cs="Times New Roman"/>
          <w:sz w:val="24"/>
          <w:szCs w:val="24"/>
        </w:rPr>
        <w:t xml:space="preserve"> osoby</w:t>
      </w:r>
      <w:r w:rsidR="00661D75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6F547C" w:rsidRPr="00C01A17">
        <w:rPr>
          <w:rFonts w:ascii="Times New Roman" w:hAnsi="Times New Roman" w:cs="Times New Roman"/>
          <w:sz w:val="24"/>
          <w:szCs w:val="24"/>
        </w:rPr>
        <w:t>(</w:t>
      </w:r>
      <w:r w:rsidRPr="00C01A17">
        <w:rPr>
          <w:rFonts w:ascii="Times New Roman" w:hAnsi="Times New Roman" w:cs="Times New Roman"/>
          <w:sz w:val="24"/>
          <w:szCs w:val="24"/>
        </w:rPr>
        <w:t>spadek bezrobotnych</w:t>
      </w:r>
      <w:r w:rsidR="001B5D0B" w:rsidRPr="00C01A17">
        <w:rPr>
          <w:rFonts w:ascii="Times New Roman" w:hAnsi="Times New Roman" w:cs="Times New Roman"/>
          <w:sz w:val="24"/>
          <w:szCs w:val="24"/>
        </w:rPr>
        <w:t xml:space="preserve"> </w:t>
      </w:r>
      <w:r w:rsidR="00377691" w:rsidRPr="00C01A17">
        <w:rPr>
          <w:rFonts w:ascii="Times New Roman" w:hAnsi="Times New Roman" w:cs="Times New Roman"/>
          <w:sz w:val="24"/>
          <w:szCs w:val="24"/>
        </w:rPr>
        <w:t>ogółem</w:t>
      </w:r>
      <w:r w:rsidR="006F547C" w:rsidRPr="00C01A17">
        <w:rPr>
          <w:rFonts w:ascii="Times New Roman" w:hAnsi="Times New Roman" w:cs="Times New Roman"/>
          <w:sz w:val="24"/>
          <w:szCs w:val="24"/>
        </w:rPr>
        <w:t xml:space="preserve"> – </w:t>
      </w:r>
      <w:r w:rsidR="00C01A17" w:rsidRPr="00C01A17">
        <w:rPr>
          <w:rFonts w:ascii="Times New Roman" w:hAnsi="Times New Roman" w:cs="Times New Roman"/>
          <w:sz w:val="24"/>
          <w:szCs w:val="24"/>
        </w:rPr>
        <w:t xml:space="preserve">o </w:t>
      </w:r>
      <w:r w:rsidR="00377691" w:rsidRPr="00C01A17">
        <w:rPr>
          <w:rFonts w:ascii="Times New Roman" w:hAnsi="Times New Roman" w:cs="Times New Roman"/>
          <w:sz w:val="24"/>
          <w:szCs w:val="24"/>
        </w:rPr>
        <w:t>15 5</w:t>
      </w:r>
      <w:r w:rsidR="00C01A17" w:rsidRPr="00C01A17">
        <w:rPr>
          <w:rFonts w:ascii="Times New Roman" w:hAnsi="Times New Roman" w:cs="Times New Roman"/>
          <w:sz w:val="24"/>
          <w:szCs w:val="24"/>
        </w:rPr>
        <w:t>88</w:t>
      </w:r>
      <w:r w:rsidR="00377691" w:rsidRPr="00C01A17">
        <w:rPr>
          <w:rFonts w:ascii="Times New Roman" w:hAnsi="Times New Roman" w:cs="Times New Roman"/>
          <w:sz w:val="24"/>
          <w:szCs w:val="24"/>
        </w:rPr>
        <w:t xml:space="preserve"> os</w:t>
      </w:r>
      <w:r w:rsidR="00C01A17" w:rsidRPr="00C01A17">
        <w:rPr>
          <w:rFonts w:ascii="Times New Roman" w:hAnsi="Times New Roman" w:cs="Times New Roman"/>
          <w:sz w:val="24"/>
          <w:szCs w:val="24"/>
        </w:rPr>
        <w:t>ó</w:t>
      </w:r>
      <w:r w:rsidR="00377691" w:rsidRPr="00C01A17">
        <w:rPr>
          <w:rFonts w:ascii="Times New Roman" w:hAnsi="Times New Roman" w:cs="Times New Roman"/>
          <w:sz w:val="24"/>
          <w:szCs w:val="24"/>
        </w:rPr>
        <w:t>b</w:t>
      </w:r>
      <w:r w:rsidR="006F547C" w:rsidRPr="00C01A17">
        <w:rPr>
          <w:rFonts w:ascii="Times New Roman" w:hAnsi="Times New Roman" w:cs="Times New Roman"/>
          <w:sz w:val="24"/>
          <w:szCs w:val="24"/>
        </w:rPr>
        <w:t>)</w:t>
      </w:r>
      <w:r w:rsidR="001B5D0B" w:rsidRPr="00C01A17">
        <w:rPr>
          <w:rFonts w:ascii="Times New Roman" w:hAnsi="Times New Roman" w:cs="Times New Roman"/>
          <w:sz w:val="24"/>
          <w:szCs w:val="24"/>
        </w:rPr>
        <w:t>.</w:t>
      </w:r>
    </w:p>
    <w:p w:rsidR="002439C2" w:rsidRDefault="002439C2">
      <w:pPr>
        <w:rPr>
          <w:sz w:val="24"/>
          <w:szCs w:val="24"/>
          <w:highlight w:val="yellow"/>
        </w:rPr>
      </w:pPr>
    </w:p>
    <w:p w:rsidR="002439C2" w:rsidRPr="0029506F" w:rsidRDefault="002439C2">
      <w:pPr>
        <w:rPr>
          <w:sz w:val="24"/>
          <w:szCs w:val="24"/>
          <w:highlight w:val="yellow"/>
        </w:rPr>
        <w:sectPr w:rsidR="002439C2" w:rsidRPr="0029506F" w:rsidSect="00A215D0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67454E" w:rsidRPr="004F28A7" w:rsidRDefault="00716C56" w:rsidP="004F28A7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3" w:name="_Toc489263953"/>
      <w:r w:rsidRPr="00AC4F27">
        <w:rPr>
          <w:noProof/>
          <w:lang w:val="pl-PL"/>
        </w:rPr>
        <w:lastRenderedPageBreak/>
        <w:drawing>
          <wp:anchor distT="0" distB="0" distL="114300" distR="114300" simplePos="0" relativeHeight="251748352" behindDoc="1" locked="0" layoutInCell="1" allowOverlap="1" wp14:anchorId="545804D0" wp14:editId="4FBD7368">
            <wp:simplePos x="0" y="0"/>
            <wp:positionH relativeFrom="column">
              <wp:posOffset>1659890</wp:posOffset>
            </wp:positionH>
            <wp:positionV relativeFrom="paragraph">
              <wp:posOffset>299720</wp:posOffset>
            </wp:positionV>
            <wp:extent cx="6432550" cy="5502275"/>
            <wp:effectExtent l="0" t="0" r="6350" b="3175"/>
            <wp:wrapTight wrapText="bothSides">
              <wp:wrapPolygon edited="0">
                <wp:start x="0" y="0"/>
                <wp:lineTo x="0" y="21538"/>
                <wp:lineTo x="21557" y="21538"/>
                <wp:lineTo x="21557" y="0"/>
                <wp:lineTo x="0" y="0"/>
              </wp:wrapPolygon>
            </wp:wrapTight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550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54E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Wolne miejsca pracy</w:t>
      </w:r>
      <w:r w:rsidR="00AE5712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i </w:t>
      </w:r>
      <w:r w:rsidR="002F6C19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miejsca </w:t>
      </w:r>
      <w:r w:rsidR="0067454E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aktywizacji zawodowej</w:t>
      </w:r>
      <w:bookmarkEnd w:id="13"/>
    </w:p>
    <w:p w:rsidR="00C851A5" w:rsidRPr="00716C56" w:rsidRDefault="00C851A5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Pr="00716C56" w:rsidRDefault="00716C56" w:rsidP="00716C56">
      <w:pPr>
        <w:spacing w:after="0" w:line="240" w:lineRule="auto"/>
        <w:jc w:val="both"/>
        <w:rPr>
          <w:b/>
          <w:noProof/>
          <w:sz w:val="16"/>
          <w:szCs w:val="16"/>
        </w:rPr>
      </w:pPr>
    </w:p>
    <w:p w:rsidR="00716C56" w:rsidRP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P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P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P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P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P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br w:type="page"/>
      </w:r>
    </w:p>
    <w:p w:rsidR="00716C56" w:rsidRDefault="00AC5022" w:rsidP="00716C56">
      <w:pPr>
        <w:spacing w:after="0" w:line="240" w:lineRule="auto"/>
        <w:jc w:val="both"/>
        <w:rPr>
          <w:noProof/>
          <w:sz w:val="16"/>
          <w:szCs w:val="16"/>
        </w:rPr>
      </w:pPr>
      <w:r w:rsidRPr="00AC5022">
        <w:rPr>
          <w:noProof/>
          <w:lang w:eastAsia="pl-PL"/>
        </w:rPr>
        <w:lastRenderedPageBreak/>
        <w:drawing>
          <wp:anchor distT="0" distB="0" distL="114300" distR="114300" simplePos="0" relativeHeight="251755520" behindDoc="1" locked="0" layoutInCell="1" allowOverlap="1" wp14:anchorId="08CED438" wp14:editId="01B0281D">
            <wp:simplePos x="0" y="0"/>
            <wp:positionH relativeFrom="column">
              <wp:posOffset>252095</wp:posOffset>
            </wp:positionH>
            <wp:positionV relativeFrom="paragraph">
              <wp:posOffset>-455295</wp:posOffset>
            </wp:positionV>
            <wp:extent cx="8889365" cy="6217920"/>
            <wp:effectExtent l="0" t="0" r="6985" b="0"/>
            <wp:wrapTight wrapText="bothSides">
              <wp:wrapPolygon edited="0">
                <wp:start x="0" y="0"/>
                <wp:lineTo x="0" y="21507"/>
                <wp:lineTo x="21571" y="21507"/>
                <wp:lineTo x="21571" y="0"/>
                <wp:lineTo x="0" y="0"/>
              </wp:wrapPolygon>
            </wp:wrapTight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9365" cy="621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br w:type="page"/>
      </w:r>
    </w:p>
    <w:p w:rsidR="00716C56" w:rsidRDefault="00AC5022" w:rsidP="00716C56">
      <w:pPr>
        <w:spacing w:after="0" w:line="240" w:lineRule="auto"/>
        <w:jc w:val="both"/>
        <w:rPr>
          <w:noProof/>
          <w:sz w:val="16"/>
          <w:szCs w:val="16"/>
        </w:rPr>
      </w:pPr>
      <w:r w:rsidRPr="00AC5022">
        <w:rPr>
          <w:noProof/>
          <w:lang w:eastAsia="pl-PL"/>
        </w:rPr>
        <w:lastRenderedPageBreak/>
        <w:drawing>
          <wp:anchor distT="0" distB="0" distL="114300" distR="114300" simplePos="0" relativeHeight="251756544" behindDoc="1" locked="0" layoutInCell="1" allowOverlap="1" wp14:anchorId="70AED345" wp14:editId="7DEBE145">
            <wp:simplePos x="0" y="0"/>
            <wp:positionH relativeFrom="column">
              <wp:posOffset>251460</wp:posOffset>
            </wp:positionH>
            <wp:positionV relativeFrom="paragraph">
              <wp:posOffset>-114300</wp:posOffset>
            </wp:positionV>
            <wp:extent cx="8881110" cy="5803900"/>
            <wp:effectExtent l="0" t="0" r="0" b="6350"/>
            <wp:wrapTight wrapText="bothSides">
              <wp:wrapPolygon edited="0">
                <wp:start x="0" y="0"/>
                <wp:lineTo x="0" y="21553"/>
                <wp:lineTo x="21544" y="21553"/>
                <wp:lineTo x="21544" y="0"/>
                <wp:lineTo x="0" y="0"/>
              </wp:wrapPolygon>
            </wp:wrapTight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1110" cy="580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716C56" w:rsidRDefault="00716C56" w:rsidP="00716C56">
      <w:pPr>
        <w:spacing w:after="0" w:line="240" w:lineRule="auto"/>
        <w:jc w:val="both"/>
        <w:rPr>
          <w:noProof/>
          <w:sz w:val="16"/>
          <w:szCs w:val="16"/>
        </w:rPr>
      </w:pPr>
    </w:p>
    <w:p w:rsidR="002439C2" w:rsidRPr="0029506F" w:rsidRDefault="002439C2" w:rsidP="00C851A5">
      <w:pPr>
        <w:pStyle w:val="Default"/>
        <w:spacing w:line="360" w:lineRule="auto"/>
        <w:jc w:val="both"/>
        <w:rPr>
          <w:highlight w:val="yellow"/>
        </w:rPr>
      </w:pPr>
    </w:p>
    <w:p w:rsidR="00C851A5" w:rsidRPr="0029506F" w:rsidRDefault="00C851A5" w:rsidP="00C851A5">
      <w:pPr>
        <w:pStyle w:val="Default"/>
        <w:spacing w:line="360" w:lineRule="auto"/>
        <w:jc w:val="both"/>
        <w:rPr>
          <w:highlight w:val="yellow"/>
        </w:rPr>
        <w:sectPr w:rsidR="00C851A5" w:rsidRPr="0029506F" w:rsidSect="00C851A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42AD6" w:rsidRPr="00742AD6" w:rsidRDefault="00742AD6" w:rsidP="00742AD6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bCs/>
          <w:color w:val="000000" w:themeColor="text1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Cs w:val="24"/>
        </w:rPr>
        <w:lastRenderedPageBreak/>
        <w:t xml:space="preserve">W1. </w:t>
      </w:r>
      <w:r w:rsidR="00DC2FC5" w:rsidRPr="00742AD6">
        <w:rPr>
          <w:rFonts w:ascii="Times New Roman" w:hAnsi="Times New Roman" w:cs="Times New Roman"/>
          <w:bCs/>
          <w:color w:val="000000" w:themeColor="text1"/>
          <w:szCs w:val="24"/>
        </w:rPr>
        <w:t>Wolne miejsca pracy</w:t>
      </w:r>
      <w:r w:rsidR="00AE5712" w:rsidRPr="00742AD6">
        <w:rPr>
          <w:rFonts w:ascii="Times New Roman" w:hAnsi="Times New Roman" w:cs="Times New Roman"/>
          <w:bCs/>
          <w:color w:val="000000" w:themeColor="text1"/>
          <w:szCs w:val="24"/>
        </w:rPr>
        <w:t xml:space="preserve"> i </w:t>
      </w:r>
      <w:r w:rsidR="00DC2FC5" w:rsidRPr="00742AD6">
        <w:rPr>
          <w:rFonts w:ascii="Times New Roman" w:hAnsi="Times New Roman" w:cs="Times New Roman"/>
          <w:bCs/>
          <w:color w:val="000000" w:themeColor="text1"/>
          <w:szCs w:val="24"/>
        </w:rPr>
        <w:t>miejsca aktywizacji zawodowej (oferty pracy)</w:t>
      </w:r>
    </w:p>
    <w:p w:rsidR="00DC2FC5" w:rsidRPr="00742AD6" w:rsidRDefault="00DC2FC5" w:rsidP="00742AD6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742AD6">
        <w:rPr>
          <w:rFonts w:ascii="Times New Roman" w:hAnsi="Times New Roman" w:cs="Times New Roman"/>
          <w:bCs/>
          <w:color w:val="000000" w:themeColor="text1"/>
          <w:szCs w:val="24"/>
        </w:rPr>
        <w:t>zgłoszone do PUP</w:t>
      </w:r>
      <w:r w:rsidR="00AE5712" w:rsidRPr="00742AD6">
        <w:rPr>
          <w:rFonts w:ascii="Times New Roman" w:hAnsi="Times New Roman" w:cs="Times New Roman"/>
          <w:bCs/>
          <w:color w:val="000000" w:themeColor="text1"/>
          <w:szCs w:val="24"/>
        </w:rPr>
        <w:t xml:space="preserve"> w </w:t>
      </w:r>
      <w:r w:rsidR="00E0209C" w:rsidRPr="00742AD6">
        <w:rPr>
          <w:rFonts w:ascii="Times New Roman" w:hAnsi="Times New Roman" w:cs="Times New Roman"/>
          <w:bCs/>
          <w:color w:val="000000" w:themeColor="text1"/>
          <w:szCs w:val="24"/>
        </w:rPr>
        <w:t>I półroczach</w:t>
      </w:r>
      <w:r w:rsidR="00742AD6">
        <w:rPr>
          <w:rFonts w:ascii="Times New Roman" w:hAnsi="Times New Roman" w:cs="Times New Roman"/>
          <w:bCs/>
          <w:color w:val="000000" w:themeColor="text1"/>
          <w:szCs w:val="24"/>
        </w:rPr>
        <w:t>,</w:t>
      </w:r>
      <w:r w:rsidR="00E0209C" w:rsidRPr="00742AD6">
        <w:rPr>
          <w:rFonts w:ascii="Times New Roman" w:hAnsi="Times New Roman" w:cs="Times New Roman"/>
          <w:bCs/>
          <w:color w:val="000000" w:themeColor="text1"/>
          <w:szCs w:val="24"/>
        </w:rPr>
        <w:t xml:space="preserve"> lat</w:t>
      </w:r>
      <w:r w:rsidR="00C927FE" w:rsidRPr="00742AD6">
        <w:rPr>
          <w:rFonts w:ascii="Times New Roman" w:hAnsi="Times New Roman" w:cs="Times New Roman"/>
          <w:bCs/>
          <w:color w:val="000000" w:themeColor="text1"/>
          <w:szCs w:val="24"/>
        </w:rPr>
        <w:t>a</w:t>
      </w:r>
      <w:r w:rsidR="00AE2F19" w:rsidRPr="00742AD6">
        <w:rPr>
          <w:rFonts w:ascii="Times New Roman" w:hAnsi="Times New Roman" w:cs="Times New Roman"/>
          <w:bCs/>
          <w:color w:val="000000" w:themeColor="text1"/>
          <w:szCs w:val="24"/>
        </w:rPr>
        <w:t xml:space="preserve"> 200</w:t>
      </w:r>
      <w:r w:rsidR="00E0209C" w:rsidRPr="00742AD6">
        <w:rPr>
          <w:rFonts w:ascii="Times New Roman" w:hAnsi="Times New Roman" w:cs="Times New Roman"/>
          <w:bCs/>
          <w:color w:val="000000" w:themeColor="text1"/>
          <w:szCs w:val="24"/>
        </w:rPr>
        <w:t>7</w:t>
      </w:r>
      <w:r w:rsidR="00AE2F19" w:rsidRPr="00742AD6">
        <w:rPr>
          <w:rFonts w:ascii="Times New Roman" w:hAnsi="Times New Roman" w:cs="Times New Roman"/>
          <w:bCs/>
          <w:color w:val="000000" w:themeColor="text1"/>
          <w:szCs w:val="24"/>
        </w:rPr>
        <w:t xml:space="preserve"> – 201</w:t>
      </w:r>
      <w:r w:rsidR="00742AD6" w:rsidRPr="00742AD6">
        <w:rPr>
          <w:rFonts w:ascii="Times New Roman" w:hAnsi="Times New Roman" w:cs="Times New Roman"/>
          <w:bCs/>
          <w:color w:val="000000" w:themeColor="text1"/>
          <w:szCs w:val="24"/>
        </w:rPr>
        <w:t>7</w:t>
      </w:r>
    </w:p>
    <w:p w:rsidR="00DC2FC5" w:rsidRPr="0029506F" w:rsidRDefault="00B93C6E" w:rsidP="00DC2FC5">
      <w:pPr>
        <w:pStyle w:val="Default"/>
        <w:jc w:val="both"/>
        <w:rPr>
          <w:color w:val="auto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49376" behindDoc="1" locked="0" layoutInCell="1" allowOverlap="1" wp14:anchorId="2AD2F049" wp14:editId="7958F88F">
            <wp:simplePos x="0" y="0"/>
            <wp:positionH relativeFrom="column">
              <wp:posOffset>-2540</wp:posOffset>
            </wp:positionH>
            <wp:positionV relativeFrom="paragraph">
              <wp:posOffset>90170</wp:posOffset>
            </wp:positionV>
            <wp:extent cx="5685155" cy="2766695"/>
            <wp:effectExtent l="0" t="0" r="0" b="0"/>
            <wp:wrapTight wrapText="bothSides">
              <wp:wrapPolygon edited="0">
                <wp:start x="4415" y="1041"/>
                <wp:lineTo x="2533" y="1785"/>
                <wp:lineTo x="2316" y="1933"/>
                <wp:lineTo x="2316" y="5057"/>
                <wp:lineTo x="2895" y="6098"/>
                <wp:lineTo x="2461" y="6395"/>
                <wp:lineTo x="2461" y="8477"/>
                <wp:lineTo x="3619" y="8477"/>
                <wp:lineTo x="2533" y="9518"/>
                <wp:lineTo x="2533" y="9816"/>
                <wp:lineTo x="3691" y="10857"/>
                <wp:lineTo x="2533" y="10857"/>
                <wp:lineTo x="2533" y="12939"/>
                <wp:lineTo x="3764" y="13237"/>
                <wp:lineTo x="2750" y="13832"/>
                <wp:lineTo x="2750" y="13980"/>
                <wp:lineTo x="3329" y="15616"/>
                <wp:lineTo x="3329" y="16806"/>
                <wp:lineTo x="6225" y="17996"/>
                <wp:lineTo x="8830" y="18293"/>
                <wp:lineTo x="17154" y="20524"/>
                <wp:lineTo x="18529" y="20524"/>
                <wp:lineTo x="19253" y="17996"/>
                <wp:lineTo x="19687" y="3123"/>
                <wp:lineTo x="5935" y="1041"/>
                <wp:lineTo x="4415" y="1041"/>
              </wp:wrapPolygon>
            </wp:wrapTight>
            <wp:docPr id="34" name="Wykres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DC2FC5" w:rsidRPr="0029506F" w:rsidRDefault="00DC2FC5" w:rsidP="00DC2FC5">
      <w:pPr>
        <w:pStyle w:val="Default"/>
        <w:jc w:val="both"/>
        <w:rPr>
          <w:color w:val="auto"/>
          <w:highlight w:val="yellow"/>
        </w:rPr>
      </w:pPr>
    </w:p>
    <w:p w:rsidR="005B76FF" w:rsidRPr="0029506F" w:rsidRDefault="005B76FF" w:rsidP="00C851A5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7DEA" w:rsidRPr="00742AD6" w:rsidRDefault="00C851A5" w:rsidP="00742AD6">
      <w:pPr>
        <w:pStyle w:val="Default"/>
        <w:pBdr>
          <w:bottom w:val="single" w:sz="4" w:space="1" w:color="auto"/>
        </w:pBdr>
        <w:spacing w:line="360" w:lineRule="auto"/>
        <w:jc w:val="both"/>
        <w:rPr>
          <w:color w:val="000000" w:themeColor="text1"/>
        </w:rPr>
      </w:pPr>
      <w:r w:rsidRPr="00742AD6">
        <w:rPr>
          <w:color w:val="000000" w:themeColor="text1"/>
        </w:rPr>
        <w:t>Wnioski:</w:t>
      </w:r>
    </w:p>
    <w:p w:rsidR="008E7DEA" w:rsidRDefault="008E7DEA" w:rsidP="008E7DE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742AD6">
        <w:rPr>
          <w:rFonts w:ascii="Times New Roman" w:hAnsi="Times New Roman" w:cs="Times New Roman"/>
          <w:color w:val="000000" w:themeColor="text1"/>
          <w:szCs w:val="24"/>
        </w:rPr>
        <w:t>(na podstawie danych</w:t>
      </w:r>
      <w:r w:rsidR="00AE5712" w:rsidRPr="00742AD6">
        <w:rPr>
          <w:rFonts w:ascii="Times New Roman" w:hAnsi="Times New Roman" w:cs="Times New Roman"/>
          <w:color w:val="000000" w:themeColor="text1"/>
          <w:szCs w:val="24"/>
        </w:rPr>
        <w:t xml:space="preserve"> z </w:t>
      </w:r>
      <w:r w:rsidR="00E0209C" w:rsidRPr="00742AD6">
        <w:rPr>
          <w:rFonts w:ascii="Times New Roman" w:hAnsi="Times New Roman" w:cs="Times New Roman"/>
          <w:color w:val="000000" w:themeColor="text1"/>
          <w:szCs w:val="24"/>
        </w:rPr>
        <w:t>t</w:t>
      </w:r>
      <w:r w:rsidRPr="00742AD6">
        <w:rPr>
          <w:rFonts w:ascii="Times New Roman" w:hAnsi="Times New Roman" w:cs="Times New Roman"/>
          <w:color w:val="000000" w:themeColor="text1"/>
          <w:szCs w:val="24"/>
        </w:rPr>
        <w:t xml:space="preserve">abeli </w:t>
      </w:r>
      <w:r w:rsidR="00615129">
        <w:rPr>
          <w:rFonts w:ascii="Times New Roman" w:hAnsi="Times New Roman" w:cs="Times New Roman"/>
          <w:color w:val="000000" w:themeColor="text1"/>
          <w:szCs w:val="24"/>
        </w:rPr>
        <w:t>XXII</w:t>
      </w:r>
      <w:r w:rsidR="00AE5712" w:rsidRPr="00742AD6">
        <w:rPr>
          <w:rFonts w:ascii="Times New Roman" w:hAnsi="Times New Roman" w:cs="Times New Roman"/>
          <w:color w:val="000000" w:themeColor="text1"/>
          <w:szCs w:val="24"/>
        </w:rPr>
        <w:t xml:space="preserve"> i </w:t>
      </w:r>
      <w:r w:rsidR="00742AD6">
        <w:rPr>
          <w:rFonts w:ascii="Times New Roman" w:hAnsi="Times New Roman" w:cs="Times New Roman"/>
          <w:color w:val="000000" w:themeColor="text1"/>
          <w:szCs w:val="24"/>
        </w:rPr>
        <w:t>W</w:t>
      </w:r>
      <w:r w:rsidR="00C851A5" w:rsidRPr="00742AD6">
        <w:rPr>
          <w:rFonts w:ascii="Times New Roman" w:hAnsi="Times New Roman" w:cs="Times New Roman"/>
          <w:color w:val="000000" w:themeColor="text1"/>
          <w:szCs w:val="24"/>
        </w:rPr>
        <w:t>1</w:t>
      </w:r>
      <w:r w:rsidRPr="00742AD6">
        <w:rPr>
          <w:rFonts w:ascii="Times New Roman" w:hAnsi="Times New Roman" w:cs="Times New Roman"/>
          <w:color w:val="000000" w:themeColor="text1"/>
          <w:szCs w:val="24"/>
        </w:rPr>
        <w:t>)</w:t>
      </w:r>
    </w:p>
    <w:p w:rsidR="000E5EE8" w:rsidRPr="00742AD6" w:rsidRDefault="000E5EE8" w:rsidP="008E7DE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:rsidR="001B5D0B" w:rsidRPr="00C01A17" w:rsidRDefault="003F048D" w:rsidP="00C71750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1A17">
        <w:rPr>
          <w:rFonts w:ascii="Times New Roman" w:hAnsi="Times New Roman" w:cs="Times New Roman"/>
          <w:sz w:val="24"/>
          <w:szCs w:val="24"/>
        </w:rPr>
        <w:t xml:space="preserve">Widoczna jest wyraźna tendencja </w:t>
      </w:r>
      <w:r w:rsidR="00407958" w:rsidRPr="00C01A17">
        <w:rPr>
          <w:rFonts w:ascii="Times New Roman" w:hAnsi="Times New Roman" w:cs="Times New Roman"/>
          <w:sz w:val="24"/>
          <w:szCs w:val="24"/>
        </w:rPr>
        <w:t xml:space="preserve">od 2012 r. </w:t>
      </w:r>
      <w:r w:rsidRPr="00C01A17">
        <w:rPr>
          <w:rFonts w:ascii="Times New Roman" w:hAnsi="Times New Roman" w:cs="Times New Roman"/>
          <w:sz w:val="24"/>
          <w:szCs w:val="24"/>
        </w:rPr>
        <w:t>wzrostu liczby wolnych miejsc pracy oraz miejsc aktywizacji zawodowej zgłaszanych przez pracodawców</w:t>
      </w:r>
      <w:r w:rsidR="00407958" w:rsidRPr="00C01A17">
        <w:rPr>
          <w:rFonts w:ascii="Times New Roman" w:hAnsi="Times New Roman" w:cs="Times New Roman"/>
          <w:sz w:val="24"/>
          <w:szCs w:val="24"/>
        </w:rPr>
        <w:t xml:space="preserve"> (</w:t>
      </w:r>
      <w:r w:rsidR="00C927FE" w:rsidRPr="00C01A17">
        <w:rPr>
          <w:rFonts w:ascii="Times New Roman" w:hAnsi="Times New Roman" w:cs="Times New Roman"/>
          <w:sz w:val="24"/>
          <w:szCs w:val="24"/>
        </w:rPr>
        <w:t xml:space="preserve">porównywany </w:t>
      </w:r>
      <w:r w:rsidR="00407958" w:rsidRPr="00C01A17">
        <w:rPr>
          <w:rFonts w:ascii="Times New Roman" w:hAnsi="Times New Roman" w:cs="Times New Roman"/>
          <w:sz w:val="24"/>
          <w:szCs w:val="24"/>
        </w:rPr>
        <w:t>okres I</w:t>
      </w:r>
      <w:r w:rsidR="00C927FE" w:rsidRPr="00C01A17">
        <w:rPr>
          <w:rFonts w:ascii="Times New Roman" w:hAnsi="Times New Roman" w:cs="Times New Roman"/>
          <w:sz w:val="24"/>
          <w:szCs w:val="24"/>
        </w:rPr>
        <w:t> </w:t>
      </w:r>
      <w:r w:rsidR="00407958" w:rsidRPr="00C01A17">
        <w:rPr>
          <w:rFonts w:ascii="Times New Roman" w:hAnsi="Times New Roman" w:cs="Times New Roman"/>
          <w:sz w:val="24"/>
          <w:szCs w:val="24"/>
        </w:rPr>
        <w:t xml:space="preserve">półroczy </w:t>
      </w:r>
      <w:r w:rsidR="00DB1FE7" w:rsidRPr="00C01A17">
        <w:rPr>
          <w:rFonts w:ascii="Times New Roman" w:hAnsi="Times New Roman" w:cs="Times New Roman"/>
          <w:sz w:val="24"/>
          <w:szCs w:val="24"/>
        </w:rPr>
        <w:t>dan</w:t>
      </w:r>
      <w:r w:rsidR="00C01A17">
        <w:rPr>
          <w:rFonts w:ascii="Times New Roman" w:hAnsi="Times New Roman" w:cs="Times New Roman"/>
          <w:sz w:val="24"/>
          <w:szCs w:val="24"/>
        </w:rPr>
        <w:t xml:space="preserve">ego </w:t>
      </w:r>
      <w:r w:rsidR="00407958" w:rsidRPr="00C01A17">
        <w:rPr>
          <w:rFonts w:ascii="Times New Roman" w:hAnsi="Times New Roman" w:cs="Times New Roman"/>
          <w:sz w:val="24"/>
          <w:szCs w:val="24"/>
        </w:rPr>
        <w:t>roku)</w:t>
      </w:r>
      <w:r w:rsidR="001B5D0B" w:rsidRPr="00C01A17">
        <w:rPr>
          <w:rFonts w:ascii="Times New Roman" w:hAnsi="Times New Roman" w:cs="Times New Roman"/>
          <w:sz w:val="24"/>
          <w:szCs w:val="24"/>
        </w:rPr>
        <w:t>.</w:t>
      </w:r>
      <w:r w:rsidR="00A326C7" w:rsidRPr="00C01A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663" w:rsidRPr="00B93C6E" w:rsidRDefault="00F63B04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C6E">
        <w:rPr>
          <w:rFonts w:ascii="Times New Roman" w:hAnsi="Times New Roman" w:cs="Times New Roman"/>
          <w:sz w:val="24"/>
          <w:szCs w:val="24"/>
          <w:u w:val="single"/>
        </w:rPr>
        <w:t xml:space="preserve">W </w:t>
      </w:r>
      <w:r w:rsidR="00407958" w:rsidRPr="00B93C6E">
        <w:rPr>
          <w:rFonts w:ascii="Times New Roman" w:hAnsi="Times New Roman" w:cs="Times New Roman"/>
          <w:sz w:val="24"/>
          <w:szCs w:val="24"/>
          <w:u w:val="single"/>
        </w:rPr>
        <w:t xml:space="preserve">I półroczu </w:t>
      </w:r>
      <w:r w:rsidRPr="00B93C6E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01A17" w:rsidRPr="00B93C6E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AE5712" w:rsidRPr="00B93C6E">
        <w:rPr>
          <w:rFonts w:ascii="Times New Roman" w:hAnsi="Times New Roman" w:cs="Times New Roman"/>
          <w:sz w:val="24"/>
          <w:szCs w:val="24"/>
          <w:u w:val="single"/>
        </w:rPr>
        <w:t> r. w </w:t>
      </w:r>
      <w:r w:rsidRPr="00B93C6E">
        <w:rPr>
          <w:rFonts w:ascii="Times New Roman" w:hAnsi="Times New Roman" w:cs="Times New Roman"/>
          <w:sz w:val="24"/>
          <w:szCs w:val="24"/>
          <w:u w:val="single"/>
        </w:rPr>
        <w:t>województwie podkarpackim odnotowano</w:t>
      </w:r>
      <w:r w:rsidR="00C927FE" w:rsidRPr="00B93C6E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B93C6E" w:rsidRPr="00B93C6E">
        <w:rPr>
          <w:rFonts w:ascii="Times New Roman" w:hAnsi="Times New Roman" w:cs="Times New Roman"/>
          <w:sz w:val="24"/>
          <w:szCs w:val="24"/>
          <w:u w:val="single"/>
        </w:rPr>
        <w:t xml:space="preserve">największą </w:t>
      </w:r>
      <w:r w:rsidRPr="00B93C6E">
        <w:rPr>
          <w:rFonts w:ascii="Times New Roman" w:hAnsi="Times New Roman" w:cs="Times New Roman"/>
          <w:sz w:val="24"/>
          <w:szCs w:val="24"/>
          <w:u w:val="single"/>
        </w:rPr>
        <w:t>od 200</w:t>
      </w:r>
      <w:r w:rsidR="00407958" w:rsidRPr="00B93C6E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B93C6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71750" w:rsidRPr="00B93C6E">
        <w:rPr>
          <w:rFonts w:ascii="Times New Roman" w:hAnsi="Times New Roman" w:cs="Times New Roman"/>
          <w:sz w:val="24"/>
          <w:szCs w:val="24"/>
          <w:u w:val="single"/>
        </w:rPr>
        <w:t xml:space="preserve">r. </w:t>
      </w:r>
      <w:r w:rsidRPr="00B93C6E">
        <w:rPr>
          <w:rFonts w:ascii="Times New Roman" w:hAnsi="Times New Roman" w:cs="Times New Roman"/>
          <w:sz w:val="24"/>
          <w:szCs w:val="24"/>
          <w:u w:val="single"/>
        </w:rPr>
        <w:t xml:space="preserve">ilość zgłoszonych </w:t>
      </w:r>
      <w:r w:rsidR="00C01A17" w:rsidRPr="00B93C6E">
        <w:rPr>
          <w:rFonts w:ascii="Times New Roman" w:hAnsi="Times New Roman" w:cs="Times New Roman"/>
          <w:sz w:val="24"/>
          <w:szCs w:val="24"/>
          <w:u w:val="single"/>
        </w:rPr>
        <w:t xml:space="preserve">przez pracodawców do PUP </w:t>
      </w:r>
      <w:r w:rsidRPr="00B93C6E">
        <w:rPr>
          <w:rFonts w:ascii="Times New Roman" w:hAnsi="Times New Roman" w:cs="Times New Roman"/>
          <w:sz w:val="24"/>
          <w:szCs w:val="24"/>
          <w:u w:val="single"/>
        </w:rPr>
        <w:t>ofert pracy (</w:t>
      </w:r>
      <w:r w:rsidR="00C01A17" w:rsidRPr="00B93C6E">
        <w:rPr>
          <w:rFonts w:ascii="Times New Roman" w:hAnsi="Times New Roman" w:cs="Times New Roman"/>
          <w:sz w:val="24"/>
          <w:szCs w:val="24"/>
          <w:u w:val="single"/>
        </w:rPr>
        <w:t>41</w:t>
      </w:r>
      <w:r w:rsidRPr="00B93C6E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C01A17" w:rsidRPr="00B93C6E">
        <w:rPr>
          <w:rFonts w:ascii="Times New Roman" w:hAnsi="Times New Roman" w:cs="Times New Roman"/>
          <w:sz w:val="24"/>
          <w:szCs w:val="24"/>
          <w:u w:val="single"/>
        </w:rPr>
        <w:t>480</w:t>
      </w:r>
      <w:r w:rsidRPr="00B93C6E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B5597D" w:rsidRPr="000D3888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8A7EA9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analizowanym </w:t>
      </w:r>
      <w:r w:rsidR="0040795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półroczu 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pracodawcy zgłosili do powiatowych urzędów pracy łącznie 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41</w:t>
      </w:r>
      <w:r w:rsidR="00772F51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480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wolnych miejsc pracy</w:t>
      </w:r>
      <w:r w:rsidR="00AE5712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 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miejsc aktywizacji zawodowej,</w:t>
      </w:r>
      <w:r w:rsidR="00AE5712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 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których </w:t>
      </w:r>
      <w:r w:rsidR="00385F00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945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43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 było ofertami pracy subsydiowanej (w </w:t>
      </w:r>
      <w:r w:rsidR="0040795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półroczu 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AE5712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 r.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246C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oferty subsydiowane to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2F61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F7703E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D3888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% ogółu</w:t>
      </w:r>
      <w:r w:rsidR="00F7703E"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ofert</w:t>
      </w:r>
      <w:r w:rsidRPr="000D3888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AF154A" w:rsidRPr="000E5EE8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07C0">
        <w:rPr>
          <w:rFonts w:ascii="Times New Roman" w:hAnsi="Times New Roman" w:cs="Times New Roman"/>
          <w:sz w:val="24"/>
          <w:szCs w:val="24"/>
        </w:rPr>
        <w:t>Spośród ogólnej liczby ofert zgłoszonych</w:t>
      </w:r>
      <w:r w:rsidR="00AE5712" w:rsidRPr="00B707C0">
        <w:rPr>
          <w:rFonts w:ascii="Times New Roman" w:hAnsi="Times New Roman" w:cs="Times New Roman"/>
          <w:sz w:val="24"/>
          <w:szCs w:val="24"/>
        </w:rPr>
        <w:t xml:space="preserve"> w </w:t>
      </w:r>
      <w:r w:rsidR="00407958" w:rsidRPr="00B707C0">
        <w:rPr>
          <w:rFonts w:ascii="Times New Roman" w:hAnsi="Times New Roman" w:cs="Times New Roman"/>
          <w:sz w:val="24"/>
          <w:szCs w:val="24"/>
        </w:rPr>
        <w:t xml:space="preserve">I półroczu </w:t>
      </w:r>
      <w:r w:rsidRPr="00B707C0">
        <w:rPr>
          <w:rFonts w:ascii="Times New Roman" w:hAnsi="Times New Roman" w:cs="Times New Roman"/>
          <w:sz w:val="24"/>
          <w:szCs w:val="24"/>
        </w:rPr>
        <w:t>201</w:t>
      </w:r>
      <w:r w:rsidR="00B93C6E" w:rsidRPr="00B707C0">
        <w:rPr>
          <w:rFonts w:ascii="Times New Roman" w:hAnsi="Times New Roman" w:cs="Times New Roman"/>
          <w:sz w:val="24"/>
          <w:szCs w:val="24"/>
        </w:rPr>
        <w:t>7</w:t>
      </w:r>
      <w:r w:rsidR="00AE5712" w:rsidRPr="00B707C0">
        <w:rPr>
          <w:rFonts w:ascii="Times New Roman" w:hAnsi="Times New Roman" w:cs="Times New Roman"/>
          <w:sz w:val="24"/>
          <w:szCs w:val="24"/>
        </w:rPr>
        <w:t> r.</w:t>
      </w:r>
      <w:r w:rsidRPr="00B707C0">
        <w:rPr>
          <w:rFonts w:ascii="Times New Roman" w:hAnsi="Times New Roman" w:cs="Times New Roman"/>
          <w:sz w:val="24"/>
          <w:szCs w:val="24"/>
        </w:rPr>
        <w:t xml:space="preserve"> </w:t>
      </w:r>
      <w:r w:rsidR="00671402" w:rsidRPr="00B707C0">
        <w:rPr>
          <w:rFonts w:ascii="Times New Roman" w:hAnsi="Times New Roman" w:cs="Times New Roman"/>
          <w:sz w:val="24"/>
          <w:szCs w:val="24"/>
        </w:rPr>
        <w:t>(</w:t>
      </w:r>
      <w:r w:rsidR="000D3888" w:rsidRPr="00B707C0">
        <w:rPr>
          <w:rFonts w:ascii="Times New Roman" w:hAnsi="Times New Roman" w:cs="Times New Roman"/>
          <w:sz w:val="24"/>
          <w:szCs w:val="24"/>
        </w:rPr>
        <w:t>41</w:t>
      </w:r>
      <w:r w:rsidR="00671402" w:rsidRPr="00B707C0">
        <w:rPr>
          <w:rFonts w:ascii="Times New Roman" w:hAnsi="Times New Roman" w:cs="Times New Roman"/>
          <w:sz w:val="24"/>
          <w:szCs w:val="24"/>
        </w:rPr>
        <w:t> </w:t>
      </w:r>
      <w:r w:rsidR="000D3888" w:rsidRPr="00B707C0">
        <w:rPr>
          <w:rFonts w:ascii="Times New Roman" w:hAnsi="Times New Roman" w:cs="Times New Roman"/>
          <w:sz w:val="24"/>
          <w:szCs w:val="24"/>
        </w:rPr>
        <w:t>480</w:t>
      </w:r>
      <w:r w:rsidR="00671402" w:rsidRPr="00B707C0">
        <w:rPr>
          <w:rFonts w:ascii="Times New Roman" w:hAnsi="Times New Roman" w:cs="Times New Roman"/>
          <w:sz w:val="24"/>
          <w:szCs w:val="24"/>
        </w:rPr>
        <w:t xml:space="preserve">) </w:t>
      </w:r>
      <w:r w:rsidR="00C71750" w:rsidRPr="00B707C0">
        <w:rPr>
          <w:rFonts w:ascii="Times New Roman" w:hAnsi="Times New Roman" w:cs="Times New Roman"/>
          <w:sz w:val="24"/>
          <w:szCs w:val="24"/>
        </w:rPr>
        <w:t xml:space="preserve">– </w:t>
      </w:r>
      <w:r w:rsidR="00407958" w:rsidRPr="00B707C0">
        <w:rPr>
          <w:rFonts w:ascii="Times New Roman" w:hAnsi="Times New Roman" w:cs="Times New Roman"/>
          <w:sz w:val="24"/>
          <w:szCs w:val="24"/>
        </w:rPr>
        <w:t>mniejszość</w:t>
      </w:r>
      <w:r w:rsidR="00671402" w:rsidRPr="00B707C0">
        <w:rPr>
          <w:rFonts w:ascii="Times New Roman" w:hAnsi="Times New Roman" w:cs="Times New Roman"/>
          <w:sz w:val="24"/>
          <w:szCs w:val="24"/>
        </w:rPr>
        <w:t xml:space="preserve"> czyli </w:t>
      </w:r>
      <w:r w:rsidR="000D3888" w:rsidRPr="00B707C0">
        <w:rPr>
          <w:rFonts w:ascii="Times New Roman" w:hAnsi="Times New Roman" w:cs="Times New Roman"/>
          <w:sz w:val="24"/>
          <w:szCs w:val="24"/>
        </w:rPr>
        <w:t>–</w:t>
      </w:r>
      <w:r w:rsidR="00671402" w:rsidRPr="00B707C0">
        <w:rPr>
          <w:rFonts w:ascii="Times New Roman" w:hAnsi="Times New Roman" w:cs="Times New Roman"/>
          <w:sz w:val="24"/>
          <w:szCs w:val="24"/>
        </w:rPr>
        <w:t xml:space="preserve"> </w:t>
      </w:r>
      <w:r w:rsidR="00984659" w:rsidRPr="00B707C0">
        <w:rPr>
          <w:rFonts w:ascii="Times New Roman" w:hAnsi="Times New Roman" w:cs="Times New Roman"/>
          <w:sz w:val="24"/>
          <w:szCs w:val="24"/>
        </w:rPr>
        <w:t>6 </w:t>
      </w:r>
      <w:r w:rsidR="000D3888" w:rsidRPr="00B707C0">
        <w:rPr>
          <w:rFonts w:ascii="Times New Roman" w:hAnsi="Times New Roman" w:cs="Times New Roman"/>
          <w:sz w:val="24"/>
          <w:szCs w:val="24"/>
        </w:rPr>
        <w:t>093</w:t>
      </w:r>
      <w:r w:rsidR="00DC246C" w:rsidRPr="00B707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71750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DC246C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D3888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C246C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="00C71750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1402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pochodziło </w:t>
      </w:r>
      <w:r w:rsidR="00AE5712" w:rsidRPr="00B707C0">
        <w:rPr>
          <w:rFonts w:ascii="Times New Roman" w:hAnsi="Times New Roman" w:cs="Times New Roman"/>
          <w:sz w:val="24"/>
          <w:szCs w:val="24"/>
        </w:rPr>
        <w:t>z</w:t>
      </w:r>
      <w:r w:rsidR="00407958" w:rsidRPr="00B707C0">
        <w:rPr>
          <w:rFonts w:ascii="Times New Roman" w:hAnsi="Times New Roman" w:cs="Times New Roman"/>
          <w:sz w:val="24"/>
          <w:szCs w:val="24"/>
        </w:rPr>
        <w:t xml:space="preserve"> </w:t>
      </w:r>
      <w:r w:rsidR="004520F6" w:rsidRPr="00B707C0">
        <w:rPr>
          <w:rFonts w:ascii="Times New Roman" w:hAnsi="Times New Roman" w:cs="Times New Roman"/>
          <w:sz w:val="24"/>
          <w:szCs w:val="24"/>
        </w:rPr>
        <w:t>sektora publicznego</w:t>
      </w:r>
      <w:r w:rsidR="00CB0E91" w:rsidRPr="00B707C0">
        <w:rPr>
          <w:rFonts w:ascii="Times New Roman" w:hAnsi="Times New Roman" w:cs="Times New Roman"/>
          <w:sz w:val="24"/>
          <w:szCs w:val="24"/>
        </w:rPr>
        <w:t xml:space="preserve"> – co j</w:t>
      </w:r>
      <w:r w:rsidR="004520F6" w:rsidRPr="00B707C0">
        <w:rPr>
          <w:rFonts w:ascii="Times New Roman" w:hAnsi="Times New Roman" w:cs="Times New Roman"/>
          <w:sz w:val="24"/>
          <w:szCs w:val="24"/>
        </w:rPr>
        <w:t xml:space="preserve">est </w:t>
      </w:r>
      <w:r w:rsidR="00210254" w:rsidRPr="00B707C0">
        <w:rPr>
          <w:rFonts w:ascii="Times New Roman" w:hAnsi="Times New Roman" w:cs="Times New Roman"/>
          <w:sz w:val="24"/>
          <w:szCs w:val="24"/>
        </w:rPr>
        <w:t>zbieżne ze strukturą</w:t>
      </w:r>
      <w:r w:rsidR="004520F6" w:rsidRPr="00B707C0">
        <w:rPr>
          <w:rFonts w:ascii="Times New Roman" w:hAnsi="Times New Roman" w:cs="Times New Roman"/>
          <w:sz w:val="24"/>
          <w:szCs w:val="24"/>
        </w:rPr>
        <w:t xml:space="preserve"> </w:t>
      </w:r>
      <w:r w:rsidR="00273808" w:rsidRPr="00B707C0">
        <w:rPr>
          <w:rFonts w:ascii="Times New Roman" w:hAnsi="Times New Roman" w:cs="Times New Roman"/>
          <w:sz w:val="24"/>
          <w:szCs w:val="24"/>
        </w:rPr>
        <w:t xml:space="preserve">podmiotów gospodarki narodowej i </w:t>
      </w:r>
      <w:r w:rsidR="00CB0E91" w:rsidRPr="00B707C0">
        <w:rPr>
          <w:rFonts w:ascii="Times New Roman" w:hAnsi="Times New Roman" w:cs="Times New Roman"/>
          <w:sz w:val="24"/>
          <w:szCs w:val="24"/>
        </w:rPr>
        <w:t xml:space="preserve">specyfiką </w:t>
      </w:r>
      <w:r w:rsidR="004520F6" w:rsidRPr="00B707C0">
        <w:rPr>
          <w:rFonts w:ascii="Times New Roman" w:hAnsi="Times New Roman" w:cs="Times New Roman"/>
          <w:sz w:val="24"/>
          <w:szCs w:val="24"/>
        </w:rPr>
        <w:t>zatrudnienia</w:t>
      </w:r>
      <w:r w:rsidR="00AE5712" w:rsidRPr="00B707C0">
        <w:rPr>
          <w:rFonts w:ascii="Times New Roman" w:hAnsi="Times New Roman" w:cs="Times New Roman"/>
          <w:sz w:val="24"/>
          <w:szCs w:val="24"/>
        </w:rPr>
        <w:t xml:space="preserve"> w </w:t>
      </w:r>
      <w:r w:rsidR="00210254" w:rsidRPr="00B707C0">
        <w:rPr>
          <w:rFonts w:ascii="Times New Roman" w:hAnsi="Times New Roman" w:cs="Times New Roman"/>
          <w:sz w:val="24"/>
          <w:szCs w:val="24"/>
        </w:rPr>
        <w:t>województwie</w:t>
      </w:r>
      <w:r w:rsidR="00273808" w:rsidRPr="00B707C0">
        <w:rPr>
          <w:rFonts w:ascii="Times New Roman" w:hAnsi="Times New Roman" w:cs="Times New Roman"/>
          <w:sz w:val="24"/>
          <w:szCs w:val="24"/>
        </w:rPr>
        <w:t>.</w:t>
      </w:r>
      <w:r w:rsidR="00210254" w:rsidRPr="00B707C0">
        <w:rPr>
          <w:rFonts w:ascii="Times New Roman" w:hAnsi="Times New Roman" w:cs="Times New Roman"/>
          <w:sz w:val="24"/>
          <w:szCs w:val="24"/>
        </w:rPr>
        <w:t xml:space="preserve"> </w:t>
      </w:r>
      <w:r w:rsidR="00273808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Ilość podmiotów gospodarki narodowej w województwie</w:t>
      </w:r>
      <w:r w:rsidR="001D5670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z</w:t>
      </w:r>
      <w:r w:rsidR="00273808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sektora publicznego to 3</w:t>
      </w:r>
      <w:r w:rsidR="0047350F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,5</w:t>
      </w:r>
      <w:r w:rsidR="00273808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% ogółu</w:t>
      </w:r>
      <w:r w:rsidR="00F36716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. Większość –</w:t>
      </w:r>
      <w:r w:rsidR="002719AD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96,</w:t>
      </w:r>
      <w:r w:rsidR="0047350F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719AD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F46576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kumuluje sektor prywatny</w:t>
      </w:r>
      <w:r w:rsidR="00671402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719AD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07C0" w:rsidRPr="00B707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Większość </w:t>
      </w:r>
      <w:r w:rsidR="002719AD" w:rsidRPr="00B707C0">
        <w:rPr>
          <w:rFonts w:ascii="Times New Roman" w:hAnsi="Times New Roman" w:cs="Times New Roman"/>
          <w:sz w:val="24"/>
          <w:szCs w:val="24"/>
        </w:rPr>
        <w:t xml:space="preserve"> pracujących </w:t>
      </w:r>
      <w:r w:rsidR="00B707C0" w:rsidRPr="00B707C0">
        <w:rPr>
          <w:rFonts w:ascii="Times New Roman" w:hAnsi="Times New Roman" w:cs="Times New Roman"/>
          <w:sz w:val="24"/>
          <w:szCs w:val="24"/>
        </w:rPr>
        <w:t xml:space="preserve">(tj. ponad ¾) </w:t>
      </w:r>
      <w:r w:rsidR="002719AD" w:rsidRPr="00B707C0">
        <w:rPr>
          <w:rFonts w:ascii="Times New Roman" w:hAnsi="Times New Roman" w:cs="Times New Roman"/>
          <w:sz w:val="24"/>
          <w:szCs w:val="24"/>
        </w:rPr>
        <w:t>wg faktycznego miejsca pracy</w:t>
      </w:r>
      <w:r w:rsidR="00B707C0" w:rsidRPr="00B707C0">
        <w:rPr>
          <w:rFonts w:ascii="Times New Roman" w:hAnsi="Times New Roman" w:cs="Times New Roman"/>
          <w:sz w:val="24"/>
          <w:szCs w:val="24"/>
        </w:rPr>
        <w:t xml:space="preserve"> – </w:t>
      </w:r>
      <w:r w:rsidR="008C5B9B" w:rsidRPr="00B707C0">
        <w:rPr>
          <w:rFonts w:ascii="Times New Roman" w:hAnsi="Times New Roman" w:cs="Times New Roman"/>
          <w:sz w:val="24"/>
          <w:szCs w:val="24"/>
        </w:rPr>
        <w:t>zatrudni</w:t>
      </w:r>
      <w:r w:rsidR="000F576E" w:rsidRPr="00B707C0">
        <w:rPr>
          <w:rFonts w:ascii="Times New Roman" w:hAnsi="Times New Roman" w:cs="Times New Roman"/>
          <w:sz w:val="24"/>
          <w:szCs w:val="24"/>
        </w:rPr>
        <w:t xml:space="preserve">ają zakłady </w:t>
      </w:r>
      <w:r w:rsidR="0017085A">
        <w:rPr>
          <w:rFonts w:ascii="Times New Roman" w:hAnsi="Times New Roman" w:cs="Times New Roman"/>
          <w:sz w:val="24"/>
          <w:szCs w:val="24"/>
        </w:rPr>
        <w:t>z</w:t>
      </w:r>
      <w:r w:rsidR="000F576E" w:rsidRPr="00B707C0">
        <w:rPr>
          <w:rFonts w:ascii="Times New Roman" w:hAnsi="Times New Roman" w:cs="Times New Roman"/>
          <w:sz w:val="24"/>
          <w:szCs w:val="24"/>
        </w:rPr>
        <w:t xml:space="preserve"> </w:t>
      </w:r>
      <w:r w:rsidR="004520F6" w:rsidRPr="00B707C0">
        <w:rPr>
          <w:rFonts w:ascii="Times New Roman" w:hAnsi="Times New Roman" w:cs="Times New Roman"/>
          <w:sz w:val="24"/>
          <w:szCs w:val="24"/>
        </w:rPr>
        <w:t>sektor</w:t>
      </w:r>
      <w:r w:rsidR="0017085A">
        <w:rPr>
          <w:rFonts w:ascii="Times New Roman" w:hAnsi="Times New Roman" w:cs="Times New Roman"/>
          <w:sz w:val="24"/>
          <w:szCs w:val="24"/>
        </w:rPr>
        <w:t>a</w:t>
      </w:r>
      <w:r w:rsidR="004520F6" w:rsidRPr="00B707C0">
        <w:rPr>
          <w:rFonts w:ascii="Times New Roman" w:hAnsi="Times New Roman" w:cs="Times New Roman"/>
          <w:sz w:val="24"/>
          <w:szCs w:val="24"/>
        </w:rPr>
        <w:t xml:space="preserve"> p</w:t>
      </w:r>
      <w:r w:rsidR="002719AD" w:rsidRPr="00B707C0">
        <w:rPr>
          <w:rFonts w:ascii="Times New Roman" w:hAnsi="Times New Roman" w:cs="Times New Roman"/>
          <w:sz w:val="24"/>
          <w:szCs w:val="24"/>
        </w:rPr>
        <w:t>rywatn</w:t>
      </w:r>
      <w:r w:rsidR="0017085A">
        <w:rPr>
          <w:rFonts w:ascii="Times New Roman" w:hAnsi="Times New Roman" w:cs="Times New Roman"/>
          <w:sz w:val="24"/>
          <w:szCs w:val="24"/>
        </w:rPr>
        <w:t>ego</w:t>
      </w:r>
      <w:r w:rsidR="002719AD" w:rsidRPr="000D388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AF154A" w:rsidRPr="00B707C0">
        <w:rPr>
          <w:rFonts w:ascii="Times New Roman" w:hAnsi="Times New Roman" w:cs="Times New Roman"/>
          <w:sz w:val="24"/>
          <w:szCs w:val="24"/>
        </w:rPr>
        <w:t>.</w:t>
      </w:r>
    </w:p>
    <w:p w:rsidR="000E5EE8" w:rsidRDefault="000E5EE8" w:rsidP="000E5EE8">
      <w:pPr>
        <w:pStyle w:val="Bezodstpw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0E5EE8" w:rsidRDefault="000E5EE8">
      <w:pPr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  <w:br w:type="page"/>
      </w:r>
    </w:p>
    <w:p w:rsidR="00DC2FC5" w:rsidRPr="00666031" w:rsidRDefault="00666031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Tylko 193</w:t>
      </w:r>
      <w:r w:rsidR="0067454E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1750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ofert</w:t>
      </w:r>
      <w:r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9A05EB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pracy zgłoszon</w:t>
      </w:r>
      <w:r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9A05EB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PUP – </w:t>
      </w:r>
      <w:r w:rsidR="0067454E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ok. </w:t>
      </w:r>
      <w:r w:rsidR="00DC246C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7454E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7454E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DC2FC5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wszystkich</w:t>
      </w:r>
      <w:r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C2FC5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54E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stanowiły oferty dla osób, którym nie upłynął okres 12 miesięcy od </w:t>
      </w:r>
      <w:r w:rsidR="008A7EA9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dnia</w:t>
      </w:r>
      <w:r w:rsidR="0067454E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ukończenia nauki</w:t>
      </w:r>
      <w:r w:rsidR="00B224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(zarówno w</w:t>
      </w:r>
      <w:r w:rsidR="00F3341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B224D2">
        <w:rPr>
          <w:rFonts w:ascii="Times New Roman" w:hAnsi="Times New Roman" w:cs="Times New Roman"/>
          <w:color w:val="000000" w:themeColor="text1"/>
          <w:sz w:val="24"/>
          <w:szCs w:val="24"/>
        </w:rPr>
        <w:t>systemie edukacji szkolnej jak i w trybie kursowym czy szkoleniowym)</w:t>
      </w:r>
      <w:r w:rsidR="0067454E" w:rsidRPr="0066603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76FF" w:rsidRPr="00851610" w:rsidRDefault="00666031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51610">
        <w:rPr>
          <w:rFonts w:ascii="Times New Roman" w:hAnsi="Times New Roman" w:cs="Times New Roman"/>
          <w:sz w:val="24"/>
          <w:szCs w:val="24"/>
        </w:rPr>
        <w:t xml:space="preserve">Niewielka ilość ofert pracy dotyczyła również </w:t>
      </w:r>
      <w:r w:rsidR="00407958" w:rsidRPr="00851610">
        <w:rPr>
          <w:rFonts w:ascii="Times New Roman" w:hAnsi="Times New Roman" w:cs="Times New Roman"/>
          <w:sz w:val="24"/>
          <w:szCs w:val="24"/>
        </w:rPr>
        <w:t>osób niepełnosprawnych</w:t>
      </w:r>
      <w:r w:rsidRPr="00851610">
        <w:rPr>
          <w:rFonts w:ascii="Times New Roman" w:hAnsi="Times New Roman" w:cs="Times New Roman"/>
          <w:sz w:val="24"/>
          <w:szCs w:val="24"/>
        </w:rPr>
        <w:t>, których zatrudnianie jest związane ze specyficznymi regulacjami prawnymi</w:t>
      </w:r>
      <w:r w:rsidR="00407958" w:rsidRPr="00851610">
        <w:rPr>
          <w:rFonts w:ascii="Times New Roman" w:hAnsi="Times New Roman" w:cs="Times New Roman"/>
          <w:sz w:val="24"/>
          <w:szCs w:val="24"/>
        </w:rPr>
        <w:t xml:space="preserve">. </w:t>
      </w:r>
      <w:r w:rsidRPr="00851610">
        <w:rPr>
          <w:rFonts w:ascii="Times New Roman" w:hAnsi="Times New Roman" w:cs="Times New Roman"/>
          <w:sz w:val="24"/>
          <w:szCs w:val="24"/>
        </w:rPr>
        <w:t>Znikoma liczba</w:t>
      </w:r>
      <w:r w:rsidR="0067454E" w:rsidRPr="00851610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4F08BA" w:rsidRPr="0085161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851610">
        <w:rPr>
          <w:rFonts w:ascii="Times New Roman" w:hAnsi="Times New Roman" w:cs="Times New Roman"/>
          <w:sz w:val="24"/>
          <w:szCs w:val="24"/>
        </w:rPr>
        <w:t>i</w:t>
      </w:r>
      <w:r w:rsidR="004F08BA" w:rsidRPr="00851610">
        <w:rPr>
          <w:rFonts w:ascii="Times New Roman" w:hAnsi="Times New Roman" w:cs="Times New Roman"/>
          <w:sz w:val="24"/>
          <w:szCs w:val="24"/>
        </w:rPr>
        <w:t xml:space="preserve"> </w:t>
      </w:r>
      <w:r w:rsidR="0067454E" w:rsidRPr="00851610">
        <w:rPr>
          <w:rFonts w:ascii="Times New Roman" w:hAnsi="Times New Roman" w:cs="Times New Roman"/>
          <w:sz w:val="24"/>
          <w:szCs w:val="24"/>
        </w:rPr>
        <w:t>aktywizacji zawodowej</w:t>
      </w:r>
      <w:r w:rsidR="00FE0C63" w:rsidRPr="00851610">
        <w:rPr>
          <w:rFonts w:ascii="Times New Roman" w:hAnsi="Times New Roman" w:cs="Times New Roman"/>
          <w:sz w:val="24"/>
          <w:szCs w:val="24"/>
        </w:rPr>
        <w:t xml:space="preserve"> – ujmowanych łącznie, </w:t>
      </w:r>
      <w:r w:rsidR="0067454E" w:rsidRPr="00851610">
        <w:rPr>
          <w:rFonts w:ascii="Times New Roman" w:hAnsi="Times New Roman" w:cs="Times New Roman"/>
          <w:sz w:val="24"/>
          <w:szCs w:val="24"/>
        </w:rPr>
        <w:t xml:space="preserve">dotyczyła osób </w:t>
      </w:r>
      <w:r w:rsidRPr="00851610">
        <w:rPr>
          <w:rFonts w:ascii="Times New Roman" w:hAnsi="Times New Roman" w:cs="Times New Roman"/>
          <w:sz w:val="24"/>
          <w:szCs w:val="24"/>
        </w:rPr>
        <w:t xml:space="preserve">bezrobotnych zarejestrowanych w PUP i </w:t>
      </w:r>
      <w:r w:rsidR="00DC2FC5" w:rsidRPr="00851610">
        <w:rPr>
          <w:rFonts w:ascii="Times New Roman" w:hAnsi="Times New Roman" w:cs="Times New Roman"/>
          <w:sz w:val="24"/>
          <w:szCs w:val="24"/>
        </w:rPr>
        <w:t>posiadających</w:t>
      </w:r>
      <w:r w:rsidR="0067454E" w:rsidRPr="00851610">
        <w:rPr>
          <w:rFonts w:ascii="Times New Roman" w:hAnsi="Times New Roman" w:cs="Times New Roman"/>
          <w:sz w:val="24"/>
          <w:szCs w:val="24"/>
        </w:rPr>
        <w:t xml:space="preserve"> orzecz</w:t>
      </w:r>
      <w:r w:rsidR="00DC2FC5" w:rsidRPr="00851610">
        <w:rPr>
          <w:rFonts w:ascii="Times New Roman" w:hAnsi="Times New Roman" w:cs="Times New Roman"/>
          <w:sz w:val="24"/>
          <w:szCs w:val="24"/>
        </w:rPr>
        <w:t>enie</w:t>
      </w:r>
      <w:r w:rsidR="00AE5712" w:rsidRPr="00851610">
        <w:rPr>
          <w:rFonts w:ascii="Times New Roman" w:hAnsi="Times New Roman" w:cs="Times New Roman"/>
          <w:sz w:val="24"/>
          <w:szCs w:val="24"/>
        </w:rPr>
        <w:t xml:space="preserve"> o </w:t>
      </w:r>
      <w:r w:rsidR="0067454E" w:rsidRPr="00851610">
        <w:rPr>
          <w:rFonts w:ascii="Times New Roman" w:hAnsi="Times New Roman" w:cs="Times New Roman"/>
          <w:sz w:val="24"/>
          <w:szCs w:val="24"/>
        </w:rPr>
        <w:t>niepełnosprawności</w:t>
      </w:r>
      <w:r w:rsidRPr="00851610">
        <w:rPr>
          <w:rFonts w:ascii="Times New Roman" w:hAnsi="Times New Roman" w:cs="Times New Roman"/>
          <w:sz w:val="24"/>
          <w:szCs w:val="24"/>
        </w:rPr>
        <w:t xml:space="preserve">, jak również </w:t>
      </w:r>
      <w:r w:rsidR="0067454E" w:rsidRPr="00851610">
        <w:rPr>
          <w:rFonts w:ascii="Times New Roman" w:hAnsi="Times New Roman" w:cs="Times New Roman"/>
          <w:sz w:val="24"/>
          <w:szCs w:val="24"/>
        </w:rPr>
        <w:t>zdolny</w:t>
      </w:r>
      <w:r w:rsidR="004F08BA" w:rsidRPr="00851610">
        <w:rPr>
          <w:rFonts w:ascii="Times New Roman" w:hAnsi="Times New Roman" w:cs="Times New Roman"/>
          <w:sz w:val="24"/>
          <w:szCs w:val="24"/>
        </w:rPr>
        <w:t>ch</w:t>
      </w:r>
      <w:r w:rsidR="0067454E" w:rsidRPr="00851610">
        <w:rPr>
          <w:rFonts w:ascii="Times New Roman" w:hAnsi="Times New Roman" w:cs="Times New Roman"/>
          <w:sz w:val="24"/>
          <w:szCs w:val="24"/>
        </w:rPr>
        <w:t xml:space="preserve"> do </w:t>
      </w:r>
      <w:r w:rsidR="004F08BA" w:rsidRPr="00851610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67454E" w:rsidRPr="00851610">
        <w:rPr>
          <w:rFonts w:ascii="Times New Roman" w:hAnsi="Times New Roman" w:cs="Times New Roman"/>
          <w:sz w:val="24"/>
          <w:szCs w:val="24"/>
        </w:rPr>
        <w:t xml:space="preserve">podjęcia </w:t>
      </w:r>
      <w:r w:rsidR="0067454E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pracy </w:t>
      </w:r>
      <w:r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tj.</w:t>
      </w:r>
      <w:r w:rsidR="0067454E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4659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7454E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84659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851610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="0067454E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ofert</w:t>
      </w:r>
      <w:r w:rsidR="001B5D0B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7454E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tj. </w:t>
      </w:r>
      <w:r w:rsidR="00851610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ok. </w:t>
      </w:r>
      <w:r w:rsidR="00DC246C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851610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67454E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772F51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wszystkich</w:t>
      </w:r>
      <w:r w:rsidR="0067454E" w:rsidRPr="008516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31C02" w:rsidRDefault="00FE0C63" w:rsidP="00D31C02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C02">
        <w:rPr>
          <w:rFonts w:ascii="Times New Roman" w:hAnsi="Times New Roman" w:cs="Times New Roman"/>
          <w:sz w:val="24"/>
          <w:szCs w:val="24"/>
          <w:u w:val="single"/>
        </w:rPr>
        <w:t xml:space="preserve">Odnotowano </w:t>
      </w:r>
      <w:r w:rsidR="0067454E" w:rsidRPr="00D31C02">
        <w:rPr>
          <w:rFonts w:ascii="Times New Roman" w:hAnsi="Times New Roman" w:cs="Times New Roman"/>
          <w:sz w:val="24"/>
          <w:szCs w:val="24"/>
          <w:u w:val="single"/>
        </w:rPr>
        <w:t>znaczne zróżnicowanie przestrzenne ilości ofert zgłaszanych do publicznego pośrednictwa pracy</w:t>
      </w:r>
      <w:r w:rsidR="0067454E" w:rsidRPr="00D31C02">
        <w:rPr>
          <w:rFonts w:ascii="Times New Roman" w:hAnsi="Times New Roman" w:cs="Times New Roman"/>
          <w:sz w:val="24"/>
          <w:szCs w:val="24"/>
        </w:rPr>
        <w:t>.</w:t>
      </w:r>
      <w:r w:rsidR="00AE5712" w:rsidRPr="00D31C02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D31C02">
        <w:rPr>
          <w:rFonts w:ascii="Times New Roman" w:hAnsi="Times New Roman" w:cs="Times New Roman"/>
          <w:sz w:val="24"/>
          <w:szCs w:val="24"/>
        </w:rPr>
        <w:t>W</w:t>
      </w:r>
      <w:r w:rsidR="00AE5712" w:rsidRPr="00D31C02">
        <w:rPr>
          <w:rFonts w:ascii="Times New Roman" w:hAnsi="Times New Roman" w:cs="Times New Roman"/>
          <w:sz w:val="24"/>
          <w:szCs w:val="24"/>
        </w:rPr>
        <w:t> </w:t>
      </w:r>
      <w:r w:rsidRPr="00D31C02">
        <w:rPr>
          <w:rFonts w:ascii="Times New Roman" w:hAnsi="Times New Roman" w:cs="Times New Roman"/>
          <w:sz w:val="24"/>
          <w:szCs w:val="24"/>
        </w:rPr>
        <w:t xml:space="preserve">I półroczu </w:t>
      </w:r>
      <w:r w:rsidR="0067454E" w:rsidRPr="00D31C02">
        <w:rPr>
          <w:rFonts w:ascii="Times New Roman" w:hAnsi="Times New Roman" w:cs="Times New Roman"/>
          <w:sz w:val="24"/>
          <w:szCs w:val="24"/>
        </w:rPr>
        <w:t>201</w:t>
      </w:r>
      <w:r w:rsidR="00627AAE" w:rsidRPr="00D31C02">
        <w:rPr>
          <w:rFonts w:ascii="Times New Roman" w:hAnsi="Times New Roman" w:cs="Times New Roman"/>
          <w:sz w:val="24"/>
          <w:szCs w:val="24"/>
        </w:rPr>
        <w:t>7</w:t>
      </w:r>
      <w:r w:rsidR="00AE5712" w:rsidRPr="00D31C02">
        <w:rPr>
          <w:rFonts w:ascii="Times New Roman" w:hAnsi="Times New Roman" w:cs="Times New Roman"/>
          <w:sz w:val="24"/>
          <w:szCs w:val="24"/>
        </w:rPr>
        <w:t> r. w </w:t>
      </w:r>
      <w:r w:rsidR="0067454E" w:rsidRPr="00D31C02">
        <w:rPr>
          <w:rFonts w:ascii="Times New Roman" w:hAnsi="Times New Roman" w:cs="Times New Roman"/>
          <w:sz w:val="24"/>
          <w:szCs w:val="24"/>
        </w:rPr>
        <w:t xml:space="preserve">większości </w:t>
      </w:r>
      <w:r w:rsidR="00EB583F" w:rsidRPr="00D31C02">
        <w:rPr>
          <w:rFonts w:ascii="Times New Roman" w:hAnsi="Times New Roman" w:cs="Times New Roman"/>
          <w:sz w:val="24"/>
          <w:szCs w:val="24"/>
        </w:rPr>
        <w:t xml:space="preserve">powiatowych </w:t>
      </w:r>
      <w:r w:rsidR="00E57565" w:rsidRPr="00D31C02">
        <w:rPr>
          <w:rFonts w:ascii="Times New Roman" w:hAnsi="Times New Roman" w:cs="Times New Roman"/>
          <w:sz w:val="24"/>
          <w:szCs w:val="24"/>
        </w:rPr>
        <w:t xml:space="preserve">urzędów pracy </w:t>
      </w:r>
      <w:r w:rsidR="00725565" w:rsidRPr="00D31C02">
        <w:rPr>
          <w:rFonts w:ascii="Times New Roman" w:hAnsi="Times New Roman" w:cs="Times New Roman"/>
          <w:sz w:val="24"/>
          <w:szCs w:val="24"/>
        </w:rPr>
        <w:t xml:space="preserve">nastąpił </w:t>
      </w:r>
      <w:r w:rsidR="0067454E" w:rsidRPr="00D31C02">
        <w:rPr>
          <w:rFonts w:ascii="Times New Roman" w:hAnsi="Times New Roman" w:cs="Times New Roman"/>
          <w:sz w:val="24"/>
          <w:szCs w:val="24"/>
        </w:rPr>
        <w:t>wzrost liczby wolnych miejsc pracy</w:t>
      </w:r>
      <w:r w:rsidR="00AE5712" w:rsidRPr="00D31C02">
        <w:rPr>
          <w:rFonts w:ascii="Times New Roman" w:hAnsi="Times New Roman" w:cs="Times New Roman"/>
          <w:sz w:val="24"/>
          <w:szCs w:val="24"/>
        </w:rPr>
        <w:t xml:space="preserve"> i </w:t>
      </w:r>
      <w:r w:rsidR="0067454E" w:rsidRPr="00D31C02">
        <w:rPr>
          <w:rFonts w:ascii="Times New Roman" w:hAnsi="Times New Roman" w:cs="Times New Roman"/>
          <w:sz w:val="24"/>
          <w:szCs w:val="24"/>
        </w:rPr>
        <w:t>miejsc aktywizacji zawodowej</w:t>
      </w:r>
      <w:r w:rsidR="00725565" w:rsidRPr="00D31C02">
        <w:rPr>
          <w:rFonts w:ascii="Times New Roman" w:hAnsi="Times New Roman" w:cs="Times New Roman"/>
          <w:sz w:val="24"/>
          <w:szCs w:val="24"/>
        </w:rPr>
        <w:t xml:space="preserve">, który </w:t>
      </w:r>
      <w:r w:rsidR="0067454E" w:rsidRPr="00D31C02">
        <w:rPr>
          <w:rFonts w:ascii="Times New Roman" w:hAnsi="Times New Roman" w:cs="Times New Roman"/>
          <w:sz w:val="24"/>
          <w:szCs w:val="24"/>
        </w:rPr>
        <w:t xml:space="preserve">dotyczył </w:t>
      </w:r>
      <w:r w:rsidR="00B5359C" w:rsidRPr="00D31C02">
        <w:rPr>
          <w:rFonts w:ascii="Times New Roman" w:hAnsi="Times New Roman" w:cs="Times New Roman"/>
          <w:sz w:val="24"/>
          <w:szCs w:val="24"/>
        </w:rPr>
        <w:t>16</w:t>
      </w:r>
      <w:r w:rsidR="0067454E" w:rsidRPr="00D31C02">
        <w:rPr>
          <w:rFonts w:ascii="Times New Roman" w:hAnsi="Times New Roman" w:cs="Times New Roman"/>
          <w:sz w:val="24"/>
          <w:szCs w:val="24"/>
        </w:rPr>
        <w:t xml:space="preserve"> powiatów lub miast na prawach powiatów. Największy wzrost ofert zatrudnienia lub </w:t>
      </w:r>
      <w:r w:rsidR="00EB583F" w:rsidRPr="00D31C02">
        <w:rPr>
          <w:rFonts w:ascii="Times New Roman" w:hAnsi="Times New Roman" w:cs="Times New Roman"/>
          <w:sz w:val="24"/>
          <w:szCs w:val="24"/>
        </w:rPr>
        <w:t xml:space="preserve">miejsc </w:t>
      </w:r>
      <w:r w:rsidR="0067454E" w:rsidRPr="00D31C02">
        <w:rPr>
          <w:rFonts w:ascii="Times New Roman" w:hAnsi="Times New Roman" w:cs="Times New Roman"/>
          <w:sz w:val="24"/>
          <w:szCs w:val="24"/>
        </w:rPr>
        <w:t>aktywizacji zawodowej nastąpił w</w:t>
      </w:r>
      <w:r w:rsidR="00B5359C" w:rsidRPr="00D31C02">
        <w:rPr>
          <w:rFonts w:ascii="Times New Roman" w:hAnsi="Times New Roman" w:cs="Times New Roman"/>
          <w:sz w:val="24"/>
          <w:szCs w:val="24"/>
        </w:rPr>
        <w:t xml:space="preserve"> następujących:</w:t>
      </w:r>
      <w:r w:rsidRPr="00D31C02">
        <w:rPr>
          <w:rFonts w:ascii="Times New Roman" w:hAnsi="Times New Roman" w:cs="Times New Roman"/>
          <w:sz w:val="24"/>
          <w:szCs w:val="24"/>
        </w:rPr>
        <w:t> </w:t>
      </w:r>
      <w:r w:rsidR="00B5359C" w:rsidRPr="00D31C02">
        <w:rPr>
          <w:rFonts w:ascii="Times New Roman" w:hAnsi="Times New Roman" w:cs="Times New Roman"/>
          <w:sz w:val="24"/>
          <w:szCs w:val="24"/>
        </w:rPr>
        <w:t xml:space="preserve">powiecie jarosławskim – </w:t>
      </w:r>
      <w:r w:rsidR="00D31C02">
        <w:rPr>
          <w:rFonts w:ascii="Times New Roman" w:hAnsi="Times New Roman" w:cs="Times New Roman"/>
          <w:sz w:val="24"/>
          <w:szCs w:val="24"/>
        </w:rPr>
        <w:t xml:space="preserve">wzrost o </w:t>
      </w:r>
      <w:r w:rsidR="00B5359C" w:rsidRPr="00D31C02">
        <w:rPr>
          <w:rFonts w:ascii="Times New Roman" w:hAnsi="Times New Roman" w:cs="Times New Roman"/>
          <w:sz w:val="24"/>
          <w:szCs w:val="24"/>
        </w:rPr>
        <w:t>1</w:t>
      </w:r>
      <w:r w:rsidR="00D31C02">
        <w:rPr>
          <w:rFonts w:ascii="Times New Roman" w:hAnsi="Times New Roman" w:cs="Times New Roman"/>
          <w:sz w:val="24"/>
          <w:szCs w:val="24"/>
        </w:rPr>
        <w:t> </w:t>
      </w:r>
      <w:r w:rsidR="00B5359C" w:rsidRPr="00D31C02">
        <w:rPr>
          <w:rFonts w:ascii="Times New Roman" w:hAnsi="Times New Roman" w:cs="Times New Roman"/>
          <w:sz w:val="24"/>
          <w:szCs w:val="24"/>
        </w:rPr>
        <w:t>041</w:t>
      </w:r>
      <w:r w:rsidR="00D31C02">
        <w:rPr>
          <w:rFonts w:ascii="Times New Roman" w:hAnsi="Times New Roman" w:cs="Times New Roman"/>
          <w:sz w:val="24"/>
          <w:szCs w:val="24"/>
        </w:rPr>
        <w:t xml:space="preserve"> ofert pracy</w:t>
      </w:r>
      <w:r w:rsidR="00B5359C" w:rsidRPr="00D31C02">
        <w:rPr>
          <w:rFonts w:ascii="Times New Roman" w:hAnsi="Times New Roman" w:cs="Times New Roman"/>
          <w:sz w:val="24"/>
          <w:szCs w:val="24"/>
        </w:rPr>
        <w:t>, m. Rzeszów – 1 031, powiecie rzeszowskim –441, sanockim – 390, jasielskim – 320, dębickim – 268, leżajskim – 263 i m. Przemyślu – 161, lubaczowskim – 147.</w:t>
      </w:r>
    </w:p>
    <w:p w:rsidR="00D31C02" w:rsidRPr="002D25EE" w:rsidRDefault="00725565" w:rsidP="00D31C02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5EE">
        <w:rPr>
          <w:rFonts w:ascii="Times New Roman" w:hAnsi="Times New Roman" w:cs="Times New Roman"/>
          <w:sz w:val="24"/>
          <w:szCs w:val="24"/>
        </w:rPr>
        <w:t>Spadki odnotowano w 3</w:t>
      </w:r>
      <w:r w:rsidR="00007856" w:rsidRPr="002D25EE">
        <w:rPr>
          <w:rFonts w:ascii="Times New Roman" w:hAnsi="Times New Roman" w:cs="Times New Roman"/>
          <w:sz w:val="24"/>
          <w:szCs w:val="24"/>
        </w:rPr>
        <w:t> </w:t>
      </w:r>
      <w:r w:rsidRPr="002D25EE">
        <w:rPr>
          <w:rFonts w:ascii="Times New Roman" w:hAnsi="Times New Roman" w:cs="Times New Roman"/>
          <w:sz w:val="24"/>
          <w:szCs w:val="24"/>
        </w:rPr>
        <w:t xml:space="preserve">powiatach </w:t>
      </w:r>
      <w:r w:rsidR="004863D0" w:rsidRPr="002D25EE">
        <w:rPr>
          <w:rFonts w:ascii="Times New Roman" w:hAnsi="Times New Roman" w:cs="Times New Roman"/>
          <w:sz w:val="24"/>
          <w:szCs w:val="24"/>
        </w:rPr>
        <w:t xml:space="preserve">lub w </w:t>
      </w:r>
      <w:r w:rsidRPr="002D25EE">
        <w:rPr>
          <w:rFonts w:ascii="Times New Roman" w:hAnsi="Times New Roman" w:cs="Times New Roman"/>
          <w:sz w:val="24"/>
          <w:szCs w:val="24"/>
        </w:rPr>
        <w:t>mi</w:t>
      </w:r>
      <w:r w:rsidR="004863D0" w:rsidRPr="002D25EE">
        <w:rPr>
          <w:rFonts w:ascii="Times New Roman" w:hAnsi="Times New Roman" w:cs="Times New Roman"/>
          <w:sz w:val="24"/>
          <w:szCs w:val="24"/>
        </w:rPr>
        <w:t xml:space="preserve">astach </w:t>
      </w:r>
      <w:r w:rsidRPr="002D25EE">
        <w:rPr>
          <w:rFonts w:ascii="Times New Roman" w:hAnsi="Times New Roman" w:cs="Times New Roman"/>
          <w:sz w:val="24"/>
          <w:szCs w:val="24"/>
        </w:rPr>
        <w:t>na prawach powiat</w:t>
      </w:r>
      <w:r w:rsidR="00CA045A" w:rsidRPr="002D25EE">
        <w:rPr>
          <w:rFonts w:ascii="Times New Roman" w:hAnsi="Times New Roman" w:cs="Times New Roman"/>
          <w:sz w:val="24"/>
          <w:szCs w:val="24"/>
        </w:rPr>
        <w:t xml:space="preserve">u – w </w:t>
      </w:r>
      <w:r w:rsidRPr="002D25EE">
        <w:rPr>
          <w:rFonts w:ascii="Times New Roman" w:hAnsi="Times New Roman" w:cs="Times New Roman"/>
          <w:sz w:val="24"/>
          <w:szCs w:val="24"/>
        </w:rPr>
        <w:t>tym największe w</w:t>
      </w:r>
      <w:r w:rsidR="00CA045A" w:rsidRPr="002D25EE">
        <w:rPr>
          <w:rFonts w:ascii="Times New Roman" w:hAnsi="Times New Roman" w:cs="Times New Roman"/>
          <w:sz w:val="24"/>
          <w:szCs w:val="24"/>
        </w:rPr>
        <w:t>:</w:t>
      </w:r>
      <w:r w:rsidR="00D31C02" w:rsidRPr="002D25EE">
        <w:rPr>
          <w:rFonts w:ascii="Times New Roman" w:hAnsi="Times New Roman" w:cs="Times New Roman"/>
          <w:sz w:val="24"/>
          <w:szCs w:val="24"/>
        </w:rPr>
        <w:t xml:space="preserve"> powiecie stalowowolskim – spadek o 508 ofert pracy, m. Tarnobrzegu – 248, powiecie kolbuszowskim – 217, brzozowskim – 207, m. Krośnie – 155, powiecie krośnieńskim – 102 i tarnobrzeskim – 36 oraz niżański</w:t>
      </w:r>
      <w:r w:rsidR="00D31C02" w:rsidRPr="002D25EE">
        <w:rPr>
          <w:rFonts w:ascii="Times New Roman" w:hAnsi="Times New Roman" w:cs="Times New Roman"/>
          <w:sz w:val="24"/>
          <w:szCs w:val="24"/>
        </w:rPr>
        <w:tab/>
        <w:t>m – 17.</w:t>
      </w:r>
    </w:p>
    <w:p w:rsidR="0005485B" w:rsidRPr="004E76D3" w:rsidRDefault="00CA045A" w:rsidP="004E76D3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>Liczbowo</w:t>
      </w:r>
      <w:r w:rsidR="00FA375A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(nominalnie) – </w:t>
      </w:r>
      <w:r w:rsidR="00AE5712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>w </w:t>
      </w:r>
      <w:r w:rsidR="009B465D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okresie </w:t>
      </w:r>
      <w:r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półrocza </w:t>
      </w:r>
      <w:r w:rsidR="0067454E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627AAE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E5712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> r.</w:t>
      </w:r>
      <w:r w:rsidR="0067454E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najwięcej wolnych miejsc pracy</w:t>
      </w:r>
      <w:r w:rsidR="00AE5712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 </w:t>
      </w:r>
      <w:r w:rsidR="0067454E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>miejsc aktywizacji zawodowej zgłosili pracodawcy</w:t>
      </w:r>
      <w:r w:rsidR="00AE5712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 </w:t>
      </w:r>
      <w:r w:rsidR="0067454E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terenu następujących powiatów lub miast na prawach powiatów: </w:t>
      </w:r>
      <w:r w:rsidR="004E76D3" w:rsidRPr="004E76D3">
        <w:rPr>
          <w:rFonts w:ascii="Times New Roman" w:hAnsi="Times New Roman" w:cs="Times New Roman"/>
          <w:color w:val="000000" w:themeColor="text1"/>
          <w:sz w:val="24"/>
          <w:szCs w:val="24"/>
        </w:rPr>
        <w:t>m. Rzeszowa – 7 373, powiatu mieleckiego – 3 766, jarosławskiego – 3 521, dębickiego – 2 745, rzeszowskiego – 2 549, przeworskiego – 1 598, ropczycko – sędziszowskiego – 1 543, sanockiego – 1 505, stalowowolskiego – 1 439 i jasielskiego – 1 429.</w:t>
      </w:r>
    </w:p>
    <w:p w:rsidR="007A0871" w:rsidRPr="00361EA1" w:rsidRDefault="0067454E" w:rsidP="007A0871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1EA1">
        <w:rPr>
          <w:rFonts w:ascii="Times New Roman" w:hAnsi="Times New Roman" w:cs="Times New Roman"/>
          <w:sz w:val="24"/>
          <w:szCs w:val="24"/>
        </w:rPr>
        <w:t>Wolne miejsca pracy</w:t>
      </w:r>
      <w:r w:rsidR="00AE5712" w:rsidRPr="00361EA1">
        <w:rPr>
          <w:rFonts w:ascii="Times New Roman" w:hAnsi="Times New Roman" w:cs="Times New Roman"/>
          <w:sz w:val="24"/>
          <w:szCs w:val="24"/>
        </w:rPr>
        <w:t xml:space="preserve"> i </w:t>
      </w:r>
      <w:r w:rsidRPr="00361EA1">
        <w:rPr>
          <w:rFonts w:ascii="Times New Roman" w:hAnsi="Times New Roman" w:cs="Times New Roman"/>
          <w:sz w:val="24"/>
          <w:szCs w:val="24"/>
        </w:rPr>
        <w:t>miejsca aktywizacji zawodowej, które zostały subsydiowane ze środków Funduszu Pracy</w:t>
      </w:r>
      <w:r w:rsidR="00C71750" w:rsidRPr="00361EA1">
        <w:rPr>
          <w:rFonts w:ascii="Times New Roman" w:hAnsi="Times New Roman" w:cs="Times New Roman"/>
          <w:sz w:val="24"/>
          <w:szCs w:val="24"/>
        </w:rPr>
        <w:t>,</w:t>
      </w:r>
      <w:r w:rsidRPr="00361EA1">
        <w:rPr>
          <w:rFonts w:ascii="Times New Roman" w:hAnsi="Times New Roman" w:cs="Times New Roman"/>
          <w:sz w:val="24"/>
          <w:szCs w:val="24"/>
        </w:rPr>
        <w:t xml:space="preserve"> łagodziły</w:t>
      </w:r>
      <w:r w:rsidR="00AE5712" w:rsidRPr="00361EA1">
        <w:rPr>
          <w:rFonts w:ascii="Times New Roman" w:hAnsi="Times New Roman" w:cs="Times New Roman"/>
          <w:sz w:val="24"/>
          <w:szCs w:val="24"/>
        </w:rPr>
        <w:t xml:space="preserve"> w </w:t>
      </w:r>
      <w:r w:rsidRPr="00361EA1">
        <w:rPr>
          <w:rFonts w:ascii="Times New Roman" w:hAnsi="Times New Roman" w:cs="Times New Roman"/>
          <w:sz w:val="24"/>
          <w:szCs w:val="24"/>
        </w:rPr>
        <w:t xml:space="preserve">pewnym </w:t>
      </w:r>
      <w:r w:rsidR="00C71750" w:rsidRPr="00361EA1">
        <w:rPr>
          <w:rFonts w:ascii="Times New Roman" w:hAnsi="Times New Roman" w:cs="Times New Roman"/>
          <w:sz w:val="24"/>
          <w:szCs w:val="24"/>
        </w:rPr>
        <w:t>zakresie,</w:t>
      </w:r>
      <w:r w:rsidRPr="00361EA1">
        <w:rPr>
          <w:rFonts w:ascii="Times New Roman" w:hAnsi="Times New Roman" w:cs="Times New Roman"/>
          <w:sz w:val="24"/>
          <w:szCs w:val="24"/>
        </w:rPr>
        <w:t xml:space="preserve"> trudną sytuację na </w:t>
      </w:r>
      <w:r w:rsidR="00450DA8" w:rsidRPr="00361EA1">
        <w:rPr>
          <w:rFonts w:ascii="Times New Roman" w:hAnsi="Times New Roman" w:cs="Times New Roman"/>
          <w:sz w:val="24"/>
          <w:szCs w:val="24"/>
        </w:rPr>
        <w:t xml:space="preserve">lokalnych </w:t>
      </w:r>
      <w:r w:rsidRPr="00361EA1">
        <w:rPr>
          <w:rFonts w:ascii="Times New Roman" w:hAnsi="Times New Roman" w:cs="Times New Roman"/>
          <w:sz w:val="24"/>
          <w:szCs w:val="24"/>
        </w:rPr>
        <w:t>rynk</w:t>
      </w:r>
      <w:r w:rsidR="00450DA8" w:rsidRPr="00361EA1">
        <w:rPr>
          <w:rFonts w:ascii="Times New Roman" w:hAnsi="Times New Roman" w:cs="Times New Roman"/>
          <w:sz w:val="24"/>
          <w:szCs w:val="24"/>
        </w:rPr>
        <w:t>ach</w:t>
      </w:r>
      <w:r w:rsidRPr="00361EA1">
        <w:rPr>
          <w:rFonts w:ascii="Times New Roman" w:hAnsi="Times New Roman" w:cs="Times New Roman"/>
          <w:sz w:val="24"/>
          <w:szCs w:val="24"/>
        </w:rPr>
        <w:t xml:space="preserve"> pracy</w:t>
      </w:r>
      <w:r w:rsidR="00AE5712" w:rsidRPr="00361EA1">
        <w:rPr>
          <w:rFonts w:ascii="Times New Roman" w:hAnsi="Times New Roman" w:cs="Times New Roman"/>
          <w:sz w:val="24"/>
          <w:szCs w:val="24"/>
        </w:rPr>
        <w:t xml:space="preserve"> w </w:t>
      </w:r>
      <w:r w:rsidR="00450DA8" w:rsidRPr="00361EA1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Pr="00361EA1">
        <w:rPr>
          <w:rFonts w:ascii="Times New Roman" w:hAnsi="Times New Roman" w:cs="Times New Roman"/>
          <w:sz w:val="24"/>
          <w:szCs w:val="24"/>
        </w:rPr>
        <w:t>powiatach.</w:t>
      </w:r>
      <w:r w:rsidR="004E76D3" w:rsidRPr="00361EA1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AE5712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F7241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półroczu </w:t>
      </w:r>
      <w:r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4E76D3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</w:t>
      </w:r>
      <w:r w:rsidR="00007856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największy udział ofert subsydiowanych</w:t>
      </w:r>
      <w:r w:rsidR="00AE5712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ogólnej liczbie wolnych miejsc pracy</w:t>
      </w:r>
      <w:r w:rsid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5712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miejsc </w:t>
      </w:r>
      <w:r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aktywizacji zawodowej </w:t>
      </w:r>
      <w:r w:rsidR="004E76D3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>dotyczył następujących powiatów</w:t>
      </w:r>
      <w:r w:rsidR="007A0871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(powyżej ½ subsydiów)</w:t>
      </w:r>
      <w:r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7A0871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brzozowskiego – 85,9%, bieszczadzkiego – 73,6%, przeworskiego – 72,3%, łańcuckiego – 68,9%, przemyskiego – </w:t>
      </w:r>
      <w:r w:rsidR="007A0871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67,3%, jasielskiego – 67,0%, strzyżowskiego – </w:t>
      </w:r>
      <w:r w:rsidR="007A0871" w:rsidRPr="00361EA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66,1%, niżańskiego – 64,9%, kolbuszowskiego – 64,3%, m. Tarnobrzega – 61,3%, leżajskiego – 57,1%, lubaczowskiego – 55,6, tarnobrzeskiego – 52,4%, leskiego – 52,2%, m. Przemyśla – 50,2% i m. Krosna – 50,0%. </w:t>
      </w:r>
    </w:p>
    <w:p w:rsidR="00BB1E53" w:rsidRPr="00BB1E53" w:rsidRDefault="00726157" w:rsidP="00262A0F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2A0F">
        <w:rPr>
          <w:rFonts w:ascii="Times New Roman" w:hAnsi="Times New Roman" w:cs="Times New Roman"/>
          <w:sz w:val="24"/>
          <w:szCs w:val="24"/>
        </w:rPr>
        <w:t>W województwie podkarpackim</w:t>
      </w:r>
      <w:r w:rsidR="00AE5712" w:rsidRPr="00262A0F">
        <w:rPr>
          <w:rFonts w:ascii="Times New Roman" w:hAnsi="Times New Roman" w:cs="Times New Roman"/>
          <w:sz w:val="24"/>
          <w:szCs w:val="24"/>
        </w:rPr>
        <w:t xml:space="preserve"> w </w:t>
      </w:r>
      <w:r w:rsidR="00FE0C63" w:rsidRPr="00262A0F">
        <w:rPr>
          <w:rFonts w:ascii="Times New Roman" w:hAnsi="Times New Roman" w:cs="Times New Roman"/>
          <w:sz w:val="24"/>
          <w:szCs w:val="24"/>
        </w:rPr>
        <w:t xml:space="preserve">I półroczu </w:t>
      </w:r>
      <w:r w:rsidRPr="00262A0F">
        <w:rPr>
          <w:rFonts w:ascii="Times New Roman" w:hAnsi="Times New Roman" w:cs="Times New Roman"/>
          <w:sz w:val="24"/>
          <w:szCs w:val="24"/>
        </w:rPr>
        <w:t>201</w:t>
      </w:r>
      <w:r w:rsidR="000245EB" w:rsidRPr="00262A0F">
        <w:rPr>
          <w:rFonts w:ascii="Times New Roman" w:hAnsi="Times New Roman" w:cs="Times New Roman"/>
          <w:sz w:val="24"/>
          <w:szCs w:val="24"/>
        </w:rPr>
        <w:t>7</w:t>
      </w:r>
      <w:r w:rsidRPr="00262A0F">
        <w:rPr>
          <w:rFonts w:ascii="Times New Roman" w:hAnsi="Times New Roman" w:cs="Times New Roman"/>
          <w:sz w:val="24"/>
          <w:szCs w:val="24"/>
        </w:rPr>
        <w:t xml:space="preserve"> r</w:t>
      </w:r>
      <w:r w:rsidR="00FE0C63" w:rsidRPr="00262A0F">
        <w:rPr>
          <w:rFonts w:ascii="Times New Roman" w:hAnsi="Times New Roman" w:cs="Times New Roman"/>
          <w:sz w:val="24"/>
          <w:szCs w:val="24"/>
        </w:rPr>
        <w:t>.</w:t>
      </w:r>
      <w:r w:rsidRPr="00262A0F">
        <w:rPr>
          <w:rFonts w:ascii="Times New Roman" w:hAnsi="Times New Roman" w:cs="Times New Roman"/>
          <w:sz w:val="24"/>
          <w:szCs w:val="24"/>
        </w:rPr>
        <w:t xml:space="preserve"> na jedno wolne miejsce pracy</w:t>
      </w:r>
      <w:r w:rsidR="00AE5712" w:rsidRPr="00262A0F">
        <w:rPr>
          <w:rFonts w:ascii="Times New Roman" w:hAnsi="Times New Roman" w:cs="Times New Roman"/>
          <w:sz w:val="24"/>
          <w:szCs w:val="24"/>
        </w:rPr>
        <w:t xml:space="preserve"> i </w:t>
      </w:r>
      <w:r w:rsidRPr="00262A0F">
        <w:rPr>
          <w:rFonts w:ascii="Times New Roman" w:hAnsi="Times New Roman" w:cs="Times New Roman"/>
          <w:sz w:val="24"/>
          <w:szCs w:val="24"/>
        </w:rPr>
        <w:t xml:space="preserve">miejsce aktywizacji zawodowej przypadało średnio </w:t>
      </w:r>
      <w:r w:rsidR="0008106F" w:rsidRPr="00262A0F">
        <w:rPr>
          <w:rFonts w:ascii="Times New Roman" w:hAnsi="Times New Roman" w:cs="Times New Roman"/>
          <w:sz w:val="24"/>
          <w:szCs w:val="24"/>
        </w:rPr>
        <w:t>1</w:t>
      </w:r>
      <w:r w:rsidR="007A0871" w:rsidRPr="00262A0F">
        <w:rPr>
          <w:rFonts w:ascii="Times New Roman" w:hAnsi="Times New Roman" w:cs="Times New Roman"/>
          <w:sz w:val="24"/>
          <w:szCs w:val="24"/>
        </w:rPr>
        <w:t>5</w:t>
      </w:r>
      <w:r w:rsidRPr="00262A0F">
        <w:rPr>
          <w:rFonts w:ascii="Times New Roman" w:hAnsi="Times New Roman" w:cs="Times New Roman"/>
          <w:sz w:val="24"/>
          <w:szCs w:val="24"/>
        </w:rPr>
        <w:t xml:space="preserve"> bezrobotnych (w </w:t>
      </w:r>
      <w:r w:rsidR="00FE0C63" w:rsidRPr="00262A0F">
        <w:rPr>
          <w:rFonts w:ascii="Times New Roman" w:hAnsi="Times New Roman" w:cs="Times New Roman"/>
          <w:sz w:val="24"/>
          <w:szCs w:val="24"/>
        </w:rPr>
        <w:t xml:space="preserve">I półroczu </w:t>
      </w:r>
      <w:r w:rsidRPr="00262A0F">
        <w:rPr>
          <w:rFonts w:ascii="Times New Roman" w:hAnsi="Times New Roman" w:cs="Times New Roman"/>
          <w:sz w:val="24"/>
          <w:szCs w:val="24"/>
        </w:rPr>
        <w:t>201</w:t>
      </w:r>
      <w:r w:rsidR="007A0871" w:rsidRPr="00262A0F">
        <w:rPr>
          <w:rFonts w:ascii="Times New Roman" w:hAnsi="Times New Roman" w:cs="Times New Roman"/>
          <w:sz w:val="24"/>
          <w:szCs w:val="24"/>
        </w:rPr>
        <w:t>6</w:t>
      </w:r>
      <w:r w:rsidRPr="00262A0F">
        <w:rPr>
          <w:rFonts w:ascii="Times New Roman" w:hAnsi="Times New Roman" w:cs="Times New Roman"/>
          <w:sz w:val="24"/>
          <w:szCs w:val="24"/>
        </w:rPr>
        <w:t xml:space="preserve"> roku – </w:t>
      </w:r>
      <w:r w:rsidR="007A0871" w:rsidRPr="00262A0F">
        <w:rPr>
          <w:rFonts w:ascii="Times New Roman" w:hAnsi="Times New Roman" w:cs="Times New Roman"/>
          <w:sz w:val="24"/>
          <w:szCs w:val="24"/>
        </w:rPr>
        <w:t>19</w:t>
      </w:r>
      <w:r w:rsidR="0008106F" w:rsidRPr="00262A0F">
        <w:rPr>
          <w:rFonts w:ascii="Times New Roman" w:hAnsi="Times New Roman" w:cs="Times New Roman"/>
          <w:sz w:val="24"/>
          <w:szCs w:val="24"/>
        </w:rPr>
        <w:t xml:space="preserve"> </w:t>
      </w:r>
      <w:r w:rsidRPr="00262A0F">
        <w:rPr>
          <w:rFonts w:ascii="Times New Roman" w:hAnsi="Times New Roman" w:cs="Times New Roman"/>
          <w:sz w:val="24"/>
          <w:szCs w:val="24"/>
        </w:rPr>
        <w:t>bezrobotnych).</w:t>
      </w:r>
    </w:p>
    <w:p w:rsidR="00DA449E" w:rsidRPr="00DA449E" w:rsidRDefault="00726157" w:rsidP="00262A0F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2A0F">
        <w:rPr>
          <w:rFonts w:ascii="Times New Roman" w:hAnsi="Times New Roman" w:cs="Times New Roman"/>
          <w:sz w:val="24"/>
          <w:szCs w:val="24"/>
        </w:rPr>
        <w:t>Sytuacja</w:t>
      </w:r>
      <w:r w:rsidR="00AE5712" w:rsidRPr="00262A0F">
        <w:rPr>
          <w:rFonts w:ascii="Times New Roman" w:hAnsi="Times New Roman" w:cs="Times New Roman"/>
          <w:sz w:val="24"/>
          <w:szCs w:val="24"/>
        </w:rPr>
        <w:t xml:space="preserve"> </w:t>
      </w:r>
      <w:r w:rsidR="007A0871" w:rsidRPr="00262A0F">
        <w:rPr>
          <w:rFonts w:ascii="Times New Roman" w:hAnsi="Times New Roman" w:cs="Times New Roman"/>
          <w:sz w:val="24"/>
          <w:szCs w:val="24"/>
        </w:rPr>
        <w:t xml:space="preserve">w tym zakresie poprawia się, chociaż jest jeszcze daleka od normalizacji. Głównymi przyczynami niekorzystnego stanu – jest niska jakość ofert pracy i ich </w:t>
      </w:r>
      <w:r w:rsidR="00262A0F" w:rsidRPr="00262A0F">
        <w:rPr>
          <w:rFonts w:ascii="Times New Roman" w:hAnsi="Times New Roman" w:cs="Times New Roman"/>
          <w:sz w:val="24"/>
          <w:szCs w:val="24"/>
        </w:rPr>
        <w:t>w</w:t>
      </w:r>
      <w:r w:rsidR="00BB1E53">
        <w:rPr>
          <w:rFonts w:ascii="Times New Roman" w:hAnsi="Times New Roman" w:cs="Times New Roman"/>
          <w:sz w:val="24"/>
          <w:szCs w:val="24"/>
        </w:rPr>
        <w:t> </w:t>
      </w:r>
      <w:r w:rsidR="00262A0F" w:rsidRPr="00262A0F">
        <w:rPr>
          <w:rFonts w:ascii="Times New Roman" w:hAnsi="Times New Roman" w:cs="Times New Roman"/>
          <w:sz w:val="24"/>
          <w:szCs w:val="24"/>
        </w:rPr>
        <w:t xml:space="preserve">pewnym sensie – </w:t>
      </w:r>
      <w:r w:rsidR="007A0871" w:rsidRPr="00262A0F">
        <w:rPr>
          <w:rFonts w:ascii="Times New Roman" w:hAnsi="Times New Roman" w:cs="Times New Roman"/>
          <w:sz w:val="24"/>
          <w:szCs w:val="24"/>
        </w:rPr>
        <w:t>ograniczona dostępność.</w:t>
      </w:r>
    </w:p>
    <w:p w:rsidR="00BB1E53" w:rsidRPr="00BB1E53" w:rsidRDefault="00262A0F" w:rsidP="00262A0F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2A0F">
        <w:rPr>
          <w:rFonts w:ascii="Times New Roman" w:hAnsi="Times New Roman" w:cs="Times New Roman"/>
          <w:sz w:val="24"/>
          <w:szCs w:val="24"/>
        </w:rPr>
        <w:t xml:space="preserve">Ponadto odnotowano znaczne zróżnicowanie </w:t>
      </w:r>
      <w:r w:rsidR="007A0871" w:rsidRPr="00262A0F">
        <w:rPr>
          <w:rFonts w:ascii="Times New Roman" w:hAnsi="Times New Roman" w:cs="Times New Roman"/>
          <w:sz w:val="24"/>
          <w:szCs w:val="24"/>
        </w:rPr>
        <w:t>przestrzenne</w:t>
      </w:r>
      <w:r w:rsidRPr="00262A0F">
        <w:rPr>
          <w:rFonts w:ascii="Times New Roman" w:hAnsi="Times New Roman" w:cs="Times New Roman"/>
          <w:sz w:val="24"/>
          <w:szCs w:val="24"/>
        </w:rPr>
        <w:t xml:space="preserve"> analizowanego wskaźnika, którego wartość jest mniejsza </w:t>
      </w:r>
      <w:r w:rsidR="007A0871" w:rsidRPr="00262A0F">
        <w:rPr>
          <w:rFonts w:ascii="Times New Roman" w:hAnsi="Times New Roman" w:cs="Times New Roman"/>
          <w:sz w:val="24"/>
          <w:szCs w:val="24"/>
        </w:rPr>
        <w:t>w dużych ośrodkach miejskich tj.</w:t>
      </w:r>
      <w:r w:rsidR="00034FBF" w:rsidRPr="00262A0F">
        <w:rPr>
          <w:rFonts w:ascii="Times New Roman" w:hAnsi="Times New Roman" w:cs="Times New Roman"/>
          <w:sz w:val="24"/>
          <w:szCs w:val="24"/>
        </w:rPr>
        <w:t xml:space="preserve"> </w:t>
      </w:r>
      <w:r w:rsidR="00A31509" w:rsidRPr="00262A0F">
        <w:rPr>
          <w:rFonts w:ascii="Times New Roman" w:hAnsi="Times New Roman" w:cs="Times New Roman"/>
          <w:sz w:val="24"/>
          <w:szCs w:val="24"/>
        </w:rPr>
        <w:t>m. Rzeszowie – 6, powiecie mieleckim – 7 i</w:t>
      </w:r>
      <w:r w:rsidRPr="00262A0F">
        <w:rPr>
          <w:rFonts w:ascii="Times New Roman" w:hAnsi="Times New Roman" w:cs="Times New Roman"/>
          <w:sz w:val="24"/>
          <w:szCs w:val="24"/>
        </w:rPr>
        <w:t> </w:t>
      </w:r>
      <w:r w:rsidR="00A31509" w:rsidRPr="00262A0F">
        <w:rPr>
          <w:rFonts w:ascii="Times New Roman" w:hAnsi="Times New Roman" w:cs="Times New Roman"/>
          <w:sz w:val="24"/>
          <w:szCs w:val="24"/>
        </w:rPr>
        <w:t>m. Krośnie – 11.</w:t>
      </w:r>
    </w:p>
    <w:p w:rsidR="00AC4ECD" w:rsidRPr="00AA133A" w:rsidRDefault="00262A0F" w:rsidP="00262A0F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62A0F">
        <w:rPr>
          <w:rFonts w:ascii="Times New Roman" w:hAnsi="Times New Roman" w:cs="Times New Roman"/>
          <w:sz w:val="24"/>
          <w:szCs w:val="24"/>
        </w:rPr>
        <w:t>Największą liczbę bezrobotnych przypadających średnio na jedno wolne miejsce pracy i</w:t>
      </w:r>
      <w:r w:rsidR="00BB1E53">
        <w:rPr>
          <w:rFonts w:ascii="Times New Roman" w:hAnsi="Times New Roman" w:cs="Times New Roman"/>
          <w:sz w:val="24"/>
          <w:szCs w:val="24"/>
        </w:rPr>
        <w:t> </w:t>
      </w:r>
      <w:r w:rsidRPr="00262A0F">
        <w:rPr>
          <w:rFonts w:ascii="Times New Roman" w:hAnsi="Times New Roman" w:cs="Times New Roman"/>
          <w:sz w:val="24"/>
          <w:szCs w:val="24"/>
        </w:rPr>
        <w:t>miejsce aktywizacji zawodowej odnotowano w powiatach: przemyskim – 48, brzozowskim – 41,</w:t>
      </w:r>
      <w:r w:rsidR="00DA449E">
        <w:rPr>
          <w:rFonts w:ascii="Times New Roman" w:hAnsi="Times New Roman" w:cs="Times New Roman"/>
          <w:sz w:val="24"/>
          <w:szCs w:val="24"/>
        </w:rPr>
        <w:t xml:space="preserve"> </w:t>
      </w:r>
      <w:r w:rsidRPr="00262A0F">
        <w:rPr>
          <w:rFonts w:ascii="Times New Roman" w:hAnsi="Times New Roman" w:cs="Times New Roman"/>
          <w:sz w:val="24"/>
          <w:szCs w:val="24"/>
        </w:rPr>
        <w:t>krośnieńskim</w:t>
      </w:r>
      <w:r w:rsidR="00DA449E">
        <w:rPr>
          <w:rFonts w:ascii="Times New Roman" w:hAnsi="Times New Roman" w:cs="Times New Roman"/>
          <w:sz w:val="24"/>
          <w:szCs w:val="24"/>
        </w:rPr>
        <w:t xml:space="preserve"> </w:t>
      </w:r>
      <w:r w:rsidRPr="00262A0F">
        <w:rPr>
          <w:rFonts w:ascii="Times New Roman" w:hAnsi="Times New Roman" w:cs="Times New Roman"/>
          <w:sz w:val="24"/>
          <w:szCs w:val="24"/>
        </w:rPr>
        <w:t>–</w:t>
      </w:r>
      <w:r w:rsidR="00DA449E">
        <w:rPr>
          <w:rFonts w:ascii="Times New Roman" w:hAnsi="Times New Roman" w:cs="Times New Roman"/>
          <w:sz w:val="24"/>
          <w:szCs w:val="24"/>
        </w:rPr>
        <w:t xml:space="preserve"> </w:t>
      </w:r>
      <w:r w:rsidRPr="00262A0F">
        <w:rPr>
          <w:rFonts w:ascii="Times New Roman" w:hAnsi="Times New Roman" w:cs="Times New Roman"/>
          <w:sz w:val="24"/>
          <w:szCs w:val="24"/>
        </w:rPr>
        <w:t>34, leskim – 32, jasielskim – 28, niżańskim – 26, bieszczadzkim – 20, łańcuckim – 20, strzyżowskim – 19,  przeworskim – 19, m.</w:t>
      </w:r>
      <w:r w:rsidR="00DA449E">
        <w:rPr>
          <w:rFonts w:ascii="Times New Roman" w:hAnsi="Times New Roman" w:cs="Times New Roman"/>
          <w:sz w:val="24"/>
          <w:szCs w:val="24"/>
        </w:rPr>
        <w:t> </w:t>
      </w:r>
      <w:r w:rsidRPr="00262A0F">
        <w:rPr>
          <w:rFonts w:ascii="Times New Roman" w:hAnsi="Times New Roman" w:cs="Times New Roman"/>
          <w:sz w:val="24"/>
          <w:szCs w:val="24"/>
        </w:rPr>
        <w:t>Przemyślu – 18 i powiecie leżajskim – 18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133A" w:rsidRPr="00AA133A" w:rsidRDefault="004260A0" w:rsidP="00AA133A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AA133A">
        <w:rPr>
          <w:noProof/>
          <w:lang w:eastAsia="pl-PL"/>
        </w:rPr>
        <w:drawing>
          <wp:anchor distT="0" distB="0" distL="114300" distR="114300" simplePos="0" relativeHeight="251750400" behindDoc="1" locked="0" layoutInCell="1" allowOverlap="1" wp14:anchorId="65447032" wp14:editId="0D911DBC">
            <wp:simplePos x="0" y="0"/>
            <wp:positionH relativeFrom="column">
              <wp:posOffset>45720</wp:posOffset>
            </wp:positionH>
            <wp:positionV relativeFrom="paragraph">
              <wp:posOffset>64770</wp:posOffset>
            </wp:positionV>
            <wp:extent cx="5756275" cy="403923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403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8C8" w:rsidRPr="0029506F" w:rsidRDefault="00F108C8">
      <w:pPr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</w:pPr>
    </w:p>
    <w:p w:rsidR="005248C6" w:rsidRDefault="005248C6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4260A0" w:rsidRDefault="004260A0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AA133A">
      <w:pPr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9579E7" w:rsidRPr="009579E7" w:rsidRDefault="009579E7" w:rsidP="009579E7">
      <w:pPr>
        <w:pStyle w:val="Default"/>
        <w:jc w:val="both"/>
        <w:rPr>
          <w:sz w:val="16"/>
          <w:szCs w:val="16"/>
        </w:rPr>
      </w:pPr>
      <w:r w:rsidRPr="009579E7">
        <w:rPr>
          <w:sz w:val="16"/>
          <w:szCs w:val="16"/>
        </w:rPr>
        <w:lastRenderedPageBreak/>
        <w:t>Tabela XXIII. WOLNE MIEJSCA PRACY I MIEJSCA AKTYWIZACJI ZAWODOWEJ</w:t>
      </w:r>
      <w:r w:rsidR="001A6BB6">
        <w:rPr>
          <w:sz w:val="16"/>
          <w:szCs w:val="16"/>
        </w:rPr>
        <w:t xml:space="preserve"> (c.d.)</w:t>
      </w:r>
    </w:p>
    <w:p w:rsidR="00AA133A" w:rsidRDefault="009579E7" w:rsidP="009579E7">
      <w:pPr>
        <w:pStyle w:val="Default"/>
        <w:jc w:val="both"/>
        <w:rPr>
          <w:sz w:val="16"/>
          <w:szCs w:val="16"/>
          <w:highlight w:val="yellow"/>
        </w:rPr>
      </w:pPr>
      <w:r w:rsidRPr="009579E7">
        <w:rPr>
          <w:sz w:val="16"/>
          <w:szCs w:val="16"/>
        </w:rPr>
        <w:t xml:space="preserve">                       ZGŁOSZONE PRZEZ PRACODAWCÓW DO PUP</w:t>
      </w: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A133A" w:rsidRDefault="009579E7" w:rsidP="005248C6">
      <w:pPr>
        <w:pStyle w:val="Default"/>
        <w:jc w:val="both"/>
        <w:rPr>
          <w:sz w:val="16"/>
          <w:szCs w:val="16"/>
          <w:highlight w:val="yellow"/>
        </w:rPr>
      </w:pPr>
      <w:r w:rsidRPr="009579E7">
        <w:rPr>
          <w:noProof/>
          <w:lang w:eastAsia="pl-PL"/>
        </w:rPr>
        <w:drawing>
          <wp:inline distT="0" distB="0" distL="0" distR="0" wp14:anchorId="132E7A89" wp14:editId="791F86F3">
            <wp:extent cx="5759450" cy="8007268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007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3A" w:rsidRDefault="00AA133A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9579E7" w:rsidRDefault="009579E7">
      <w:pPr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1A6BB6" w:rsidRPr="009579E7" w:rsidRDefault="001A6BB6" w:rsidP="001A6BB6">
      <w:pPr>
        <w:pStyle w:val="Default"/>
        <w:jc w:val="both"/>
        <w:rPr>
          <w:sz w:val="16"/>
          <w:szCs w:val="16"/>
        </w:rPr>
      </w:pPr>
      <w:r w:rsidRPr="009579E7">
        <w:rPr>
          <w:sz w:val="16"/>
          <w:szCs w:val="16"/>
        </w:rPr>
        <w:lastRenderedPageBreak/>
        <w:t>Tabela XXIII. WOLNE MIEJSCA PRACY I MIEJSCA AKTYWIZACJI ZAWODOWEJ</w:t>
      </w:r>
      <w:r>
        <w:rPr>
          <w:sz w:val="16"/>
          <w:szCs w:val="16"/>
        </w:rPr>
        <w:t xml:space="preserve"> (c.d.)</w:t>
      </w:r>
    </w:p>
    <w:p w:rsidR="001A6BB6" w:rsidRDefault="001A6BB6" w:rsidP="001A6BB6">
      <w:pPr>
        <w:pStyle w:val="Default"/>
        <w:jc w:val="both"/>
        <w:rPr>
          <w:sz w:val="16"/>
          <w:szCs w:val="16"/>
          <w:highlight w:val="yellow"/>
        </w:rPr>
      </w:pPr>
      <w:r w:rsidRPr="009579E7">
        <w:rPr>
          <w:sz w:val="16"/>
          <w:szCs w:val="16"/>
        </w:rPr>
        <w:t xml:space="preserve">                       ZGŁOSZONE PRZEZ PRACODAWCÓW DO PUP</w:t>
      </w:r>
    </w:p>
    <w:p w:rsidR="001A6BB6" w:rsidRDefault="001A6BB6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9579E7" w:rsidRDefault="001A6BB6" w:rsidP="005248C6">
      <w:pPr>
        <w:pStyle w:val="Default"/>
        <w:jc w:val="both"/>
        <w:rPr>
          <w:sz w:val="16"/>
          <w:szCs w:val="16"/>
          <w:highlight w:val="yellow"/>
        </w:rPr>
      </w:pPr>
      <w:r w:rsidRPr="001A6BB6">
        <w:rPr>
          <w:noProof/>
          <w:lang w:eastAsia="pl-PL"/>
        </w:rPr>
        <w:drawing>
          <wp:inline distT="0" distB="0" distL="0" distR="0" wp14:anchorId="4989066C" wp14:editId="28C83786">
            <wp:extent cx="5759450" cy="5948906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4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8C8" w:rsidRPr="0029506F" w:rsidRDefault="00F108C8" w:rsidP="005248C6">
      <w:pPr>
        <w:pStyle w:val="Default"/>
        <w:jc w:val="both"/>
        <w:rPr>
          <w:sz w:val="16"/>
          <w:szCs w:val="16"/>
          <w:highlight w:val="yellow"/>
        </w:rPr>
      </w:pPr>
    </w:p>
    <w:p w:rsidR="00AC4ECD" w:rsidRPr="00742AD6" w:rsidRDefault="003775BD" w:rsidP="00910BA8">
      <w:pPr>
        <w:pStyle w:val="Default"/>
        <w:jc w:val="both"/>
        <w:rPr>
          <w:color w:val="000000" w:themeColor="text1"/>
        </w:rPr>
      </w:pPr>
      <w:r w:rsidRPr="00742AD6">
        <w:rPr>
          <w:color w:val="000000" w:themeColor="text1"/>
        </w:rPr>
        <w:t>Wnioski:</w:t>
      </w:r>
    </w:p>
    <w:p w:rsidR="00AC4ECD" w:rsidRDefault="00AC4ECD" w:rsidP="00910BA8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F108C8">
        <w:rPr>
          <w:rFonts w:ascii="Times New Roman" w:hAnsi="Times New Roman" w:cs="Times New Roman"/>
          <w:color w:val="000000" w:themeColor="text1"/>
          <w:szCs w:val="24"/>
        </w:rPr>
        <w:t>(na podstawie danych</w:t>
      </w:r>
      <w:r w:rsidR="00AE5712" w:rsidRPr="00F108C8">
        <w:rPr>
          <w:rFonts w:ascii="Times New Roman" w:hAnsi="Times New Roman" w:cs="Times New Roman"/>
          <w:color w:val="000000" w:themeColor="text1"/>
          <w:szCs w:val="24"/>
        </w:rPr>
        <w:t xml:space="preserve"> z </w:t>
      </w:r>
      <w:r w:rsidR="0091673E" w:rsidRPr="00F108C8">
        <w:rPr>
          <w:rFonts w:ascii="Times New Roman" w:hAnsi="Times New Roman" w:cs="Times New Roman"/>
          <w:color w:val="000000" w:themeColor="text1"/>
          <w:szCs w:val="24"/>
        </w:rPr>
        <w:t>t</w:t>
      </w:r>
      <w:r w:rsidRPr="00F108C8">
        <w:rPr>
          <w:rFonts w:ascii="Times New Roman" w:hAnsi="Times New Roman" w:cs="Times New Roman"/>
          <w:color w:val="000000" w:themeColor="text1"/>
          <w:szCs w:val="24"/>
        </w:rPr>
        <w:t xml:space="preserve">abeli </w:t>
      </w:r>
      <w:r w:rsidR="00F108C8" w:rsidRPr="00F108C8">
        <w:rPr>
          <w:rFonts w:ascii="Times New Roman" w:hAnsi="Times New Roman" w:cs="Times New Roman"/>
          <w:color w:val="000000" w:themeColor="text1"/>
          <w:szCs w:val="24"/>
        </w:rPr>
        <w:t>XXIII</w:t>
      </w:r>
      <w:r w:rsidR="003775BD" w:rsidRPr="00F108C8">
        <w:rPr>
          <w:rFonts w:ascii="Times New Roman" w:hAnsi="Times New Roman" w:cs="Times New Roman"/>
          <w:color w:val="000000" w:themeColor="text1"/>
          <w:szCs w:val="24"/>
        </w:rPr>
        <w:t>)</w:t>
      </w:r>
    </w:p>
    <w:p w:rsidR="00910BA8" w:rsidRPr="00F108C8" w:rsidRDefault="00910BA8" w:rsidP="00910BA8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p w:rsidR="00AC4ECD" w:rsidRPr="004702CC" w:rsidRDefault="00AC4ECD" w:rsidP="004702C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2CC">
        <w:rPr>
          <w:rFonts w:ascii="Times New Roman" w:hAnsi="Times New Roman" w:cs="Times New Roman"/>
          <w:sz w:val="24"/>
          <w:szCs w:val="24"/>
        </w:rPr>
        <w:t>Wolne miejsca pracy</w:t>
      </w:r>
      <w:r w:rsidR="00AE5712" w:rsidRPr="004702CC">
        <w:rPr>
          <w:rFonts w:ascii="Times New Roman" w:hAnsi="Times New Roman" w:cs="Times New Roman"/>
          <w:sz w:val="24"/>
          <w:szCs w:val="24"/>
        </w:rPr>
        <w:t xml:space="preserve"> i</w:t>
      </w:r>
      <w:r w:rsidR="00F108C8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Pr="004702CC">
        <w:rPr>
          <w:rFonts w:ascii="Times New Roman" w:hAnsi="Times New Roman" w:cs="Times New Roman"/>
          <w:sz w:val="24"/>
          <w:szCs w:val="24"/>
        </w:rPr>
        <w:t>miejsca aktywizacji zawodowej adresowane były najczęściej do osób bezrobotnych</w:t>
      </w:r>
      <w:r w:rsidR="004260A0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4702CC">
        <w:rPr>
          <w:rFonts w:ascii="Times New Roman" w:hAnsi="Times New Roman" w:cs="Times New Roman"/>
          <w:sz w:val="24"/>
          <w:szCs w:val="24"/>
        </w:rPr>
        <w:t>z</w:t>
      </w:r>
      <w:r w:rsidR="004260A0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Pr="004702CC">
        <w:rPr>
          <w:rFonts w:ascii="Times New Roman" w:hAnsi="Times New Roman" w:cs="Times New Roman"/>
          <w:sz w:val="24"/>
          <w:szCs w:val="24"/>
        </w:rPr>
        <w:t>następujących</w:t>
      </w:r>
      <w:r w:rsidR="004260A0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Pr="004702CC">
        <w:rPr>
          <w:rFonts w:ascii="Times New Roman" w:hAnsi="Times New Roman" w:cs="Times New Roman"/>
          <w:sz w:val="24"/>
          <w:szCs w:val="24"/>
        </w:rPr>
        <w:t>grup</w:t>
      </w:r>
      <w:r w:rsidR="004260A0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Pr="004702CC">
        <w:rPr>
          <w:rFonts w:ascii="Times New Roman" w:hAnsi="Times New Roman" w:cs="Times New Roman"/>
          <w:sz w:val="24"/>
          <w:szCs w:val="24"/>
        </w:rPr>
        <w:t>zawodów:</w:t>
      </w:r>
      <w:r w:rsidR="004260A0" w:rsidRPr="004702CC">
        <w:rPr>
          <w:rFonts w:ascii="Times New Roman" w:hAnsi="Times New Roman" w:cs="Times New Roman"/>
          <w:sz w:val="24"/>
          <w:szCs w:val="24"/>
        </w:rPr>
        <w:t xml:space="preserve"> robotnicy przemysłowi i rzemieślnicy – 9 612 (23,9% ogółu zgłoszonych do PUP ofert pracy w zawodach) </w:t>
      </w:r>
      <w:r w:rsidRPr="004702CC">
        <w:rPr>
          <w:rFonts w:ascii="Times New Roman" w:hAnsi="Times New Roman" w:cs="Times New Roman"/>
          <w:sz w:val="24"/>
          <w:szCs w:val="24"/>
        </w:rPr>
        <w:t>pracownicy usług osobistych</w:t>
      </w:r>
      <w:r w:rsidR="00AE5712" w:rsidRPr="004702CC">
        <w:rPr>
          <w:rFonts w:ascii="Times New Roman" w:hAnsi="Times New Roman" w:cs="Times New Roman"/>
          <w:sz w:val="24"/>
          <w:szCs w:val="24"/>
        </w:rPr>
        <w:t xml:space="preserve"> i </w:t>
      </w:r>
      <w:r w:rsidRPr="004702CC">
        <w:rPr>
          <w:rFonts w:ascii="Times New Roman" w:hAnsi="Times New Roman" w:cs="Times New Roman"/>
          <w:sz w:val="24"/>
          <w:szCs w:val="24"/>
        </w:rPr>
        <w:t xml:space="preserve">sprzedawcy – </w:t>
      </w:r>
      <w:r w:rsidR="00687F52" w:rsidRPr="004702CC">
        <w:rPr>
          <w:rFonts w:ascii="Times New Roman" w:hAnsi="Times New Roman" w:cs="Times New Roman"/>
          <w:sz w:val="24"/>
          <w:szCs w:val="24"/>
        </w:rPr>
        <w:t>9</w:t>
      </w:r>
      <w:r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="004260A0" w:rsidRPr="004702CC">
        <w:rPr>
          <w:rFonts w:ascii="Times New Roman" w:hAnsi="Times New Roman" w:cs="Times New Roman"/>
          <w:sz w:val="24"/>
          <w:szCs w:val="24"/>
        </w:rPr>
        <w:t>233</w:t>
      </w:r>
      <w:r w:rsidRPr="004702CC">
        <w:rPr>
          <w:rFonts w:ascii="Times New Roman" w:hAnsi="Times New Roman" w:cs="Times New Roman"/>
          <w:sz w:val="24"/>
          <w:szCs w:val="24"/>
        </w:rPr>
        <w:t xml:space="preserve"> (2</w:t>
      </w:r>
      <w:r w:rsidR="004260A0" w:rsidRPr="004702CC">
        <w:rPr>
          <w:rFonts w:ascii="Times New Roman" w:hAnsi="Times New Roman" w:cs="Times New Roman"/>
          <w:sz w:val="24"/>
          <w:szCs w:val="24"/>
        </w:rPr>
        <w:t>3</w:t>
      </w:r>
      <w:r w:rsidRPr="004702CC">
        <w:rPr>
          <w:rFonts w:ascii="Times New Roman" w:hAnsi="Times New Roman" w:cs="Times New Roman"/>
          <w:sz w:val="24"/>
          <w:szCs w:val="24"/>
        </w:rPr>
        <w:t>,</w:t>
      </w:r>
      <w:r w:rsidR="004260A0" w:rsidRPr="004702CC">
        <w:rPr>
          <w:rFonts w:ascii="Times New Roman" w:hAnsi="Times New Roman" w:cs="Times New Roman"/>
          <w:sz w:val="24"/>
          <w:szCs w:val="24"/>
        </w:rPr>
        <w:t>0</w:t>
      </w:r>
      <w:r w:rsidRPr="004702CC">
        <w:rPr>
          <w:rFonts w:ascii="Times New Roman" w:hAnsi="Times New Roman" w:cs="Times New Roman"/>
          <w:sz w:val="24"/>
          <w:szCs w:val="24"/>
        </w:rPr>
        <w:t>%),</w:t>
      </w:r>
      <w:r w:rsidR="004260A0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="004702CC" w:rsidRPr="004702CC">
        <w:rPr>
          <w:rFonts w:ascii="Times New Roman" w:hAnsi="Times New Roman" w:cs="Times New Roman"/>
          <w:sz w:val="24"/>
          <w:szCs w:val="24"/>
        </w:rPr>
        <w:t xml:space="preserve">pracownicy wykonujący prace proste </w:t>
      </w:r>
      <w:r w:rsidRPr="004702CC">
        <w:rPr>
          <w:rFonts w:ascii="Times New Roman" w:hAnsi="Times New Roman" w:cs="Times New Roman"/>
          <w:sz w:val="24"/>
          <w:szCs w:val="24"/>
        </w:rPr>
        <w:t>–</w:t>
      </w:r>
      <w:r w:rsidR="004702CC" w:rsidRPr="004702CC">
        <w:rPr>
          <w:rFonts w:ascii="Times New Roman" w:hAnsi="Times New Roman" w:cs="Times New Roman"/>
          <w:sz w:val="24"/>
          <w:szCs w:val="24"/>
        </w:rPr>
        <w:t xml:space="preserve"> 5</w:t>
      </w:r>
      <w:r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="004702CC" w:rsidRPr="004702CC">
        <w:rPr>
          <w:rFonts w:ascii="Times New Roman" w:hAnsi="Times New Roman" w:cs="Times New Roman"/>
          <w:sz w:val="24"/>
          <w:szCs w:val="24"/>
        </w:rPr>
        <w:t>408</w:t>
      </w:r>
      <w:r w:rsidRPr="004702CC">
        <w:rPr>
          <w:rFonts w:ascii="Times New Roman" w:hAnsi="Times New Roman" w:cs="Times New Roman"/>
          <w:sz w:val="24"/>
          <w:szCs w:val="24"/>
        </w:rPr>
        <w:t xml:space="preserve"> (1</w:t>
      </w:r>
      <w:r w:rsidR="004702CC" w:rsidRPr="004702CC">
        <w:rPr>
          <w:rFonts w:ascii="Times New Roman" w:hAnsi="Times New Roman" w:cs="Times New Roman"/>
          <w:sz w:val="24"/>
          <w:szCs w:val="24"/>
        </w:rPr>
        <w:t>3</w:t>
      </w:r>
      <w:r w:rsidRPr="004702CC">
        <w:rPr>
          <w:rFonts w:ascii="Times New Roman" w:hAnsi="Times New Roman" w:cs="Times New Roman"/>
          <w:sz w:val="24"/>
          <w:szCs w:val="24"/>
        </w:rPr>
        <w:t>,</w:t>
      </w:r>
      <w:r w:rsidR="004702CC" w:rsidRPr="004702CC">
        <w:rPr>
          <w:rFonts w:ascii="Times New Roman" w:hAnsi="Times New Roman" w:cs="Times New Roman"/>
          <w:sz w:val="24"/>
          <w:szCs w:val="24"/>
        </w:rPr>
        <w:t>4</w:t>
      </w:r>
      <w:r w:rsidRPr="004702CC">
        <w:rPr>
          <w:rFonts w:ascii="Times New Roman" w:hAnsi="Times New Roman" w:cs="Times New Roman"/>
          <w:sz w:val="24"/>
          <w:szCs w:val="24"/>
        </w:rPr>
        <w:t xml:space="preserve">%), </w:t>
      </w:r>
      <w:r w:rsidR="004702CC" w:rsidRPr="004702CC">
        <w:rPr>
          <w:rFonts w:ascii="Times New Roman" w:hAnsi="Times New Roman" w:cs="Times New Roman"/>
          <w:sz w:val="24"/>
          <w:szCs w:val="24"/>
        </w:rPr>
        <w:t xml:space="preserve">operatorzy i monterzy maszyn i urządzeń – 4 634 (11,5%), pracownicy biurowi </w:t>
      </w:r>
      <w:r w:rsidRPr="004702CC">
        <w:rPr>
          <w:rFonts w:ascii="Times New Roman" w:hAnsi="Times New Roman" w:cs="Times New Roman"/>
          <w:sz w:val="24"/>
          <w:szCs w:val="24"/>
        </w:rPr>
        <w:t xml:space="preserve">– </w:t>
      </w:r>
      <w:r w:rsidR="00584629" w:rsidRPr="004702CC">
        <w:rPr>
          <w:rFonts w:ascii="Times New Roman" w:hAnsi="Times New Roman" w:cs="Times New Roman"/>
          <w:sz w:val="24"/>
          <w:szCs w:val="24"/>
        </w:rPr>
        <w:t>4</w:t>
      </w:r>
      <w:r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="00584629" w:rsidRPr="004702CC">
        <w:rPr>
          <w:rFonts w:ascii="Times New Roman" w:hAnsi="Times New Roman" w:cs="Times New Roman"/>
          <w:sz w:val="24"/>
          <w:szCs w:val="24"/>
        </w:rPr>
        <w:t>4</w:t>
      </w:r>
      <w:r w:rsidR="004702CC" w:rsidRPr="004702CC">
        <w:rPr>
          <w:rFonts w:ascii="Times New Roman" w:hAnsi="Times New Roman" w:cs="Times New Roman"/>
          <w:sz w:val="24"/>
          <w:szCs w:val="24"/>
        </w:rPr>
        <w:t>58</w:t>
      </w:r>
      <w:r w:rsidRPr="004702CC">
        <w:rPr>
          <w:rFonts w:ascii="Times New Roman" w:hAnsi="Times New Roman" w:cs="Times New Roman"/>
          <w:sz w:val="24"/>
          <w:szCs w:val="24"/>
        </w:rPr>
        <w:t xml:space="preserve"> (11,</w:t>
      </w:r>
      <w:r w:rsidR="004702CC" w:rsidRPr="004702CC">
        <w:rPr>
          <w:rFonts w:ascii="Times New Roman" w:hAnsi="Times New Roman" w:cs="Times New Roman"/>
          <w:sz w:val="24"/>
          <w:szCs w:val="24"/>
        </w:rPr>
        <w:t>1</w:t>
      </w:r>
      <w:r w:rsidRPr="004702CC">
        <w:rPr>
          <w:rFonts w:ascii="Times New Roman" w:hAnsi="Times New Roman" w:cs="Times New Roman"/>
          <w:sz w:val="24"/>
          <w:szCs w:val="24"/>
        </w:rPr>
        <w:t>%)</w:t>
      </w:r>
      <w:r w:rsidR="004702CC">
        <w:rPr>
          <w:rFonts w:ascii="Times New Roman" w:hAnsi="Times New Roman" w:cs="Times New Roman"/>
          <w:sz w:val="24"/>
          <w:szCs w:val="24"/>
        </w:rPr>
        <w:t xml:space="preserve"> oraz</w:t>
      </w:r>
      <w:r w:rsidR="004702CC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Pr="004702CC">
        <w:rPr>
          <w:rFonts w:ascii="Times New Roman" w:hAnsi="Times New Roman" w:cs="Times New Roman"/>
          <w:sz w:val="24"/>
          <w:szCs w:val="24"/>
        </w:rPr>
        <w:t>technicy</w:t>
      </w:r>
      <w:r w:rsidR="00AE5712" w:rsidRPr="004702CC">
        <w:rPr>
          <w:rFonts w:ascii="Times New Roman" w:hAnsi="Times New Roman" w:cs="Times New Roman"/>
          <w:sz w:val="24"/>
          <w:szCs w:val="24"/>
        </w:rPr>
        <w:t xml:space="preserve"> i </w:t>
      </w:r>
      <w:r w:rsidRPr="004702CC">
        <w:rPr>
          <w:rFonts w:ascii="Times New Roman" w:hAnsi="Times New Roman" w:cs="Times New Roman"/>
          <w:sz w:val="24"/>
          <w:szCs w:val="24"/>
        </w:rPr>
        <w:t>inny ś</w:t>
      </w:r>
      <w:r w:rsidR="00FA0C9C" w:rsidRPr="004702CC">
        <w:rPr>
          <w:rFonts w:ascii="Times New Roman" w:hAnsi="Times New Roman" w:cs="Times New Roman"/>
          <w:sz w:val="24"/>
          <w:szCs w:val="24"/>
        </w:rPr>
        <w:t xml:space="preserve">redni personel – </w:t>
      </w:r>
      <w:r w:rsidR="00584629" w:rsidRPr="004702CC">
        <w:rPr>
          <w:rFonts w:ascii="Times New Roman" w:hAnsi="Times New Roman" w:cs="Times New Roman"/>
          <w:sz w:val="24"/>
          <w:szCs w:val="24"/>
        </w:rPr>
        <w:t>3</w:t>
      </w:r>
      <w:r w:rsidR="00FA0C9C" w:rsidRPr="004702CC">
        <w:rPr>
          <w:rFonts w:ascii="Times New Roman" w:hAnsi="Times New Roman" w:cs="Times New Roman"/>
          <w:sz w:val="24"/>
          <w:szCs w:val="24"/>
        </w:rPr>
        <w:t xml:space="preserve"> </w:t>
      </w:r>
      <w:r w:rsidR="004702CC" w:rsidRPr="004702CC">
        <w:rPr>
          <w:rFonts w:ascii="Times New Roman" w:hAnsi="Times New Roman" w:cs="Times New Roman"/>
          <w:sz w:val="24"/>
          <w:szCs w:val="24"/>
        </w:rPr>
        <w:t>6</w:t>
      </w:r>
      <w:r w:rsidR="00584629" w:rsidRPr="004702CC">
        <w:rPr>
          <w:rFonts w:ascii="Times New Roman" w:hAnsi="Times New Roman" w:cs="Times New Roman"/>
          <w:sz w:val="24"/>
          <w:szCs w:val="24"/>
        </w:rPr>
        <w:t>7</w:t>
      </w:r>
      <w:r w:rsidR="004702CC" w:rsidRPr="004702CC">
        <w:rPr>
          <w:rFonts w:ascii="Times New Roman" w:hAnsi="Times New Roman" w:cs="Times New Roman"/>
          <w:sz w:val="24"/>
          <w:szCs w:val="24"/>
        </w:rPr>
        <w:t>4</w:t>
      </w:r>
      <w:r w:rsidR="00FA0C9C" w:rsidRPr="004702CC">
        <w:rPr>
          <w:rFonts w:ascii="Times New Roman" w:hAnsi="Times New Roman" w:cs="Times New Roman"/>
          <w:sz w:val="24"/>
          <w:szCs w:val="24"/>
        </w:rPr>
        <w:t xml:space="preserve"> (</w:t>
      </w:r>
      <w:r w:rsidR="004702CC" w:rsidRPr="004702CC">
        <w:rPr>
          <w:rFonts w:ascii="Times New Roman" w:hAnsi="Times New Roman" w:cs="Times New Roman"/>
          <w:sz w:val="24"/>
          <w:szCs w:val="24"/>
        </w:rPr>
        <w:t>9</w:t>
      </w:r>
      <w:r w:rsidR="00FA0C9C" w:rsidRPr="004702CC">
        <w:rPr>
          <w:rFonts w:ascii="Times New Roman" w:hAnsi="Times New Roman" w:cs="Times New Roman"/>
          <w:sz w:val="24"/>
          <w:szCs w:val="24"/>
        </w:rPr>
        <w:t>,</w:t>
      </w:r>
      <w:r w:rsidR="004702CC" w:rsidRPr="004702CC">
        <w:rPr>
          <w:rFonts w:ascii="Times New Roman" w:hAnsi="Times New Roman" w:cs="Times New Roman"/>
          <w:sz w:val="24"/>
          <w:szCs w:val="24"/>
        </w:rPr>
        <w:t>1</w:t>
      </w:r>
      <w:r w:rsidR="00FA0C9C" w:rsidRPr="004702CC">
        <w:rPr>
          <w:rFonts w:ascii="Times New Roman" w:hAnsi="Times New Roman" w:cs="Times New Roman"/>
          <w:sz w:val="24"/>
          <w:szCs w:val="24"/>
        </w:rPr>
        <w:t>%).</w:t>
      </w:r>
    </w:p>
    <w:p w:rsidR="00AA68D0" w:rsidRPr="004702CC" w:rsidRDefault="00AA68D0" w:rsidP="001D424C">
      <w:pPr>
        <w:pStyle w:val="Default"/>
        <w:jc w:val="both"/>
        <w:rPr>
          <w:bCs/>
          <w:sz w:val="18"/>
          <w:szCs w:val="18"/>
        </w:rPr>
      </w:pPr>
    </w:p>
    <w:p w:rsidR="004F28A7" w:rsidRPr="004F28A7" w:rsidRDefault="002648C9" w:rsidP="004F28A7">
      <w:pPr>
        <w:pStyle w:val="Nagwek3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4" w:name="_Toc489263954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Wydatki</w:t>
      </w:r>
      <w:r w:rsidR="00AE5712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 </w:t>
      </w:r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Funduszu </w:t>
      </w:r>
      <w:r w:rsidR="004F28A7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Pracy na aktywne formy promocji</w:t>
      </w:r>
      <w:bookmarkEnd w:id="14"/>
    </w:p>
    <w:p w:rsidR="002648C9" w:rsidRPr="004F28A7" w:rsidRDefault="002648C9" w:rsidP="004F28A7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5" w:name="_Toc489263955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zatrudnienia</w:t>
      </w:r>
      <w:bookmarkEnd w:id="15"/>
    </w:p>
    <w:p w:rsidR="004F28A7" w:rsidRDefault="004F28A7" w:rsidP="004F28A7">
      <w:pPr>
        <w:pStyle w:val="Default"/>
        <w:jc w:val="both"/>
        <w:rPr>
          <w:bCs/>
          <w:sz w:val="18"/>
          <w:szCs w:val="18"/>
          <w:highlight w:val="yellow"/>
        </w:rPr>
      </w:pPr>
    </w:p>
    <w:p w:rsidR="003D7F47" w:rsidRDefault="004472DC" w:rsidP="004F28A7">
      <w:pPr>
        <w:pStyle w:val="Default"/>
        <w:jc w:val="both"/>
        <w:rPr>
          <w:bCs/>
          <w:sz w:val="18"/>
          <w:szCs w:val="18"/>
          <w:highlight w:val="yellow"/>
        </w:rPr>
      </w:pPr>
      <w:r w:rsidRPr="004472DC">
        <w:rPr>
          <w:noProof/>
          <w:lang w:eastAsia="pl-PL"/>
        </w:rPr>
        <w:drawing>
          <wp:inline distT="0" distB="0" distL="0" distR="0" wp14:anchorId="2406E4CD" wp14:editId="37844D23">
            <wp:extent cx="6281531" cy="3927944"/>
            <wp:effectExtent l="0" t="0" r="508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483" cy="392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F47" w:rsidRDefault="003D7F47" w:rsidP="004F28A7">
      <w:pPr>
        <w:pStyle w:val="Default"/>
        <w:jc w:val="both"/>
        <w:rPr>
          <w:bCs/>
          <w:sz w:val="18"/>
          <w:szCs w:val="18"/>
          <w:highlight w:val="yellow"/>
        </w:rPr>
      </w:pPr>
    </w:p>
    <w:p w:rsidR="005248C6" w:rsidRPr="0029506F" w:rsidRDefault="00F108C8" w:rsidP="00115840">
      <w:pPr>
        <w:pStyle w:val="Bezodstpw"/>
        <w:ind w:left="1410" w:hanging="1410"/>
        <w:jc w:val="both"/>
        <w:rPr>
          <w:rFonts w:ascii="Times New Roman" w:hAnsi="Times New Roman" w:cs="Times New Roman"/>
          <w:highlight w:val="yellow"/>
        </w:rPr>
      </w:pPr>
      <w:r w:rsidRPr="00F108C8">
        <w:rPr>
          <w:noProof/>
          <w:lang w:eastAsia="pl-PL"/>
        </w:rPr>
        <w:drawing>
          <wp:inline distT="0" distB="0" distL="0" distR="0" wp14:anchorId="69900830" wp14:editId="5596F66C">
            <wp:extent cx="6217920" cy="4158533"/>
            <wp:effectExtent l="0" t="0" r="0" b="0"/>
            <wp:docPr id="56" name="Obraz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698" cy="4162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1FF" w:rsidRPr="00742AD6" w:rsidRDefault="009F31FF" w:rsidP="009F31FF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754496" behindDoc="1" locked="0" layoutInCell="1" allowOverlap="1" wp14:anchorId="1B787709" wp14:editId="777B5A06">
            <wp:simplePos x="0" y="0"/>
            <wp:positionH relativeFrom="column">
              <wp:posOffset>125095</wp:posOffset>
            </wp:positionH>
            <wp:positionV relativeFrom="paragraph">
              <wp:posOffset>140970</wp:posOffset>
            </wp:positionV>
            <wp:extent cx="5669280" cy="2615565"/>
            <wp:effectExtent l="0" t="0" r="0" b="0"/>
            <wp:wrapTight wrapText="bothSides">
              <wp:wrapPolygon edited="0">
                <wp:start x="9508" y="315"/>
                <wp:lineTo x="4718" y="629"/>
                <wp:lineTo x="4718" y="3146"/>
                <wp:lineTo x="2395" y="3146"/>
                <wp:lineTo x="2395" y="5664"/>
                <wp:lineTo x="1379" y="5664"/>
                <wp:lineTo x="1379" y="8181"/>
                <wp:lineTo x="1016" y="8181"/>
                <wp:lineTo x="1016" y="13215"/>
                <wp:lineTo x="1306" y="13215"/>
                <wp:lineTo x="1306" y="15732"/>
                <wp:lineTo x="2250" y="15732"/>
                <wp:lineTo x="2250" y="18249"/>
                <wp:lineTo x="4137" y="18249"/>
                <wp:lineTo x="4137" y="20609"/>
                <wp:lineTo x="9363" y="20924"/>
                <wp:lineTo x="10306" y="20924"/>
                <wp:lineTo x="11250" y="20609"/>
                <wp:lineTo x="16839" y="18564"/>
                <wp:lineTo x="16911" y="18249"/>
                <wp:lineTo x="19089" y="15732"/>
                <wp:lineTo x="19161" y="15732"/>
                <wp:lineTo x="20323" y="13215"/>
                <wp:lineTo x="20685" y="10698"/>
                <wp:lineTo x="20395" y="8338"/>
                <wp:lineTo x="20395" y="8181"/>
                <wp:lineTo x="19597" y="5821"/>
                <wp:lineTo x="19524" y="5664"/>
                <wp:lineTo x="17782" y="3304"/>
                <wp:lineTo x="17782" y="2989"/>
                <wp:lineTo x="14661" y="1416"/>
                <wp:lineTo x="12847" y="315"/>
                <wp:lineTo x="9508" y="315"/>
              </wp:wrapPolygon>
            </wp:wrapTight>
            <wp:docPr id="5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color w:val="000000" w:themeColor="text1"/>
          <w:szCs w:val="24"/>
        </w:rPr>
        <w:t>W2. Wydatki z funduszu pracy w I półroczu 2017 r.</w:t>
      </w:r>
    </w:p>
    <w:p w:rsidR="009F31FF" w:rsidRPr="009F31FF" w:rsidRDefault="009F31FF" w:rsidP="009F31FF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FE21E0" w:rsidRDefault="00FE21E0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D7F47" w:rsidRDefault="003D7F47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Pr="00742AD6" w:rsidRDefault="009F31FF" w:rsidP="009F31FF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Cs w:val="24"/>
        </w:rPr>
        <w:t>W3. Wydatki na aktywne formy promocji zatrudnienia w I półroczu 2017 r.</w:t>
      </w:r>
    </w:p>
    <w:p w:rsidR="009F31FF" w:rsidRDefault="00475E78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753472" behindDoc="1" locked="0" layoutInCell="1" allowOverlap="1" wp14:anchorId="187984CA" wp14:editId="08E80776">
            <wp:simplePos x="0" y="0"/>
            <wp:positionH relativeFrom="column">
              <wp:posOffset>347345</wp:posOffset>
            </wp:positionH>
            <wp:positionV relativeFrom="paragraph">
              <wp:posOffset>95885</wp:posOffset>
            </wp:positionV>
            <wp:extent cx="5803900" cy="3005455"/>
            <wp:effectExtent l="0" t="0" r="0" b="0"/>
            <wp:wrapTight wrapText="bothSides">
              <wp:wrapPolygon edited="0">
                <wp:start x="8720" y="1506"/>
                <wp:lineTo x="7302" y="2054"/>
                <wp:lineTo x="4325" y="3423"/>
                <wp:lineTo x="4325" y="3970"/>
                <wp:lineTo x="3474" y="4655"/>
                <wp:lineTo x="2411" y="5887"/>
                <wp:lineTo x="1489" y="8215"/>
                <wp:lineTo x="1205" y="10268"/>
                <wp:lineTo x="1205" y="11090"/>
                <wp:lineTo x="1489" y="12733"/>
                <wp:lineTo x="2411" y="14923"/>
                <wp:lineTo x="6806" y="19441"/>
                <wp:lineTo x="7940" y="20126"/>
                <wp:lineTo x="8082" y="20400"/>
                <wp:lineTo x="8437" y="20400"/>
                <wp:lineTo x="9004" y="19989"/>
                <wp:lineTo x="8791" y="19441"/>
                <wp:lineTo x="11273" y="19304"/>
                <wp:lineTo x="16519" y="18072"/>
                <wp:lineTo x="16590" y="17114"/>
                <wp:lineTo x="18575" y="15060"/>
                <wp:lineTo x="19639" y="12733"/>
                <wp:lineTo x="19851" y="10679"/>
                <wp:lineTo x="19639" y="8352"/>
                <wp:lineTo x="21411" y="6846"/>
                <wp:lineTo x="21340" y="6435"/>
                <wp:lineTo x="18788" y="6161"/>
                <wp:lineTo x="20986" y="4518"/>
                <wp:lineTo x="20844" y="3970"/>
                <wp:lineTo x="16944" y="3970"/>
                <wp:lineTo x="17653" y="2327"/>
                <wp:lineTo x="17015" y="2054"/>
                <wp:lineTo x="12407" y="1506"/>
                <wp:lineTo x="8720" y="1506"/>
              </wp:wrapPolygon>
            </wp:wrapTight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9F31FF" w:rsidRDefault="009F31FF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D7F47" w:rsidRDefault="003D7F47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D7F47" w:rsidRDefault="003D7F47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3D7F47" w:rsidRDefault="003D7F47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472DC" w:rsidRDefault="004472DC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472DC" w:rsidRDefault="004472DC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472DC" w:rsidRDefault="004472DC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472DC" w:rsidRPr="00742AD6" w:rsidRDefault="004472DC" w:rsidP="004472DC">
      <w:pPr>
        <w:pStyle w:val="Default"/>
        <w:spacing w:line="360" w:lineRule="auto"/>
        <w:jc w:val="both"/>
      </w:pPr>
      <w:r w:rsidRPr="00742AD6">
        <w:t>Wnioski:</w:t>
      </w:r>
    </w:p>
    <w:p w:rsidR="004472DC" w:rsidRDefault="004472DC" w:rsidP="004472DC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F108C8">
        <w:rPr>
          <w:rFonts w:ascii="Times New Roman" w:hAnsi="Times New Roman" w:cs="Times New Roman"/>
          <w:szCs w:val="24"/>
        </w:rPr>
        <w:t>(na podstawie danych z tabel XXIV</w:t>
      </w:r>
      <w:r>
        <w:rPr>
          <w:rFonts w:ascii="Times New Roman" w:hAnsi="Times New Roman" w:cs="Times New Roman"/>
          <w:szCs w:val="24"/>
        </w:rPr>
        <w:t xml:space="preserve">, </w:t>
      </w:r>
      <w:r w:rsidRPr="00F108C8">
        <w:rPr>
          <w:rFonts w:ascii="Times New Roman" w:hAnsi="Times New Roman" w:cs="Times New Roman"/>
          <w:szCs w:val="24"/>
        </w:rPr>
        <w:t>XXV</w:t>
      </w:r>
      <w:r>
        <w:rPr>
          <w:rFonts w:ascii="Times New Roman" w:hAnsi="Times New Roman" w:cs="Times New Roman"/>
          <w:szCs w:val="24"/>
        </w:rPr>
        <w:t>,W2 i W3</w:t>
      </w:r>
      <w:r w:rsidRPr="00F108C8">
        <w:rPr>
          <w:rFonts w:ascii="Times New Roman" w:hAnsi="Times New Roman" w:cs="Times New Roman"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 </w:t>
      </w:r>
    </w:p>
    <w:p w:rsidR="00FE21E0" w:rsidRPr="00FE21E0" w:rsidRDefault="00FE21E0" w:rsidP="00FE21E0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2648C9" w:rsidRPr="00057788" w:rsidRDefault="002648C9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07">
        <w:rPr>
          <w:rFonts w:ascii="Times New Roman" w:hAnsi="Times New Roman" w:cs="Times New Roman"/>
          <w:sz w:val="24"/>
          <w:szCs w:val="24"/>
        </w:rPr>
        <w:t>Na działania</w:t>
      </w:r>
      <w:r w:rsidR="00AE5712" w:rsidRPr="005E5907">
        <w:rPr>
          <w:rFonts w:ascii="Times New Roman" w:hAnsi="Times New Roman" w:cs="Times New Roman"/>
          <w:sz w:val="24"/>
          <w:szCs w:val="24"/>
        </w:rPr>
        <w:t xml:space="preserve"> w </w:t>
      </w:r>
      <w:r w:rsidR="008260E7" w:rsidRPr="005E5907">
        <w:rPr>
          <w:rFonts w:ascii="Times New Roman" w:hAnsi="Times New Roman" w:cs="Times New Roman"/>
          <w:sz w:val="24"/>
          <w:szCs w:val="24"/>
        </w:rPr>
        <w:t xml:space="preserve">zakresie realizacji aktywnych form promocji zatrudnienia </w:t>
      </w:r>
      <w:r w:rsidRPr="005E5907">
        <w:rPr>
          <w:rFonts w:ascii="Times New Roman" w:hAnsi="Times New Roman" w:cs="Times New Roman"/>
          <w:sz w:val="24"/>
          <w:szCs w:val="24"/>
        </w:rPr>
        <w:t>wydatkowano</w:t>
      </w:r>
      <w:r w:rsidR="00AE5712" w:rsidRPr="005E5907">
        <w:rPr>
          <w:rFonts w:ascii="Times New Roman" w:hAnsi="Times New Roman" w:cs="Times New Roman"/>
          <w:sz w:val="24"/>
          <w:szCs w:val="24"/>
        </w:rPr>
        <w:t xml:space="preserve"> z </w:t>
      </w:r>
      <w:r w:rsidRPr="005E5907">
        <w:rPr>
          <w:rFonts w:ascii="Times New Roman" w:hAnsi="Times New Roman" w:cs="Times New Roman"/>
          <w:sz w:val="24"/>
          <w:szCs w:val="24"/>
        </w:rPr>
        <w:t xml:space="preserve">Funduszu Pracy </w:t>
      </w:r>
      <w:r w:rsidRPr="002439C2">
        <w:rPr>
          <w:rFonts w:ascii="Times New Roman" w:hAnsi="Times New Roman" w:cs="Times New Roman"/>
          <w:sz w:val="24"/>
          <w:szCs w:val="24"/>
        </w:rPr>
        <w:t>łącznie 2</w:t>
      </w:r>
      <w:r w:rsidR="00DA21DA" w:rsidRPr="002439C2">
        <w:rPr>
          <w:rFonts w:ascii="Times New Roman" w:hAnsi="Times New Roman" w:cs="Times New Roman"/>
          <w:sz w:val="24"/>
          <w:szCs w:val="24"/>
        </w:rPr>
        <w:t>3</w:t>
      </w:r>
      <w:r w:rsidR="002439C2" w:rsidRPr="002439C2">
        <w:rPr>
          <w:rFonts w:ascii="Times New Roman" w:hAnsi="Times New Roman" w:cs="Times New Roman"/>
          <w:sz w:val="24"/>
          <w:szCs w:val="24"/>
        </w:rPr>
        <w:t>6</w:t>
      </w:r>
      <w:r w:rsidRPr="002439C2">
        <w:rPr>
          <w:rFonts w:ascii="Times New Roman" w:hAnsi="Times New Roman" w:cs="Times New Roman"/>
          <w:sz w:val="24"/>
          <w:szCs w:val="24"/>
        </w:rPr>
        <w:t>,</w:t>
      </w:r>
      <w:r w:rsidR="002439C2" w:rsidRPr="002439C2">
        <w:rPr>
          <w:rFonts w:ascii="Times New Roman" w:hAnsi="Times New Roman" w:cs="Times New Roman"/>
          <w:sz w:val="24"/>
          <w:szCs w:val="24"/>
        </w:rPr>
        <w:t>89</w:t>
      </w:r>
      <w:r w:rsidR="008260E7" w:rsidRPr="002439C2">
        <w:rPr>
          <w:rFonts w:ascii="Times New Roman" w:hAnsi="Times New Roman" w:cs="Times New Roman"/>
          <w:sz w:val="24"/>
          <w:szCs w:val="24"/>
        </w:rPr>
        <w:t xml:space="preserve"> mln</w:t>
      </w:r>
      <w:r w:rsidR="008260E7" w:rsidRPr="00057788">
        <w:rPr>
          <w:rFonts w:ascii="Times New Roman" w:hAnsi="Times New Roman" w:cs="Times New Roman"/>
          <w:sz w:val="24"/>
          <w:szCs w:val="24"/>
        </w:rPr>
        <w:t xml:space="preserve"> zł</w:t>
      </w:r>
      <w:r w:rsidRPr="00057788">
        <w:rPr>
          <w:rFonts w:ascii="Times New Roman" w:hAnsi="Times New Roman" w:cs="Times New Roman"/>
          <w:sz w:val="24"/>
          <w:szCs w:val="24"/>
        </w:rPr>
        <w:t xml:space="preserve"> (w </w:t>
      </w:r>
      <w:r w:rsidR="00DA21DA" w:rsidRPr="00057788">
        <w:rPr>
          <w:rFonts w:ascii="Times New Roman" w:hAnsi="Times New Roman" w:cs="Times New Roman"/>
          <w:sz w:val="24"/>
          <w:szCs w:val="24"/>
        </w:rPr>
        <w:t xml:space="preserve">I półroczu </w:t>
      </w:r>
      <w:r w:rsidRPr="00057788">
        <w:rPr>
          <w:rFonts w:ascii="Times New Roman" w:hAnsi="Times New Roman" w:cs="Times New Roman"/>
          <w:sz w:val="24"/>
          <w:szCs w:val="24"/>
        </w:rPr>
        <w:t>201</w:t>
      </w:r>
      <w:r w:rsidR="00057788" w:rsidRPr="00057788">
        <w:rPr>
          <w:rFonts w:ascii="Times New Roman" w:hAnsi="Times New Roman" w:cs="Times New Roman"/>
          <w:sz w:val="24"/>
          <w:szCs w:val="24"/>
        </w:rPr>
        <w:t>6</w:t>
      </w:r>
      <w:r w:rsidR="009C4968" w:rsidRPr="00057788">
        <w:rPr>
          <w:rFonts w:ascii="Times New Roman" w:hAnsi="Times New Roman" w:cs="Times New Roman"/>
          <w:sz w:val="24"/>
          <w:szCs w:val="24"/>
        </w:rPr>
        <w:t xml:space="preserve"> </w:t>
      </w:r>
      <w:r w:rsidR="00DA21DA" w:rsidRPr="00057788">
        <w:rPr>
          <w:rFonts w:ascii="Times New Roman" w:hAnsi="Times New Roman" w:cs="Times New Roman"/>
          <w:sz w:val="24"/>
          <w:szCs w:val="24"/>
        </w:rPr>
        <w:t>r.</w:t>
      </w:r>
      <w:r w:rsidR="009C4968" w:rsidRPr="00057788">
        <w:rPr>
          <w:rFonts w:ascii="Times New Roman" w:hAnsi="Times New Roman" w:cs="Times New Roman"/>
          <w:sz w:val="24"/>
          <w:szCs w:val="24"/>
        </w:rPr>
        <w:t xml:space="preserve"> –</w:t>
      </w:r>
      <w:r w:rsidRPr="00057788">
        <w:rPr>
          <w:rFonts w:ascii="Times New Roman" w:hAnsi="Times New Roman" w:cs="Times New Roman"/>
          <w:sz w:val="24"/>
          <w:szCs w:val="24"/>
        </w:rPr>
        <w:t xml:space="preserve"> </w:t>
      </w:r>
      <w:r w:rsidR="00057788" w:rsidRPr="00057788">
        <w:rPr>
          <w:rFonts w:ascii="Times New Roman" w:hAnsi="Times New Roman" w:cs="Times New Roman"/>
          <w:sz w:val="24"/>
          <w:szCs w:val="24"/>
        </w:rPr>
        <w:t>213</w:t>
      </w:r>
      <w:r w:rsidRPr="00057788">
        <w:rPr>
          <w:rFonts w:ascii="Times New Roman" w:hAnsi="Times New Roman" w:cs="Times New Roman"/>
          <w:sz w:val="24"/>
          <w:szCs w:val="24"/>
        </w:rPr>
        <w:t>,</w:t>
      </w:r>
      <w:r w:rsidR="00057788" w:rsidRPr="00057788">
        <w:rPr>
          <w:rFonts w:ascii="Times New Roman" w:hAnsi="Times New Roman" w:cs="Times New Roman"/>
          <w:sz w:val="24"/>
          <w:szCs w:val="24"/>
        </w:rPr>
        <w:t>90</w:t>
      </w:r>
      <w:r w:rsidRPr="00057788">
        <w:rPr>
          <w:rFonts w:ascii="Times New Roman" w:hAnsi="Times New Roman" w:cs="Times New Roman"/>
          <w:sz w:val="24"/>
          <w:szCs w:val="24"/>
        </w:rPr>
        <w:t xml:space="preserve"> mln zł).</w:t>
      </w:r>
      <w:r w:rsidR="00AE5712" w:rsidRPr="00057788">
        <w:rPr>
          <w:rFonts w:ascii="Times New Roman" w:hAnsi="Times New Roman" w:cs="Times New Roman"/>
          <w:sz w:val="24"/>
          <w:szCs w:val="24"/>
        </w:rPr>
        <w:t xml:space="preserve"> </w:t>
      </w:r>
      <w:r w:rsidR="00A05D34" w:rsidRPr="00057788">
        <w:rPr>
          <w:rFonts w:ascii="Times New Roman" w:hAnsi="Times New Roman" w:cs="Times New Roman"/>
          <w:sz w:val="24"/>
          <w:szCs w:val="24"/>
        </w:rPr>
        <w:t>Z</w:t>
      </w:r>
      <w:r w:rsidR="00AE5712" w:rsidRPr="00057788">
        <w:rPr>
          <w:rFonts w:ascii="Times New Roman" w:hAnsi="Times New Roman" w:cs="Times New Roman"/>
          <w:sz w:val="24"/>
          <w:szCs w:val="24"/>
        </w:rPr>
        <w:t> </w:t>
      </w:r>
      <w:r w:rsidRPr="00057788">
        <w:rPr>
          <w:rFonts w:ascii="Times New Roman" w:hAnsi="Times New Roman" w:cs="Times New Roman"/>
          <w:sz w:val="24"/>
          <w:szCs w:val="24"/>
        </w:rPr>
        <w:t>tej kwoty:</w:t>
      </w:r>
    </w:p>
    <w:p w:rsidR="00704214" w:rsidRDefault="00704214" w:rsidP="00704214">
      <w:pPr>
        <w:pStyle w:val="Default"/>
        <w:numPr>
          <w:ilvl w:val="0"/>
          <w:numId w:val="15"/>
        </w:numPr>
        <w:spacing w:line="360" w:lineRule="auto"/>
        <w:jc w:val="both"/>
      </w:pPr>
      <w:r w:rsidRPr="002439C2">
        <w:rPr>
          <w:b/>
        </w:rPr>
        <w:t>pozostałe aktywne formy</w:t>
      </w:r>
      <w:r w:rsidRPr="002439C2">
        <w:t xml:space="preserve"> – </w:t>
      </w:r>
      <w:r>
        <w:t>52</w:t>
      </w:r>
      <w:r w:rsidRPr="002439C2">
        <w:t>,</w:t>
      </w:r>
      <w:r>
        <w:t>17</w:t>
      </w:r>
      <w:r w:rsidRPr="002439C2">
        <w:t xml:space="preserve"> mln. zł. (</w:t>
      </w:r>
      <w:r>
        <w:t>22</w:t>
      </w:r>
      <w:r w:rsidRPr="002439C2">
        <w:t>,</w:t>
      </w:r>
      <w:r>
        <w:t>02</w:t>
      </w:r>
      <w:r w:rsidRPr="002439C2">
        <w:t xml:space="preserve">% wydatków FP ogółem, </w:t>
      </w:r>
      <w:r>
        <w:t>34</w:t>
      </w:r>
      <w:r w:rsidRPr="002439C2">
        <w:t>,</w:t>
      </w:r>
      <w:r>
        <w:t>69</w:t>
      </w:r>
      <w:r w:rsidRPr="002439C2">
        <w:t>% aktywnych form),</w:t>
      </w:r>
    </w:p>
    <w:p w:rsidR="00266659" w:rsidRDefault="00266659" w:rsidP="004B352C">
      <w:pPr>
        <w:pStyle w:val="Default"/>
        <w:numPr>
          <w:ilvl w:val="0"/>
          <w:numId w:val="15"/>
        </w:numPr>
        <w:spacing w:line="360" w:lineRule="auto"/>
        <w:jc w:val="both"/>
      </w:pPr>
      <w:r w:rsidRPr="00C85193">
        <w:rPr>
          <w:b/>
        </w:rPr>
        <w:t>staże</w:t>
      </w:r>
      <w:r w:rsidRPr="002439C2">
        <w:t xml:space="preserve"> – </w:t>
      </w:r>
      <w:r>
        <w:t>35</w:t>
      </w:r>
      <w:r w:rsidRPr="002439C2">
        <w:t>,</w:t>
      </w:r>
      <w:r>
        <w:t>99</w:t>
      </w:r>
      <w:r w:rsidRPr="002439C2">
        <w:t xml:space="preserve"> mln. zł. (</w:t>
      </w:r>
      <w:r>
        <w:t>15</w:t>
      </w:r>
      <w:r w:rsidRPr="002439C2">
        <w:t>,</w:t>
      </w:r>
      <w:r>
        <w:t>19</w:t>
      </w:r>
      <w:r w:rsidRPr="002439C2">
        <w:t xml:space="preserve">% wydatków FP ogółem, </w:t>
      </w:r>
      <w:r>
        <w:t>23</w:t>
      </w:r>
      <w:r w:rsidRPr="002439C2">
        <w:t>,</w:t>
      </w:r>
      <w:r>
        <w:t>93</w:t>
      </w:r>
      <w:r w:rsidRPr="002439C2">
        <w:t>% aktywnych form),</w:t>
      </w:r>
    </w:p>
    <w:p w:rsidR="004B352C" w:rsidRPr="002439C2" w:rsidRDefault="004B352C" w:rsidP="004B352C">
      <w:pPr>
        <w:pStyle w:val="Default"/>
        <w:numPr>
          <w:ilvl w:val="0"/>
          <w:numId w:val="15"/>
        </w:numPr>
        <w:spacing w:line="360" w:lineRule="auto"/>
        <w:jc w:val="both"/>
      </w:pPr>
      <w:r w:rsidRPr="00266659">
        <w:rPr>
          <w:b/>
        </w:rPr>
        <w:t>subsydiowane podjęcia działalności gospodarczej</w:t>
      </w:r>
      <w:r w:rsidRPr="002439C2">
        <w:t xml:space="preserve"> – 2</w:t>
      </w:r>
      <w:r w:rsidR="002439C2" w:rsidRPr="002439C2">
        <w:t>4</w:t>
      </w:r>
      <w:r w:rsidRPr="002439C2">
        <w:t>,</w:t>
      </w:r>
      <w:r w:rsidR="002439C2" w:rsidRPr="002439C2">
        <w:t>89</w:t>
      </w:r>
      <w:r w:rsidRPr="002439C2">
        <w:t xml:space="preserve"> mln zł (1</w:t>
      </w:r>
      <w:r w:rsidR="002439C2" w:rsidRPr="002439C2">
        <w:t>0</w:t>
      </w:r>
      <w:r w:rsidRPr="002439C2">
        <w:t>,</w:t>
      </w:r>
      <w:r w:rsidR="002439C2" w:rsidRPr="002439C2">
        <w:t>51</w:t>
      </w:r>
      <w:r w:rsidRPr="002439C2">
        <w:t xml:space="preserve">% wydatków FP ogółem, </w:t>
      </w:r>
      <w:r w:rsidR="002439C2" w:rsidRPr="002439C2">
        <w:t>16</w:t>
      </w:r>
      <w:r w:rsidRPr="002439C2">
        <w:t>,</w:t>
      </w:r>
      <w:r w:rsidR="002439C2" w:rsidRPr="002439C2">
        <w:t>55</w:t>
      </w:r>
      <w:r w:rsidRPr="002439C2">
        <w:t xml:space="preserve">% aktywnych form), </w:t>
      </w:r>
    </w:p>
    <w:p w:rsidR="00034D1E" w:rsidRPr="002439C2" w:rsidRDefault="00475E78" w:rsidP="00475E78">
      <w:pPr>
        <w:pStyle w:val="Default"/>
        <w:numPr>
          <w:ilvl w:val="0"/>
          <w:numId w:val="15"/>
        </w:numPr>
        <w:spacing w:line="360" w:lineRule="auto"/>
        <w:jc w:val="both"/>
      </w:pPr>
      <w:r w:rsidRPr="00475E78">
        <w:rPr>
          <w:b/>
        </w:rPr>
        <w:lastRenderedPageBreak/>
        <w:t>środki dla pracodawców na wyposażenie i doposażenie miejsc pracy</w:t>
      </w:r>
      <w:r w:rsidR="004B352C" w:rsidRPr="002439C2">
        <w:t xml:space="preserve"> – 17</w:t>
      </w:r>
      <w:r w:rsidR="008260E7" w:rsidRPr="002439C2">
        <w:t>,</w:t>
      </w:r>
      <w:r w:rsidR="004B352C" w:rsidRPr="002439C2">
        <w:t>48</w:t>
      </w:r>
      <w:r w:rsidR="008260E7" w:rsidRPr="002439C2">
        <w:t xml:space="preserve"> mln zł </w:t>
      </w:r>
      <w:r w:rsidR="004B352C" w:rsidRPr="002439C2">
        <w:t>(</w:t>
      </w:r>
      <w:r w:rsidR="002439C2" w:rsidRPr="002439C2">
        <w:t>7</w:t>
      </w:r>
      <w:r w:rsidR="00AA48CE" w:rsidRPr="002439C2">
        <w:t>,</w:t>
      </w:r>
      <w:r w:rsidR="002439C2" w:rsidRPr="002439C2">
        <w:t>38</w:t>
      </w:r>
      <w:r w:rsidR="00AA48CE" w:rsidRPr="002439C2">
        <w:t>% wydatków FP ogółem, 1</w:t>
      </w:r>
      <w:r w:rsidR="002439C2" w:rsidRPr="002439C2">
        <w:t>1</w:t>
      </w:r>
      <w:r w:rsidR="00034D1E" w:rsidRPr="002439C2">
        <w:t>,</w:t>
      </w:r>
      <w:r w:rsidR="002439C2" w:rsidRPr="002439C2">
        <w:t>62</w:t>
      </w:r>
      <w:r w:rsidR="00034D1E" w:rsidRPr="002439C2">
        <w:t xml:space="preserve">% </w:t>
      </w:r>
      <w:r w:rsidR="00AA48CE" w:rsidRPr="002439C2">
        <w:t>aktywnych form</w:t>
      </w:r>
      <w:r w:rsidR="00034D1E" w:rsidRPr="002439C2">
        <w:t>),</w:t>
      </w:r>
    </w:p>
    <w:p w:rsidR="00034D1E" w:rsidRPr="002439C2" w:rsidRDefault="00013F93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2439C2">
        <w:rPr>
          <w:b/>
        </w:rPr>
        <w:t>prace interwencyjne</w:t>
      </w:r>
      <w:r w:rsidRPr="002439C2">
        <w:t xml:space="preserve"> – 8</w:t>
      </w:r>
      <w:r w:rsidR="008260E7" w:rsidRPr="002439C2">
        <w:t>,</w:t>
      </w:r>
      <w:r w:rsidRPr="002439C2">
        <w:t>8</w:t>
      </w:r>
      <w:r w:rsidR="002439C2" w:rsidRPr="002439C2">
        <w:t>1</w:t>
      </w:r>
      <w:r w:rsidR="008260E7" w:rsidRPr="002439C2">
        <w:t xml:space="preserve"> ml</w:t>
      </w:r>
      <w:r w:rsidRPr="002439C2">
        <w:t>n</w:t>
      </w:r>
      <w:r w:rsidR="008260E7" w:rsidRPr="002439C2">
        <w:t>. zł (</w:t>
      </w:r>
      <w:r w:rsidR="002439C2" w:rsidRPr="002439C2">
        <w:t>3</w:t>
      </w:r>
      <w:r w:rsidRPr="002439C2">
        <w:t>,</w:t>
      </w:r>
      <w:r w:rsidR="002439C2" w:rsidRPr="002439C2">
        <w:t>72</w:t>
      </w:r>
      <w:r w:rsidRPr="002439C2">
        <w:t xml:space="preserve"> wydatków FP ogółem, </w:t>
      </w:r>
      <w:r w:rsidR="002439C2" w:rsidRPr="002439C2">
        <w:t>5</w:t>
      </w:r>
      <w:r w:rsidRPr="002439C2">
        <w:t>,</w:t>
      </w:r>
      <w:r w:rsidR="002439C2" w:rsidRPr="002439C2">
        <w:t>86</w:t>
      </w:r>
      <w:r w:rsidRPr="002439C2">
        <w:t>% aktywnych form</w:t>
      </w:r>
      <w:r w:rsidR="00034D1E" w:rsidRPr="002439C2">
        <w:t xml:space="preserve">), </w:t>
      </w:r>
    </w:p>
    <w:p w:rsidR="00D226A3" w:rsidRPr="002439C2" w:rsidRDefault="00013F93" w:rsidP="00D226A3">
      <w:pPr>
        <w:pStyle w:val="Default"/>
        <w:numPr>
          <w:ilvl w:val="0"/>
          <w:numId w:val="15"/>
        </w:numPr>
        <w:spacing w:line="360" w:lineRule="auto"/>
        <w:jc w:val="both"/>
      </w:pPr>
      <w:r w:rsidRPr="002439C2">
        <w:rPr>
          <w:b/>
        </w:rPr>
        <w:t>roboty publiczne</w:t>
      </w:r>
      <w:r w:rsidRPr="002439C2">
        <w:t xml:space="preserve"> – </w:t>
      </w:r>
      <w:r w:rsidR="002439C2" w:rsidRPr="002439C2">
        <w:t>8</w:t>
      </w:r>
      <w:r w:rsidR="003D6041" w:rsidRPr="002439C2">
        <w:t>,</w:t>
      </w:r>
      <w:r w:rsidR="002439C2" w:rsidRPr="002439C2">
        <w:t xml:space="preserve">44 </w:t>
      </w:r>
      <w:r w:rsidR="003D6041" w:rsidRPr="002439C2">
        <w:t>mln</w:t>
      </w:r>
      <w:r w:rsidR="008260E7" w:rsidRPr="002439C2">
        <w:t xml:space="preserve"> zł (</w:t>
      </w:r>
      <w:r w:rsidRPr="002439C2">
        <w:t>3</w:t>
      </w:r>
      <w:r w:rsidR="003D6041" w:rsidRPr="002439C2">
        <w:t>,</w:t>
      </w:r>
      <w:r w:rsidR="002439C2" w:rsidRPr="002439C2">
        <w:t>56</w:t>
      </w:r>
      <w:r w:rsidR="003D6041" w:rsidRPr="002439C2">
        <w:t>%</w:t>
      </w:r>
      <w:r w:rsidRPr="002439C2">
        <w:t xml:space="preserve"> wydatków FP ogółem, 5,</w:t>
      </w:r>
      <w:r w:rsidR="002439C2" w:rsidRPr="002439C2">
        <w:t>61</w:t>
      </w:r>
      <w:r w:rsidRPr="002439C2">
        <w:t>% aktywnych form</w:t>
      </w:r>
      <w:r w:rsidR="003D6041" w:rsidRPr="002439C2">
        <w:t>),</w:t>
      </w:r>
    </w:p>
    <w:p w:rsidR="00704214" w:rsidRPr="002439C2" w:rsidRDefault="00704214" w:rsidP="00704214">
      <w:pPr>
        <w:pStyle w:val="Default"/>
        <w:numPr>
          <w:ilvl w:val="0"/>
          <w:numId w:val="15"/>
        </w:numPr>
        <w:spacing w:line="360" w:lineRule="auto"/>
        <w:jc w:val="both"/>
      </w:pPr>
      <w:r w:rsidRPr="002439C2">
        <w:rPr>
          <w:b/>
        </w:rPr>
        <w:t>szkolenia</w:t>
      </w:r>
      <w:r w:rsidRPr="002439C2">
        <w:t xml:space="preserve"> – 1,59 mln zł (0,67% wydatków FP ogółem, 1,06% aktywnych form)</w:t>
      </w:r>
      <w:r>
        <w:t>,</w:t>
      </w:r>
    </w:p>
    <w:p w:rsidR="00704214" w:rsidRPr="002439C2" w:rsidRDefault="00704214" w:rsidP="00704214">
      <w:pPr>
        <w:pStyle w:val="Default"/>
        <w:numPr>
          <w:ilvl w:val="0"/>
          <w:numId w:val="15"/>
        </w:numPr>
        <w:spacing w:line="360" w:lineRule="auto"/>
        <w:jc w:val="both"/>
      </w:pPr>
      <w:r w:rsidRPr="00FE21E0">
        <w:rPr>
          <w:b/>
        </w:rPr>
        <w:t>stypendia i składki na ubezpieczenia społeczne</w:t>
      </w:r>
      <w:r w:rsidRPr="00057788">
        <w:t xml:space="preserve"> – </w:t>
      </w:r>
      <w:r>
        <w:t>1,04</w:t>
      </w:r>
      <w:r w:rsidRPr="002439C2">
        <w:t xml:space="preserve"> mln zł (</w:t>
      </w:r>
      <w:r>
        <w:t>0</w:t>
      </w:r>
      <w:r w:rsidRPr="002439C2">
        <w:t>,</w:t>
      </w:r>
      <w:r>
        <w:t>44</w:t>
      </w:r>
      <w:r w:rsidRPr="002439C2">
        <w:t xml:space="preserve">% wydatków w ramach Funduszu Pracy, co stanowi </w:t>
      </w:r>
      <w:r>
        <w:t>0</w:t>
      </w:r>
      <w:r w:rsidRPr="002439C2">
        <w:t>,</w:t>
      </w:r>
      <w:r>
        <w:t>69</w:t>
      </w:r>
      <w:r w:rsidRPr="002439C2">
        <w:t>% ogółu wydatków na aktywne formy)</w:t>
      </w:r>
      <w:r>
        <w:t>.</w:t>
      </w:r>
    </w:p>
    <w:p w:rsidR="0054601A" w:rsidRPr="005C15EB" w:rsidRDefault="0054601A" w:rsidP="005C15EB">
      <w:pPr>
        <w:pStyle w:val="Default"/>
        <w:jc w:val="both"/>
        <w:rPr>
          <w:sz w:val="16"/>
          <w:szCs w:val="16"/>
        </w:rPr>
      </w:pPr>
    </w:p>
    <w:p w:rsidR="008260E7" w:rsidRPr="005C15EB" w:rsidRDefault="008515B9" w:rsidP="00160DBC">
      <w:pPr>
        <w:pStyle w:val="Default"/>
        <w:numPr>
          <w:ilvl w:val="0"/>
          <w:numId w:val="10"/>
        </w:numPr>
        <w:spacing w:line="360" w:lineRule="auto"/>
        <w:jc w:val="both"/>
      </w:pPr>
      <w:r w:rsidRPr="005C15EB">
        <w:t>Najwięcej osób bezrobotnych skorzystało</w:t>
      </w:r>
      <w:r w:rsidR="00AE5712" w:rsidRPr="005C15EB">
        <w:t xml:space="preserve"> z </w:t>
      </w:r>
      <w:r w:rsidRPr="005C15EB">
        <w:t>następujących form aktywizacji zawodowej: staże (</w:t>
      </w:r>
      <w:r w:rsidR="005C15EB" w:rsidRPr="005C15EB">
        <w:t>7</w:t>
      </w:r>
      <w:r w:rsidRPr="005C15EB">
        <w:t> </w:t>
      </w:r>
      <w:r w:rsidR="005C15EB" w:rsidRPr="005C15EB">
        <w:t>110</w:t>
      </w:r>
      <w:r w:rsidRPr="005C15EB">
        <w:t>), prace interwencyjne (</w:t>
      </w:r>
      <w:r w:rsidR="00623F22" w:rsidRPr="005C15EB">
        <w:t>2</w:t>
      </w:r>
      <w:r w:rsidRPr="005C15EB">
        <w:t> </w:t>
      </w:r>
      <w:r w:rsidR="00623F22" w:rsidRPr="005C15EB">
        <w:t>23</w:t>
      </w:r>
      <w:r w:rsidR="005C15EB" w:rsidRPr="005C15EB">
        <w:t>4</w:t>
      </w:r>
      <w:r w:rsidRPr="005C15EB">
        <w:t xml:space="preserve">), </w:t>
      </w:r>
      <w:r w:rsidR="005C15EB" w:rsidRPr="005C15EB">
        <w:t xml:space="preserve">roboty publiczne (1 702), bezzwrotna </w:t>
      </w:r>
      <w:r w:rsidRPr="005C15EB">
        <w:t xml:space="preserve">refundacja </w:t>
      </w:r>
      <w:r w:rsidR="005C15EB" w:rsidRPr="005C15EB">
        <w:t xml:space="preserve">pracodawcy </w:t>
      </w:r>
      <w:r w:rsidRPr="005C15EB">
        <w:t xml:space="preserve">kosztów utworzenia </w:t>
      </w:r>
      <w:r w:rsidR="005C15EB" w:rsidRPr="005C15EB">
        <w:t xml:space="preserve">nowego </w:t>
      </w:r>
      <w:r w:rsidR="00452D2A" w:rsidRPr="005C15EB">
        <w:t xml:space="preserve">stanowiska pracy </w:t>
      </w:r>
      <w:r w:rsidR="005C15EB" w:rsidRPr="005C15EB">
        <w:t>dla osoby bezrobotnej</w:t>
      </w:r>
      <w:r w:rsidR="005C15EB">
        <w:t xml:space="preserve"> </w:t>
      </w:r>
      <w:r w:rsidRPr="005C15EB">
        <w:t>(</w:t>
      </w:r>
      <w:r w:rsidR="00623F22" w:rsidRPr="005C15EB">
        <w:t>1</w:t>
      </w:r>
      <w:r w:rsidRPr="005C15EB">
        <w:t> </w:t>
      </w:r>
      <w:r w:rsidR="005C15EB" w:rsidRPr="005C15EB">
        <w:t>518</w:t>
      </w:r>
      <w:r w:rsidRPr="005C15EB">
        <w:t>).</w:t>
      </w:r>
    </w:p>
    <w:p w:rsidR="00484ABA" w:rsidRPr="005C15EB" w:rsidRDefault="00484ABA" w:rsidP="00160DBC">
      <w:pPr>
        <w:pStyle w:val="Default"/>
        <w:numPr>
          <w:ilvl w:val="0"/>
          <w:numId w:val="10"/>
        </w:numPr>
        <w:spacing w:line="360" w:lineRule="auto"/>
        <w:jc w:val="both"/>
      </w:pPr>
      <w:r w:rsidRPr="005C15EB">
        <w:t xml:space="preserve">Staże były najczęściej realizowaną formą aktywizacji we wszystkich </w:t>
      </w:r>
      <w:r w:rsidR="002D15B0" w:rsidRPr="005C15EB">
        <w:t>powiatowych urzędach pracy</w:t>
      </w:r>
      <w:r w:rsidR="005C15EB">
        <w:t xml:space="preserve"> – </w:t>
      </w:r>
      <w:r w:rsidR="002D15B0" w:rsidRPr="005C15EB">
        <w:t xml:space="preserve">działających na terenie </w:t>
      </w:r>
      <w:r w:rsidRPr="005C15EB">
        <w:t>powiat</w:t>
      </w:r>
      <w:r w:rsidR="002D15B0" w:rsidRPr="005C15EB">
        <w:t>ów</w:t>
      </w:r>
      <w:r w:rsidR="005C15EB">
        <w:t xml:space="preserve"> oraz w powiatach jak i w miastach </w:t>
      </w:r>
      <w:r w:rsidRPr="005C15EB">
        <w:t>na prawach powiatu.</w:t>
      </w:r>
    </w:p>
    <w:p w:rsidR="006F0908" w:rsidRPr="006F0908" w:rsidRDefault="006F0908" w:rsidP="004F28A7">
      <w:pPr>
        <w:pStyle w:val="Nagwek3"/>
        <w:jc w:val="left"/>
        <w:rPr>
          <w:rFonts w:ascii="Times New Roman" w:hAnsi="Times New Roman" w:cs="Times New Roman"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DC182F" w:rsidRDefault="0096006B" w:rsidP="004F28A7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6" w:name="_Toc489263956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Zwolnienia</w:t>
      </w:r>
      <w:r w:rsidR="00AE5712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A4A33"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grupowe</w:t>
      </w:r>
      <w:bookmarkEnd w:id="16"/>
    </w:p>
    <w:p w:rsidR="00C85193" w:rsidRPr="00C85193" w:rsidRDefault="00C85193" w:rsidP="00C85193">
      <w:pPr>
        <w:spacing w:after="0" w:line="240" w:lineRule="auto"/>
        <w:rPr>
          <w:sz w:val="16"/>
          <w:szCs w:val="16"/>
          <w:lang w:val="de-DE" w:eastAsia="pl-PL"/>
        </w:rPr>
      </w:pPr>
    </w:p>
    <w:p w:rsidR="0096006B" w:rsidRDefault="0096006B" w:rsidP="009A1F42">
      <w:pPr>
        <w:pStyle w:val="Default"/>
        <w:jc w:val="both"/>
        <w:rPr>
          <w:b/>
          <w:bCs/>
          <w:sz w:val="16"/>
          <w:szCs w:val="16"/>
          <w:highlight w:val="yellow"/>
        </w:rPr>
      </w:pPr>
    </w:p>
    <w:p w:rsidR="004472DC" w:rsidRPr="0029506F" w:rsidRDefault="004472DC" w:rsidP="009A1F42">
      <w:pPr>
        <w:pStyle w:val="Default"/>
        <w:jc w:val="both"/>
        <w:rPr>
          <w:b/>
          <w:bCs/>
          <w:sz w:val="16"/>
          <w:szCs w:val="16"/>
          <w:highlight w:val="yellow"/>
        </w:rPr>
      </w:pPr>
      <w:r w:rsidRPr="004472DC">
        <w:rPr>
          <w:noProof/>
          <w:lang w:eastAsia="pl-PL"/>
        </w:rPr>
        <w:drawing>
          <wp:inline distT="0" distB="0" distL="0" distR="0" wp14:anchorId="36CC4BCE" wp14:editId="568500AA">
            <wp:extent cx="5759450" cy="3332210"/>
            <wp:effectExtent l="0" t="0" r="0" b="190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3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1C5" w:rsidRDefault="008121C5" w:rsidP="005248C6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noProof/>
          <w:lang w:eastAsia="pl-PL"/>
        </w:rPr>
      </w:pPr>
    </w:p>
    <w:p w:rsidR="004472DC" w:rsidRDefault="004472DC">
      <w:pPr>
        <w:rPr>
          <w:noProof/>
          <w:lang w:eastAsia="pl-PL"/>
        </w:rPr>
      </w:pPr>
      <w:r>
        <w:rPr>
          <w:noProof/>
          <w:lang w:eastAsia="pl-PL"/>
        </w:rPr>
        <w:br w:type="page"/>
      </w:r>
    </w:p>
    <w:p w:rsidR="00F020B1" w:rsidRDefault="004472DC" w:rsidP="00742AD6">
      <w:pPr>
        <w:pStyle w:val="Default"/>
        <w:rPr>
          <w:sz w:val="16"/>
          <w:szCs w:val="16"/>
          <w:highlight w:val="yellow"/>
        </w:rPr>
      </w:pPr>
      <w:r w:rsidRPr="004472DC">
        <w:rPr>
          <w:noProof/>
          <w:lang w:eastAsia="pl-PL"/>
        </w:rPr>
        <w:lastRenderedPageBreak/>
        <w:drawing>
          <wp:inline distT="0" distB="0" distL="0" distR="0" wp14:anchorId="47776A00" wp14:editId="4B2A5F96">
            <wp:extent cx="5759450" cy="2420062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420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2DC" w:rsidRPr="0029506F" w:rsidRDefault="004472DC" w:rsidP="00742AD6">
      <w:pPr>
        <w:pStyle w:val="Default"/>
        <w:rPr>
          <w:sz w:val="16"/>
          <w:szCs w:val="16"/>
          <w:highlight w:val="yellow"/>
        </w:rPr>
      </w:pPr>
    </w:p>
    <w:p w:rsidR="008121C5" w:rsidRPr="00742AD6" w:rsidRDefault="00492E52" w:rsidP="006D7064">
      <w:pPr>
        <w:pStyle w:val="Default"/>
        <w:jc w:val="both"/>
      </w:pPr>
      <w:r w:rsidRPr="00742AD6">
        <w:t>Wnioski</w:t>
      </w:r>
      <w:r w:rsidR="00F261F7" w:rsidRPr="00742AD6">
        <w:t>:</w:t>
      </w:r>
    </w:p>
    <w:p w:rsidR="008121C5" w:rsidRPr="005E5907" w:rsidRDefault="008121C5" w:rsidP="006D7064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5E5907">
        <w:rPr>
          <w:rFonts w:ascii="Times New Roman" w:hAnsi="Times New Roman" w:cs="Times New Roman"/>
          <w:szCs w:val="24"/>
        </w:rPr>
        <w:t>(na podstawie danych</w:t>
      </w:r>
      <w:r w:rsidR="00AE5712" w:rsidRPr="005E5907">
        <w:rPr>
          <w:rFonts w:ascii="Times New Roman" w:hAnsi="Times New Roman" w:cs="Times New Roman"/>
          <w:szCs w:val="24"/>
        </w:rPr>
        <w:t xml:space="preserve"> z </w:t>
      </w:r>
      <w:r w:rsidR="00623F22" w:rsidRPr="005E5907">
        <w:rPr>
          <w:rFonts w:ascii="Times New Roman" w:hAnsi="Times New Roman" w:cs="Times New Roman"/>
          <w:szCs w:val="24"/>
        </w:rPr>
        <w:t>t</w:t>
      </w:r>
      <w:r w:rsidRPr="005E5907">
        <w:rPr>
          <w:rFonts w:ascii="Times New Roman" w:hAnsi="Times New Roman" w:cs="Times New Roman"/>
          <w:szCs w:val="24"/>
        </w:rPr>
        <w:t xml:space="preserve">abel </w:t>
      </w:r>
      <w:r w:rsidR="005E5907" w:rsidRPr="005E5907">
        <w:rPr>
          <w:rFonts w:ascii="Times New Roman" w:hAnsi="Times New Roman" w:cs="Times New Roman"/>
          <w:szCs w:val="24"/>
        </w:rPr>
        <w:t>XXVI</w:t>
      </w:r>
      <w:r w:rsidR="00FE21E0">
        <w:rPr>
          <w:rFonts w:ascii="Times New Roman" w:hAnsi="Times New Roman" w:cs="Times New Roman"/>
          <w:szCs w:val="24"/>
        </w:rPr>
        <w:t xml:space="preserve"> i W</w:t>
      </w:r>
      <w:r w:rsidR="009F31FF">
        <w:rPr>
          <w:rFonts w:ascii="Times New Roman" w:hAnsi="Times New Roman" w:cs="Times New Roman"/>
          <w:szCs w:val="24"/>
        </w:rPr>
        <w:t>4</w:t>
      </w:r>
      <w:r w:rsidRPr="005E5907">
        <w:rPr>
          <w:rFonts w:ascii="Times New Roman" w:hAnsi="Times New Roman" w:cs="Times New Roman"/>
          <w:szCs w:val="24"/>
        </w:rPr>
        <w:t>)</w:t>
      </w:r>
    </w:p>
    <w:p w:rsidR="00E62203" w:rsidRPr="0029506F" w:rsidRDefault="00E62203" w:rsidP="006D7064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Cs w:val="24"/>
          <w:highlight w:val="yellow"/>
        </w:rPr>
      </w:pPr>
    </w:p>
    <w:p w:rsidR="008121C5" w:rsidRPr="00093DE6" w:rsidRDefault="005E5907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907">
        <w:rPr>
          <w:rFonts w:ascii="Times New Roman" w:hAnsi="Times New Roman" w:cs="Times New Roman"/>
          <w:sz w:val="24"/>
          <w:szCs w:val="24"/>
        </w:rPr>
        <w:t xml:space="preserve">W okresie I półrocza 2017 r. – </w:t>
      </w:r>
      <w:r>
        <w:rPr>
          <w:rFonts w:ascii="Times New Roman" w:hAnsi="Times New Roman" w:cs="Times New Roman"/>
          <w:sz w:val="24"/>
          <w:szCs w:val="24"/>
        </w:rPr>
        <w:t>z</w:t>
      </w:r>
      <w:r w:rsidR="0096006B" w:rsidRPr="005E5907">
        <w:rPr>
          <w:rFonts w:ascii="Times New Roman" w:hAnsi="Times New Roman" w:cs="Times New Roman"/>
          <w:sz w:val="24"/>
          <w:szCs w:val="24"/>
        </w:rPr>
        <w:t>amiar zwolnienia</w:t>
      </w:r>
      <w:r w:rsidR="00AE5712" w:rsidRPr="005E5907">
        <w:rPr>
          <w:rFonts w:ascii="Times New Roman" w:hAnsi="Times New Roman" w:cs="Times New Roman"/>
          <w:sz w:val="24"/>
          <w:szCs w:val="24"/>
        </w:rPr>
        <w:t xml:space="preserve"> z </w:t>
      </w:r>
      <w:r w:rsidR="0096006B" w:rsidRPr="005E5907">
        <w:rPr>
          <w:rFonts w:ascii="Times New Roman" w:hAnsi="Times New Roman" w:cs="Times New Roman"/>
          <w:sz w:val="24"/>
          <w:szCs w:val="24"/>
        </w:rPr>
        <w:t xml:space="preserve">przyczyn </w:t>
      </w:r>
      <w:r w:rsidR="008121C5" w:rsidRPr="005E5907">
        <w:rPr>
          <w:rFonts w:ascii="Times New Roman" w:hAnsi="Times New Roman" w:cs="Times New Roman"/>
          <w:sz w:val="24"/>
          <w:szCs w:val="24"/>
        </w:rPr>
        <w:t xml:space="preserve">dotyczących zakładu pracy </w:t>
      </w:r>
      <w:r w:rsidR="0096006B" w:rsidRPr="005E5907">
        <w:rPr>
          <w:rFonts w:ascii="Times New Roman" w:hAnsi="Times New Roman" w:cs="Times New Roman"/>
          <w:sz w:val="24"/>
          <w:szCs w:val="24"/>
        </w:rPr>
        <w:t xml:space="preserve">zgłosiło ogółem </w:t>
      </w:r>
      <w:r w:rsidR="00A83980">
        <w:rPr>
          <w:rFonts w:ascii="Times New Roman" w:hAnsi="Times New Roman" w:cs="Times New Roman"/>
          <w:sz w:val="24"/>
          <w:szCs w:val="24"/>
        </w:rPr>
        <w:t>12</w:t>
      </w:r>
      <w:r w:rsidR="0096006B" w:rsidRPr="005E5907">
        <w:rPr>
          <w:rFonts w:ascii="Times New Roman" w:hAnsi="Times New Roman" w:cs="Times New Roman"/>
          <w:sz w:val="24"/>
          <w:szCs w:val="24"/>
        </w:rPr>
        <w:t xml:space="preserve"> </w:t>
      </w:r>
      <w:r w:rsidR="0096006B" w:rsidRPr="00093DE6">
        <w:rPr>
          <w:rFonts w:ascii="Times New Roman" w:hAnsi="Times New Roman" w:cs="Times New Roman"/>
          <w:sz w:val="24"/>
          <w:szCs w:val="24"/>
        </w:rPr>
        <w:t xml:space="preserve">zakładów planujących zwolnienie </w:t>
      </w:r>
      <w:r w:rsidR="00A83980">
        <w:rPr>
          <w:rFonts w:ascii="Times New Roman" w:hAnsi="Times New Roman" w:cs="Times New Roman"/>
          <w:sz w:val="24"/>
          <w:szCs w:val="24"/>
        </w:rPr>
        <w:t xml:space="preserve">485 </w:t>
      </w:r>
      <w:r w:rsidR="0096006B" w:rsidRPr="00093DE6">
        <w:rPr>
          <w:rFonts w:ascii="Times New Roman" w:hAnsi="Times New Roman" w:cs="Times New Roman"/>
          <w:sz w:val="24"/>
          <w:szCs w:val="24"/>
        </w:rPr>
        <w:t xml:space="preserve">pracowników (w </w:t>
      </w:r>
      <w:r w:rsidR="006D7064" w:rsidRPr="00093DE6">
        <w:rPr>
          <w:rFonts w:ascii="Times New Roman" w:hAnsi="Times New Roman" w:cs="Times New Roman"/>
          <w:sz w:val="24"/>
          <w:szCs w:val="24"/>
        </w:rPr>
        <w:t xml:space="preserve">I półroczu </w:t>
      </w:r>
      <w:r w:rsidR="0096006B" w:rsidRPr="00093DE6">
        <w:rPr>
          <w:rFonts w:ascii="Times New Roman" w:hAnsi="Times New Roman" w:cs="Times New Roman"/>
          <w:sz w:val="24"/>
          <w:szCs w:val="24"/>
        </w:rPr>
        <w:t>201</w:t>
      </w:r>
      <w:r w:rsidR="00093DE6" w:rsidRPr="00093DE6">
        <w:rPr>
          <w:rFonts w:ascii="Times New Roman" w:hAnsi="Times New Roman" w:cs="Times New Roman"/>
          <w:sz w:val="24"/>
          <w:szCs w:val="24"/>
        </w:rPr>
        <w:t>6</w:t>
      </w:r>
      <w:r w:rsidR="00AE5712" w:rsidRPr="00093DE6">
        <w:rPr>
          <w:rFonts w:ascii="Times New Roman" w:hAnsi="Times New Roman" w:cs="Times New Roman"/>
          <w:sz w:val="24"/>
          <w:szCs w:val="24"/>
        </w:rPr>
        <w:t> r.</w:t>
      </w:r>
      <w:r w:rsidR="00087226" w:rsidRPr="00093DE6">
        <w:rPr>
          <w:rFonts w:ascii="Times New Roman" w:hAnsi="Times New Roman" w:cs="Times New Roman"/>
          <w:sz w:val="24"/>
          <w:szCs w:val="24"/>
        </w:rPr>
        <w:t xml:space="preserve"> – </w:t>
      </w:r>
      <w:r w:rsidR="00A82FDE" w:rsidRPr="00093DE6">
        <w:rPr>
          <w:rFonts w:ascii="Times New Roman" w:hAnsi="Times New Roman" w:cs="Times New Roman"/>
          <w:sz w:val="24"/>
          <w:szCs w:val="24"/>
        </w:rPr>
        <w:t>1</w:t>
      </w:r>
      <w:r w:rsidR="00093DE6" w:rsidRPr="00093DE6">
        <w:rPr>
          <w:rFonts w:ascii="Times New Roman" w:hAnsi="Times New Roman" w:cs="Times New Roman"/>
          <w:sz w:val="24"/>
          <w:szCs w:val="24"/>
        </w:rPr>
        <w:t>1</w:t>
      </w:r>
      <w:r w:rsidR="0096006B" w:rsidRPr="00093DE6">
        <w:rPr>
          <w:rFonts w:ascii="Times New Roman" w:hAnsi="Times New Roman" w:cs="Times New Roman"/>
          <w:sz w:val="24"/>
          <w:szCs w:val="24"/>
        </w:rPr>
        <w:t xml:space="preserve"> zakład</w:t>
      </w:r>
      <w:r w:rsidR="00A82FDE" w:rsidRPr="00093DE6">
        <w:rPr>
          <w:rFonts w:ascii="Times New Roman" w:hAnsi="Times New Roman" w:cs="Times New Roman"/>
          <w:sz w:val="24"/>
          <w:szCs w:val="24"/>
        </w:rPr>
        <w:t>ów</w:t>
      </w:r>
      <w:r w:rsidR="00AE5712" w:rsidRPr="00093DE6">
        <w:rPr>
          <w:rFonts w:ascii="Times New Roman" w:hAnsi="Times New Roman" w:cs="Times New Roman"/>
          <w:sz w:val="24"/>
          <w:szCs w:val="24"/>
        </w:rPr>
        <w:t xml:space="preserve"> </w:t>
      </w:r>
      <w:r w:rsidR="00093DE6">
        <w:rPr>
          <w:rFonts w:ascii="Times New Roman" w:hAnsi="Times New Roman" w:cs="Times New Roman"/>
          <w:sz w:val="24"/>
          <w:szCs w:val="24"/>
        </w:rPr>
        <w:t>i</w:t>
      </w:r>
      <w:r w:rsidR="00093DE6" w:rsidRPr="00093DE6">
        <w:rPr>
          <w:rFonts w:ascii="Times New Roman" w:hAnsi="Times New Roman" w:cs="Times New Roman"/>
          <w:sz w:val="24"/>
          <w:szCs w:val="24"/>
        </w:rPr>
        <w:t xml:space="preserve"> 264</w:t>
      </w:r>
      <w:r w:rsidR="00AE5712" w:rsidRPr="00093DE6">
        <w:rPr>
          <w:rFonts w:ascii="Times New Roman" w:hAnsi="Times New Roman" w:cs="Times New Roman"/>
          <w:sz w:val="24"/>
          <w:szCs w:val="24"/>
        </w:rPr>
        <w:t> </w:t>
      </w:r>
      <w:r w:rsidR="0096006B" w:rsidRPr="00093DE6">
        <w:rPr>
          <w:rFonts w:ascii="Times New Roman" w:hAnsi="Times New Roman" w:cs="Times New Roman"/>
          <w:sz w:val="24"/>
          <w:szCs w:val="24"/>
        </w:rPr>
        <w:t xml:space="preserve">pracowników). </w:t>
      </w:r>
    </w:p>
    <w:p w:rsidR="005E496E" w:rsidRPr="005E496E" w:rsidRDefault="0096006B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496E">
        <w:rPr>
          <w:rFonts w:ascii="Times New Roman" w:hAnsi="Times New Roman" w:cs="Times New Roman"/>
          <w:sz w:val="24"/>
          <w:szCs w:val="24"/>
        </w:rPr>
        <w:t>Wypowiedzenia umów</w:t>
      </w:r>
      <w:r w:rsidR="00AE5712" w:rsidRPr="005E496E">
        <w:rPr>
          <w:rFonts w:ascii="Times New Roman" w:hAnsi="Times New Roman" w:cs="Times New Roman"/>
          <w:sz w:val="24"/>
          <w:szCs w:val="24"/>
        </w:rPr>
        <w:t xml:space="preserve"> o </w:t>
      </w:r>
      <w:r w:rsidRPr="005E496E">
        <w:rPr>
          <w:rFonts w:ascii="Times New Roman" w:hAnsi="Times New Roman" w:cs="Times New Roman"/>
          <w:sz w:val="24"/>
          <w:szCs w:val="24"/>
        </w:rPr>
        <w:t>pracę</w:t>
      </w:r>
      <w:r w:rsidR="00AE5712" w:rsidRPr="005E496E">
        <w:rPr>
          <w:rFonts w:ascii="Times New Roman" w:hAnsi="Times New Roman" w:cs="Times New Roman"/>
          <w:sz w:val="24"/>
          <w:szCs w:val="24"/>
        </w:rPr>
        <w:t xml:space="preserve"> z </w:t>
      </w:r>
      <w:r w:rsidRPr="005E496E">
        <w:rPr>
          <w:rFonts w:ascii="Times New Roman" w:hAnsi="Times New Roman" w:cs="Times New Roman"/>
          <w:sz w:val="24"/>
          <w:szCs w:val="24"/>
        </w:rPr>
        <w:t>przyczyn niedotyczących pracowników</w:t>
      </w:r>
      <w:r w:rsidR="006D7064" w:rsidRPr="005E496E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5E496E">
        <w:rPr>
          <w:rFonts w:ascii="Times New Roman" w:hAnsi="Times New Roman" w:cs="Times New Roman"/>
          <w:sz w:val="24"/>
          <w:szCs w:val="24"/>
        </w:rPr>
        <w:t>w </w:t>
      </w:r>
      <w:r w:rsidR="006D7064" w:rsidRPr="005E496E">
        <w:rPr>
          <w:rFonts w:ascii="Times New Roman" w:hAnsi="Times New Roman" w:cs="Times New Roman"/>
          <w:sz w:val="24"/>
          <w:szCs w:val="24"/>
        </w:rPr>
        <w:t xml:space="preserve">I półroczu </w:t>
      </w:r>
      <w:r w:rsidRPr="005E496E">
        <w:rPr>
          <w:rFonts w:ascii="Times New Roman" w:hAnsi="Times New Roman" w:cs="Times New Roman"/>
          <w:sz w:val="24"/>
          <w:szCs w:val="24"/>
        </w:rPr>
        <w:t>201</w:t>
      </w:r>
      <w:r w:rsidR="004C4C5D" w:rsidRPr="005E496E">
        <w:rPr>
          <w:rFonts w:ascii="Times New Roman" w:hAnsi="Times New Roman" w:cs="Times New Roman"/>
          <w:sz w:val="24"/>
          <w:szCs w:val="24"/>
        </w:rPr>
        <w:t>7</w:t>
      </w:r>
      <w:r w:rsidR="00AE5712" w:rsidRPr="005E496E">
        <w:rPr>
          <w:rFonts w:ascii="Times New Roman" w:hAnsi="Times New Roman" w:cs="Times New Roman"/>
          <w:sz w:val="24"/>
          <w:szCs w:val="24"/>
        </w:rPr>
        <w:t> r.</w:t>
      </w:r>
      <w:r w:rsidRPr="005E496E">
        <w:rPr>
          <w:rFonts w:ascii="Times New Roman" w:hAnsi="Times New Roman" w:cs="Times New Roman"/>
          <w:sz w:val="24"/>
          <w:szCs w:val="24"/>
        </w:rPr>
        <w:t xml:space="preserve"> otrzymało </w:t>
      </w:r>
      <w:r w:rsidR="005E496E" w:rsidRPr="005E496E">
        <w:rPr>
          <w:rFonts w:ascii="Times New Roman" w:hAnsi="Times New Roman" w:cs="Times New Roman"/>
          <w:sz w:val="24"/>
          <w:szCs w:val="24"/>
        </w:rPr>
        <w:t>348</w:t>
      </w:r>
      <w:r w:rsidR="004E1069" w:rsidRPr="005E496E">
        <w:rPr>
          <w:rFonts w:ascii="Times New Roman" w:hAnsi="Times New Roman" w:cs="Times New Roman"/>
          <w:sz w:val="24"/>
          <w:szCs w:val="24"/>
        </w:rPr>
        <w:t xml:space="preserve"> </w:t>
      </w:r>
      <w:r w:rsidRPr="005E496E">
        <w:rPr>
          <w:rFonts w:ascii="Times New Roman" w:hAnsi="Times New Roman" w:cs="Times New Roman"/>
          <w:sz w:val="24"/>
          <w:szCs w:val="24"/>
        </w:rPr>
        <w:t>os</w:t>
      </w:r>
      <w:r w:rsidR="004E1069" w:rsidRPr="005E496E">
        <w:rPr>
          <w:rFonts w:ascii="Times New Roman" w:hAnsi="Times New Roman" w:cs="Times New Roman"/>
          <w:sz w:val="24"/>
          <w:szCs w:val="24"/>
        </w:rPr>
        <w:t>o</w:t>
      </w:r>
      <w:r w:rsidRPr="005E496E">
        <w:rPr>
          <w:rFonts w:ascii="Times New Roman" w:hAnsi="Times New Roman" w:cs="Times New Roman"/>
          <w:sz w:val="24"/>
          <w:szCs w:val="24"/>
        </w:rPr>
        <w:t>b</w:t>
      </w:r>
      <w:r w:rsidR="004E1069" w:rsidRPr="005E496E">
        <w:rPr>
          <w:rFonts w:ascii="Times New Roman" w:hAnsi="Times New Roman" w:cs="Times New Roman"/>
          <w:sz w:val="24"/>
          <w:szCs w:val="24"/>
        </w:rPr>
        <w:t>y</w:t>
      </w:r>
      <w:r w:rsidR="005E496E" w:rsidRPr="005E496E">
        <w:rPr>
          <w:rFonts w:ascii="Times New Roman" w:hAnsi="Times New Roman" w:cs="Times New Roman"/>
          <w:sz w:val="24"/>
          <w:szCs w:val="24"/>
        </w:rPr>
        <w:t xml:space="preserve">, </w:t>
      </w:r>
      <w:r w:rsidRPr="005E496E">
        <w:rPr>
          <w:rFonts w:ascii="Times New Roman" w:hAnsi="Times New Roman" w:cs="Times New Roman"/>
          <w:sz w:val="24"/>
          <w:szCs w:val="24"/>
        </w:rPr>
        <w:t xml:space="preserve">z </w:t>
      </w:r>
      <w:r w:rsidR="005E496E" w:rsidRPr="005E496E">
        <w:rPr>
          <w:rFonts w:ascii="Times New Roman" w:hAnsi="Times New Roman" w:cs="Times New Roman"/>
          <w:sz w:val="24"/>
          <w:szCs w:val="24"/>
        </w:rPr>
        <w:t>czego</w:t>
      </w:r>
      <w:r w:rsidRPr="005E496E">
        <w:rPr>
          <w:rFonts w:ascii="Times New Roman" w:hAnsi="Times New Roman" w:cs="Times New Roman"/>
          <w:sz w:val="24"/>
          <w:szCs w:val="24"/>
        </w:rPr>
        <w:t xml:space="preserve"> </w:t>
      </w:r>
      <w:r w:rsidR="005E496E" w:rsidRPr="005E496E">
        <w:rPr>
          <w:rFonts w:ascii="Times New Roman" w:hAnsi="Times New Roman" w:cs="Times New Roman"/>
          <w:sz w:val="24"/>
          <w:szCs w:val="24"/>
        </w:rPr>
        <w:t>nie odnotowano</w:t>
      </w:r>
      <w:r w:rsidR="004E1069" w:rsidRPr="005E496E">
        <w:rPr>
          <w:rFonts w:ascii="Times New Roman" w:hAnsi="Times New Roman" w:cs="Times New Roman"/>
          <w:sz w:val="24"/>
          <w:szCs w:val="24"/>
        </w:rPr>
        <w:t xml:space="preserve"> </w:t>
      </w:r>
      <w:r w:rsidRPr="005E496E">
        <w:rPr>
          <w:rFonts w:ascii="Times New Roman" w:hAnsi="Times New Roman" w:cs="Times New Roman"/>
          <w:sz w:val="24"/>
          <w:szCs w:val="24"/>
        </w:rPr>
        <w:t>pracowników</w:t>
      </w:r>
      <w:r w:rsidR="00AE5712" w:rsidRPr="005E496E">
        <w:rPr>
          <w:rFonts w:ascii="Times New Roman" w:hAnsi="Times New Roman" w:cs="Times New Roman"/>
          <w:sz w:val="24"/>
          <w:szCs w:val="24"/>
        </w:rPr>
        <w:t xml:space="preserve"> z</w:t>
      </w:r>
      <w:r w:rsidR="004E1069" w:rsidRPr="005E496E">
        <w:rPr>
          <w:rFonts w:ascii="Times New Roman" w:hAnsi="Times New Roman" w:cs="Times New Roman"/>
          <w:sz w:val="24"/>
          <w:szCs w:val="24"/>
        </w:rPr>
        <w:t xml:space="preserve"> </w:t>
      </w:r>
      <w:r w:rsidR="008121C5" w:rsidRPr="005E496E">
        <w:rPr>
          <w:rFonts w:ascii="Times New Roman" w:hAnsi="Times New Roman" w:cs="Times New Roman"/>
          <w:sz w:val="24"/>
          <w:szCs w:val="24"/>
        </w:rPr>
        <w:t>sektora publicznego</w:t>
      </w:r>
      <w:r w:rsidR="005E496E">
        <w:rPr>
          <w:rFonts w:ascii="Times New Roman" w:hAnsi="Times New Roman" w:cs="Times New Roman"/>
          <w:sz w:val="24"/>
          <w:szCs w:val="24"/>
        </w:rPr>
        <w:t xml:space="preserve">, a </w:t>
      </w:r>
      <w:r w:rsidR="005E496E" w:rsidRPr="005E496E">
        <w:rPr>
          <w:rFonts w:ascii="Times New Roman" w:hAnsi="Times New Roman" w:cs="Times New Roman"/>
          <w:sz w:val="24"/>
          <w:szCs w:val="24"/>
        </w:rPr>
        <w:t>zgłoszenia dotyczyły</w:t>
      </w:r>
      <w:r w:rsidR="005E496E">
        <w:rPr>
          <w:rFonts w:ascii="Times New Roman" w:hAnsi="Times New Roman" w:cs="Times New Roman"/>
          <w:sz w:val="24"/>
          <w:szCs w:val="24"/>
        </w:rPr>
        <w:t xml:space="preserve"> – sektora </w:t>
      </w:r>
      <w:r w:rsidR="005E496E" w:rsidRPr="005E496E">
        <w:rPr>
          <w:rFonts w:ascii="Times New Roman" w:hAnsi="Times New Roman" w:cs="Times New Roman"/>
          <w:sz w:val="24"/>
          <w:szCs w:val="24"/>
        </w:rPr>
        <w:t>prywatnego.</w:t>
      </w:r>
    </w:p>
    <w:p w:rsidR="008121C5" w:rsidRPr="00783993" w:rsidRDefault="00E97511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993">
        <w:rPr>
          <w:rFonts w:ascii="Times New Roman" w:hAnsi="Times New Roman" w:cs="Times New Roman"/>
          <w:sz w:val="24"/>
          <w:szCs w:val="24"/>
        </w:rPr>
        <w:t xml:space="preserve">Według stanu </w:t>
      </w:r>
      <w:r w:rsidR="0096006B" w:rsidRPr="00783993">
        <w:rPr>
          <w:rFonts w:ascii="Times New Roman" w:hAnsi="Times New Roman" w:cs="Times New Roman"/>
          <w:sz w:val="24"/>
          <w:szCs w:val="24"/>
        </w:rPr>
        <w:t xml:space="preserve">na </w:t>
      </w:r>
      <w:r w:rsidR="00087226" w:rsidRPr="00783993">
        <w:rPr>
          <w:rFonts w:ascii="Times New Roman" w:hAnsi="Times New Roman" w:cs="Times New Roman"/>
          <w:sz w:val="24"/>
          <w:szCs w:val="24"/>
        </w:rPr>
        <w:t>3</w:t>
      </w:r>
      <w:r w:rsidR="004E1069" w:rsidRPr="00783993">
        <w:rPr>
          <w:rFonts w:ascii="Times New Roman" w:hAnsi="Times New Roman" w:cs="Times New Roman"/>
          <w:sz w:val="24"/>
          <w:szCs w:val="24"/>
        </w:rPr>
        <w:t>0</w:t>
      </w:r>
      <w:r w:rsidR="004C4C5D" w:rsidRPr="00783993">
        <w:rPr>
          <w:rFonts w:ascii="Times New Roman" w:hAnsi="Times New Roman" w:cs="Times New Roman"/>
          <w:sz w:val="24"/>
          <w:szCs w:val="24"/>
        </w:rPr>
        <w:t xml:space="preserve"> </w:t>
      </w:r>
      <w:r w:rsidR="004E1069" w:rsidRPr="00783993">
        <w:rPr>
          <w:rFonts w:ascii="Times New Roman" w:hAnsi="Times New Roman" w:cs="Times New Roman"/>
          <w:sz w:val="24"/>
          <w:szCs w:val="24"/>
        </w:rPr>
        <w:t>V</w:t>
      </w:r>
      <w:r w:rsidR="004C4C5D" w:rsidRPr="00783993">
        <w:rPr>
          <w:rFonts w:ascii="Times New Roman" w:hAnsi="Times New Roman" w:cs="Times New Roman"/>
          <w:sz w:val="24"/>
          <w:szCs w:val="24"/>
        </w:rPr>
        <w:t xml:space="preserve">I </w:t>
      </w:r>
      <w:r w:rsidR="0096006B" w:rsidRPr="00783993">
        <w:rPr>
          <w:rFonts w:ascii="Times New Roman" w:hAnsi="Times New Roman" w:cs="Times New Roman"/>
          <w:sz w:val="24"/>
          <w:szCs w:val="24"/>
        </w:rPr>
        <w:t>201</w:t>
      </w:r>
      <w:r w:rsidR="004C4C5D" w:rsidRPr="00783993">
        <w:rPr>
          <w:rFonts w:ascii="Times New Roman" w:hAnsi="Times New Roman" w:cs="Times New Roman"/>
          <w:sz w:val="24"/>
          <w:szCs w:val="24"/>
        </w:rPr>
        <w:t>7</w:t>
      </w:r>
      <w:r w:rsidR="0096006B" w:rsidRPr="00783993">
        <w:rPr>
          <w:rFonts w:ascii="Times New Roman" w:hAnsi="Times New Roman" w:cs="Times New Roman"/>
          <w:sz w:val="24"/>
          <w:szCs w:val="24"/>
        </w:rPr>
        <w:t xml:space="preserve"> r</w:t>
      </w:r>
      <w:r w:rsidR="004E1069" w:rsidRPr="00783993">
        <w:rPr>
          <w:rFonts w:ascii="Times New Roman" w:hAnsi="Times New Roman" w:cs="Times New Roman"/>
          <w:sz w:val="24"/>
          <w:szCs w:val="24"/>
        </w:rPr>
        <w:t>.</w:t>
      </w:r>
      <w:r w:rsidR="0096006B" w:rsidRPr="00783993">
        <w:rPr>
          <w:rFonts w:ascii="Times New Roman" w:hAnsi="Times New Roman" w:cs="Times New Roman"/>
          <w:sz w:val="24"/>
          <w:szCs w:val="24"/>
        </w:rPr>
        <w:t xml:space="preserve"> na dalsze wypowiedzenia oczekiwało jeszcze</w:t>
      </w:r>
      <w:r w:rsidRPr="00783993">
        <w:rPr>
          <w:rFonts w:ascii="Times New Roman" w:hAnsi="Times New Roman" w:cs="Times New Roman"/>
          <w:sz w:val="24"/>
          <w:szCs w:val="24"/>
        </w:rPr>
        <w:t xml:space="preserve"> </w:t>
      </w:r>
      <w:r w:rsidR="004E1069" w:rsidRPr="00783993">
        <w:rPr>
          <w:rFonts w:ascii="Times New Roman" w:hAnsi="Times New Roman" w:cs="Times New Roman"/>
          <w:sz w:val="24"/>
          <w:szCs w:val="24"/>
        </w:rPr>
        <w:t>1</w:t>
      </w:r>
      <w:r w:rsidR="00783993" w:rsidRPr="00783993">
        <w:rPr>
          <w:rFonts w:ascii="Times New Roman" w:hAnsi="Times New Roman" w:cs="Times New Roman"/>
          <w:sz w:val="24"/>
          <w:szCs w:val="24"/>
        </w:rPr>
        <w:t>88</w:t>
      </w:r>
      <w:r w:rsidR="0096006B" w:rsidRPr="00783993">
        <w:rPr>
          <w:rFonts w:ascii="Times New Roman" w:hAnsi="Times New Roman" w:cs="Times New Roman"/>
          <w:sz w:val="24"/>
          <w:szCs w:val="24"/>
        </w:rPr>
        <w:t xml:space="preserve"> pracowników</w:t>
      </w:r>
      <w:r w:rsidR="00FF6C1E">
        <w:rPr>
          <w:rFonts w:ascii="Times New Roman" w:hAnsi="Times New Roman" w:cs="Times New Roman"/>
          <w:sz w:val="24"/>
          <w:szCs w:val="24"/>
        </w:rPr>
        <w:t xml:space="preserve"> (w analogicznym okresie ubr. – 176 pracowników)</w:t>
      </w:r>
      <w:r w:rsidR="0096006B" w:rsidRPr="007839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21C5" w:rsidRPr="00DC74F6" w:rsidRDefault="005C14D0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74F6">
        <w:rPr>
          <w:rFonts w:ascii="Times New Roman" w:hAnsi="Times New Roman" w:cs="Times New Roman"/>
          <w:sz w:val="24"/>
          <w:szCs w:val="24"/>
        </w:rPr>
        <w:t>Osoby</w:t>
      </w:r>
      <w:r w:rsidR="00566E60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Pr="00DC74F6">
        <w:rPr>
          <w:rFonts w:ascii="Times New Roman" w:hAnsi="Times New Roman" w:cs="Times New Roman"/>
          <w:sz w:val="24"/>
          <w:szCs w:val="24"/>
        </w:rPr>
        <w:t>zwolnione</w:t>
      </w:r>
      <w:r w:rsidR="00566E60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DC74F6">
        <w:rPr>
          <w:rFonts w:ascii="Times New Roman" w:hAnsi="Times New Roman" w:cs="Times New Roman"/>
          <w:sz w:val="24"/>
          <w:szCs w:val="24"/>
        </w:rPr>
        <w:t>z</w:t>
      </w:r>
      <w:r w:rsidR="00566E60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Pr="00DC74F6">
        <w:rPr>
          <w:rFonts w:ascii="Times New Roman" w:hAnsi="Times New Roman" w:cs="Times New Roman"/>
          <w:sz w:val="24"/>
          <w:szCs w:val="24"/>
        </w:rPr>
        <w:t xml:space="preserve">przyczyn niedotyczących pracowników </w:t>
      </w:r>
      <w:r w:rsidR="00566E60" w:rsidRPr="00DC74F6">
        <w:rPr>
          <w:rFonts w:ascii="Times New Roman" w:hAnsi="Times New Roman" w:cs="Times New Roman"/>
          <w:sz w:val="24"/>
          <w:szCs w:val="24"/>
        </w:rPr>
        <w:t>i jednocześnie zarejestrowane w PUP jako bezrobotne</w:t>
      </w:r>
      <w:r w:rsidR="00DC74F6" w:rsidRPr="00DC74F6">
        <w:rPr>
          <w:rFonts w:ascii="Times New Roman" w:hAnsi="Times New Roman" w:cs="Times New Roman"/>
          <w:sz w:val="24"/>
          <w:szCs w:val="24"/>
        </w:rPr>
        <w:t xml:space="preserve"> – </w:t>
      </w:r>
      <w:r w:rsidRPr="00DC74F6">
        <w:rPr>
          <w:rFonts w:ascii="Times New Roman" w:hAnsi="Times New Roman" w:cs="Times New Roman"/>
          <w:sz w:val="24"/>
          <w:szCs w:val="24"/>
        </w:rPr>
        <w:t>stanowiły</w:t>
      </w:r>
      <w:r w:rsidR="00DC74F6" w:rsidRPr="00DC74F6">
        <w:rPr>
          <w:rFonts w:ascii="Times New Roman" w:hAnsi="Times New Roman" w:cs="Times New Roman"/>
          <w:sz w:val="24"/>
          <w:szCs w:val="24"/>
        </w:rPr>
        <w:t xml:space="preserve"> – </w:t>
      </w:r>
      <w:r w:rsidR="00D47256" w:rsidRPr="00DC74F6">
        <w:rPr>
          <w:rFonts w:ascii="Times New Roman" w:hAnsi="Times New Roman" w:cs="Times New Roman"/>
          <w:sz w:val="24"/>
          <w:szCs w:val="24"/>
        </w:rPr>
        <w:t>4</w:t>
      </w:r>
      <w:r w:rsidRPr="00DC74F6">
        <w:rPr>
          <w:rFonts w:ascii="Times New Roman" w:hAnsi="Times New Roman" w:cs="Times New Roman"/>
          <w:sz w:val="24"/>
          <w:szCs w:val="24"/>
        </w:rPr>
        <w:t>,</w:t>
      </w:r>
      <w:r w:rsidR="00EE2A85" w:rsidRPr="00DC74F6">
        <w:rPr>
          <w:rFonts w:ascii="Times New Roman" w:hAnsi="Times New Roman" w:cs="Times New Roman"/>
          <w:sz w:val="24"/>
          <w:szCs w:val="24"/>
        </w:rPr>
        <w:t>4</w:t>
      </w:r>
      <w:r w:rsidRPr="00DC74F6">
        <w:rPr>
          <w:rFonts w:ascii="Times New Roman" w:hAnsi="Times New Roman" w:cs="Times New Roman"/>
          <w:sz w:val="24"/>
          <w:szCs w:val="24"/>
        </w:rPr>
        <w:t>%</w:t>
      </w:r>
      <w:r w:rsidR="00566E60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Pr="00DC74F6">
        <w:rPr>
          <w:rFonts w:ascii="Times New Roman" w:hAnsi="Times New Roman" w:cs="Times New Roman"/>
          <w:sz w:val="24"/>
          <w:szCs w:val="24"/>
        </w:rPr>
        <w:t>ogółu bezrobotnych zarejestrowanych</w:t>
      </w:r>
      <w:r w:rsidR="00AE5712" w:rsidRPr="00DC74F6">
        <w:rPr>
          <w:rFonts w:ascii="Times New Roman" w:hAnsi="Times New Roman" w:cs="Times New Roman"/>
          <w:sz w:val="24"/>
          <w:szCs w:val="24"/>
        </w:rPr>
        <w:t xml:space="preserve"> w </w:t>
      </w:r>
      <w:r w:rsidRPr="00DC74F6">
        <w:rPr>
          <w:rFonts w:ascii="Times New Roman" w:hAnsi="Times New Roman" w:cs="Times New Roman"/>
          <w:sz w:val="24"/>
          <w:szCs w:val="24"/>
        </w:rPr>
        <w:t xml:space="preserve">województwie podkarpackim wg stanu na </w:t>
      </w:r>
      <w:r w:rsidR="00244A0E" w:rsidRPr="00DC74F6">
        <w:rPr>
          <w:rFonts w:ascii="Times New Roman" w:hAnsi="Times New Roman" w:cs="Times New Roman"/>
          <w:sz w:val="24"/>
          <w:szCs w:val="24"/>
        </w:rPr>
        <w:t>3</w:t>
      </w:r>
      <w:r w:rsidR="00566E60" w:rsidRPr="00DC74F6">
        <w:rPr>
          <w:rFonts w:ascii="Times New Roman" w:hAnsi="Times New Roman" w:cs="Times New Roman"/>
          <w:sz w:val="24"/>
          <w:szCs w:val="24"/>
        </w:rPr>
        <w:t>0</w:t>
      </w:r>
      <w:r w:rsidR="00DE788E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="00566E60" w:rsidRPr="00DC74F6">
        <w:rPr>
          <w:rFonts w:ascii="Times New Roman" w:hAnsi="Times New Roman" w:cs="Times New Roman"/>
          <w:sz w:val="24"/>
          <w:szCs w:val="24"/>
        </w:rPr>
        <w:t>VI</w:t>
      </w:r>
      <w:r w:rsidR="00DE788E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Pr="00DC74F6">
        <w:rPr>
          <w:rFonts w:ascii="Times New Roman" w:hAnsi="Times New Roman" w:cs="Times New Roman"/>
          <w:sz w:val="24"/>
          <w:szCs w:val="24"/>
        </w:rPr>
        <w:t>201</w:t>
      </w:r>
      <w:r w:rsidR="00DE788E" w:rsidRPr="00DC74F6">
        <w:rPr>
          <w:rFonts w:ascii="Times New Roman" w:hAnsi="Times New Roman" w:cs="Times New Roman"/>
          <w:sz w:val="24"/>
          <w:szCs w:val="24"/>
        </w:rPr>
        <w:t>7</w:t>
      </w:r>
      <w:r w:rsidR="008121C5" w:rsidRPr="00DC74F6">
        <w:rPr>
          <w:rFonts w:ascii="Times New Roman" w:hAnsi="Times New Roman" w:cs="Times New Roman"/>
          <w:sz w:val="24"/>
          <w:szCs w:val="24"/>
        </w:rPr>
        <w:t> </w:t>
      </w:r>
      <w:r w:rsidRPr="00DC74F6">
        <w:rPr>
          <w:rFonts w:ascii="Times New Roman" w:hAnsi="Times New Roman" w:cs="Times New Roman"/>
          <w:sz w:val="24"/>
          <w:szCs w:val="24"/>
        </w:rPr>
        <w:t>r</w:t>
      </w:r>
      <w:r w:rsidR="00566E60" w:rsidRPr="00DC74F6">
        <w:rPr>
          <w:rFonts w:ascii="Times New Roman" w:hAnsi="Times New Roman" w:cs="Times New Roman"/>
          <w:sz w:val="24"/>
          <w:szCs w:val="24"/>
        </w:rPr>
        <w:t>.</w:t>
      </w:r>
      <w:r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="00DC74F6" w:rsidRPr="00DC74F6">
        <w:rPr>
          <w:rFonts w:ascii="Times New Roman" w:hAnsi="Times New Roman" w:cs="Times New Roman"/>
          <w:sz w:val="24"/>
          <w:szCs w:val="24"/>
        </w:rPr>
        <w:t xml:space="preserve">W analogicznym </w:t>
      </w:r>
      <w:r w:rsidR="00DC74F6">
        <w:rPr>
          <w:rFonts w:ascii="Times New Roman" w:hAnsi="Times New Roman" w:cs="Times New Roman"/>
          <w:sz w:val="24"/>
          <w:szCs w:val="24"/>
        </w:rPr>
        <w:t xml:space="preserve">stanie w </w:t>
      </w:r>
      <w:r w:rsidR="00DC74F6" w:rsidRPr="00DC74F6">
        <w:rPr>
          <w:rFonts w:ascii="Times New Roman" w:hAnsi="Times New Roman" w:cs="Times New Roman"/>
          <w:sz w:val="24"/>
          <w:szCs w:val="24"/>
        </w:rPr>
        <w:t>roku ubiegł</w:t>
      </w:r>
      <w:r w:rsidR="00DC74F6">
        <w:rPr>
          <w:rFonts w:ascii="Times New Roman" w:hAnsi="Times New Roman" w:cs="Times New Roman"/>
          <w:sz w:val="24"/>
          <w:szCs w:val="24"/>
        </w:rPr>
        <w:t>ym</w:t>
      </w:r>
      <w:r w:rsidR="00DC74F6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Pr="00DC74F6">
        <w:rPr>
          <w:rFonts w:ascii="Times New Roman" w:hAnsi="Times New Roman" w:cs="Times New Roman"/>
          <w:sz w:val="24"/>
          <w:szCs w:val="24"/>
        </w:rPr>
        <w:t>(</w:t>
      </w:r>
      <w:r w:rsidR="008121C5" w:rsidRPr="00DC74F6">
        <w:rPr>
          <w:rFonts w:ascii="Times New Roman" w:hAnsi="Times New Roman" w:cs="Times New Roman"/>
          <w:sz w:val="24"/>
          <w:szCs w:val="24"/>
        </w:rPr>
        <w:t>3</w:t>
      </w:r>
      <w:r w:rsidR="0092177C" w:rsidRPr="00DC74F6">
        <w:rPr>
          <w:rFonts w:ascii="Times New Roman" w:hAnsi="Times New Roman" w:cs="Times New Roman"/>
          <w:sz w:val="24"/>
          <w:szCs w:val="24"/>
        </w:rPr>
        <w:t>0</w:t>
      </w:r>
      <w:r w:rsidR="00DE788E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="0092177C" w:rsidRPr="00DC74F6">
        <w:rPr>
          <w:rFonts w:ascii="Times New Roman" w:hAnsi="Times New Roman" w:cs="Times New Roman"/>
          <w:sz w:val="24"/>
          <w:szCs w:val="24"/>
        </w:rPr>
        <w:t>VI</w:t>
      </w:r>
      <w:r w:rsidR="00DE788E" w:rsidRPr="00DC74F6">
        <w:rPr>
          <w:rFonts w:ascii="Times New Roman" w:hAnsi="Times New Roman" w:cs="Times New Roman"/>
          <w:sz w:val="24"/>
          <w:szCs w:val="24"/>
        </w:rPr>
        <w:t xml:space="preserve"> </w:t>
      </w:r>
      <w:r w:rsidRPr="00DC74F6">
        <w:rPr>
          <w:rFonts w:ascii="Times New Roman" w:hAnsi="Times New Roman" w:cs="Times New Roman"/>
          <w:sz w:val="24"/>
          <w:szCs w:val="24"/>
        </w:rPr>
        <w:t>201</w:t>
      </w:r>
      <w:r w:rsidR="00DE788E" w:rsidRPr="00DC74F6">
        <w:rPr>
          <w:rFonts w:ascii="Times New Roman" w:hAnsi="Times New Roman" w:cs="Times New Roman"/>
          <w:sz w:val="24"/>
          <w:szCs w:val="24"/>
        </w:rPr>
        <w:t>6</w:t>
      </w:r>
      <w:r w:rsidR="00AE5712" w:rsidRPr="00DC74F6">
        <w:rPr>
          <w:rFonts w:ascii="Times New Roman" w:hAnsi="Times New Roman" w:cs="Times New Roman"/>
          <w:sz w:val="24"/>
          <w:szCs w:val="24"/>
        </w:rPr>
        <w:t> r.</w:t>
      </w:r>
      <w:r w:rsidR="00DC74F6" w:rsidRPr="00DC74F6">
        <w:rPr>
          <w:rFonts w:ascii="Times New Roman" w:hAnsi="Times New Roman" w:cs="Times New Roman"/>
          <w:sz w:val="24"/>
          <w:szCs w:val="24"/>
        </w:rPr>
        <w:t>)</w:t>
      </w:r>
      <w:r w:rsidRPr="00DC74F6">
        <w:rPr>
          <w:rFonts w:ascii="Times New Roman" w:hAnsi="Times New Roman" w:cs="Times New Roman"/>
          <w:sz w:val="24"/>
          <w:szCs w:val="24"/>
        </w:rPr>
        <w:t xml:space="preserve"> – </w:t>
      </w:r>
      <w:r w:rsidR="00835543">
        <w:rPr>
          <w:rFonts w:ascii="Times New Roman" w:hAnsi="Times New Roman" w:cs="Times New Roman"/>
          <w:sz w:val="24"/>
          <w:szCs w:val="24"/>
        </w:rPr>
        <w:t>4</w:t>
      </w:r>
      <w:r w:rsidR="00D47256" w:rsidRPr="00DC74F6">
        <w:rPr>
          <w:rFonts w:ascii="Times New Roman" w:hAnsi="Times New Roman" w:cs="Times New Roman"/>
          <w:sz w:val="24"/>
          <w:szCs w:val="24"/>
        </w:rPr>
        <w:t>,</w:t>
      </w:r>
      <w:r w:rsidR="00DE788E" w:rsidRPr="00DC74F6">
        <w:rPr>
          <w:rFonts w:ascii="Times New Roman" w:hAnsi="Times New Roman" w:cs="Times New Roman"/>
          <w:sz w:val="24"/>
          <w:szCs w:val="24"/>
        </w:rPr>
        <w:t>3</w:t>
      </w:r>
      <w:r w:rsidRPr="00DC74F6">
        <w:rPr>
          <w:rFonts w:ascii="Times New Roman" w:hAnsi="Times New Roman" w:cs="Times New Roman"/>
          <w:sz w:val="24"/>
          <w:szCs w:val="24"/>
        </w:rPr>
        <w:t>%.</w:t>
      </w:r>
    </w:p>
    <w:p w:rsidR="0096006B" w:rsidRPr="00835543" w:rsidRDefault="005C14D0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543">
        <w:rPr>
          <w:rFonts w:ascii="Times New Roman" w:hAnsi="Times New Roman" w:cs="Times New Roman"/>
          <w:sz w:val="24"/>
          <w:szCs w:val="24"/>
        </w:rPr>
        <w:t>Z łącznej liczby nowo zarejestrowanych bezrobotnych</w:t>
      </w:r>
      <w:r w:rsidR="00AE5712" w:rsidRPr="00835543">
        <w:rPr>
          <w:rFonts w:ascii="Times New Roman" w:hAnsi="Times New Roman" w:cs="Times New Roman"/>
          <w:sz w:val="24"/>
          <w:szCs w:val="24"/>
        </w:rPr>
        <w:t xml:space="preserve"> w </w:t>
      </w:r>
      <w:r w:rsidR="004E1069" w:rsidRPr="00835543">
        <w:rPr>
          <w:rFonts w:ascii="Times New Roman" w:hAnsi="Times New Roman" w:cs="Times New Roman"/>
          <w:sz w:val="24"/>
          <w:szCs w:val="24"/>
        </w:rPr>
        <w:t xml:space="preserve">I półroczu </w:t>
      </w:r>
      <w:r w:rsidRPr="00835543">
        <w:rPr>
          <w:rFonts w:ascii="Times New Roman" w:hAnsi="Times New Roman" w:cs="Times New Roman"/>
          <w:sz w:val="24"/>
          <w:szCs w:val="24"/>
        </w:rPr>
        <w:t>201</w:t>
      </w:r>
      <w:r w:rsidR="004C4C5D" w:rsidRPr="00835543">
        <w:rPr>
          <w:rFonts w:ascii="Times New Roman" w:hAnsi="Times New Roman" w:cs="Times New Roman"/>
          <w:sz w:val="24"/>
          <w:szCs w:val="24"/>
        </w:rPr>
        <w:t>7</w:t>
      </w:r>
      <w:r w:rsidRPr="00835543">
        <w:rPr>
          <w:rFonts w:ascii="Times New Roman" w:hAnsi="Times New Roman" w:cs="Times New Roman"/>
          <w:sz w:val="24"/>
          <w:szCs w:val="24"/>
        </w:rPr>
        <w:t xml:space="preserve"> r</w:t>
      </w:r>
      <w:r w:rsidR="004E1069" w:rsidRPr="00835543">
        <w:rPr>
          <w:rFonts w:ascii="Times New Roman" w:hAnsi="Times New Roman" w:cs="Times New Roman"/>
          <w:sz w:val="24"/>
          <w:szCs w:val="24"/>
        </w:rPr>
        <w:t>.</w:t>
      </w:r>
      <w:r w:rsidRPr="00835543">
        <w:rPr>
          <w:rFonts w:ascii="Times New Roman" w:hAnsi="Times New Roman" w:cs="Times New Roman"/>
          <w:sz w:val="24"/>
          <w:szCs w:val="24"/>
        </w:rPr>
        <w:t xml:space="preserve"> </w:t>
      </w:r>
      <w:r w:rsidR="008121C5" w:rsidRPr="00835543">
        <w:rPr>
          <w:rFonts w:ascii="Times New Roman" w:hAnsi="Times New Roman" w:cs="Times New Roman"/>
          <w:sz w:val="24"/>
          <w:szCs w:val="24"/>
        </w:rPr>
        <w:t>(</w:t>
      </w:r>
      <w:r w:rsidR="00581F58" w:rsidRPr="00835543">
        <w:rPr>
          <w:rFonts w:ascii="Times New Roman" w:hAnsi="Times New Roman" w:cs="Times New Roman"/>
          <w:sz w:val="24"/>
          <w:szCs w:val="24"/>
        </w:rPr>
        <w:t>62</w:t>
      </w:r>
      <w:r w:rsidR="008121C5" w:rsidRPr="00835543">
        <w:rPr>
          <w:rFonts w:ascii="Times New Roman" w:hAnsi="Times New Roman" w:cs="Times New Roman"/>
          <w:sz w:val="24"/>
          <w:szCs w:val="24"/>
        </w:rPr>
        <w:t> </w:t>
      </w:r>
      <w:r w:rsidR="00581F58" w:rsidRPr="00835543">
        <w:rPr>
          <w:rFonts w:ascii="Times New Roman" w:hAnsi="Times New Roman" w:cs="Times New Roman"/>
          <w:sz w:val="24"/>
          <w:szCs w:val="24"/>
        </w:rPr>
        <w:t>974</w:t>
      </w:r>
      <w:r w:rsidR="008121C5" w:rsidRPr="00835543">
        <w:rPr>
          <w:rFonts w:ascii="Times New Roman" w:hAnsi="Times New Roman" w:cs="Times New Roman"/>
          <w:sz w:val="24"/>
          <w:szCs w:val="24"/>
        </w:rPr>
        <w:t xml:space="preserve"> os</w:t>
      </w:r>
      <w:r w:rsidR="00581F58" w:rsidRPr="00835543">
        <w:rPr>
          <w:rFonts w:ascii="Times New Roman" w:hAnsi="Times New Roman" w:cs="Times New Roman"/>
          <w:sz w:val="24"/>
          <w:szCs w:val="24"/>
        </w:rPr>
        <w:t>o</w:t>
      </w:r>
      <w:r w:rsidR="008121C5" w:rsidRPr="00835543">
        <w:rPr>
          <w:rFonts w:ascii="Times New Roman" w:hAnsi="Times New Roman" w:cs="Times New Roman"/>
          <w:sz w:val="24"/>
          <w:szCs w:val="24"/>
        </w:rPr>
        <w:t>b</w:t>
      </w:r>
      <w:r w:rsidR="00581F58" w:rsidRPr="00835543">
        <w:rPr>
          <w:rFonts w:ascii="Times New Roman" w:hAnsi="Times New Roman" w:cs="Times New Roman"/>
          <w:sz w:val="24"/>
          <w:szCs w:val="24"/>
        </w:rPr>
        <w:t>y</w:t>
      </w:r>
      <w:r w:rsidR="008121C5" w:rsidRPr="00835543">
        <w:rPr>
          <w:rFonts w:ascii="Times New Roman" w:hAnsi="Times New Roman" w:cs="Times New Roman"/>
          <w:sz w:val="24"/>
          <w:szCs w:val="24"/>
        </w:rPr>
        <w:t>)</w:t>
      </w:r>
      <w:r w:rsidR="009824F3" w:rsidRPr="00835543">
        <w:rPr>
          <w:rFonts w:ascii="Times New Roman" w:hAnsi="Times New Roman" w:cs="Times New Roman"/>
          <w:sz w:val="24"/>
          <w:szCs w:val="24"/>
        </w:rPr>
        <w:t xml:space="preserve"> </w:t>
      </w:r>
      <w:r w:rsidR="004E1069" w:rsidRPr="00835543">
        <w:rPr>
          <w:rFonts w:ascii="Times New Roman" w:hAnsi="Times New Roman" w:cs="Times New Roman"/>
          <w:sz w:val="24"/>
          <w:szCs w:val="24"/>
        </w:rPr>
        <w:t>2</w:t>
      </w:r>
      <w:r w:rsidR="008121C5" w:rsidRPr="00835543">
        <w:rPr>
          <w:rFonts w:ascii="Times New Roman" w:hAnsi="Times New Roman" w:cs="Times New Roman"/>
          <w:sz w:val="24"/>
          <w:szCs w:val="24"/>
        </w:rPr>
        <w:t> </w:t>
      </w:r>
      <w:r w:rsidR="00EE2A85" w:rsidRPr="00835543">
        <w:rPr>
          <w:rFonts w:ascii="Times New Roman" w:hAnsi="Times New Roman" w:cs="Times New Roman"/>
          <w:sz w:val="24"/>
          <w:szCs w:val="24"/>
        </w:rPr>
        <w:t>415</w:t>
      </w:r>
      <w:r w:rsidRPr="00835543">
        <w:rPr>
          <w:rFonts w:ascii="Times New Roman" w:hAnsi="Times New Roman" w:cs="Times New Roman"/>
          <w:sz w:val="24"/>
          <w:szCs w:val="24"/>
        </w:rPr>
        <w:t xml:space="preserve"> </w:t>
      </w:r>
      <w:r w:rsidR="00EE2A85" w:rsidRPr="00835543">
        <w:rPr>
          <w:rFonts w:ascii="Times New Roman" w:hAnsi="Times New Roman" w:cs="Times New Roman"/>
          <w:sz w:val="24"/>
          <w:szCs w:val="24"/>
        </w:rPr>
        <w:t>bezrobotnych</w:t>
      </w:r>
      <w:r w:rsidR="00835543" w:rsidRPr="00835543">
        <w:rPr>
          <w:rFonts w:ascii="Times New Roman" w:hAnsi="Times New Roman" w:cs="Times New Roman"/>
          <w:sz w:val="24"/>
          <w:szCs w:val="24"/>
        </w:rPr>
        <w:t xml:space="preserve"> – </w:t>
      </w:r>
      <w:r w:rsidR="004E1069" w:rsidRPr="00835543">
        <w:rPr>
          <w:rFonts w:ascii="Times New Roman" w:hAnsi="Times New Roman" w:cs="Times New Roman"/>
          <w:sz w:val="24"/>
          <w:szCs w:val="24"/>
        </w:rPr>
        <w:t>3</w:t>
      </w:r>
      <w:r w:rsidR="004F1CA8" w:rsidRPr="00835543">
        <w:rPr>
          <w:rFonts w:ascii="Times New Roman" w:hAnsi="Times New Roman" w:cs="Times New Roman"/>
          <w:sz w:val="24"/>
          <w:szCs w:val="24"/>
        </w:rPr>
        <w:t>,</w:t>
      </w:r>
      <w:r w:rsidR="00EE2A85" w:rsidRPr="00835543">
        <w:rPr>
          <w:rFonts w:ascii="Times New Roman" w:hAnsi="Times New Roman" w:cs="Times New Roman"/>
          <w:sz w:val="24"/>
          <w:szCs w:val="24"/>
        </w:rPr>
        <w:t>8</w:t>
      </w:r>
      <w:r w:rsidRPr="00835543">
        <w:rPr>
          <w:rFonts w:ascii="Times New Roman" w:hAnsi="Times New Roman" w:cs="Times New Roman"/>
          <w:sz w:val="24"/>
          <w:szCs w:val="24"/>
        </w:rPr>
        <w:t>% przed zarejestrowaniem</w:t>
      </w:r>
      <w:r w:rsidR="004E1069" w:rsidRPr="00835543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835543">
        <w:rPr>
          <w:rFonts w:ascii="Times New Roman" w:hAnsi="Times New Roman" w:cs="Times New Roman"/>
          <w:sz w:val="24"/>
          <w:szCs w:val="24"/>
        </w:rPr>
        <w:t>w</w:t>
      </w:r>
      <w:r w:rsidR="004E1069" w:rsidRPr="00835543">
        <w:rPr>
          <w:rFonts w:ascii="Times New Roman" w:hAnsi="Times New Roman" w:cs="Times New Roman"/>
          <w:sz w:val="24"/>
          <w:szCs w:val="24"/>
        </w:rPr>
        <w:t xml:space="preserve"> </w:t>
      </w:r>
      <w:r w:rsidRPr="00835543">
        <w:rPr>
          <w:rFonts w:ascii="Times New Roman" w:hAnsi="Times New Roman" w:cs="Times New Roman"/>
          <w:sz w:val="24"/>
          <w:szCs w:val="24"/>
        </w:rPr>
        <w:t>powiatowym urzędzie pracy</w:t>
      </w:r>
      <w:r w:rsidR="00EE2A85" w:rsidRPr="00835543">
        <w:rPr>
          <w:rFonts w:ascii="Times New Roman" w:hAnsi="Times New Roman" w:cs="Times New Roman"/>
          <w:sz w:val="24"/>
          <w:szCs w:val="24"/>
        </w:rPr>
        <w:t xml:space="preserve"> – </w:t>
      </w:r>
      <w:r w:rsidRPr="00835543">
        <w:rPr>
          <w:rFonts w:ascii="Times New Roman" w:hAnsi="Times New Roman" w:cs="Times New Roman"/>
          <w:sz w:val="24"/>
          <w:szCs w:val="24"/>
        </w:rPr>
        <w:t>było uprz</w:t>
      </w:r>
      <w:r w:rsidR="00FA0C9C" w:rsidRPr="00835543">
        <w:rPr>
          <w:rFonts w:ascii="Times New Roman" w:hAnsi="Times New Roman" w:cs="Times New Roman"/>
          <w:sz w:val="24"/>
          <w:szCs w:val="24"/>
        </w:rPr>
        <w:t>ednio zwolnionych</w:t>
      </w:r>
      <w:r w:rsidR="00AE5712" w:rsidRPr="00835543">
        <w:rPr>
          <w:rFonts w:ascii="Times New Roman" w:hAnsi="Times New Roman" w:cs="Times New Roman"/>
          <w:sz w:val="24"/>
          <w:szCs w:val="24"/>
        </w:rPr>
        <w:t xml:space="preserve"> z </w:t>
      </w:r>
      <w:r w:rsidR="00FA0C9C" w:rsidRPr="00835543">
        <w:rPr>
          <w:rFonts w:ascii="Times New Roman" w:hAnsi="Times New Roman" w:cs="Times New Roman"/>
          <w:sz w:val="24"/>
          <w:szCs w:val="24"/>
        </w:rPr>
        <w:t>przyczyn leż</w:t>
      </w:r>
      <w:r w:rsidRPr="00835543">
        <w:rPr>
          <w:rFonts w:ascii="Times New Roman" w:hAnsi="Times New Roman" w:cs="Times New Roman"/>
          <w:sz w:val="24"/>
          <w:szCs w:val="24"/>
        </w:rPr>
        <w:t>ących po stronie zakładu pracy</w:t>
      </w:r>
      <w:r w:rsidR="00835543" w:rsidRPr="00835543">
        <w:rPr>
          <w:rFonts w:ascii="Times New Roman" w:hAnsi="Times New Roman" w:cs="Times New Roman"/>
          <w:sz w:val="24"/>
          <w:szCs w:val="24"/>
        </w:rPr>
        <w:t>.</w:t>
      </w:r>
      <w:r w:rsidR="004C4C5D" w:rsidRPr="00835543">
        <w:rPr>
          <w:rFonts w:ascii="Times New Roman" w:hAnsi="Times New Roman" w:cs="Times New Roman"/>
          <w:sz w:val="24"/>
          <w:szCs w:val="24"/>
        </w:rPr>
        <w:t xml:space="preserve"> </w:t>
      </w:r>
      <w:r w:rsidR="00835543" w:rsidRPr="00835543">
        <w:rPr>
          <w:rFonts w:ascii="Times New Roman" w:hAnsi="Times New Roman" w:cs="Times New Roman"/>
          <w:sz w:val="24"/>
          <w:szCs w:val="24"/>
        </w:rPr>
        <w:t>W </w:t>
      </w:r>
      <w:r w:rsidRPr="00835543">
        <w:rPr>
          <w:rFonts w:ascii="Times New Roman" w:hAnsi="Times New Roman" w:cs="Times New Roman"/>
          <w:sz w:val="24"/>
          <w:szCs w:val="24"/>
        </w:rPr>
        <w:t xml:space="preserve">okresie </w:t>
      </w:r>
      <w:r w:rsidR="004E1069" w:rsidRPr="00835543">
        <w:rPr>
          <w:rFonts w:ascii="Times New Roman" w:hAnsi="Times New Roman" w:cs="Times New Roman"/>
          <w:sz w:val="24"/>
          <w:szCs w:val="24"/>
        </w:rPr>
        <w:t xml:space="preserve">I półrocza </w:t>
      </w:r>
      <w:r w:rsidRPr="00835543">
        <w:rPr>
          <w:rFonts w:ascii="Times New Roman" w:hAnsi="Times New Roman" w:cs="Times New Roman"/>
          <w:sz w:val="24"/>
          <w:szCs w:val="24"/>
        </w:rPr>
        <w:t>201</w:t>
      </w:r>
      <w:r w:rsidR="004C4C5D" w:rsidRPr="00835543">
        <w:rPr>
          <w:rFonts w:ascii="Times New Roman" w:hAnsi="Times New Roman" w:cs="Times New Roman"/>
          <w:sz w:val="24"/>
          <w:szCs w:val="24"/>
        </w:rPr>
        <w:t>6</w:t>
      </w:r>
      <w:r w:rsidR="00AE5712" w:rsidRPr="00835543">
        <w:rPr>
          <w:rFonts w:ascii="Times New Roman" w:hAnsi="Times New Roman" w:cs="Times New Roman"/>
          <w:sz w:val="24"/>
          <w:szCs w:val="24"/>
        </w:rPr>
        <w:t> r.</w:t>
      </w:r>
      <w:r w:rsidRPr="00835543">
        <w:rPr>
          <w:rFonts w:ascii="Times New Roman" w:hAnsi="Times New Roman" w:cs="Times New Roman"/>
          <w:sz w:val="24"/>
          <w:szCs w:val="24"/>
        </w:rPr>
        <w:t xml:space="preserve"> </w:t>
      </w:r>
      <w:r w:rsidR="00147AD0" w:rsidRPr="00835543">
        <w:rPr>
          <w:rFonts w:ascii="Times New Roman" w:hAnsi="Times New Roman" w:cs="Times New Roman"/>
          <w:sz w:val="24"/>
          <w:szCs w:val="24"/>
        </w:rPr>
        <w:t xml:space="preserve">odsetek </w:t>
      </w:r>
      <w:r w:rsidR="00FA0C9C" w:rsidRPr="00835543">
        <w:rPr>
          <w:rFonts w:ascii="Times New Roman" w:hAnsi="Times New Roman" w:cs="Times New Roman"/>
          <w:sz w:val="24"/>
          <w:szCs w:val="24"/>
        </w:rPr>
        <w:t xml:space="preserve">ten </w:t>
      </w:r>
      <w:r w:rsidR="00147AD0" w:rsidRPr="00835543">
        <w:rPr>
          <w:rFonts w:ascii="Times New Roman" w:hAnsi="Times New Roman" w:cs="Times New Roman"/>
          <w:sz w:val="24"/>
          <w:szCs w:val="24"/>
        </w:rPr>
        <w:t>wyniósł</w:t>
      </w:r>
      <w:r w:rsidR="00835543" w:rsidRPr="00835543">
        <w:rPr>
          <w:rFonts w:ascii="Times New Roman" w:hAnsi="Times New Roman" w:cs="Times New Roman"/>
          <w:sz w:val="24"/>
          <w:szCs w:val="24"/>
        </w:rPr>
        <w:t xml:space="preserve"> – </w:t>
      </w:r>
      <w:r w:rsidR="004C4C5D" w:rsidRPr="00835543">
        <w:rPr>
          <w:rFonts w:ascii="Times New Roman" w:hAnsi="Times New Roman" w:cs="Times New Roman"/>
          <w:sz w:val="24"/>
          <w:szCs w:val="24"/>
        </w:rPr>
        <w:t>3</w:t>
      </w:r>
      <w:r w:rsidR="004E1069" w:rsidRPr="00835543">
        <w:rPr>
          <w:rFonts w:ascii="Times New Roman" w:hAnsi="Times New Roman" w:cs="Times New Roman"/>
          <w:sz w:val="24"/>
          <w:szCs w:val="24"/>
        </w:rPr>
        <w:t>,</w:t>
      </w:r>
      <w:r w:rsidR="004C4C5D" w:rsidRPr="00835543">
        <w:rPr>
          <w:rFonts w:ascii="Times New Roman" w:hAnsi="Times New Roman" w:cs="Times New Roman"/>
          <w:sz w:val="24"/>
          <w:szCs w:val="24"/>
        </w:rPr>
        <w:t>6</w:t>
      </w:r>
      <w:r w:rsidRPr="00835543">
        <w:rPr>
          <w:rFonts w:ascii="Times New Roman" w:hAnsi="Times New Roman" w:cs="Times New Roman"/>
          <w:sz w:val="24"/>
          <w:szCs w:val="24"/>
        </w:rPr>
        <w:t>%.</w:t>
      </w:r>
    </w:p>
    <w:p w:rsidR="004B592D" w:rsidRPr="00FE21E0" w:rsidRDefault="00262048" w:rsidP="00650131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479">
        <w:rPr>
          <w:rFonts w:ascii="Times New Roman" w:hAnsi="Times New Roman" w:cs="Times New Roman"/>
          <w:sz w:val="24"/>
          <w:szCs w:val="24"/>
        </w:rPr>
        <w:t>W I półroczu 201</w:t>
      </w:r>
      <w:r w:rsidR="004C4C5D" w:rsidRPr="00FA4479">
        <w:rPr>
          <w:rFonts w:ascii="Times New Roman" w:hAnsi="Times New Roman" w:cs="Times New Roman"/>
          <w:sz w:val="24"/>
          <w:szCs w:val="24"/>
        </w:rPr>
        <w:t>7</w:t>
      </w:r>
      <w:r w:rsidRPr="00FA4479">
        <w:rPr>
          <w:rFonts w:ascii="Times New Roman" w:hAnsi="Times New Roman" w:cs="Times New Roman"/>
          <w:sz w:val="24"/>
          <w:szCs w:val="24"/>
        </w:rPr>
        <w:t xml:space="preserve"> r</w:t>
      </w:r>
      <w:r w:rsidR="004C4C5D" w:rsidRPr="00FA4479">
        <w:rPr>
          <w:rFonts w:ascii="Times New Roman" w:hAnsi="Times New Roman" w:cs="Times New Roman"/>
          <w:sz w:val="24"/>
          <w:szCs w:val="24"/>
        </w:rPr>
        <w:t>.</w:t>
      </w:r>
      <w:r w:rsidRPr="00FA4479">
        <w:rPr>
          <w:rFonts w:ascii="Times New Roman" w:hAnsi="Times New Roman" w:cs="Times New Roman"/>
          <w:sz w:val="24"/>
          <w:szCs w:val="24"/>
        </w:rPr>
        <w:t xml:space="preserve"> odnotowano </w:t>
      </w:r>
      <w:r w:rsidR="003575B2" w:rsidRPr="00FA4479">
        <w:rPr>
          <w:rFonts w:ascii="Times New Roman" w:hAnsi="Times New Roman" w:cs="Times New Roman"/>
          <w:sz w:val="24"/>
          <w:szCs w:val="24"/>
        </w:rPr>
        <w:t xml:space="preserve">wyższy niż w analogicznym okresie roku ubiegłego </w:t>
      </w:r>
      <w:r w:rsidRPr="00FA4479">
        <w:rPr>
          <w:rFonts w:ascii="Times New Roman" w:hAnsi="Times New Roman" w:cs="Times New Roman"/>
          <w:sz w:val="24"/>
          <w:szCs w:val="24"/>
        </w:rPr>
        <w:t>poziom zwolnień z przyczyn dotyczących zakładu pracy (</w:t>
      </w:r>
      <w:r w:rsidR="004B592D" w:rsidRPr="00FA4479">
        <w:rPr>
          <w:rFonts w:ascii="Times New Roman" w:hAnsi="Times New Roman" w:cs="Times New Roman"/>
          <w:sz w:val="24"/>
          <w:szCs w:val="24"/>
        </w:rPr>
        <w:t>348</w:t>
      </w:r>
      <w:r w:rsidRPr="00FA4479">
        <w:rPr>
          <w:rFonts w:ascii="Times New Roman" w:hAnsi="Times New Roman" w:cs="Times New Roman"/>
          <w:sz w:val="24"/>
          <w:szCs w:val="24"/>
        </w:rPr>
        <w:t xml:space="preserve"> os</w:t>
      </w:r>
      <w:r w:rsidR="004B592D" w:rsidRPr="00FA4479">
        <w:rPr>
          <w:rFonts w:ascii="Times New Roman" w:hAnsi="Times New Roman" w:cs="Times New Roman"/>
          <w:sz w:val="24"/>
          <w:szCs w:val="24"/>
        </w:rPr>
        <w:t>ó</w:t>
      </w:r>
      <w:r w:rsidRPr="00FA4479">
        <w:rPr>
          <w:rFonts w:ascii="Times New Roman" w:hAnsi="Times New Roman" w:cs="Times New Roman"/>
          <w:sz w:val="24"/>
          <w:szCs w:val="24"/>
        </w:rPr>
        <w:t>b</w:t>
      </w:r>
      <w:r w:rsidR="004B592D" w:rsidRPr="00FA4479">
        <w:rPr>
          <w:rFonts w:ascii="Times New Roman" w:hAnsi="Times New Roman" w:cs="Times New Roman"/>
          <w:sz w:val="24"/>
          <w:szCs w:val="24"/>
        </w:rPr>
        <w:t xml:space="preserve"> vs. 92 osoby</w:t>
      </w:r>
      <w:r w:rsidRPr="00FA4479">
        <w:rPr>
          <w:rFonts w:ascii="Times New Roman" w:hAnsi="Times New Roman" w:cs="Times New Roman"/>
          <w:sz w:val="24"/>
          <w:szCs w:val="24"/>
        </w:rPr>
        <w:t>).</w:t>
      </w:r>
    </w:p>
    <w:p w:rsidR="00FE21E0" w:rsidRDefault="00FE21E0" w:rsidP="00FE21E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472DC" w:rsidRDefault="004472DC" w:rsidP="00FE21E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472DC" w:rsidRDefault="004472DC" w:rsidP="00FE21E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472DC" w:rsidRDefault="004472DC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br w:type="page"/>
      </w:r>
    </w:p>
    <w:p w:rsidR="00FE21E0" w:rsidRPr="00742AD6" w:rsidRDefault="00FE21E0" w:rsidP="00FE21E0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color w:val="000000" w:themeColor="text1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Cs w:val="24"/>
        </w:rPr>
        <w:lastRenderedPageBreak/>
        <w:t>W</w:t>
      </w:r>
      <w:r w:rsidR="009F31FF">
        <w:rPr>
          <w:rFonts w:ascii="Times New Roman" w:hAnsi="Times New Roman" w:cs="Times New Roman"/>
          <w:bCs/>
          <w:color w:val="000000" w:themeColor="text1"/>
          <w:szCs w:val="24"/>
        </w:rPr>
        <w:t>4</w:t>
      </w:r>
      <w:r>
        <w:rPr>
          <w:rFonts w:ascii="Times New Roman" w:hAnsi="Times New Roman" w:cs="Times New Roman"/>
          <w:bCs/>
          <w:color w:val="000000" w:themeColor="text1"/>
          <w:szCs w:val="24"/>
        </w:rPr>
        <w:t xml:space="preserve">. Zgłoszenia zwolnień grupowych i zwolnienia </w:t>
      </w:r>
      <w:r w:rsidRPr="00742AD6">
        <w:rPr>
          <w:rFonts w:ascii="Times New Roman" w:hAnsi="Times New Roman" w:cs="Times New Roman"/>
          <w:bCs/>
          <w:color w:val="000000" w:themeColor="text1"/>
          <w:szCs w:val="24"/>
        </w:rPr>
        <w:t>(</w:t>
      </w:r>
      <w:r>
        <w:rPr>
          <w:rFonts w:ascii="Times New Roman" w:hAnsi="Times New Roman" w:cs="Times New Roman"/>
          <w:bCs/>
          <w:color w:val="000000" w:themeColor="text1"/>
          <w:szCs w:val="24"/>
        </w:rPr>
        <w:t>osoby</w:t>
      </w:r>
      <w:r w:rsidRPr="00742AD6">
        <w:rPr>
          <w:rFonts w:ascii="Times New Roman" w:hAnsi="Times New Roman" w:cs="Times New Roman"/>
          <w:bCs/>
          <w:color w:val="000000" w:themeColor="text1"/>
          <w:szCs w:val="24"/>
        </w:rPr>
        <w:t>)</w:t>
      </w:r>
      <w:r>
        <w:rPr>
          <w:rFonts w:ascii="Times New Roman" w:hAnsi="Times New Roman" w:cs="Times New Roman"/>
          <w:bCs/>
          <w:color w:val="000000" w:themeColor="text1"/>
          <w:szCs w:val="24"/>
        </w:rPr>
        <w:t xml:space="preserve"> w </w:t>
      </w:r>
      <w:r w:rsidRPr="00742AD6">
        <w:rPr>
          <w:rFonts w:ascii="Times New Roman" w:hAnsi="Times New Roman" w:cs="Times New Roman"/>
          <w:bCs/>
          <w:color w:val="000000" w:themeColor="text1"/>
          <w:szCs w:val="24"/>
        </w:rPr>
        <w:t>I półroczach</w:t>
      </w:r>
      <w:r>
        <w:rPr>
          <w:rFonts w:ascii="Times New Roman" w:hAnsi="Times New Roman" w:cs="Times New Roman"/>
          <w:bCs/>
          <w:color w:val="000000" w:themeColor="text1"/>
          <w:szCs w:val="24"/>
        </w:rPr>
        <w:t>,</w:t>
      </w:r>
      <w:r w:rsidRPr="00742AD6">
        <w:rPr>
          <w:rFonts w:ascii="Times New Roman" w:hAnsi="Times New Roman" w:cs="Times New Roman"/>
          <w:bCs/>
          <w:color w:val="000000" w:themeColor="text1"/>
          <w:szCs w:val="24"/>
        </w:rPr>
        <w:t xml:space="preserve"> lata 2007 – 2017</w:t>
      </w:r>
    </w:p>
    <w:p w:rsidR="00FE21E0" w:rsidRPr="00FE21E0" w:rsidRDefault="00FE21E0" w:rsidP="00FE21E0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751424" behindDoc="0" locked="0" layoutInCell="1" allowOverlap="1" wp14:anchorId="33A1D250" wp14:editId="620E1237">
            <wp:simplePos x="0" y="0"/>
            <wp:positionH relativeFrom="column">
              <wp:posOffset>5080</wp:posOffset>
            </wp:positionH>
            <wp:positionV relativeFrom="paragraph">
              <wp:posOffset>132080</wp:posOffset>
            </wp:positionV>
            <wp:extent cx="5923280" cy="2592070"/>
            <wp:effectExtent l="0" t="0" r="0" b="0"/>
            <wp:wrapSquare wrapText="bothSides"/>
            <wp:docPr id="9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5B2" w:rsidRPr="00697DAE" w:rsidRDefault="000D0FED" w:rsidP="00650131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7DAE">
        <w:rPr>
          <w:rFonts w:ascii="Times New Roman" w:hAnsi="Times New Roman" w:cs="Times New Roman"/>
          <w:sz w:val="24"/>
          <w:szCs w:val="24"/>
        </w:rPr>
        <w:t xml:space="preserve">Zwolnienia te nie przebiły 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jednak okresu kumulacji </w:t>
      </w:r>
      <w:r w:rsidR="00CC6D8E" w:rsidRPr="00697DAE">
        <w:rPr>
          <w:rFonts w:ascii="Times New Roman" w:hAnsi="Times New Roman" w:cs="Times New Roman"/>
          <w:sz w:val="24"/>
          <w:szCs w:val="24"/>
        </w:rPr>
        <w:t xml:space="preserve">tj. </w:t>
      </w:r>
      <w:r w:rsidR="003575B2" w:rsidRPr="00697DAE">
        <w:rPr>
          <w:rFonts w:ascii="Times New Roman" w:hAnsi="Times New Roman" w:cs="Times New Roman"/>
          <w:sz w:val="24"/>
          <w:szCs w:val="24"/>
        </w:rPr>
        <w:t>I półrocz</w:t>
      </w:r>
      <w:r w:rsidR="00CC6D8E" w:rsidRPr="00697DAE">
        <w:rPr>
          <w:rFonts w:ascii="Times New Roman" w:hAnsi="Times New Roman" w:cs="Times New Roman"/>
          <w:sz w:val="24"/>
          <w:szCs w:val="24"/>
        </w:rPr>
        <w:t>a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2009 r</w:t>
      </w:r>
      <w:r w:rsidR="00CC6D8E" w:rsidRPr="00697DAE">
        <w:rPr>
          <w:rFonts w:ascii="Times New Roman" w:hAnsi="Times New Roman" w:cs="Times New Roman"/>
          <w:sz w:val="24"/>
          <w:szCs w:val="24"/>
        </w:rPr>
        <w:t>.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– będące</w:t>
      </w:r>
      <w:r w:rsidR="00CC6D8E" w:rsidRPr="00697DAE">
        <w:rPr>
          <w:rFonts w:ascii="Times New Roman" w:hAnsi="Times New Roman" w:cs="Times New Roman"/>
          <w:sz w:val="24"/>
          <w:szCs w:val="24"/>
        </w:rPr>
        <w:t>go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n</w:t>
      </w:r>
      <w:r w:rsidR="00650131" w:rsidRPr="00697DAE">
        <w:rPr>
          <w:rFonts w:ascii="Times New Roman" w:hAnsi="Times New Roman" w:cs="Times New Roman"/>
          <w:sz w:val="24"/>
          <w:szCs w:val="24"/>
        </w:rPr>
        <w:t xml:space="preserve">ajbardziej </w:t>
      </w:r>
      <w:bookmarkStart w:id="17" w:name="_GoBack"/>
      <w:bookmarkEnd w:id="17"/>
      <w:r w:rsidR="00650131" w:rsidRPr="00697DAE">
        <w:rPr>
          <w:rFonts w:ascii="Times New Roman" w:hAnsi="Times New Roman" w:cs="Times New Roman"/>
          <w:sz w:val="24"/>
          <w:szCs w:val="24"/>
        </w:rPr>
        <w:t>niekorzystn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ym </w:t>
      </w:r>
      <w:r w:rsidR="00650131" w:rsidRPr="00697DAE">
        <w:rPr>
          <w:rFonts w:ascii="Times New Roman" w:hAnsi="Times New Roman" w:cs="Times New Roman"/>
          <w:sz w:val="24"/>
          <w:szCs w:val="24"/>
        </w:rPr>
        <w:t>pod tym względem</w:t>
      </w:r>
      <w:r w:rsidR="004B592D" w:rsidRPr="00697DAE">
        <w:rPr>
          <w:rFonts w:ascii="Times New Roman" w:hAnsi="Times New Roman" w:cs="Times New Roman"/>
          <w:sz w:val="24"/>
          <w:szCs w:val="24"/>
        </w:rPr>
        <w:t>.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</w:t>
      </w:r>
      <w:r w:rsidRPr="00697DAE">
        <w:rPr>
          <w:rFonts w:ascii="Times New Roman" w:hAnsi="Times New Roman" w:cs="Times New Roman"/>
          <w:sz w:val="24"/>
          <w:szCs w:val="24"/>
        </w:rPr>
        <w:t>Gdzie n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a 2. miejscu </w:t>
      </w:r>
      <w:r w:rsidRPr="00697DAE">
        <w:rPr>
          <w:rFonts w:ascii="Times New Roman" w:hAnsi="Times New Roman" w:cs="Times New Roman"/>
          <w:sz w:val="24"/>
          <w:szCs w:val="24"/>
        </w:rPr>
        <w:t xml:space="preserve">uplasował się </w:t>
      </w:r>
      <w:r w:rsidR="00CC6D8E" w:rsidRPr="00697DAE">
        <w:rPr>
          <w:rFonts w:ascii="Times New Roman" w:hAnsi="Times New Roman" w:cs="Times New Roman"/>
          <w:sz w:val="24"/>
          <w:szCs w:val="24"/>
        </w:rPr>
        <w:t>okres</w:t>
      </w:r>
      <w:r w:rsidR="004B592D" w:rsidRPr="00697DAE">
        <w:rPr>
          <w:rFonts w:ascii="Times New Roman" w:hAnsi="Times New Roman" w:cs="Times New Roman"/>
          <w:sz w:val="24"/>
          <w:szCs w:val="24"/>
        </w:rPr>
        <w:t xml:space="preserve"> </w:t>
      </w:r>
      <w:r w:rsidR="004255E5" w:rsidRPr="00697DAE">
        <w:rPr>
          <w:rFonts w:ascii="Times New Roman" w:hAnsi="Times New Roman" w:cs="Times New Roman"/>
          <w:sz w:val="24"/>
          <w:szCs w:val="24"/>
        </w:rPr>
        <w:t>I</w:t>
      </w:r>
      <w:r w:rsidRPr="00697DAE">
        <w:rPr>
          <w:rFonts w:ascii="Times New Roman" w:hAnsi="Times New Roman" w:cs="Times New Roman"/>
          <w:sz w:val="24"/>
          <w:szCs w:val="24"/>
        </w:rPr>
        <w:t> </w:t>
      </w:r>
      <w:r w:rsidR="004255E5" w:rsidRPr="00697DAE">
        <w:rPr>
          <w:rFonts w:ascii="Times New Roman" w:hAnsi="Times New Roman" w:cs="Times New Roman"/>
          <w:sz w:val="24"/>
          <w:szCs w:val="24"/>
        </w:rPr>
        <w:t>półrocz</w:t>
      </w:r>
      <w:r w:rsidR="00CC6D8E" w:rsidRPr="00697DAE">
        <w:rPr>
          <w:rFonts w:ascii="Times New Roman" w:hAnsi="Times New Roman" w:cs="Times New Roman"/>
          <w:sz w:val="24"/>
          <w:szCs w:val="24"/>
        </w:rPr>
        <w:t>a</w:t>
      </w:r>
      <w:r w:rsidR="004255E5" w:rsidRPr="00697DAE">
        <w:rPr>
          <w:rFonts w:ascii="Times New Roman" w:hAnsi="Times New Roman" w:cs="Times New Roman"/>
          <w:sz w:val="24"/>
          <w:szCs w:val="24"/>
        </w:rPr>
        <w:t xml:space="preserve"> 2011 r</w:t>
      </w:r>
      <w:r w:rsidR="00CC6D8E" w:rsidRPr="00697DAE">
        <w:rPr>
          <w:rFonts w:ascii="Times New Roman" w:hAnsi="Times New Roman" w:cs="Times New Roman"/>
          <w:sz w:val="24"/>
          <w:szCs w:val="24"/>
        </w:rPr>
        <w:t>.</w:t>
      </w:r>
      <w:r w:rsidR="004255E5" w:rsidRPr="00697DAE">
        <w:rPr>
          <w:rFonts w:ascii="Times New Roman" w:hAnsi="Times New Roman" w:cs="Times New Roman"/>
          <w:sz w:val="24"/>
          <w:szCs w:val="24"/>
        </w:rPr>
        <w:t xml:space="preserve"> </w:t>
      </w:r>
      <w:r w:rsidR="004B592D" w:rsidRPr="00697DAE">
        <w:rPr>
          <w:rFonts w:ascii="Times New Roman" w:hAnsi="Times New Roman" w:cs="Times New Roman"/>
          <w:sz w:val="24"/>
          <w:szCs w:val="24"/>
        </w:rPr>
        <w:t xml:space="preserve">z </w:t>
      </w:r>
      <w:r w:rsidR="004255E5" w:rsidRPr="00697DAE">
        <w:rPr>
          <w:rFonts w:ascii="Times New Roman" w:hAnsi="Times New Roman" w:cs="Times New Roman"/>
          <w:sz w:val="24"/>
          <w:szCs w:val="24"/>
        </w:rPr>
        <w:t>1</w:t>
      </w:r>
      <w:r w:rsidR="004B592D" w:rsidRPr="00697DAE">
        <w:rPr>
          <w:rFonts w:ascii="Times New Roman" w:hAnsi="Times New Roman" w:cs="Times New Roman"/>
          <w:sz w:val="24"/>
          <w:szCs w:val="24"/>
        </w:rPr>
        <w:t> </w:t>
      </w:r>
      <w:r w:rsidR="004255E5" w:rsidRPr="00697DAE">
        <w:rPr>
          <w:rFonts w:ascii="Times New Roman" w:hAnsi="Times New Roman" w:cs="Times New Roman"/>
          <w:sz w:val="24"/>
          <w:szCs w:val="24"/>
        </w:rPr>
        <w:t>509</w:t>
      </w:r>
      <w:r w:rsidR="004B592D" w:rsidRPr="00697DAE">
        <w:rPr>
          <w:rFonts w:ascii="Times New Roman" w:hAnsi="Times New Roman" w:cs="Times New Roman"/>
          <w:sz w:val="24"/>
          <w:szCs w:val="24"/>
        </w:rPr>
        <w:t xml:space="preserve"> osobami zwolnionymi</w:t>
      </w:r>
      <w:r w:rsidR="004255E5" w:rsidRPr="00697DAE">
        <w:rPr>
          <w:rFonts w:ascii="Times New Roman" w:hAnsi="Times New Roman" w:cs="Times New Roman"/>
          <w:sz w:val="24"/>
          <w:szCs w:val="24"/>
        </w:rPr>
        <w:t xml:space="preserve"> oraz </w:t>
      </w:r>
      <w:r w:rsidR="00C85193">
        <w:rPr>
          <w:rFonts w:ascii="Times New Roman" w:hAnsi="Times New Roman" w:cs="Times New Roman"/>
          <w:sz w:val="24"/>
          <w:szCs w:val="24"/>
        </w:rPr>
        <w:t>z</w:t>
      </w:r>
      <w:r w:rsidRPr="00697DAE">
        <w:rPr>
          <w:rFonts w:ascii="Times New Roman" w:hAnsi="Times New Roman" w:cs="Times New Roman"/>
          <w:sz w:val="24"/>
          <w:szCs w:val="24"/>
        </w:rPr>
        <w:t xml:space="preserve"> </w:t>
      </w:r>
      <w:r w:rsidR="003575B2" w:rsidRPr="00697DAE">
        <w:rPr>
          <w:rFonts w:ascii="Times New Roman" w:hAnsi="Times New Roman" w:cs="Times New Roman"/>
          <w:sz w:val="24"/>
          <w:szCs w:val="24"/>
        </w:rPr>
        <w:t>trzeci</w:t>
      </w:r>
      <w:r w:rsidR="00C85193">
        <w:rPr>
          <w:rFonts w:ascii="Times New Roman" w:hAnsi="Times New Roman" w:cs="Times New Roman"/>
          <w:sz w:val="24"/>
          <w:szCs w:val="24"/>
        </w:rPr>
        <w:t>ą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lok</w:t>
      </w:r>
      <w:r w:rsidR="00C85193">
        <w:rPr>
          <w:rFonts w:ascii="Times New Roman" w:hAnsi="Times New Roman" w:cs="Times New Roman"/>
          <w:sz w:val="24"/>
          <w:szCs w:val="24"/>
        </w:rPr>
        <w:t>atą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– </w:t>
      </w:r>
      <w:r w:rsidR="00CC6D8E" w:rsidRPr="00697DAE">
        <w:rPr>
          <w:rFonts w:ascii="Times New Roman" w:hAnsi="Times New Roman" w:cs="Times New Roman"/>
          <w:sz w:val="24"/>
          <w:szCs w:val="24"/>
        </w:rPr>
        <w:t xml:space="preserve">okres </w:t>
      </w:r>
      <w:r w:rsidR="004255E5" w:rsidRPr="00697DAE">
        <w:rPr>
          <w:rFonts w:ascii="Times New Roman" w:hAnsi="Times New Roman" w:cs="Times New Roman"/>
          <w:sz w:val="24"/>
          <w:szCs w:val="24"/>
        </w:rPr>
        <w:t>I</w:t>
      </w:r>
      <w:r w:rsidRPr="00697DAE">
        <w:rPr>
          <w:rFonts w:ascii="Times New Roman" w:hAnsi="Times New Roman" w:cs="Times New Roman"/>
          <w:sz w:val="24"/>
          <w:szCs w:val="24"/>
        </w:rPr>
        <w:t> </w:t>
      </w:r>
      <w:r w:rsidR="004255E5" w:rsidRPr="00697DAE">
        <w:rPr>
          <w:rFonts w:ascii="Times New Roman" w:hAnsi="Times New Roman" w:cs="Times New Roman"/>
          <w:sz w:val="24"/>
          <w:szCs w:val="24"/>
        </w:rPr>
        <w:t>półrocz</w:t>
      </w:r>
      <w:r w:rsidR="00CC6D8E" w:rsidRPr="00697DAE">
        <w:rPr>
          <w:rFonts w:ascii="Times New Roman" w:hAnsi="Times New Roman" w:cs="Times New Roman"/>
          <w:sz w:val="24"/>
          <w:szCs w:val="24"/>
        </w:rPr>
        <w:t>a</w:t>
      </w:r>
      <w:r w:rsidR="004255E5" w:rsidRPr="00697DAE">
        <w:rPr>
          <w:rFonts w:ascii="Times New Roman" w:hAnsi="Times New Roman" w:cs="Times New Roman"/>
          <w:sz w:val="24"/>
          <w:szCs w:val="24"/>
        </w:rPr>
        <w:t xml:space="preserve"> 2008 r</w:t>
      </w:r>
      <w:r w:rsidR="003575B2" w:rsidRPr="00697DAE">
        <w:rPr>
          <w:rFonts w:ascii="Times New Roman" w:hAnsi="Times New Roman" w:cs="Times New Roman"/>
          <w:sz w:val="24"/>
          <w:szCs w:val="24"/>
        </w:rPr>
        <w:t>.</w:t>
      </w:r>
      <w:r w:rsidR="00CC6D8E" w:rsidRPr="00697DAE">
        <w:rPr>
          <w:rFonts w:ascii="Times New Roman" w:hAnsi="Times New Roman" w:cs="Times New Roman"/>
          <w:sz w:val="24"/>
          <w:szCs w:val="24"/>
        </w:rPr>
        <w:t xml:space="preserve"> – </w:t>
      </w:r>
      <w:r w:rsidR="004B592D" w:rsidRPr="00697DAE">
        <w:rPr>
          <w:rFonts w:ascii="Times New Roman" w:hAnsi="Times New Roman" w:cs="Times New Roman"/>
          <w:sz w:val="24"/>
          <w:szCs w:val="24"/>
        </w:rPr>
        <w:t xml:space="preserve">z </w:t>
      </w:r>
      <w:r w:rsidR="004255E5" w:rsidRPr="00697DAE">
        <w:rPr>
          <w:rFonts w:ascii="Times New Roman" w:hAnsi="Times New Roman" w:cs="Times New Roman"/>
          <w:sz w:val="24"/>
          <w:szCs w:val="24"/>
        </w:rPr>
        <w:t>909</w:t>
      </w:r>
      <w:r w:rsidR="004B592D" w:rsidRPr="00697DAE">
        <w:rPr>
          <w:rFonts w:ascii="Times New Roman" w:hAnsi="Times New Roman" w:cs="Times New Roman"/>
          <w:sz w:val="24"/>
          <w:szCs w:val="24"/>
        </w:rPr>
        <w:t xml:space="preserve"> osobami</w:t>
      </w:r>
      <w:r w:rsidR="004255E5" w:rsidRPr="00697DAE">
        <w:rPr>
          <w:rFonts w:ascii="Times New Roman" w:hAnsi="Times New Roman" w:cs="Times New Roman"/>
          <w:sz w:val="24"/>
          <w:szCs w:val="24"/>
        </w:rPr>
        <w:t>.</w:t>
      </w:r>
      <w:r w:rsidR="00697DAE" w:rsidRPr="00697DAE">
        <w:rPr>
          <w:rFonts w:ascii="Times New Roman" w:hAnsi="Times New Roman" w:cs="Times New Roman"/>
          <w:sz w:val="24"/>
          <w:szCs w:val="24"/>
        </w:rPr>
        <w:t xml:space="preserve"> 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W </w:t>
      </w:r>
      <w:r w:rsidR="00697DAE" w:rsidRPr="00697DAE">
        <w:rPr>
          <w:rFonts w:ascii="Times New Roman" w:hAnsi="Times New Roman" w:cs="Times New Roman"/>
          <w:sz w:val="24"/>
          <w:szCs w:val="24"/>
        </w:rPr>
        <w:t>szerszej perspektywie</w:t>
      </w:r>
      <w:r w:rsidR="00C85193">
        <w:rPr>
          <w:rFonts w:ascii="Times New Roman" w:hAnsi="Times New Roman" w:cs="Times New Roman"/>
          <w:sz w:val="24"/>
          <w:szCs w:val="24"/>
        </w:rPr>
        <w:t xml:space="preserve">: 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I półrocze 2017 r. należało </w:t>
      </w:r>
      <w:r w:rsidR="00FA4479" w:rsidRPr="00697DAE">
        <w:rPr>
          <w:rFonts w:ascii="Times New Roman" w:hAnsi="Times New Roman" w:cs="Times New Roman"/>
          <w:sz w:val="24"/>
          <w:szCs w:val="24"/>
        </w:rPr>
        <w:t xml:space="preserve">do </w:t>
      </w:r>
      <w:r w:rsidR="003575B2" w:rsidRPr="00697DAE">
        <w:rPr>
          <w:rFonts w:ascii="Times New Roman" w:hAnsi="Times New Roman" w:cs="Times New Roman"/>
          <w:sz w:val="24"/>
          <w:szCs w:val="24"/>
        </w:rPr>
        <w:t>jedn</w:t>
      </w:r>
      <w:r w:rsidR="0015177D" w:rsidRPr="00697DAE">
        <w:rPr>
          <w:rFonts w:ascii="Times New Roman" w:hAnsi="Times New Roman" w:cs="Times New Roman"/>
          <w:sz w:val="24"/>
          <w:szCs w:val="24"/>
        </w:rPr>
        <w:t>ego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z</w:t>
      </w:r>
      <w:r w:rsidR="00697DAE" w:rsidRPr="00697DAE">
        <w:rPr>
          <w:rFonts w:ascii="Times New Roman" w:hAnsi="Times New Roman" w:cs="Times New Roman"/>
          <w:sz w:val="24"/>
          <w:szCs w:val="24"/>
        </w:rPr>
        <w:t> 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najniższych poziomów </w:t>
      </w:r>
      <w:r w:rsidR="0015177D" w:rsidRPr="00697DAE">
        <w:rPr>
          <w:rFonts w:ascii="Times New Roman" w:hAnsi="Times New Roman" w:cs="Times New Roman"/>
          <w:sz w:val="24"/>
          <w:szCs w:val="24"/>
        </w:rPr>
        <w:t>analizowanego</w:t>
      </w:r>
      <w:r w:rsidR="003575B2" w:rsidRPr="00697DAE">
        <w:rPr>
          <w:rFonts w:ascii="Times New Roman" w:hAnsi="Times New Roman" w:cs="Times New Roman"/>
          <w:sz w:val="24"/>
          <w:szCs w:val="24"/>
        </w:rPr>
        <w:t xml:space="preserve"> zjawiska.</w:t>
      </w:r>
    </w:p>
    <w:p w:rsidR="00B25511" w:rsidRPr="004F28A7" w:rsidRDefault="00B25511" w:rsidP="00F020B1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56F4A" w:rsidRPr="004F28A7" w:rsidRDefault="00156F4A" w:rsidP="004F28A7">
      <w:pPr>
        <w:pStyle w:val="Nagwek3"/>
        <w:jc w:val="left"/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8" w:name="_Toc489263957"/>
      <w:r w:rsidRPr="004F28A7">
        <w:rPr>
          <w:rFonts w:ascii="Times New Roman" w:hAnsi="Times New Roman" w:cs="Times New Roman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Podsumowanie</w:t>
      </w:r>
      <w:bookmarkEnd w:id="18"/>
    </w:p>
    <w:p w:rsidR="007F6640" w:rsidRPr="0029506F" w:rsidRDefault="007F6640" w:rsidP="00697DAE">
      <w:pPr>
        <w:pStyle w:val="Default"/>
        <w:spacing w:line="360" w:lineRule="auto"/>
        <w:rPr>
          <w:sz w:val="16"/>
          <w:szCs w:val="16"/>
          <w:highlight w:val="yellow"/>
        </w:rPr>
      </w:pPr>
    </w:p>
    <w:p w:rsidR="007F6640" w:rsidRPr="00E26A3B" w:rsidRDefault="003B4757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E26A3B">
        <w:rPr>
          <w:b/>
        </w:rPr>
        <w:t>Znaczny spadek</w:t>
      </w:r>
      <w:r w:rsidR="00E62203" w:rsidRPr="00E26A3B">
        <w:rPr>
          <w:b/>
        </w:rPr>
        <w:t xml:space="preserve"> bezrobocia</w:t>
      </w:r>
      <w:r w:rsidR="007F6640" w:rsidRPr="00E26A3B">
        <w:t>: w I półroczu 201</w:t>
      </w:r>
      <w:r w:rsidR="00042EA0" w:rsidRPr="00E26A3B">
        <w:t>7</w:t>
      </w:r>
      <w:r w:rsidR="007F6640" w:rsidRPr="00E26A3B">
        <w:t xml:space="preserve"> r. więcej osób wyrejestrowano z ewidencji powiatowych urzędów pracy (7</w:t>
      </w:r>
      <w:r w:rsidR="00E26A3B" w:rsidRPr="00E26A3B">
        <w:t>8</w:t>
      </w:r>
      <w:r w:rsidR="007F6640" w:rsidRPr="00E26A3B">
        <w:t> </w:t>
      </w:r>
      <w:r w:rsidR="00E26A3B" w:rsidRPr="00E26A3B">
        <w:t>562</w:t>
      </w:r>
      <w:r w:rsidR="007F6640" w:rsidRPr="00E26A3B">
        <w:t>) niż zarejestrowano (</w:t>
      </w:r>
      <w:r w:rsidR="00E26A3B" w:rsidRPr="00E26A3B">
        <w:t>62</w:t>
      </w:r>
      <w:r w:rsidR="007F6640" w:rsidRPr="00E26A3B">
        <w:t> </w:t>
      </w:r>
      <w:r w:rsidR="00E26A3B" w:rsidRPr="00E26A3B">
        <w:t>974</w:t>
      </w:r>
      <w:r w:rsidR="007F6640" w:rsidRPr="00E26A3B">
        <w:t>). Różnica wyniosła 15 5</w:t>
      </w:r>
      <w:r w:rsidR="00E26A3B" w:rsidRPr="00E26A3B">
        <w:t>88</w:t>
      </w:r>
      <w:r w:rsidR="007F6640" w:rsidRPr="00E26A3B">
        <w:t xml:space="preserve"> os</w:t>
      </w:r>
      <w:r w:rsidR="00E26A3B" w:rsidRPr="00E26A3B">
        <w:t>ó</w:t>
      </w:r>
      <w:r w:rsidR="007F6640" w:rsidRPr="00E26A3B">
        <w:t>b –</w:t>
      </w:r>
      <w:r w:rsidR="00E62203" w:rsidRPr="00E26A3B">
        <w:t xml:space="preserve"> </w:t>
      </w:r>
      <w:r w:rsidR="007F6640" w:rsidRPr="00E26A3B">
        <w:t>i</w:t>
      </w:r>
      <w:r w:rsidR="00E62203" w:rsidRPr="00E26A3B">
        <w:t xml:space="preserve"> </w:t>
      </w:r>
      <w:r w:rsidR="007F6640" w:rsidRPr="00E26A3B">
        <w:t xml:space="preserve">dokładnie o tyle zmniejszyła się liczba bezrobotnych w okresie </w:t>
      </w:r>
      <w:r w:rsidR="00E26A3B" w:rsidRPr="00E26A3B">
        <w:t xml:space="preserve">analizowanego </w:t>
      </w:r>
      <w:r w:rsidR="007F6640" w:rsidRPr="00E26A3B">
        <w:t xml:space="preserve">półrocza. </w:t>
      </w:r>
    </w:p>
    <w:p w:rsidR="007F6640" w:rsidRPr="00447D49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447D49">
        <w:rPr>
          <w:b/>
        </w:rPr>
        <w:t>Spadek liczby i stopy bezrobocia</w:t>
      </w:r>
      <w:r w:rsidR="00447D49" w:rsidRPr="00447D49">
        <w:rPr>
          <w:b/>
        </w:rPr>
        <w:t xml:space="preserve"> rejestrowanego</w:t>
      </w:r>
      <w:r w:rsidRPr="00447D49">
        <w:t xml:space="preserve">: zmniejszenie się liczby bezrobotnych – jest jednym z czynników </w:t>
      </w:r>
      <w:r w:rsidR="00447D49">
        <w:t xml:space="preserve">wpływających na </w:t>
      </w:r>
      <w:r w:rsidRPr="00447D49">
        <w:t>spadek stopy</w:t>
      </w:r>
      <w:r w:rsidR="00E26A3B" w:rsidRPr="00447D49">
        <w:t xml:space="preserve"> </w:t>
      </w:r>
      <w:r w:rsidRPr="00447D49">
        <w:t>bezrobocia</w:t>
      </w:r>
      <w:r w:rsidR="00E26A3B" w:rsidRPr="00447D49">
        <w:t>, która wynosiła w</w:t>
      </w:r>
      <w:r w:rsidRPr="00447D49">
        <w:t> województwie podkarpackim</w:t>
      </w:r>
      <w:r w:rsidR="00E26A3B" w:rsidRPr="00447D49">
        <w:t xml:space="preserve"> 10</w:t>
      </w:r>
      <w:r w:rsidRPr="00447D49">
        <w:t>,</w:t>
      </w:r>
      <w:r w:rsidR="00E26A3B" w:rsidRPr="00447D49">
        <w:t>0</w:t>
      </w:r>
      <w:r w:rsidRPr="00447D49">
        <w:t>%</w:t>
      </w:r>
      <w:r w:rsidR="00447D49">
        <w:t xml:space="preserve"> - </w:t>
      </w:r>
      <w:r w:rsidRPr="00447D49">
        <w:t>wg stanu na 30</w:t>
      </w:r>
      <w:r w:rsidR="00E26A3B" w:rsidRPr="00447D49">
        <w:t xml:space="preserve"> </w:t>
      </w:r>
      <w:r w:rsidRPr="00447D49">
        <w:t>VI</w:t>
      </w:r>
      <w:r w:rsidR="00E26A3B" w:rsidRPr="00447D49">
        <w:t xml:space="preserve"> </w:t>
      </w:r>
      <w:r w:rsidRPr="00447D49">
        <w:t>201</w:t>
      </w:r>
      <w:r w:rsidR="00E26A3B" w:rsidRPr="00447D49">
        <w:t>7</w:t>
      </w:r>
      <w:r w:rsidRPr="00447D49">
        <w:t xml:space="preserve"> r. </w:t>
      </w:r>
      <w:r w:rsidR="00E26A3B" w:rsidRPr="00447D49">
        <w:t>W</w:t>
      </w:r>
      <w:r w:rsidRPr="00447D49">
        <w:t xml:space="preserve"> okresie I półrocza 201</w:t>
      </w:r>
      <w:r w:rsidR="00E26A3B" w:rsidRPr="00447D49">
        <w:t>7</w:t>
      </w:r>
      <w:r w:rsidRPr="00447D49">
        <w:t xml:space="preserve"> r. </w:t>
      </w:r>
      <w:r w:rsidR="00E26A3B" w:rsidRPr="00447D49">
        <w:t xml:space="preserve">nastąpił spadek – </w:t>
      </w:r>
      <w:r w:rsidRPr="00447D49">
        <w:t>o 1,</w:t>
      </w:r>
      <w:r w:rsidR="00E26A3B" w:rsidRPr="00447D49">
        <w:t>6</w:t>
      </w:r>
      <w:r w:rsidRPr="00447D49">
        <w:t xml:space="preserve"> pkt. proc. (stan na 31</w:t>
      </w:r>
      <w:r w:rsidR="00E26A3B" w:rsidRPr="00447D49">
        <w:t xml:space="preserve"> </w:t>
      </w:r>
      <w:r w:rsidRPr="00447D49">
        <w:t>XII</w:t>
      </w:r>
      <w:r w:rsidR="00E26A3B" w:rsidRPr="00447D49">
        <w:t xml:space="preserve"> </w:t>
      </w:r>
      <w:r w:rsidRPr="00447D49">
        <w:t>201</w:t>
      </w:r>
      <w:r w:rsidR="00E26A3B" w:rsidRPr="00447D49">
        <w:t>6</w:t>
      </w:r>
      <w:r w:rsidRPr="00447D49">
        <w:t xml:space="preserve"> r.– 1</w:t>
      </w:r>
      <w:r w:rsidR="00E26A3B" w:rsidRPr="00447D49">
        <w:t>1</w:t>
      </w:r>
      <w:r w:rsidRPr="00447D49">
        <w:t>,</w:t>
      </w:r>
      <w:r w:rsidR="00E26A3B" w:rsidRPr="00447D49">
        <w:t>6</w:t>
      </w:r>
      <w:r w:rsidRPr="00447D49">
        <w:t>%). W</w:t>
      </w:r>
      <w:r w:rsidR="00E26A3B" w:rsidRPr="00447D49">
        <w:t xml:space="preserve"> </w:t>
      </w:r>
      <w:r w:rsidRPr="00447D49">
        <w:t>kraju odnotowano taką samą prawidłowość.</w:t>
      </w:r>
      <w:r w:rsidR="00E26A3B" w:rsidRPr="00447D49">
        <w:t xml:space="preserve"> </w:t>
      </w:r>
      <w:r w:rsidRPr="00447D49">
        <w:t xml:space="preserve">Stopa bezrobocia wyniosła – </w:t>
      </w:r>
      <w:r w:rsidR="00E557AF" w:rsidRPr="00447D49">
        <w:t>7</w:t>
      </w:r>
      <w:r w:rsidRPr="00447D49">
        <w:t>,</w:t>
      </w:r>
      <w:r w:rsidR="00E557AF" w:rsidRPr="00447D49">
        <w:t>1</w:t>
      </w:r>
      <w:r w:rsidRPr="00447D49">
        <w:t>% wg stanu na 30</w:t>
      </w:r>
      <w:r w:rsidR="00E557AF" w:rsidRPr="00447D49">
        <w:t xml:space="preserve"> </w:t>
      </w:r>
      <w:r w:rsidRPr="00447D49">
        <w:t>VI</w:t>
      </w:r>
      <w:r w:rsidR="00E557AF" w:rsidRPr="00447D49">
        <w:t xml:space="preserve"> </w:t>
      </w:r>
      <w:r w:rsidRPr="00447D49">
        <w:t>201</w:t>
      </w:r>
      <w:r w:rsidR="00E557AF" w:rsidRPr="00447D49">
        <w:t>7</w:t>
      </w:r>
      <w:r w:rsidRPr="00447D49">
        <w:t xml:space="preserve"> r. – i spadła o 1</w:t>
      </w:r>
      <w:r w:rsidR="00447D49" w:rsidRPr="00447D49">
        <w:t>,2</w:t>
      </w:r>
      <w:r w:rsidRPr="00447D49">
        <w:t xml:space="preserve"> pkt. proc. w </w:t>
      </w:r>
      <w:r w:rsidR="00E557AF" w:rsidRPr="00447D49">
        <w:t xml:space="preserve">analizowanym </w:t>
      </w:r>
      <w:r w:rsidRPr="00447D49">
        <w:t>półroczu (stan na 31</w:t>
      </w:r>
      <w:r w:rsidR="00E557AF" w:rsidRPr="00447D49">
        <w:t xml:space="preserve"> </w:t>
      </w:r>
      <w:r w:rsidRPr="00447D49">
        <w:t>XII</w:t>
      </w:r>
      <w:r w:rsidR="00E557AF" w:rsidRPr="00447D49">
        <w:t xml:space="preserve"> </w:t>
      </w:r>
      <w:r w:rsidRPr="00447D49">
        <w:t>201</w:t>
      </w:r>
      <w:r w:rsidR="00E557AF" w:rsidRPr="00447D49">
        <w:t>6</w:t>
      </w:r>
      <w:r w:rsidRPr="00447D49">
        <w:t xml:space="preserve"> r. – </w:t>
      </w:r>
      <w:r w:rsidR="00447D49" w:rsidRPr="00447D49">
        <w:t>8</w:t>
      </w:r>
      <w:r w:rsidRPr="00447D49">
        <w:t>,</w:t>
      </w:r>
      <w:r w:rsidR="00447D49" w:rsidRPr="00447D49">
        <w:t>3</w:t>
      </w:r>
      <w:r w:rsidRPr="00447D49">
        <w:t>%).</w:t>
      </w:r>
    </w:p>
    <w:p w:rsidR="007F6640" w:rsidRPr="005356F0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3B4757">
        <w:rPr>
          <w:b/>
        </w:rPr>
        <w:t>Bezrobocie kobiet</w:t>
      </w:r>
      <w:r w:rsidRPr="00C50FE0">
        <w:t>: powyżej ½ bezrobocia rejestrowanego stanowiły kobiety</w:t>
      </w:r>
      <w:r w:rsidR="00C50FE0">
        <w:t xml:space="preserve"> (</w:t>
      </w:r>
      <w:r w:rsidRPr="00C50FE0">
        <w:t>5</w:t>
      </w:r>
      <w:r w:rsidR="00C50FE0" w:rsidRPr="00C50FE0">
        <w:t>4</w:t>
      </w:r>
      <w:r w:rsidRPr="00C50FE0">
        <w:t>,</w:t>
      </w:r>
      <w:r w:rsidR="00C50FE0" w:rsidRPr="00C50FE0">
        <w:t>1</w:t>
      </w:r>
      <w:r w:rsidRPr="00C50FE0">
        <w:t>%</w:t>
      </w:r>
      <w:r w:rsidR="00C50FE0">
        <w:t>)</w:t>
      </w:r>
      <w:r w:rsidRPr="00C50FE0">
        <w:t xml:space="preserve">, podczas gdy na koniec </w:t>
      </w:r>
      <w:r w:rsidRPr="00112352">
        <w:t>201</w:t>
      </w:r>
      <w:r w:rsidR="00C50FE0" w:rsidRPr="00112352">
        <w:t>6</w:t>
      </w:r>
      <w:r w:rsidRPr="00112352">
        <w:t xml:space="preserve"> r. – 5</w:t>
      </w:r>
      <w:r w:rsidR="00112352" w:rsidRPr="00112352">
        <w:t>2</w:t>
      </w:r>
      <w:r w:rsidRPr="00112352">
        <w:t>,</w:t>
      </w:r>
      <w:r w:rsidR="00112352" w:rsidRPr="00112352">
        <w:t>4</w:t>
      </w:r>
      <w:r w:rsidRPr="00112352">
        <w:t>%. Bezrobotne</w:t>
      </w:r>
      <w:r w:rsidRPr="00C50FE0">
        <w:t xml:space="preserve"> kobiety to osoby w </w:t>
      </w:r>
      <w:r w:rsidRPr="00112352">
        <w:t>wieku 25</w:t>
      </w:r>
      <w:r w:rsidR="00007176">
        <w:t>-3</w:t>
      </w:r>
      <w:r w:rsidRPr="00112352">
        <w:t>4 lat</w:t>
      </w:r>
      <w:r w:rsidR="00007176">
        <w:t xml:space="preserve"> i 35-44 lat</w:t>
      </w:r>
      <w:r w:rsidRPr="00112352">
        <w:t xml:space="preserve"> (dwa najbardziej kumulatywne przedziały wieku) – </w:t>
      </w:r>
      <w:r w:rsidR="00007176" w:rsidRPr="00007176">
        <w:t xml:space="preserve">łącznie </w:t>
      </w:r>
      <w:r w:rsidRPr="00007176">
        <w:t>59,</w:t>
      </w:r>
      <w:r w:rsidR="00007176" w:rsidRPr="00007176">
        <w:t>9</w:t>
      </w:r>
      <w:r w:rsidRPr="00007176">
        <w:t>%</w:t>
      </w:r>
      <w:r w:rsidRPr="00112352">
        <w:t xml:space="preserve"> ogółu </w:t>
      </w:r>
      <w:r w:rsidRPr="00112352">
        <w:lastRenderedPageBreak/>
        <w:t>bezrobotnych kobiet). Przeważają wśród ogółu długotrwale bezrobotnych</w:t>
      </w:r>
      <w:r w:rsidR="00007176">
        <w:t xml:space="preserve"> kobiet</w:t>
      </w:r>
      <w:r w:rsidRPr="00112352">
        <w:t xml:space="preserve"> – stanowiąc </w:t>
      </w:r>
      <w:r w:rsidRPr="00007176">
        <w:t>60,</w:t>
      </w:r>
      <w:r w:rsidR="00007176" w:rsidRPr="00007176">
        <w:t>7</w:t>
      </w:r>
      <w:r w:rsidRPr="00007176">
        <w:t>%</w:t>
      </w:r>
      <w:r w:rsidRPr="00112352">
        <w:t xml:space="preserve"> (na koniec I półrocza 201</w:t>
      </w:r>
      <w:r w:rsidR="00112352" w:rsidRPr="00112352">
        <w:t>6</w:t>
      </w:r>
      <w:r w:rsidRPr="00112352">
        <w:t xml:space="preserve"> r. </w:t>
      </w:r>
      <w:r w:rsidRPr="005356F0">
        <w:t>– 60,</w:t>
      </w:r>
      <w:r w:rsidR="00112352" w:rsidRPr="005356F0">
        <w:t>1</w:t>
      </w:r>
      <w:r w:rsidRPr="005356F0">
        <w:t>%).</w:t>
      </w:r>
    </w:p>
    <w:p w:rsidR="007F6640" w:rsidRPr="00A60332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A60332">
        <w:rPr>
          <w:b/>
        </w:rPr>
        <w:t>Bezrobocie na wsi</w:t>
      </w:r>
      <w:r w:rsidRPr="00A60332">
        <w:t xml:space="preserve">: od dłuższego czasu utrzymuje się wysoki </w:t>
      </w:r>
      <w:r w:rsidR="00A60332">
        <w:t>jego poziom</w:t>
      </w:r>
      <w:r w:rsidRPr="00A60332">
        <w:t xml:space="preserve">, który wynika z przewagi ludności na zamieszkałej na wsi w stosunku do </w:t>
      </w:r>
      <w:r w:rsidR="00A60332">
        <w:t xml:space="preserve">ludności w </w:t>
      </w:r>
      <w:r w:rsidRPr="00A60332">
        <w:t>miast</w:t>
      </w:r>
      <w:r w:rsidR="00A60332">
        <w:t>ach</w:t>
      </w:r>
      <w:r w:rsidRPr="00A60332">
        <w:t xml:space="preserve">. Wobec spadku liczby bezrobotnych ogółem – spadła liczba bezrobotnych na wsi z </w:t>
      </w:r>
      <w:r w:rsidR="00A60332" w:rsidRPr="00A60332">
        <w:t>67 753 – wg stanu</w:t>
      </w:r>
      <w:r w:rsidRPr="00A60332">
        <w:t xml:space="preserve"> na koniec 201</w:t>
      </w:r>
      <w:r w:rsidR="00A60332" w:rsidRPr="00A60332">
        <w:t>6</w:t>
      </w:r>
      <w:r w:rsidRPr="00A60332">
        <w:t xml:space="preserve"> r. do </w:t>
      </w:r>
      <w:r w:rsidR="00A60332" w:rsidRPr="00A60332">
        <w:t>56</w:t>
      </w:r>
      <w:r w:rsidRPr="00A60332">
        <w:t> </w:t>
      </w:r>
      <w:r w:rsidR="00A60332" w:rsidRPr="00A60332">
        <w:t>703</w:t>
      </w:r>
      <w:r w:rsidRPr="00A60332">
        <w:t xml:space="preserve"> na koniec I półrocza 201</w:t>
      </w:r>
      <w:r w:rsidR="00A60332" w:rsidRPr="00A60332">
        <w:t>7</w:t>
      </w:r>
      <w:r w:rsidRPr="00A60332">
        <w:t xml:space="preserve"> r</w:t>
      </w:r>
      <w:r w:rsidR="00A60332">
        <w:t>oku</w:t>
      </w:r>
      <w:r w:rsidR="00A60332" w:rsidRPr="00A60332">
        <w:t>, co oznaczało</w:t>
      </w:r>
      <w:r w:rsidRPr="00A60332">
        <w:t xml:space="preserve"> spadek o</w:t>
      </w:r>
      <w:r w:rsidR="00A60332">
        <w:t> </w:t>
      </w:r>
      <w:r w:rsidRPr="00A60332">
        <w:t>11 0</w:t>
      </w:r>
      <w:r w:rsidR="00A60332" w:rsidRPr="00A60332">
        <w:t>50</w:t>
      </w:r>
      <w:r w:rsidRPr="00A60332">
        <w:t xml:space="preserve"> bezrobotnych </w:t>
      </w:r>
      <w:r w:rsidR="00A60332">
        <w:t xml:space="preserve">tj. </w:t>
      </w:r>
      <w:r w:rsidRPr="00A60332">
        <w:t>1</w:t>
      </w:r>
      <w:r w:rsidR="00A60332" w:rsidRPr="00A60332">
        <w:t>6</w:t>
      </w:r>
      <w:r w:rsidRPr="00A60332">
        <w:t>,</w:t>
      </w:r>
      <w:r w:rsidR="00A60332" w:rsidRPr="00A60332">
        <w:t>3</w:t>
      </w:r>
      <w:r w:rsidRPr="00A60332">
        <w:t>%.</w:t>
      </w:r>
    </w:p>
    <w:p w:rsidR="007F6640" w:rsidRPr="00F84360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F84360">
        <w:rPr>
          <w:b/>
        </w:rPr>
        <w:t>Bezrobo</w:t>
      </w:r>
      <w:r w:rsidR="005D243D" w:rsidRPr="00F84360">
        <w:rPr>
          <w:b/>
        </w:rPr>
        <w:t>tni</w:t>
      </w:r>
      <w:r w:rsidRPr="00F84360">
        <w:rPr>
          <w:b/>
        </w:rPr>
        <w:t xml:space="preserve"> długotrw</w:t>
      </w:r>
      <w:r w:rsidR="005D243D" w:rsidRPr="00F84360">
        <w:rPr>
          <w:b/>
        </w:rPr>
        <w:t>ale</w:t>
      </w:r>
      <w:r w:rsidR="007B3779" w:rsidRPr="00F84360">
        <w:rPr>
          <w:b/>
        </w:rPr>
        <w:t> </w:t>
      </w:r>
      <w:r w:rsidR="007B3779" w:rsidRPr="00F84360">
        <w:rPr>
          <w:rStyle w:val="Odwoanieprzypisudolnego"/>
          <w:b/>
        </w:rPr>
        <w:footnoteReference w:id="2"/>
      </w:r>
      <w:r w:rsidRPr="00F84360">
        <w:t xml:space="preserve">: </w:t>
      </w:r>
      <w:r w:rsidR="00F84360">
        <w:t xml:space="preserve">nastąpił </w:t>
      </w:r>
      <w:r w:rsidR="00F84360" w:rsidRPr="00F84360">
        <w:t>wzrost</w:t>
      </w:r>
      <w:r w:rsidRPr="00F84360">
        <w:t xml:space="preserve"> o </w:t>
      </w:r>
      <w:r w:rsidR="00C67F5D">
        <w:t>2</w:t>
      </w:r>
      <w:r w:rsidRPr="00F84360">
        <w:t>,</w:t>
      </w:r>
      <w:r w:rsidR="00C67F5D">
        <w:t>3</w:t>
      </w:r>
      <w:r w:rsidRPr="00F84360">
        <w:t xml:space="preserve"> pkt. proc. bezrobotnych powyżej 12 miesięcy. Osoby długotrwale bezrobotne stanowiły ponad ½ bezrobotnych ogółem – 6</w:t>
      </w:r>
      <w:r w:rsidR="00C67F5D">
        <w:t>2</w:t>
      </w:r>
      <w:r w:rsidRPr="00F84360">
        <w:t>,</w:t>
      </w:r>
      <w:r w:rsidR="00C67F5D">
        <w:t>6</w:t>
      </w:r>
      <w:r w:rsidRPr="00F84360">
        <w:t>% wg stanu na 30</w:t>
      </w:r>
      <w:r w:rsidR="00F84360" w:rsidRPr="00F84360">
        <w:t xml:space="preserve"> </w:t>
      </w:r>
      <w:r w:rsidRPr="00F84360">
        <w:t>VI</w:t>
      </w:r>
      <w:r w:rsidR="00F84360" w:rsidRPr="00F84360">
        <w:t xml:space="preserve"> </w:t>
      </w:r>
      <w:r w:rsidRPr="00F84360">
        <w:t>201</w:t>
      </w:r>
      <w:r w:rsidR="00F84360" w:rsidRPr="00F84360">
        <w:t>7</w:t>
      </w:r>
      <w:r w:rsidRPr="00F84360">
        <w:t xml:space="preserve"> r. w porównaniu do 6</w:t>
      </w:r>
      <w:r w:rsidR="00C67F5D">
        <w:t>0</w:t>
      </w:r>
      <w:r w:rsidRPr="00F84360">
        <w:t>,</w:t>
      </w:r>
      <w:r w:rsidR="00C67F5D">
        <w:t>3</w:t>
      </w:r>
      <w:r w:rsidRPr="00F84360">
        <w:t>% wg stanu na 30</w:t>
      </w:r>
      <w:r w:rsidR="00F84360" w:rsidRPr="00F84360">
        <w:t xml:space="preserve"> </w:t>
      </w:r>
      <w:r w:rsidRPr="00F84360">
        <w:t>VI</w:t>
      </w:r>
      <w:r w:rsidR="00F84360" w:rsidRPr="00F84360">
        <w:t xml:space="preserve"> </w:t>
      </w:r>
      <w:r w:rsidRPr="00F84360">
        <w:t>201</w:t>
      </w:r>
      <w:r w:rsidR="00F84360" w:rsidRPr="00F84360">
        <w:t>6</w:t>
      </w:r>
      <w:r w:rsidRPr="00F84360">
        <w:t xml:space="preserve"> r.).</w:t>
      </w:r>
    </w:p>
    <w:p w:rsidR="007F6640" w:rsidRPr="00042ABC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042ABC">
        <w:rPr>
          <w:b/>
        </w:rPr>
        <w:t>Bezrobocie osób posiadających zdezaktualizowane lub nieadekwatne w stosunku do potrzeb pracodawców – kwalifikacje zawodowe</w:t>
      </w:r>
      <w:r w:rsidRPr="00042ABC">
        <w:t>: ponad ½ bezrobotnych</w:t>
      </w:r>
      <w:r w:rsidR="00042ABC" w:rsidRPr="00042ABC">
        <w:t xml:space="preserve"> – </w:t>
      </w:r>
      <w:r w:rsidRPr="00042ABC">
        <w:t xml:space="preserve">54,3% posiadała </w:t>
      </w:r>
      <w:r w:rsidR="00042ABC" w:rsidRPr="00042ABC">
        <w:t xml:space="preserve">łącznie: </w:t>
      </w:r>
      <w:r w:rsidRPr="00042ABC">
        <w:t>wykształcenie zawodow</w:t>
      </w:r>
      <w:r w:rsidR="00042ABC" w:rsidRPr="00042ABC">
        <w:t>e</w:t>
      </w:r>
      <w:r w:rsidRPr="00042ABC">
        <w:t xml:space="preserve"> zasadnicze zawodowe (2</w:t>
      </w:r>
      <w:r w:rsidR="00042ABC" w:rsidRPr="00042ABC">
        <w:t>8</w:t>
      </w:r>
      <w:r w:rsidRPr="00042ABC">
        <w:t>,</w:t>
      </w:r>
      <w:r w:rsidR="00042ABC" w:rsidRPr="00042ABC">
        <w:t>4</w:t>
      </w:r>
      <w:r w:rsidRPr="00042ABC">
        <w:t>%) oraz policealne i średnie zawodowe (25,</w:t>
      </w:r>
      <w:r w:rsidR="00042ABC" w:rsidRPr="00042ABC">
        <w:t>4</w:t>
      </w:r>
      <w:r w:rsidRPr="00042ABC">
        <w:t>%). Należy zaznaczyć, że trzecią – co do wielkości kumulacją, by</w:t>
      </w:r>
      <w:r w:rsidR="006471AC" w:rsidRPr="00042ABC">
        <w:t>li</w:t>
      </w:r>
      <w:r w:rsidRPr="00042ABC">
        <w:t xml:space="preserve"> bezrobotn</w:t>
      </w:r>
      <w:r w:rsidR="006471AC" w:rsidRPr="00042ABC">
        <w:t xml:space="preserve">i z </w:t>
      </w:r>
      <w:r w:rsidRPr="00042ABC">
        <w:t>wykształceni</w:t>
      </w:r>
      <w:r w:rsidR="006471AC" w:rsidRPr="00042ABC">
        <w:t>em</w:t>
      </w:r>
      <w:r w:rsidRPr="00042ABC">
        <w:t xml:space="preserve"> gimnazjalnym i niższym (20,</w:t>
      </w:r>
      <w:r w:rsidR="00042ABC" w:rsidRPr="00042ABC">
        <w:t>6</w:t>
      </w:r>
      <w:r w:rsidRPr="00042ABC">
        <w:t>%).</w:t>
      </w:r>
    </w:p>
    <w:p w:rsidR="007F6640" w:rsidRPr="00AB1405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AB1405">
        <w:rPr>
          <w:b/>
        </w:rPr>
        <w:t>Wzrost bezrobocia osób z wyższym wykształceniem</w:t>
      </w:r>
      <w:r w:rsidRPr="00AB1405">
        <w:t>: warunkowany większą powszechnością tego typu wykształcenia. Wykształcenie wyższe posiadało 14,</w:t>
      </w:r>
      <w:r w:rsidR="00AB1405" w:rsidRPr="00AB1405">
        <w:t>9</w:t>
      </w:r>
      <w:r w:rsidRPr="00AB1405">
        <w:t xml:space="preserve">% osób bezrobotnych. Odsetek ten ulega wzrostowi wraz z coraz </w:t>
      </w:r>
      <w:r w:rsidR="006471AC" w:rsidRPr="00AB1405">
        <w:t xml:space="preserve">to </w:t>
      </w:r>
      <w:r w:rsidRPr="00AB1405">
        <w:t>większą ilością w ogólnej strukturze ludności osób posiadających studia wyższe.</w:t>
      </w:r>
    </w:p>
    <w:p w:rsidR="007F6640" w:rsidRPr="00AB1405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AB1405">
        <w:rPr>
          <w:b/>
        </w:rPr>
        <w:t>Osoby bezrobotne wg wieku</w:t>
      </w:r>
      <w:r w:rsidRPr="00AB1405">
        <w:t>: osoby będące w wieku 25–34 lat to 30,</w:t>
      </w:r>
      <w:r w:rsidR="00AB1405" w:rsidRPr="00AB1405">
        <w:t>3</w:t>
      </w:r>
      <w:r w:rsidRPr="00AB1405">
        <w:t>% ogółu bezrobotnych w PUP, osoby w wieku 35–44 lat – 22,</w:t>
      </w:r>
      <w:r w:rsidR="00AB1405" w:rsidRPr="00AB1405">
        <w:t>5</w:t>
      </w:r>
      <w:r w:rsidRPr="00AB1405">
        <w:t>%, a będące w wieku 45–54 lat – 18,</w:t>
      </w:r>
      <w:r w:rsidR="00AB1405" w:rsidRPr="00AB1405">
        <w:t>2</w:t>
      </w:r>
      <w:r w:rsidRPr="00AB1405">
        <w:t>%. Osoby w wieku 18–24 lat obejmowały 1</w:t>
      </w:r>
      <w:r w:rsidR="00AB1405" w:rsidRPr="00AB1405">
        <w:t>3</w:t>
      </w:r>
      <w:r w:rsidRPr="00AB1405">
        <w:t>,</w:t>
      </w:r>
      <w:r w:rsidR="00AB1405" w:rsidRPr="00AB1405">
        <w:t>3</w:t>
      </w:r>
      <w:r w:rsidRPr="00AB1405">
        <w:t>% ogółu bezrobotnych. Z powyższego wynika, że osoby bezrobotne będące w wieku 18–44 lat (tzw. mobilnym) stanowiły 6</w:t>
      </w:r>
      <w:r w:rsidR="00AB1405" w:rsidRPr="00AB1405">
        <w:t>6</w:t>
      </w:r>
      <w:r w:rsidRPr="00AB1405">
        <w:t>,</w:t>
      </w:r>
      <w:r w:rsidR="00AB1405" w:rsidRPr="00AB1405">
        <w:t>1</w:t>
      </w:r>
      <w:r w:rsidRPr="00AB1405">
        <w:t>% ogółu</w:t>
      </w:r>
      <w:r w:rsidR="00AB1405">
        <w:t xml:space="preserve"> bezrobotnych w PUP</w:t>
      </w:r>
      <w:r w:rsidRPr="00AB1405">
        <w:t>.</w:t>
      </w:r>
    </w:p>
    <w:p w:rsidR="007F6640" w:rsidRPr="00840181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0B3FD1">
        <w:rPr>
          <w:b/>
        </w:rPr>
        <w:t>Osoby bezrobotne bez doświadczenia</w:t>
      </w:r>
      <w:r w:rsidRPr="000B3FD1">
        <w:t>:</w:t>
      </w:r>
      <w:r w:rsidRPr="000B3FD1">
        <w:rPr>
          <w:b/>
        </w:rPr>
        <w:t xml:space="preserve"> </w:t>
      </w:r>
      <w:r w:rsidRPr="00840181">
        <w:t>1</w:t>
      </w:r>
      <w:r w:rsidR="00840181" w:rsidRPr="00840181">
        <w:t>6</w:t>
      </w:r>
      <w:r w:rsidRPr="00840181">
        <w:t>,</w:t>
      </w:r>
      <w:r w:rsidR="00840181" w:rsidRPr="00840181">
        <w:t>8</w:t>
      </w:r>
      <w:r w:rsidRPr="00840181">
        <w:t>% bezrobotnych nie posiadało udokumentowanego doświadczenia zawodowego,</w:t>
      </w:r>
      <w:r w:rsidR="00840181" w:rsidRPr="00840181">
        <w:t xml:space="preserve"> </w:t>
      </w:r>
      <w:r w:rsidRPr="00840181">
        <w:t>a</w:t>
      </w:r>
      <w:r w:rsidR="00840181" w:rsidRPr="00840181">
        <w:t xml:space="preserve"> </w:t>
      </w:r>
      <w:r w:rsidRPr="00840181">
        <w:t>4</w:t>
      </w:r>
      <w:r w:rsidR="00840181" w:rsidRPr="00840181">
        <w:t>2</w:t>
      </w:r>
      <w:r w:rsidRPr="00840181">
        <w:t>,</w:t>
      </w:r>
      <w:r w:rsidR="00840181" w:rsidRPr="00840181">
        <w:t>8</w:t>
      </w:r>
      <w:r w:rsidRPr="00840181">
        <w:t>% bezrobotnych zarejestrowanych w PUP posiadało krótki staż (do 5 lat)</w:t>
      </w:r>
      <w:r w:rsidR="00840181">
        <w:t>.</w:t>
      </w:r>
      <w:r w:rsidRPr="00840181">
        <w:t xml:space="preserve"> </w:t>
      </w:r>
      <w:r w:rsidR="00840181">
        <w:t>W</w:t>
      </w:r>
      <w:r w:rsidRPr="00840181">
        <w:t xml:space="preserve"> przypadku części osób </w:t>
      </w:r>
      <w:r w:rsidR="00840181">
        <w:t xml:space="preserve">bezrobotnych </w:t>
      </w:r>
      <w:r w:rsidRPr="00840181">
        <w:t xml:space="preserve">doświadczenie </w:t>
      </w:r>
      <w:r w:rsidR="00840181">
        <w:t xml:space="preserve">zawodowe uległo dezaktualizacji </w:t>
      </w:r>
      <w:r w:rsidRPr="00840181">
        <w:t>– z powodu znacznego odłożenia w czasie ostatniego zatrudnienia.</w:t>
      </w:r>
    </w:p>
    <w:p w:rsidR="007F6640" w:rsidRPr="0093395F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0B3FD1">
        <w:rPr>
          <w:b/>
        </w:rPr>
        <w:t>Odpływ do zatrudnienia</w:t>
      </w:r>
      <w:r w:rsidRPr="000B3FD1">
        <w:t xml:space="preserve">: z powodu podjęcia pracy </w:t>
      </w:r>
      <w:r w:rsidRPr="0093395F">
        <w:t>wyłączono 4</w:t>
      </w:r>
      <w:r w:rsidR="0093395F" w:rsidRPr="0093395F">
        <w:t>1</w:t>
      </w:r>
      <w:r w:rsidRPr="0093395F">
        <w:t> </w:t>
      </w:r>
      <w:r w:rsidR="0093395F" w:rsidRPr="0093395F">
        <w:t>182</w:t>
      </w:r>
      <w:r w:rsidRPr="0093395F">
        <w:t xml:space="preserve"> osób bezrobotnych </w:t>
      </w:r>
      <w:r w:rsidR="006471AC" w:rsidRPr="0093395F">
        <w:t>tj.</w:t>
      </w:r>
      <w:r w:rsidRPr="0093395F">
        <w:t xml:space="preserve"> 5</w:t>
      </w:r>
      <w:r w:rsidR="0093395F" w:rsidRPr="0093395F">
        <w:t>2</w:t>
      </w:r>
      <w:r w:rsidRPr="0093395F">
        <w:t>,4% wszystkich wyłączeń z ewidencji w I półroczu 201</w:t>
      </w:r>
      <w:r w:rsidR="0093395F" w:rsidRPr="0093395F">
        <w:t>7</w:t>
      </w:r>
      <w:r w:rsidRPr="0093395F">
        <w:t xml:space="preserve"> r. </w:t>
      </w:r>
      <w:r w:rsidR="006471AC" w:rsidRPr="0093395F">
        <w:t>W </w:t>
      </w:r>
      <w:r w:rsidRPr="0093395F">
        <w:t>I</w:t>
      </w:r>
      <w:r w:rsidR="006471AC" w:rsidRPr="0093395F">
        <w:t> </w:t>
      </w:r>
      <w:r w:rsidRPr="0093395F">
        <w:t>półroczu 201</w:t>
      </w:r>
      <w:r w:rsidR="0093395F" w:rsidRPr="0093395F">
        <w:t>6</w:t>
      </w:r>
      <w:r w:rsidRPr="0093395F">
        <w:t xml:space="preserve"> r. podjęcia pracy to </w:t>
      </w:r>
      <w:r w:rsidR="006471AC" w:rsidRPr="0093395F">
        <w:t>4</w:t>
      </w:r>
      <w:r w:rsidR="00C506B2">
        <w:t>4</w:t>
      </w:r>
      <w:r w:rsidR="006471AC" w:rsidRPr="0093395F">
        <w:t> </w:t>
      </w:r>
      <w:r w:rsidR="0093395F" w:rsidRPr="0093395F">
        <w:t>7</w:t>
      </w:r>
      <w:r w:rsidR="00C506B2">
        <w:t>15</w:t>
      </w:r>
      <w:r w:rsidR="006471AC" w:rsidRPr="0093395F">
        <w:t xml:space="preserve"> osób tj. </w:t>
      </w:r>
      <w:r w:rsidR="0093395F" w:rsidRPr="0093395F">
        <w:t>5</w:t>
      </w:r>
      <w:r w:rsidR="00C506B2">
        <w:t>1</w:t>
      </w:r>
      <w:r w:rsidRPr="0093395F">
        <w:t>,</w:t>
      </w:r>
      <w:r w:rsidR="00C506B2">
        <w:t>4</w:t>
      </w:r>
      <w:r w:rsidRPr="0093395F">
        <w:t>% odpływu.</w:t>
      </w:r>
    </w:p>
    <w:p w:rsidR="007F6640" w:rsidRPr="0093395F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93395F">
        <w:rPr>
          <w:b/>
        </w:rPr>
        <w:lastRenderedPageBreak/>
        <w:t>Bezrobocie wielokrotne</w:t>
      </w:r>
      <w:r w:rsidRPr="0093395F">
        <w:t>: od dłuższego czasu odnotowywany jest wysoki napływ do urzędów pracy osób już wcześniej posiadających status bezrobotnego</w:t>
      </w:r>
      <w:r w:rsidR="0093395F" w:rsidRPr="0093395F">
        <w:t xml:space="preserve"> </w:t>
      </w:r>
      <w:r w:rsidRPr="0093395F">
        <w:t>– tzw. rejestrujących się po raz kolejny. Osoby te stanowiły 85,</w:t>
      </w:r>
      <w:r w:rsidR="0093395F" w:rsidRPr="0093395F">
        <w:t>0</w:t>
      </w:r>
      <w:r w:rsidRPr="0093395F">
        <w:t>% ogólnej liczby napływu do statystyk bezrobotnych w okresie I półrocza 201</w:t>
      </w:r>
      <w:r w:rsidR="0093395F" w:rsidRPr="0093395F">
        <w:t>7</w:t>
      </w:r>
      <w:r w:rsidRPr="0093395F">
        <w:t xml:space="preserve"> r. (w I półroczu 201</w:t>
      </w:r>
      <w:r w:rsidR="0093395F" w:rsidRPr="0093395F">
        <w:t>6</w:t>
      </w:r>
      <w:r w:rsidRPr="0093395F">
        <w:t xml:space="preserve"> – 8</w:t>
      </w:r>
      <w:r w:rsidR="0093395F" w:rsidRPr="0093395F">
        <w:t>5</w:t>
      </w:r>
      <w:r w:rsidRPr="0093395F">
        <w:t xml:space="preserve">,3%), co powodowało </w:t>
      </w:r>
      <w:r w:rsidR="0093395F" w:rsidRPr="0093395F">
        <w:t>spadek</w:t>
      </w:r>
      <w:r w:rsidRPr="0093395F">
        <w:t xml:space="preserve"> o </w:t>
      </w:r>
      <w:r w:rsidR="0093395F" w:rsidRPr="0093395F">
        <w:t>0,3</w:t>
      </w:r>
      <w:r w:rsidRPr="0093395F">
        <w:t xml:space="preserve"> pkt. proc. w porównaniu do analogicznego okresu ubr.</w:t>
      </w:r>
    </w:p>
    <w:p w:rsidR="007F6640" w:rsidRPr="0093395F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93395F">
        <w:rPr>
          <w:b/>
        </w:rPr>
        <w:t>Odpływ z powodu samodzielnej rezygnacji</w:t>
      </w:r>
      <w:r w:rsidRPr="0093395F">
        <w:t xml:space="preserve">: </w:t>
      </w:r>
      <w:r w:rsidR="0093395F">
        <w:t>spadek udziału</w:t>
      </w:r>
      <w:r w:rsidRPr="0093395F">
        <w:t xml:space="preserve"> bezrobotnych, którzy nie potwierdzali w urzędach pracy swojej gotowości do zatrudnienia. W I półroczu 201</w:t>
      </w:r>
      <w:r w:rsidR="0093395F" w:rsidRPr="0093395F">
        <w:t>7</w:t>
      </w:r>
      <w:r w:rsidRPr="0093395F">
        <w:t xml:space="preserve"> r. brak potwierdzenia </w:t>
      </w:r>
      <w:r w:rsidR="0093395F">
        <w:t xml:space="preserve">gotowości </w:t>
      </w:r>
      <w:r w:rsidRPr="0093395F">
        <w:t xml:space="preserve">do podjęcia pracy obejmował </w:t>
      </w:r>
      <w:r w:rsidR="0093395F" w:rsidRPr="0093395F">
        <w:t>18</w:t>
      </w:r>
      <w:r w:rsidRPr="0093395F">
        <w:t>,</w:t>
      </w:r>
      <w:r w:rsidR="0093395F" w:rsidRPr="0093395F">
        <w:t>6</w:t>
      </w:r>
      <w:r w:rsidRPr="0093395F">
        <w:t xml:space="preserve">% ogółu wyrejestrowanych bezrobotnych – a w I półroczu 2016 r. – 19,7%. </w:t>
      </w:r>
    </w:p>
    <w:p w:rsidR="007F6640" w:rsidRPr="00052D0A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052D0A">
        <w:rPr>
          <w:b/>
        </w:rPr>
        <w:t>Osoby bezrobotne z prawem do zasiłku</w:t>
      </w:r>
      <w:r w:rsidRPr="00052D0A">
        <w:t xml:space="preserve">: nastąpił nieznaczny wzrost (o </w:t>
      </w:r>
      <w:r w:rsidR="00052D0A" w:rsidRPr="00052D0A">
        <w:t>1</w:t>
      </w:r>
      <w:r w:rsidRPr="00052D0A">
        <w:t>,</w:t>
      </w:r>
      <w:r w:rsidR="00052D0A" w:rsidRPr="00052D0A">
        <w:t>3</w:t>
      </w:r>
      <w:r w:rsidRPr="00052D0A">
        <w:t xml:space="preserve"> pkt. proc. udziału osób bezrobotnych uprawnionych do pobierania zasiłku (z 1</w:t>
      </w:r>
      <w:r w:rsidR="00052D0A" w:rsidRPr="00052D0A">
        <w:t>1</w:t>
      </w:r>
      <w:r w:rsidRPr="00052D0A">
        <w:t>,</w:t>
      </w:r>
      <w:r w:rsidR="00052D0A" w:rsidRPr="00052D0A">
        <w:t>7</w:t>
      </w:r>
      <w:r w:rsidRPr="00052D0A">
        <w:t>% na koniec VI</w:t>
      </w:r>
      <w:r w:rsidR="0093395F" w:rsidRPr="00052D0A">
        <w:t xml:space="preserve"> </w:t>
      </w:r>
      <w:r w:rsidRPr="00052D0A">
        <w:t>201</w:t>
      </w:r>
      <w:r w:rsidR="0093395F" w:rsidRPr="00052D0A">
        <w:t>6</w:t>
      </w:r>
      <w:r w:rsidRPr="00052D0A">
        <w:t xml:space="preserve"> r. do 1</w:t>
      </w:r>
      <w:r w:rsidR="00052D0A" w:rsidRPr="00052D0A">
        <w:t>3</w:t>
      </w:r>
      <w:r w:rsidRPr="00052D0A">
        <w:t>,</w:t>
      </w:r>
      <w:r w:rsidR="00052D0A" w:rsidRPr="00052D0A">
        <w:t>0</w:t>
      </w:r>
      <w:r w:rsidRPr="00052D0A">
        <w:t>% wg stanu na koniec VI</w:t>
      </w:r>
      <w:r w:rsidR="0093395F" w:rsidRPr="00052D0A">
        <w:t xml:space="preserve"> </w:t>
      </w:r>
      <w:r w:rsidRPr="00052D0A">
        <w:t>201</w:t>
      </w:r>
      <w:r w:rsidR="0093395F" w:rsidRPr="00052D0A">
        <w:t>7</w:t>
      </w:r>
      <w:r w:rsidRPr="00052D0A">
        <w:t xml:space="preserve"> r.).</w:t>
      </w:r>
    </w:p>
    <w:p w:rsidR="007F6640" w:rsidRPr="00E32531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E32531">
        <w:rPr>
          <w:b/>
        </w:rPr>
        <w:t>Zwolnienia grupowe</w:t>
      </w:r>
      <w:r w:rsidRPr="00E32531">
        <w:t xml:space="preserve">: odnotowano znacznie niższą jak </w:t>
      </w:r>
      <w:r w:rsidR="00E32531" w:rsidRPr="00E32531">
        <w:t xml:space="preserve">we wcześniejszych półroczach </w:t>
      </w:r>
      <w:r w:rsidR="000B3FD1" w:rsidRPr="00E32531">
        <w:t xml:space="preserve">– </w:t>
      </w:r>
      <w:r w:rsidRPr="00E32531">
        <w:t>ilość osób zwolnionych z przyczyn leżących po stronie pracodawcy</w:t>
      </w:r>
      <w:r w:rsidR="00697DAE">
        <w:t xml:space="preserve"> (porównanie ’07-’17)</w:t>
      </w:r>
      <w:r w:rsidRPr="00E32531">
        <w:t>.</w:t>
      </w:r>
      <w:r w:rsidR="00E32531" w:rsidRPr="00E32531">
        <w:t xml:space="preserve"> Jednakże </w:t>
      </w:r>
      <w:r w:rsidR="008B098A">
        <w:t xml:space="preserve">w stosunku </w:t>
      </w:r>
      <w:r w:rsidR="00E32531" w:rsidRPr="00E32531">
        <w:t xml:space="preserve">do I półrocza 2016 r. nastąpił wzrost. </w:t>
      </w:r>
      <w:r w:rsidRPr="00E32531">
        <w:t>W I półroczu 201</w:t>
      </w:r>
      <w:r w:rsidR="000B3FD1" w:rsidRPr="00E32531">
        <w:t>7</w:t>
      </w:r>
      <w:r w:rsidRPr="00E32531">
        <w:t xml:space="preserve"> r. wypowiedzenia umów o pracę z powodów niedotyczących pracowników otrzymało łącznie </w:t>
      </w:r>
      <w:r w:rsidR="00E32531" w:rsidRPr="00E32531">
        <w:t>348</w:t>
      </w:r>
      <w:r w:rsidRPr="00E32531">
        <w:t xml:space="preserve"> os</w:t>
      </w:r>
      <w:r w:rsidR="00E32531" w:rsidRPr="00E32531">
        <w:t>ó</w:t>
      </w:r>
      <w:r w:rsidRPr="00E32531">
        <w:t xml:space="preserve">b – </w:t>
      </w:r>
      <w:r w:rsidR="00E32531" w:rsidRPr="00E32531">
        <w:t xml:space="preserve">podczas gdy </w:t>
      </w:r>
      <w:r w:rsidRPr="00E32531">
        <w:t>w I półroczu 201</w:t>
      </w:r>
      <w:r w:rsidR="00E32531" w:rsidRPr="00E32531">
        <w:t>6</w:t>
      </w:r>
      <w:r w:rsidRPr="00E32531">
        <w:t xml:space="preserve"> r. – </w:t>
      </w:r>
      <w:r w:rsidR="00E32531" w:rsidRPr="00E32531">
        <w:t>92</w:t>
      </w:r>
      <w:r w:rsidRPr="00E32531">
        <w:t xml:space="preserve"> pracowników.</w:t>
      </w:r>
    </w:p>
    <w:p w:rsidR="007F6640" w:rsidRPr="008B098A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8B098A">
        <w:rPr>
          <w:b/>
        </w:rPr>
        <w:t xml:space="preserve">Wolne miejsca pracy i miejsca aktywizacji zawodowej </w:t>
      </w:r>
      <w:r w:rsidR="008B098A">
        <w:rPr>
          <w:b/>
        </w:rPr>
        <w:t>(łącznie):</w:t>
      </w:r>
      <w:r w:rsidRPr="008B098A">
        <w:t xml:space="preserve"> nastąpił wzrost ilości ofert pracy – zróżnicowany w </w:t>
      </w:r>
      <w:r w:rsidR="000B3FD1" w:rsidRPr="008B098A">
        <w:t xml:space="preserve">poszczególnych </w:t>
      </w:r>
      <w:r w:rsidRPr="008B098A">
        <w:t>powiatach. W I półroczu 201</w:t>
      </w:r>
      <w:r w:rsidR="000B3FD1" w:rsidRPr="008B098A">
        <w:t>7</w:t>
      </w:r>
      <w:r w:rsidRPr="008B098A">
        <w:t xml:space="preserve"> r. zgłoszono łącznie </w:t>
      </w:r>
      <w:r w:rsidR="008B098A" w:rsidRPr="008B098A">
        <w:t>41</w:t>
      </w:r>
      <w:r w:rsidRPr="008B098A">
        <w:t> </w:t>
      </w:r>
      <w:r w:rsidR="008B098A" w:rsidRPr="008B098A">
        <w:t>480</w:t>
      </w:r>
      <w:r w:rsidRPr="008B098A">
        <w:t xml:space="preserve"> </w:t>
      </w:r>
      <w:r w:rsidR="008B098A" w:rsidRPr="008B098A">
        <w:t xml:space="preserve">tj. </w:t>
      </w:r>
      <w:r w:rsidRPr="008B098A">
        <w:t xml:space="preserve">o </w:t>
      </w:r>
      <w:r w:rsidR="008B098A" w:rsidRPr="008B098A">
        <w:t>2</w:t>
      </w:r>
      <w:r w:rsidRPr="008B098A">
        <w:t> </w:t>
      </w:r>
      <w:r w:rsidR="008B098A" w:rsidRPr="008B098A">
        <w:t>863</w:t>
      </w:r>
      <w:r w:rsidRPr="008B098A">
        <w:t xml:space="preserve"> więcej niż w I półroczu 201</w:t>
      </w:r>
      <w:r w:rsidR="008B098A" w:rsidRPr="008B098A">
        <w:t>6</w:t>
      </w:r>
      <w:r w:rsidRPr="008B098A">
        <w:t xml:space="preserve"> r. </w:t>
      </w:r>
      <w:r w:rsidR="008B098A" w:rsidRPr="008B098A">
        <w:t>(</w:t>
      </w:r>
      <w:r w:rsidRPr="008B098A">
        <w:t>3</w:t>
      </w:r>
      <w:r w:rsidR="008B098A" w:rsidRPr="008B098A">
        <w:t>8 </w:t>
      </w:r>
      <w:r w:rsidRPr="008B098A">
        <w:t>6</w:t>
      </w:r>
      <w:r w:rsidR="008B098A" w:rsidRPr="008B098A">
        <w:t>17)</w:t>
      </w:r>
      <w:r w:rsidRPr="008B098A">
        <w:t xml:space="preserve">. </w:t>
      </w:r>
    </w:p>
    <w:p w:rsidR="007F6640" w:rsidRPr="009F625F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9F625F">
        <w:rPr>
          <w:b/>
        </w:rPr>
        <w:t>Wolne miejsca pracy</w:t>
      </w:r>
      <w:r w:rsidRPr="009F625F">
        <w:t>: w I półroczu 201</w:t>
      </w:r>
      <w:r w:rsidR="008B098A" w:rsidRPr="009F625F">
        <w:t>7</w:t>
      </w:r>
      <w:r w:rsidRPr="009F625F">
        <w:t xml:space="preserve"> r. odnotowano </w:t>
      </w:r>
      <w:r w:rsidR="009F625F" w:rsidRPr="009F625F">
        <w:rPr>
          <w:b/>
        </w:rPr>
        <w:t>31</w:t>
      </w:r>
      <w:r w:rsidRPr="009F625F">
        <w:rPr>
          <w:b/>
        </w:rPr>
        <w:t> </w:t>
      </w:r>
      <w:r w:rsidR="009F625F" w:rsidRPr="009F625F">
        <w:rPr>
          <w:b/>
        </w:rPr>
        <w:t>830</w:t>
      </w:r>
      <w:r w:rsidRPr="009F625F">
        <w:t xml:space="preserve"> miejsc zatrudnienia lub innej pracy zarobkowej (w I półroczu 201</w:t>
      </w:r>
      <w:r w:rsidR="008B098A" w:rsidRPr="009F625F">
        <w:t>6</w:t>
      </w:r>
      <w:r w:rsidRPr="009F625F">
        <w:t xml:space="preserve"> roku – </w:t>
      </w:r>
      <w:r w:rsidRPr="009F625F">
        <w:rPr>
          <w:b/>
        </w:rPr>
        <w:t>2</w:t>
      </w:r>
      <w:r w:rsidR="008B098A" w:rsidRPr="009F625F">
        <w:rPr>
          <w:b/>
        </w:rPr>
        <w:t>7</w:t>
      </w:r>
      <w:r w:rsidRPr="009F625F">
        <w:rPr>
          <w:b/>
        </w:rPr>
        <w:t> </w:t>
      </w:r>
      <w:r w:rsidR="008B098A" w:rsidRPr="009F625F">
        <w:rPr>
          <w:b/>
        </w:rPr>
        <w:t>745</w:t>
      </w:r>
      <w:r w:rsidRPr="009F625F">
        <w:t xml:space="preserve">) – </w:t>
      </w:r>
      <w:r w:rsidR="009F625F" w:rsidRPr="009F625F">
        <w:t>tj. nastąpił wzrost w</w:t>
      </w:r>
      <w:r w:rsidR="009F625F">
        <w:t> </w:t>
      </w:r>
      <w:r w:rsidR="009F625F" w:rsidRPr="009F625F">
        <w:t xml:space="preserve">porównaniu do analogicznego okresu ubr. </w:t>
      </w:r>
      <w:r w:rsidRPr="009F625F">
        <w:t xml:space="preserve">o </w:t>
      </w:r>
      <w:r w:rsidR="009F625F" w:rsidRPr="009F625F">
        <w:t>4</w:t>
      </w:r>
      <w:r w:rsidRPr="009F625F">
        <w:t> 0</w:t>
      </w:r>
      <w:r w:rsidR="009F625F" w:rsidRPr="009F625F">
        <w:t>85</w:t>
      </w:r>
      <w:r w:rsidRPr="009F625F">
        <w:t xml:space="preserve"> </w:t>
      </w:r>
      <w:r w:rsidR="009F625F" w:rsidRPr="009F625F">
        <w:t>wolnych miejsc pracy</w:t>
      </w:r>
      <w:r w:rsidRPr="009F625F">
        <w:t xml:space="preserve">. </w:t>
      </w:r>
    </w:p>
    <w:p w:rsidR="007F6640" w:rsidRPr="008B098A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0B3FD1">
        <w:rPr>
          <w:b/>
        </w:rPr>
        <w:t>Wolne miejsca aktywizacji zawodowej</w:t>
      </w:r>
      <w:r w:rsidRPr="008B098A">
        <w:t>: w I półroczu 201</w:t>
      </w:r>
      <w:r w:rsidR="008B098A" w:rsidRPr="008B098A">
        <w:t>7</w:t>
      </w:r>
      <w:r w:rsidRPr="008B098A">
        <w:t xml:space="preserve"> r. odnotowano </w:t>
      </w:r>
      <w:r w:rsidR="004154A1" w:rsidRPr="004154A1">
        <w:rPr>
          <w:b/>
        </w:rPr>
        <w:t>9</w:t>
      </w:r>
      <w:r w:rsidRPr="004154A1">
        <w:rPr>
          <w:b/>
        </w:rPr>
        <w:t> </w:t>
      </w:r>
      <w:r w:rsidR="004154A1" w:rsidRPr="004154A1">
        <w:rPr>
          <w:b/>
        </w:rPr>
        <w:t>650</w:t>
      </w:r>
      <w:r w:rsidRPr="004154A1">
        <w:t xml:space="preserve"> </w:t>
      </w:r>
      <w:r w:rsidRPr="008B098A">
        <w:t>miejsc aktywizacji zawodowej (I półrocze 201</w:t>
      </w:r>
      <w:r w:rsidR="008B098A" w:rsidRPr="008B098A">
        <w:t>6</w:t>
      </w:r>
      <w:r w:rsidRPr="008B098A">
        <w:t xml:space="preserve"> r. – </w:t>
      </w:r>
      <w:r w:rsidRPr="004154A1">
        <w:rPr>
          <w:b/>
        </w:rPr>
        <w:t>1</w:t>
      </w:r>
      <w:r w:rsidR="008B098A" w:rsidRPr="004154A1">
        <w:rPr>
          <w:b/>
        </w:rPr>
        <w:t>0</w:t>
      </w:r>
      <w:r w:rsidRPr="004154A1">
        <w:rPr>
          <w:b/>
        </w:rPr>
        <w:t> </w:t>
      </w:r>
      <w:r w:rsidR="008B098A" w:rsidRPr="004154A1">
        <w:rPr>
          <w:b/>
        </w:rPr>
        <w:t>872</w:t>
      </w:r>
      <w:r w:rsidRPr="008B098A">
        <w:t>) – mniej o </w:t>
      </w:r>
      <w:r w:rsidR="004154A1">
        <w:t xml:space="preserve">1 222 </w:t>
      </w:r>
      <w:r w:rsidRPr="008B098A">
        <w:t>niż w analogicznym okresie ubr.</w:t>
      </w:r>
    </w:p>
    <w:p w:rsidR="007F6640" w:rsidRPr="00506525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506525">
        <w:rPr>
          <w:b/>
        </w:rPr>
        <w:t>Oferty pracy subsydiowanej</w:t>
      </w:r>
      <w:r w:rsidRPr="00506525">
        <w:t>: w I półroczu 201</w:t>
      </w:r>
      <w:r w:rsidR="008B098A" w:rsidRPr="00506525">
        <w:t>7</w:t>
      </w:r>
      <w:r w:rsidRPr="00506525">
        <w:t xml:space="preserve"> r. </w:t>
      </w:r>
      <w:r w:rsidR="004154A1" w:rsidRPr="00506525">
        <w:t xml:space="preserve">odnotowano spadek </w:t>
      </w:r>
      <w:r w:rsidRPr="00506525">
        <w:t xml:space="preserve">ofert pracy subsydiowanej wśród wszystkich wolnych miejsc pracy i </w:t>
      </w:r>
      <w:r w:rsidR="004154A1" w:rsidRPr="00506525">
        <w:t xml:space="preserve">miejsc </w:t>
      </w:r>
      <w:r w:rsidRPr="00506525">
        <w:t>aktywizacji zawodowej (</w:t>
      </w:r>
      <w:r w:rsidR="00506525" w:rsidRPr="00506525">
        <w:t xml:space="preserve">I półrocze 2017 r. – </w:t>
      </w:r>
      <w:r w:rsidRPr="00506525">
        <w:t>1</w:t>
      </w:r>
      <w:r w:rsidR="004154A1" w:rsidRPr="00506525">
        <w:t>7</w:t>
      </w:r>
      <w:r w:rsidRPr="00506525">
        <w:t> </w:t>
      </w:r>
      <w:r w:rsidR="004154A1" w:rsidRPr="00506525">
        <w:t>945</w:t>
      </w:r>
      <w:r w:rsidRPr="00506525">
        <w:t xml:space="preserve">, tj. </w:t>
      </w:r>
      <w:r w:rsidR="00506525" w:rsidRPr="00506525">
        <w:t>43</w:t>
      </w:r>
      <w:r w:rsidRPr="00506525">
        <w:t>,</w:t>
      </w:r>
      <w:r w:rsidR="00506525" w:rsidRPr="00506525">
        <w:t>3</w:t>
      </w:r>
      <w:r w:rsidRPr="00506525">
        <w:t xml:space="preserve">% </w:t>
      </w:r>
      <w:r w:rsidR="00506525" w:rsidRPr="00506525">
        <w:t xml:space="preserve">ogółu ofert vs. </w:t>
      </w:r>
      <w:r w:rsidRPr="00506525">
        <w:t>I półrocz</w:t>
      </w:r>
      <w:r w:rsidR="00506525" w:rsidRPr="00506525">
        <w:t>e</w:t>
      </w:r>
      <w:r w:rsidRPr="00506525">
        <w:t xml:space="preserve"> 201</w:t>
      </w:r>
      <w:r w:rsidR="008B098A" w:rsidRPr="00506525">
        <w:t>6</w:t>
      </w:r>
      <w:r w:rsidRPr="00506525">
        <w:t xml:space="preserve"> r. – 1</w:t>
      </w:r>
      <w:r w:rsidR="009F625F" w:rsidRPr="00506525">
        <w:t>9</w:t>
      </w:r>
      <w:r w:rsidRPr="00506525">
        <w:t> 5</w:t>
      </w:r>
      <w:r w:rsidR="009F625F" w:rsidRPr="00506525">
        <w:t>58</w:t>
      </w:r>
      <w:r w:rsidRPr="00506525">
        <w:t>, tj. 50,</w:t>
      </w:r>
      <w:r w:rsidR="009F625F" w:rsidRPr="00506525">
        <w:t>6</w:t>
      </w:r>
      <w:r w:rsidRPr="00506525">
        <w:t>%</w:t>
      </w:r>
      <w:r w:rsidR="00506525" w:rsidRPr="00506525">
        <w:t xml:space="preserve"> ogółu</w:t>
      </w:r>
      <w:r w:rsidRPr="00506525">
        <w:t xml:space="preserve">). </w:t>
      </w:r>
      <w:r w:rsidR="00506525" w:rsidRPr="00506525">
        <w:t xml:space="preserve">Zmniejszył się </w:t>
      </w:r>
      <w:r w:rsidRPr="00506525">
        <w:t>udział subsydiów w ogółem</w:t>
      </w:r>
      <w:r w:rsidR="00506525" w:rsidRPr="00506525">
        <w:t xml:space="preserve"> – 7,3</w:t>
      </w:r>
      <w:r w:rsidRPr="00506525">
        <w:t xml:space="preserve"> pkt. proc.</w:t>
      </w:r>
    </w:p>
    <w:p w:rsidR="007F6640" w:rsidRPr="00506525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506525">
        <w:rPr>
          <w:b/>
        </w:rPr>
        <w:t>Staże</w:t>
      </w:r>
      <w:r w:rsidRPr="00506525">
        <w:t>: w okresie I półrocza 201</w:t>
      </w:r>
      <w:r w:rsidR="009F625F" w:rsidRPr="00506525">
        <w:t>7</w:t>
      </w:r>
      <w:r w:rsidRPr="00506525">
        <w:t xml:space="preserve"> r. – </w:t>
      </w:r>
      <w:r w:rsidR="00506525" w:rsidRPr="00506525">
        <w:t>7</w:t>
      </w:r>
      <w:r w:rsidRPr="00506525">
        <w:t> </w:t>
      </w:r>
      <w:r w:rsidR="00506525" w:rsidRPr="00506525">
        <w:t>110</w:t>
      </w:r>
      <w:r w:rsidRPr="00506525">
        <w:t xml:space="preserve"> os</w:t>
      </w:r>
      <w:r w:rsidR="00506525" w:rsidRPr="00506525">
        <w:t>ó</w:t>
      </w:r>
      <w:r w:rsidRPr="00506525">
        <w:t>b został</w:t>
      </w:r>
      <w:r w:rsidR="00506525" w:rsidRPr="00506525">
        <w:t>o</w:t>
      </w:r>
      <w:r w:rsidRPr="00506525">
        <w:t xml:space="preserve"> skierowan</w:t>
      </w:r>
      <w:r w:rsidR="00506525" w:rsidRPr="00506525">
        <w:t>ych</w:t>
      </w:r>
      <w:r w:rsidRPr="00506525">
        <w:t xml:space="preserve"> do odbycia stażu (w I półroczu 201</w:t>
      </w:r>
      <w:r w:rsidR="009F625F" w:rsidRPr="00506525">
        <w:t>6</w:t>
      </w:r>
      <w:r w:rsidRPr="00506525">
        <w:t xml:space="preserve"> r. – </w:t>
      </w:r>
      <w:r w:rsidR="009F625F" w:rsidRPr="00506525">
        <w:t>8</w:t>
      </w:r>
      <w:r w:rsidRPr="00506525">
        <w:t> </w:t>
      </w:r>
      <w:r w:rsidR="009F625F" w:rsidRPr="00506525">
        <w:t>462</w:t>
      </w:r>
      <w:r w:rsidRPr="00506525">
        <w:t xml:space="preserve"> osób).  Pomimo spadku o </w:t>
      </w:r>
      <w:r w:rsidR="00506525" w:rsidRPr="00506525">
        <w:t>1 352</w:t>
      </w:r>
      <w:r w:rsidRPr="00506525">
        <w:t xml:space="preserve"> bezrobotnych – staż to najczęściej realizowana forma aktywizacji bezrobotnych.</w:t>
      </w:r>
    </w:p>
    <w:p w:rsidR="007F6640" w:rsidRPr="00C63866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707D39">
        <w:rPr>
          <w:b/>
        </w:rPr>
        <w:lastRenderedPageBreak/>
        <w:t>Wsparcie samozatrudnienia</w:t>
      </w:r>
      <w:r w:rsidRPr="00EB2420">
        <w:t xml:space="preserve">: nastąpił </w:t>
      </w:r>
      <w:r w:rsidR="003130AD">
        <w:t>spadek</w:t>
      </w:r>
      <w:r w:rsidRPr="00EB2420">
        <w:t xml:space="preserve"> </w:t>
      </w:r>
      <w:r w:rsidR="003130AD">
        <w:t xml:space="preserve">o 242 </w:t>
      </w:r>
      <w:r w:rsidR="00707D39">
        <w:t xml:space="preserve">osoby – </w:t>
      </w:r>
      <w:r w:rsidRPr="00EB2420">
        <w:t xml:space="preserve">bezrobotnych wyrejestrowanych </w:t>
      </w:r>
      <w:r w:rsidRPr="00C63866">
        <w:t>z powodu uzyskania dotacji na uruchomienie własnej działalności gospodarczej</w:t>
      </w:r>
      <w:r w:rsidR="00707D39">
        <w:t>.</w:t>
      </w:r>
      <w:r w:rsidRPr="00C63866">
        <w:t xml:space="preserve"> </w:t>
      </w:r>
      <w:r w:rsidR="00707D39">
        <w:t>W</w:t>
      </w:r>
      <w:r w:rsidR="00707D39" w:rsidRPr="00C63866">
        <w:t xml:space="preserve"> I półrocz</w:t>
      </w:r>
      <w:r w:rsidR="00707D39">
        <w:t>u</w:t>
      </w:r>
      <w:r w:rsidR="00707D39" w:rsidRPr="00C63866">
        <w:t xml:space="preserve"> 2016 r</w:t>
      </w:r>
      <w:r w:rsidR="00707D39">
        <w:t>.</w:t>
      </w:r>
      <w:r w:rsidR="00707D39" w:rsidRPr="00C63866">
        <w:t xml:space="preserve"> </w:t>
      </w:r>
      <w:r w:rsidR="00707D39">
        <w:t>odnotowano</w:t>
      </w:r>
      <w:r w:rsidRPr="00C63866">
        <w:t xml:space="preserve"> </w:t>
      </w:r>
      <w:r w:rsidR="00C63866" w:rsidRPr="00C63866">
        <w:t>1 426</w:t>
      </w:r>
      <w:r w:rsidRPr="00C63866">
        <w:t xml:space="preserve"> bezrobotnych </w:t>
      </w:r>
      <w:r w:rsidR="00707D39">
        <w:t>vs.</w:t>
      </w:r>
      <w:r w:rsidRPr="003130AD">
        <w:t xml:space="preserve"> 1</w:t>
      </w:r>
      <w:r w:rsidR="003130AD" w:rsidRPr="003130AD">
        <w:t> 184</w:t>
      </w:r>
      <w:r w:rsidR="003130AD">
        <w:t xml:space="preserve"> </w:t>
      </w:r>
      <w:r w:rsidRPr="00C63866">
        <w:t>bezrobotnych w</w:t>
      </w:r>
      <w:r w:rsidR="00707D39">
        <w:t> </w:t>
      </w:r>
      <w:r w:rsidRPr="00C63866">
        <w:t>I</w:t>
      </w:r>
      <w:r w:rsidR="003130AD">
        <w:t> </w:t>
      </w:r>
      <w:r w:rsidRPr="00C63866">
        <w:t>półrocz</w:t>
      </w:r>
      <w:r w:rsidR="003130AD">
        <w:t>u</w:t>
      </w:r>
      <w:r w:rsidRPr="00C63866">
        <w:t xml:space="preserve"> 201</w:t>
      </w:r>
      <w:r w:rsidR="00C63866">
        <w:t>7</w:t>
      </w:r>
      <w:r w:rsidRPr="00C63866">
        <w:t xml:space="preserve"> r.</w:t>
      </w:r>
    </w:p>
    <w:p w:rsidR="007F6640" w:rsidRPr="00707D39" w:rsidRDefault="007F6640" w:rsidP="007F6640">
      <w:pPr>
        <w:pStyle w:val="Default"/>
        <w:numPr>
          <w:ilvl w:val="0"/>
          <w:numId w:val="26"/>
        </w:numPr>
        <w:spacing w:line="360" w:lineRule="auto"/>
        <w:jc w:val="both"/>
      </w:pPr>
      <w:r w:rsidRPr="00707D39">
        <w:rPr>
          <w:b/>
        </w:rPr>
        <w:t>Wsparcie tworzenia miejsc pracy</w:t>
      </w:r>
      <w:r w:rsidRPr="00707D39">
        <w:t xml:space="preserve">: nastąpił </w:t>
      </w:r>
      <w:r w:rsidR="00707D39" w:rsidRPr="00707D39">
        <w:t>spadek</w:t>
      </w:r>
      <w:r w:rsidRPr="00707D39">
        <w:t xml:space="preserve"> </w:t>
      </w:r>
      <w:r w:rsidR="00707D39" w:rsidRPr="00707D39">
        <w:t xml:space="preserve">o 114 osób – </w:t>
      </w:r>
      <w:r w:rsidRPr="00707D39">
        <w:t>bezrobotnych skierowanych przez PUP do pracodawców w ramach refundacji kosztów na wyposażenie i doposażenie stanowisk pracy</w:t>
      </w:r>
      <w:r w:rsidR="00707D39" w:rsidRPr="00707D39">
        <w:t xml:space="preserve">. W I półroczu 2016 r. odnotowano </w:t>
      </w:r>
      <w:r w:rsidRPr="00707D39">
        <w:t>1 </w:t>
      </w:r>
      <w:r w:rsidR="00707D39" w:rsidRPr="00707D39">
        <w:t>632</w:t>
      </w:r>
      <w:r w:rsidRPr="00707D39">
        <w:t xml:space="preserve"> bezrobotnych </w:t>
      </w:r>
      <w:r w:rsidR="00707D39" w:rsidRPr="00707D39">
        <w:t>vs.</w:t>
      </w:r>
      <w:r w:rsidRPr="00707D39">
        <w:t xml:space="preserve"> 1 </w:t>
      </w:r>
      <w:r w:rsidR="00707D39" w:rsidRPr="00707D39">
        <w:t>518</w:t>
      </w:r>
      <w:r w:rsidRPr="00707D39">
        <w:t xml:space="preserve"> bezrobotnych w I półrocz</w:t>
      </w:r>
      <w:r w:rsidR="00707D39" w:rsidRPr="00707D39">
        <w:t>u</w:t>
      </w:r>
      <w:r w:rsidRPr="00707D39">
        <w:t xml:space="preserve"> 201</w:t>
      </w:r>
      <w:r w:rsidR="00707D39" w:rsidRPr="00707D39">
        <w:t>7</w:t>
      </w:r>
      <w:r w:rsidRPr="00707D39">
        <w:t xml:space="preserve"> r.</w:t>
      </w:r>
    </w:p>
    <w:p w:rsidR="004F28A7" w:rsidRPr="00390D83" w:rsidRDefault="007F6640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390D83">
        <w:rPr>
          <w:b/>
        </w:rPr>
        <w:t>Szkolenia</w:t>
      </w:r>
      <w:r w:rsidRPr="00390D83">
        <w:t>: niewielkie środki z Funduszu Pracy</w:t>
      </w:r>
      <w:r w:rsidR="00390D83">
        <w:t xml:space="preserve"> – </w:t>
      </w:r>
      <w:r w:rsidRPr="00390D83">
        <w:t xml:space="preserve">tylko </w:t>
      </w:r>
      <w:r w:rsidR="00390D83" w:rsidRPr="00390D83">
        <w:t>1</w:t>
      </w:r>
      <w:r w:rsidRPr="00390D83">
        <w:t>,</w:t>
      </w:r>
      <w:r w:rsidR="00390D83" w:rsidRPr="00390D83">
        <w:t>59</w:t>
      </w:r>
      <w:r w:rsidRPr="00390D83">
        <w:t xml:space="preserve"> mln. zł tj. 1</w:t>
      </w:r>
      <w:r w:rsidR="00390D83" w:rsidRPr="00390D83">
        <w:t>,06</w:t>
      </w:r>
      <w:r w:rsidRPr="00390D83">
        <w:t>%</w:t>
      </w:r>
      <w:r w:rsidR="00390D83" w:rsidRPr="00390D83">
        <w:t xml:space="preserve"> aktywnych form</w:t>
      </w:r>
      <w:r w:rsidRPr="00390D83">
        <w:t xml:space="preserve"> wydatkowan</w:t>
      </w:r>
      <w:r w:rsidR="00390D83">
        <w:t>o w</w:t>
      </w:r>
      <w:r w:rsidRPr="00390D83">
        <w:t xml:space="preserve"> PUP na realizację szkoleń.</w:t>
      </w:r>
    </w:p>
    <w:sectPr w:rsidR="004F28A7" w:rsidRPr="00390D83" w:rsidSect="00C851A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7A" w:rsidRDefault="00DD187A" w:rsidP="00644EBC">
      <w:pPr>
        <w:spacing w:after="0" w:line="240" w:lineRule="auto"/>
      </w:pPr>
      <w:r>
        <w:separator/>
      </w:r>
    </w:p>
  </w:endnote>
  <w:endnote w:type="continuationSeparator" w:id="0">
    <w:p w:rsidR="00DD187A" w:rsidRDefault="00DD187A" w:rsidP="0064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095044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C45A3" w:rsidRPr="002B03E5" w:rsidRDefault="008C45A3">
        <w:pPr>
          <w:pStyle w:val="Stopka"/>
          <w:jc w:val="center"/>
          <w:rPr>
            <w:rFonts w:ascii="Times New Roman" w:hAnsi="Times New Roman"/>
          </w:rPr>
        </w:pPr>
        <w:r w:rsidRPr="002B03E5">
          <w:rPr>
            <w:rFonts w:ascii="Times New Roman" w:hAnsi="Times New Roman"/>
          </w:rPr>
          <w:fldChar w:fldCharType="begin"/>
        </w:r>
        <w:r w:rsidRPr="002B03E5">
          <w:rPr>
            <w:rFonts w:ascii="Times New Roman" w:hAnsi="Times New Roman"/>
          </w:rPr>
          <w:instrText>PAGE   \* MERGEFORMAT</w:instrText>
        </w:r>
        <w:r w:rsidRPr="002B03E5">
          <w:rPr>
            <w:rFonts w:ascii="Times New Roman" w:hAnsi="Times New Roman"/>
          </w:rPr>
          <w:fldChar w:fldCharType="separate"/>
        </w:r>
        <w:r w:rsidR="00C70427">
          <w:rPr>
            <w:rFonts w:ascii="Times New Roman" w:hAnsi="Times New Roman"/>
            <w:noProof/>
          </w:rPr>
          <w:t>43</w:t>
        </w:r>
        <w:r w:rsidRPr="002B03E5">
          <w:rPr>
            <w:rFonts w:ascii="Times New Roman" w:hAnsi="Times New Roman"/>
            <w:noProof/>
          </w:rPr>
          <w:fldChar w:fldCharType="end"/>
        </w:r>
      </w:p>
    </w:sdtContent>
  </w:sdt>
  <w:p w:rsidR="008C45A3" w:rsidRDefault="008C4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7A" w:rsidRDefault="00DD187A" w:rsidP="00644EBC">
      <w:pPr>
        <w:spacing w:after="0" w:line="240" w:lineRule="auto"/>
      </w:pPr>
      <w:r>
        <w:separator/>
      </w:r>
    </w:p>
  </w:footnote>
  <w:footnote w:type="continuationSeparator" w:id="0">
    <w:p w:rsidR="00DD187A" w:rsidRDefault="00DD187A" w:rsidP="00644EBC">
      <w:pPr>
        <w:spacing w:after="0" w:line="240" w:lineRule="auto"/>
      </w:pPr>
      <w:r>
        <w:continuationSeparator/>
      </w:r>
    </w:p>
  </w:footnote>
  <w:footnote w:id="1">
    <w:p w:rsidR="008C45A3" w:rsidRPr="002719AD" w:rsidRDefault="008C45A3" w:rsidP="002719AD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2719A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719AD">
        <w:rPr>
          <w:rFonts w:ascii="Times New Roman" w:hAnsi="Times New Roman" w:cs="Times New Roman"/>
          <w:sz w:val="16"/>
          <w:szCs w:val="16"/>
        </w:rPr>
        <w:t xml:space="preserve"> Z uwzględnieniem pracujących w gospodarstwach indywidualnych w rolnictwie </w:t>
      </w:r>
      <w:r>
        <w:rPr>
          <w:rFonts w:ascii="Times New Roman" w:hAnsi="Times New Roman" w:cs="Times New Roman"/>
          <w:sz w:val="16"/>
          <w:szCs w:val="16"/>
        </w:rPr>
        <w:t xml:space="preserve">z wykorzystaniem </w:t>
      </w:r>
      <w:r w:rsidRPr="002719AD">
        <w:rPr>
          <w:rFonts w:ascii="Times New Roman" w:hAnsi="Times New Roman" w:cs="Times New Roman"/>
          <w:sz w:val="16"/>
          <w:szCs w:val="16"/>
        </w:rPr>
        <w:t>wyników Powszechnego Spisu Rolnego 2010 r.</w:t>
      </w:r>
    </w:p>
  </w:footnote>
  <w:footnote w:id="2">
    <w:p w:rsidR="008C45A3" w:rsidRPr="007B3779" w:rsidRDefault="008C45A3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7B3779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B3779">
        <w:rPr>
          <w:rFonts w:ascii="Times New Roman" w:hAnsi="Times New Roman" w:cs="Times New Roman"/>
          <w:sz w:val="18"/>
          <w:szCs w:val="18"/>
        </w:rPr>
        <w:t xml:space="preserve"> Bezrobotni długotrwale - w okresie ostatnich dwóch lat. Definicja zawarta w ustawie o promocji zatrudnienia i instytucjach rynku 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8FC"/>
    <w:multiLevelType w:val="hybridMultilevel"/>
    <w:tmpl w:val="F70E980A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E2E26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308DA"/>
    <w:multiLevelType w:val="hybridMultilevel"/>
    <w:tmpl w:val="AB7AF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A91287"/>
    <w:multiLevelType w:val="hybridMultilevel"/>
    <w:tmpl w:val="DE808E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FC358F"/>
    <w:multiLevelType w:val="hybridMultilevel"/>
    <w:tmpl w:val="0BCE50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33001E"/>
    <w:multiLevelType w:val="multilevel"/>
    <w:tmpl w:val="AC3A9D4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16D374F"/>
    <w:multiLevelType w:val="hybridMultilevel"/>
    <w:tmpl w:val="0EC4BC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CA246F"/>
    <w:multiLevelType w:val="hybridMultilevel"/>
    <w:tmpl w:val="ECAAC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3C04DF"/>
    <w:multiLevelType w:val="hybridMultilevel"/>
    <w:tmpl w:val="384E86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326DEF"/>
    <w:multiLevelType w:val="hybridMultilevel"/>
    <w:tmpl w:val="73481AC6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65295"/>
    <w:multiLevelType w:val="hybridMultilevel"/>
    <w:tmpl w:val="E7DC73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C05AC4"/>
    <w:multiLevelType w:val="hybridMultilevel"/>
    <w:tmpl w:val="94E82C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80612C"/>
    <w:multiLevelType w:val="hybridMultilevel"/>
    <w:tmpl w:val="5496868E"/>
    <w:lvl w:ilvl="0" w:tplc="AF42FC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180895"/>
    <w:multiLevelType w:val="hybridMultilevel"/>
    <w:tmpl w:val="D222EB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2582444"/>
    <w:multiLevelType w:val="hybridMultilevel"/>
    <w:tmpl w:val="ED1E1FA2"/>
    <w:lvl w:ilvl="0" w:tplc="AF42FC96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327F713B"/>
    <w:multiLevelType w:val="hybridMultilevel"/>
    <w:tmpl w:val="8304A0BE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03BBD"/>
    <w:multiLevelType w:val="hybridMultilevel"/>
    <w:tmpl w:val="114863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F451FF"/>
    <w:multiLevelType w:val="hybridMultilevel"/>
    <w:tmpl w:val="D69CC9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1A3FAA"/>
    <w:multiLevelType w:val="hybridMultilevel"/>
    <w:tmpl w:val="B61E47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15C0DDC"/>
    <w:multiLevelType w:val="hybridMultilevel"/>
    <w:tmpl w:val="AB78C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111988"/>
    <w:multiLevelType w:val="hybridMultilevel"/>
    <w:tmpl w:val="211444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727398"/>
    <w:multiLevelType w:val="hybridMultilevel"/>
    <w:tmpl w:val="A8CE6F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7040C57"/>
    <w:multiLevelType w:val="hybridMultilevel"/>
    <w:tmpl w:val="4D925C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9D70C6"/>
    <w:multiLevelType w:val="hybridMultilevel"/>
    <w:tmpl w:val="36024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B67F7D"/>
    <w:multiLevelType w:val="hybridMultilevel"/>
    <w:tmpl w:val="46F0EFFA"/>
    <w:lvl w:ilvl="0" w:tplc="01D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884C19"/>
    <w:multiLevelType w:val="hybridMultilevel"/>
    <w:tmpl w:val="3E384B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504D03"/>
    <w:multiLevelType w:val="hybridMultilevel"/>
    <w:tmpl w:val="3FF61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FB66A2"/>
    <w:multiLevelType w:val="hybridMultilevel"/>
    <w:tmpl w:val="16BC77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1033B0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8">
    <w:nsid w:val="705B224F"/>
    <w:multiLevelType w:val="hybridMultilevel"/>
    <w:tmpl w:val="F61051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6"/>
  </w:num>
  <w:num w:numId="4">
    <w:abstractNumId w:val="28"/>
  </w:num>
  <w:num w:numId="5">
    <w:abstractNumId w:val="21"/>
  </w:num>
  <w:num w:numId="6">
    <w:abstractNumId w:val="5"/>
  </w:num>
  <w:num w:numId="7">
    <w:abstractNumId w:val="20"/>
  </w:num>
  <w:num w:numId="8">
    <w:abstractNumId w:val="17"/>
  </w:num>
  <w:num w:numId="9">
    <w:abstractNumId w:val="16"/>
  </w:num>
  <w:num w:numId="10">
    <w:abstractNumId w:val="3"/>
  </w:num>
  <w:num w:numId="11">
    <w:abstractNumId w:val="11"/>
  </w:num>
  <w:num w:numId="12">
    <w:abstractNumId w:val="13"/>
  </w:num>
  <w:num w:numId="13">
    <w:abstractNumId w:val="4"/>
  </w:num>
  <w:num w:numId="14">
    <w:abstractNumId w:val="10"/>
  </w:num>
  <w:num w:numId="15">
    <w:abstractNumId w:val="8"/>
  </w:num>
  <w:num w:numId="16">
    <w:abstractNumId w:val="1"/>
  </w:num>
  <w:num w:numId="17">
    <w:abstractNumId w:val="24"/>
  </w:num>
  <w:num w:numId="18">
    <w:abstractNumId w:val="19"/>
  </w:num>
  <w:num w:numId="19">
    <w:abstractNumId w:val="15"/>
  </w:num>
  <w:num w:numId="20">
    <w:abstractNumId w:val="18"/>
  </w:num>
  <w:num w:numId="21">
    <w:abstractNumId w:val="0"/>
  </w:num>
  <w:num w:numId="22">
    <w:abstractNumId w:val="22"/>
  </w:num>
  <w:num w:numId="23">
    <w:abstractNumId w:val="14"/>
  </w:num>
  <w:num w:numId="24">
    <w:abstractNumId w:val="6"/>
  </w:num>
  <w:num w:numId="25">
    <w:abstractNumId w:val="27"/>
  </w:num>
  <w:num w:numId="26">
    <w:abstractNumId w:val="7"/>
  </w:num>
  <w:num w:numId="27">
    <w:abstractNumId w:val="9"/>
  </w:num>
  <w:num w:numId="28">
    <w:abstractNumId w:val="23"/>
  </w:num>
  <w:num w:numId="29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6E"/>
    <w:rsid w:val="000017AC"/>
    <w:rsid w:val="00002834"/>
    <w:rsid w:val="000034DC"/>
    <w:rsid w:val="0000557E"/>
    <w:rsid w:val="000058EE"/>
    <w:rsid w:val="00006D81"/>
    <w:rsid w:val="00007176"/>
    <w:rsid w:val="00007856"/>
    <w:rsid w:val="0001149D"/>
    <w:rsid w:val="00011D62"/>
    <w:rsid w:val="00011FA8"/>
    <w:rsid w:val="00013F6D"/>
    <w:rsid w:val="00013F93"/>
    <w:rsid w:val="00015579"/>
    <w:rsid w:val="00017718"/>
    <w:rsid w:val="00017EC0"/>
    <w:rsid w:val="00021720"/>
    <w:rsid w:val="000245EB"/>
    <w:rsid w:val="000246BF"/>
    <w:rsid w:val="000258C5"/>
    <w:rsid w:val="00025E6D"/>
    <w:rsid w:val="000307FD"/>
    <w:rsid w:val="00031F0A"/>
    <w:rsid w:val="000324F3"/>
    <w:rsid w:val="000336A4"/>
    <w:rsid w:val="00033AAD"/>
    <w:rsid w:val="00034D1E"/>
    <w:rsid w:val="00034FBF"/>
    <w:rsid w:val="00035373"/>
    <w:rsid w:val="000361BE"/>
    <w:rsid w:val="000378C0"/>
    <w:rsid w:val="00037BD8"/>
    <w:rsid w:val="000409D5"/>
    <w:rsid w:val="0004293D"/>
    <w:rsid w:val="00042ABC"/>
    <w:rsid w:val="00042EA0"/>
    <w:rsid w:val="0004361D"/>
    <w:rsid w:val="000437F2"/>
    <w:rsid w:val="00043F1B"/>
    <w:rsid w:val="00044529"/>
    <w:rsid w:val="000453BF"/>
    <w:rsid w:val="00045A93"/>
    <w:rsid w:val="0004667A"/>
    <w:rsid w:val="00046888"/>
    <w:rsid w:val="00046A38"/>
    <w:rsid w:val="00046F19"/>
    <w:rsid w:val="000473EA"/>
    <w:rsid w:val="00047B02"/>
    <w:rsid w:val="0005052D"/>
    <w:rsid w:val="00051207"/>
    <w:rsid w:val="0005295A"/>
    <w:rsid w:val="00052D0A"/>
    <w:rsid w:val="0005485B"/>
    <w:rsid w:val="000564AD"/>
    <w:rsid w:val="000566C4"/>
    <w:rsid w:val="00057788"/>
    <w:rsid w:val="00057CC1"/>
    <w:rsid w:val="000610DD"/>
    <w:rsid w:val="00063A18"/>
    <w:rsid w:val="00065395"/>
    <w:rsid w:val="00067065"/>
    <w:rsid w:val="00067709"/>
    <w:rsid w:val="0007058F"/>
    <w:rsid w:val="000706F3"/>
    <w:rsid w:val="00071101"/>
    <w:rsid w:val="0007170C"/>
    <w:rsid w:val="000726AB"/>
    <w:rsid w:val="00072D31"/>
    <w:rsid w:val="00073128"/>
    <w:rsid w:val="00074A7F"/>
    <w:rsid w:val="000762C5"/>
    <w:rsid w:val="00076E79"/>
    <w:rsid w:val="0007707D"/>
    <w:rsid w:val="00077229"/>
    <w:rsid w:val="0008081B"/>
    <w:rsid w:val="0008106F"/>
    <w:rsid w:val="0008397A"/>
    <w:rsid w:val="00087226"/>
    <w:rsid w:val="00092438"/>
    <w:rsid w:val="0009289E"/>
    <w:rsid w:val="00093DE6"/>
    <w:rsid w:val="00093EFA"/>
    <w:rsid w:val="0009442C"/>
    <w:rsid w:val="000953DF"/>
    <w:rsid w:val="0009777C"/>
    <w:rsid w:val="000A07A4"/>
    <w:rsid w:val="000A23EA"/>
    <w:rsid w:val="000A23F1"/>
    <w:rsid w:val="000A2DBD"/>
    <w:rsid w:val="000A3199"/>
    <w:rsid w:val="000A3BE5"/>
    <w:rsid w:val="000A50E1"/>
    <w:rsid w:val="000A5B66"/>
    <w:rsid w:val="000A62D6"/>
    <w:rsid w:val="000A7312"/>
    <w:rsid w:val="000A7D3D"/>
    <w:rsid w:val="000B0059"/>
    <w:rsid w:val="000B0AF1"/>
    <w:rsid w:val="000B19D7"/>
    <w:rsid w:val="000B2E2B"/>
    <w:rsid w:val="000B3FD1"/>
    <w:rsid w:val="000B5A88"/>
    <w:rsid w:val="000B5D76"/>
    <w:rsid w:val="000B6FA7"/>
    <w:rsid w:val="000C129C"/>
    <w:rsid w:val="000C3F17"/>
    <w:rsid w:val="000C512E"/>
    <w:rsid w:val="000C6395"/>
    <w:rsid w:val="000C78B2"/>
    <w:rsid w:val="000D0FED"/>
    <w:rsid w:val="000D28B7"/>
    <w:rsid w:val="000D3236"/>
    <w:rsid w:val="000D3888"/>
    <w:rsid w:val="000D3DFF"/>
    <w:rsid w:val="000D7F87"/>
    <w:rsid w:val="000E24F0"/>
    <w:rsid w:val="000E4FF9"/>
    <w:rsid w:val="000E5EE8"/>
    <w:rsid w:val="000E67A2"/>
    <w:rsid w:val="000E6FCA"/>
    <w:rsid w:val="000E7274"/>
    <w:rsid w:val="000E76A5"/>
    <w:rsid w:val="000F1185"/>
    <w:rsid w:val="000F1D4A"/>
    <w:rsid w:val="000F2181"/>
    <w:rsid w:val="000F41D7"/>
    <w:rsid w:val="000F576E"/>
    <w:rsid w:val="000F5A89"/>
    <w:rsid w:val="000F7DBB"/>
    <w:rsid w:val="0010193E"/>
    <w:rsid w:val="00102D15"/>
    <w:rsid w:val="001048B8"/>
    <w:rsid w:val="00104AB6"/>
    <w:rsid w:val="00104B98"/>
    <w:rsid w:val="00105677"/>
    <w:rsid w:val="00105A0E"/>
    <w:rsid w:val="00112352"/>
    <w:rsid w:val="00112893"/>
    <w:rsid w:val="00112DC7"/>
    <w:rsid w:val="001135DB"/>
    <w:rsid w:val="00113AC8"/>
    <w:rsid w:val="001153DE"/>
    <w:rsid w:val="00115840"/>
    <w:rsid w:val="00115B5E"/>
    <w:rsid w:val="00117B38"/>
    <w:rsid w:val="00121588"/>
    <w:rsid w:val="00122719"/>
    <w:rsid w:val="00122BF4"/>
    <w:rsid w:val="00123F48"/>
    <w:rsid w:val="00124250"/>
    <w:rsid w:val="00124A1A"/>
    <w:rsid w:val="001265FD"/>
    <w:rsid w:val="001274B4"/>
    <w:rsid w:val="001278BA"/>
    <w:rsid w:val="00130586"/>
    <w:rsid w:val="00133952"/>
    <w:rsid w:val="001347AD"/>
    <w:rsid w:val="00134A5D"/>
    <w:rsid w:val="00135178"/>
    <w:rsid w:val="00136027"/>
    <w:rsid w:val="00137ADF"/>
    <w:rsid w:val="00137EF8"/>
    <w:rsid w:val="001432AE"/>
    <w:rsid w:val="00144EEC"/>
    <w:rsid w:val="001455EA"/>
    <w:rsid w:val="00145AAF"/>
    <w:rsid w:val="0014696F"/>
    <w:rsid w:val="00147AD0"/>
    <w:rsid w:val="00147BB6"/>
    <w:rsid w:val="00147CBC"/>
    <w:rsid w:val="0015177D"/>
    <w:rsid w:val="001525D3"/>
    <w:rsid w:val="00152F3B"/>
    <w:rsid w:val="00154DF3"/>
    <w:rsid w:val="0015680F"/>
    <w:rsid w:val="00156F4A"/>
    <w:rsid w:val="00160012"/>
    <w:rsid w:val="00160DBC"/>
    <w:rsid w:val="00162CA9"/>
    <w:rsid w:val="00163CF2"/>
    <w:rsid w:val="001644C3"/>
    <w:rsid w:val="00167F16"/>
    <w:rsid w:val="0017085A"/>
    <w:rsid w:val="0017290C"/>
    <w:rsid w:val="00173689"/>
    <w:rsid w:val="001737FF"/>
    <w:rsid w:val="00174FEC"/>
    <w:rsid w:val="0017512A"/>
    <w:rsid w:val="001754F2"/>
    <w:rsid w:val="001756B2"/>
    <w:rsid w:val="001759E1"/>
    <w:rsid w:val="001773BA"/>
    <w:rsid w:val="00177956"/>
    <w:rsid w:val="001806A1"/>
    <w:rsid w:val="00182185"/>
    <w:rsid w:val="00182725"/>
    <w:rsid w:val="00182B86"/>
    <w:rsid w:val="00183AB1"/>
    <w:rsid w:val="00184581"/>
    <w:rsid w:val="001845CF"/>
    <w:rsid w:val="001847A7"/>
    <w:rsid w:val="00185AAD"/>
    <w:rsid w:val="0018648B"/>
    <w:rsid w:val="00186E3C"/>
    <w:rsid w:val="00187642"/>
    <w:rsid w:val="00187C36"/>
    <w:rsid w:val="001900DB"/>
    <w:rsid w:val="00190CB9"/>
    <w:rsid w:val="00191B9C"/>
    <w:rsid w:val="00193D9F"/>
    <w:rsid w:val="001942C4"/>
    <w:rsid w:val="00197AAC"/>
    <w:rsid w:val="001A147E"/>
    <w:rsid w:val="001A2394"/>
    <w:rsid w:val="001A2D2F"/>
    <w:rsid w:val="001A4D6D"/>
    <w:rsid w:val="001A6BB6"/>
    <w:rsid w:val="001A7686"/>
    <w:rsid w:val="001B000E"/>
    <w:rsid w:val="001B077C"/>
    <w:rsid w:val="001B2026"/>
    <w:rsid w:val="001B33E2"/>
    <w:rsid w:val="001B39C3"/>
    <w:rsid w:val="001B4020"/>
    <w:rsid w:val="001B5D0B"/>
    <w:rsid w:val="001B7AFA"/>
    <w:rsid w:val="001C1F08"/>
    <w:rsid w:val="001C5035"/>
    <w:rsid w:val="001C78D8"/>
    <w:rsid w:val="001C79B7"/>
    <w:rsid w:val="001C7FBD"/>
    <w:rsid w:val="001D031C"/>
    <w:rsid w:val="001D3B34"/>
    <w:rsid w:val="001D424C"/>
    <w:rsid w:val="001D4B51"/>
    <w:rsid w:val="001D5670"/>
    <w:rsid w:val="001E0961"/>
    <w:rsid w:val="001E1679"/>
    <w:rsid w:val="001E2A59"/>
    <w:rsid w:val="001E58F0"/>
    <w:rsid w:val="001E6423"/>
    <w:rsid w:val="001E6881"/>
    <w:rsid w:val="001F51C0"/>
    <w:rsid w:val="001F59FA"/>
    <w:rsid w:val="001F5F15"/>
    <w:rsid w:val="001F645B"/>
    <w:rsid w:val="001F75DE"/>
    <w:rsid w:val="002001EC"/>
    <w:rsid w:val="00203AA5"/>
    <w:rsid w:val="00205F08"/>
    <w:rsid w:val="00206376"/>
    <w:rsid w:val="00207996"/>
    <w:rsid w:val="00210254"/>
    <w:rsid w:val="002111DC"/>
    <w:rsid w:val="00211F80"/>
    <w:rsid w:val="0021229D"/>
    <w:rsid w:val="00213454"/>
    <w:rsid w:val="00216032"/>
    <w:rsid w:val="002171E0"/>
    <w:rsid w:val="00220855"/>
    <w:rsid w:val="00221BB6"/>
    <w:rsid w:val="002240E2"/>
    <w:rsid w:val="002242CE"/>
    <w:rsid w:val="00230EA3"/>
    <w:rsid w:val="00231C25"/>
    <w:rsid w:val="002325E4"/>
    <w:rsid w:val="0023309B"/>
    <w:rsid w:val="0023599D"/>
    <w:rsid w:val="00235A6B"/>
    <w:rsid w:val="00237F10"/>
    <w:rsid w:val="002402C8"/>
    <w:rsid w:val="002412D7"/>
    <w:rsid w:val="00242C45"/>
    <w:rsid w:val="002439C2"/>
    <w:rsid w:val="00244A0E"/>
    <w:rsid w:val="00246BA9"/>
    <w:rsid w:val="002474CA"/>
    <w:rsid w:val="002505BE"/>
    <w:rsid w:val="00252290"/>
    <w:rsid w:val="002522B5"/>
    <w:rsid w:val="002539B6"/>
    <w:rsid w:val="002540CB"/>
    <w:rsid w:val="00255B1E"/>
    <w:rsid w:val="002562BB"/>
    <w:rsid w:val="00256EDC"/>
    <w:rsid w:val="002570D0"/>
    <w:rsid w:val="00260650"/>
    <w:rsid w:val="00261445"/>
    <w:rsid w:val="00262048"/>
    <w:rsid w:val="00262A0F"/>
    <w:rsid w:val="002630BD"/>
    <w:rsid w:val="002648C9"/>
    <w:rsid w:val="00264F61"/>
    <w:rsid w:val="00265316"/>
    <w:rsid w:val="00265E8F"/>
    <w:rsid w:val="00266163"/>
    <w:rsid w:val="00266659"/>
    <w:rsid w:val="00266B9A"/>
    <w:rsid w:val="002719AD"/>
    <w:rsid w:val="00271E13"/>
    <w:rsid w:val="00271E82"/>
    <w:rsid w:val="00273808"/>
    <w:rsid w:val="00273E11"/>
    <w:rsid w:val="0027410B"/>
    <w:rsid w:val="0027454D"/>
    <w:rsid w:val="0027488F"/>
    <w:rsid w:val="0027574A"/>
    <w:rsid w:val="00276B03"/>
    <w:rsid w:val="00277633"/>
    <w:rsid w:val="00277813"/>
    <w:rsid w:val="00280BA5"/>
    <w:rsid w:val="0028191A"/>
    <w:rsid w:val="002821F8"/>
    <w:rsid w:val="002839DA"/>
    <w:rsid w:val="0028447B"/>
    <w:rsid w:val="00287C14"/>
    <w:rsid w:val="00293037"/>
    <w:rsid w:val="00293424"/>
    <w:rsid w:val="0029394F"/>
    <w:rsid w:val="0029506F"/>
    <w:rsid w:val="0029570C"/>
    <w:rsid w:val="0029671D"/>
    <w:rsid w:val="002A0C2C"/>
    <w:rsid w:val="002A2DEB"/>
    <w:rsid w:val="002A3A5B"/>
    <w:rsid w:val="002A5774"/>
    <w:rsid w:val="002A5E5A"/>
    <w:rsid w:val="002B03E5"/>
    <w:rsid w:val="002B1443"/>
    <w:rsid w:val="002B3633"/>
    <w:rsid w:val="002B3947"/>
    <w:rsid w:val="002B4B5B"/>
    <w:rsid w:val="002B5392"/>
    <w:rsid w:val="002B6DF5"/>
    <w:rsid w:val="002B6FBA"/>
    <w:rsid w:val="002C02E3"/>
    <w:rsid w:val="002C07F6"/>
    <w:rsid w:val="002C276B"/>
    <w:rsid w:val="002C570D"/>
    <w:rsid w:val="002C5A80"/>
    <w:rsid w:val="002C5E6E"/>
    <w:rsid w:val="002C66BA"/>
    <w:rsid w:val="002C7F42"/>
    <w:rsid w:val="002C7FE3"/>
    <w:rsid w:val="002D0461"/>
    <w:rsid w:val="002D13B7"/>
    <w:rsid w:val="002D15B0"/>
    <w:rsid w:val="002D2593"/>
    <w:rsid w:val="002D25EE"/>
    <w:rsid w:val="002D4A0B"/>
    <w:rsid w:val="002D5EA4"/>
    <w:rsid w:val="002D6628"/>
    <w:rsid w:val="002E1822"/>
    <w:rsid w:val="002E2123"/>
    <w:rsid w:val="002E242E"/>
    <w:rsid w:val="002E287C"/>
    <w:rsid w:val="002E4983"/>
    <w:rsid w:val="002E5811"/>
    <w:rsid w:val="002E7EEE"/>
    <w:rsid w:val="002F07C5"/>
    <w:rsid w:val="002F2035"/>
    <w:rsid w:val="002F2BF4"/>
    <w:rsid w:val="002F6C19"/>
    <w:rsid w:val="002F735A"/>
    <w:rsid w:val="002F7E3F"/>
    <w:rsid w:val="00300E06"/>
    <w:rsid w:val="00301D1B"/>
    <w:rsid w:val="0030399E"/>
    <w:rsid w:val="003053CC"/>
    <w:rsid w:val="0030613D"/>
    <w:rsid w:val="00306A68"/>
    <w:rsid w:val="00311304"/>
    <w:rsid w:val="003130AD"/>
    <w:rsid w:val="003166CB"/>
    <w:rsid w:val="0031671E"/>
    <w:rsid w:val="00316C35"/>
    <w:rsid w:val="00321971"/>
    <w:rsid w:val="003227DC"/>
    <w:rsid w:val="00323039"/>
    <w:rsid w:val="003231CD"/>
    <w:rsid w:val="00323234"/>
    <w:rsid w:val="00325F81"/>
    <w:rsid w:val="00326517"/>
    <w:rsid w:val="00334375"/>
    <w:rsid w:val="00334F4A"/>
    <w:rsid w:val="00336F49"/>
    <w:rsid w:val="00337325"/>
    <w:rsid w:val="00337F1C"/>
    <w:rsid w:val="00340F13"/>
    <w:rsid w:val="003416E8"/>
    <w:rsid w:val="00341FE5"/>
    <w:rsid w:val="00342094"/>
    <w:rsid w:val="00343D09"/>
    <w:rsid w:val="003444F2"/>
    <w:rsid w:val="00344B3A"/>
    <w:rsid w:val="00350C0B"/>
    <w:rsid w:val="00350F35"/>
    <w:rsid w:val="0035439D"/>
    <w:rsid w:val="003554FE"/>
    <w:rsid w:val="00355EB3"/>
    <w:rsid w:val="0035637A"/>
    <w:rsid w:val="00356593"/>
    <w:rsid w:val="00357517"/>
    <w:rsid w:val="003575B2"/>
    <w:rsid w:val="00361EA1"/>
    <w:rsid w:val="0036428C"/>
    <w:rsid w:val="003643A9"/>
    <w:rsid w:val="00366ED4"/>
    <w:rsid w:val="003701A2"/>
    <w:rsid w:val="00371F3D"/>
    <w:rsid w:val="00372B5F"/>
    <w:rsid w:val="003737AD"/>
    <w:rsid w:val="00373BDE"/>
    <w:rsid w:val="00376972"/>
    <w:rsid w:val="003775BD"/>
    <w:rsid w:val="00377691"/>
    <w:rsid w:val="003802DB"/>
    <w:rsid w:val="00380DB5"/>
    <w:rsid w:val="00381086"/>
    <w:rsid w:val="00382496"/>
    <w:rsid w:val="00383632"/>
    <w:rsid w:val="003838F7"/>
    <w:rsid w:val="00385582"/>
    <w:rsid w:val="003855E3"/>
    <w:rsid w:val="00385800"/>
    <w:rsid w:val="00385F00"/>
    <w:rsid w:val="00385FBF"/>
    <w:rsid w:val="00386632"/>
    <w:rsid w:val="00390D83"/>
    <w:rsid w:val="0039125A"/>
    <w:rsid w:val="00392A9A"/>
    <w:rsid w:val="00392EDD"/>
    <w:rsid w:val="00393193"/>
    <w:rsid w:val="00394292"/>
    <w:rsid w:val="00394F00"/>
    <w:rsid w:val="003950BA"/>
    <w:rsid w:val="0039593D"/>
    <w:rsid w:val="0039682F"/>
    <w:rsid w:val="003A061B"/>
    <w:rsid w:val="003A06D1"/>
    <w:rsid w:val="003A2CF6"/>
    <w:rsid w:val="003A4E22"/>
    <w:rsid w:val="003A540B"/>
    <w:rsid w:val="003A746A"/>
    <w:rsid w:val="003A74B1"/>
    <w:rsid w:val="003B0EAF"/>
    <w:rsid w:val="003B4757"/>
    <w:rsid w:val="003B5D79"/>
    <w:rsid w:val="003C1A06"/>
    <w:rsid w:val="003C1F89"/>
    <w:rsid w:val="003C477D"/>
    <w:rsid w:val="003C4B8B"/>
    <w:rsid w:val="003C4FB3"/>
    <w:rsid w:val="003C515A"/>
    <w:rsid w:val="003D1998"/>
    <w:rsid w:val="003D51B2"/>
    <w:rsid w:val="003D6041"/>
    <w:rsid w:val="003D727A"/>
    <w:rsid w:val="003D7F47"/>
    <w:rsid w:val="003E09CE"/>
    <w:rsid w:val="003E0E7E"/>
    <w:rsid w:val="003E564E"/>
    <w:rsid w:val="003E58BB"/>
    <w:rsid w:val="003E58C3"/>
    <w:rsid w:val="003E7943"/>
    <w:rsid w:val="003F048D"/>
    <w:rsid w:val="003F2582"/>
    <w:rsid w:val="003F27E0"/>
    <w:rsid w:val="003F2E90"/>
    <w:rsid w:val="003F3F65"/>
    <w:rsid w:val="003F60BB"/>
    <w:rsid w:val="004005FE"/>
    <w:rsid w:val="00400EE6"/>
    <w:rsid w:val="004022A2"/>
    <w:rsid w:val="004034F7"/>
    <w:rsid w:val="00404BFA"/>
    <w:rsid w:val="00404E5F"/>
    <w:rsid w:val="0040543C"/>
    <w:rsid w:val="00407294"/>
    <w:rsid w:val="00407958"/>
    <w:rsid w:val="00407FE3"/>
    <w:rsid w:val="004154A1"/>
    <w:rsid w:val="0041698A"/>
    <w:rsid w:val="00416D42"/>
    <w:rsid w:val="004178AE"/>
    <w:rsid w:val="004208CD"/>
    <w:rsid w:val="0042214F"/>
    <w:rsid w:val="00422E96"/>
    <w:rsid w:val="004255E5"/>
    <w:rsid w:val="004260A0"/>
    <w:rsid w:val="00431B91"/>
    <w:rsid w:val="004327D4"/>
    <w:rsid w:val="0043289F"/>
    <w:rsid w:val="00433544"/>
    <w:rsid w:val="00433C06"/>
    <w:rsid w:val="0043422B"/>
    <w:rsid w:val="00435136"/>
    <w:rsid w:val="004357AC"/>
    <w:rsid w:val="00435EF8"/>
    <w:rsid w:val="00437882"/>
    <w:rsid w:val="00437A3C"/>
    <w:rsid w:val="00440FA4"/>
    <w:rsid w:val="0044289D"/>
    <w:rsid w:val="00442A65"/>
    <w:rsid w:val="00442DB7"/>
    <w:rsid w:val="0044373E"/>
    <w:rsid w:val="00443F1B"/>
    <w:rsid w:val="00444727"/>
    <w:rsid w:val="00445EE0"/>
    <w:rsid w:val="004472DC"/>
    <w:rsid w:val="00447D49"/>
    <w:rsid w:val="00450DA8"/>
    <w:rsid w:val="00451783"/>
    <w:rsid w:val="004520F6"/>
    <w:rsid w:val="00452D2A"/>
    <w:rsid w:val="004567BB"/>
    <w:rsid w:val="0045693A"/>
    <w:rsid w:val="004572D8"/>
    <w:rsid w:val="0046000D"/>
    <w:rsid w:val="00461F4D"/>
    <w:rsid w:val="004626C6"/>
    <w:rsid w:val="00466760"/>
    <w:rsid w:val="00466B3E"/>
    <w:rsid w:val="00467062"/>
    <w:rsid w:val="00467216"/>
    <w:rsid w:val="004702CC"/>
    <w:rsid w:val="0047350F"/>
    <w:rsid w:val="004738B0"/>
    <w:rsid w:val="00475E78"/>
    <w:rsid w:val="00476B48"/>
    <w:rsid w:val="00480797"/>
    <w:rsid w:val="00481159"/>
    <w:rsid w:val="004819AA"/>
    <w:rsid w:val="004820DD"/>
    <w:rsid w:val="00484002"/>
    <w:rsid w:val="00484ABA"/>
    <w:rsid w:val="004850B7"/>
    <w:rsid w:val="004860F2"/>
    <w:rsid w:val="004863D0"/>
    <w:rsid w:val="00487F2D"/>
    <w:rsid w:val="00492E52"/>
    <w:rsid w:val="0049462A"/>
    <w:rsid w:val="00494CFB"/>
    <w:rsid w:val="00495740"/>
    <w:rsid w:val="00496E94"/>
    <w:rsid w:val="004972C0"/>
    <w:rsid w:val="0049770E"/>
    <w:rsid w:val="004A1E5F"/>
    <w:rsid w:val="004A522F"/>
    <w:rsid w:val="004B0079"/>
    <w:rsid w:val="004B1F80"/>
    <w:rsid w:val="004B2AAC"/>
    <w:rsid w:val="004B352C"/>
    <w:rsid w:val="004B4524"/>
    <w:rsid w:val="004B52C5"/>
    <w:rsid w:val="004B5607"/>
    <w:rsid w:val="004B592D"/>
    <w:rsid w:val="004B598C"/>
    <w:rsid w:val="004C12D0"/>
    <w:rsid w:val="004C2757"/>
    <w:rsid w:val="004C2EDC"/>
    <w:rsid w:val="004C3D02"/>
    <w:rsid w:val="004C4C5D"/>
    <w:rsid w:val="004C5A20"/>
    <w:rsid w:val="004D52A8"/>
    <w:rsid w:val="004D531C"/>
    <w:rsid w:val="004D7B05"/>
    <w:rsid w:val="004E1069"/>
    <w:rsid w:val="004E3B3E"/>
    <w:rsid w:val="004E6407"/>
    <w:rsid w:val="004E6CD8"/>
    <w:rsid w:val="004E76D3"/>
    <w:rsid w:val="004F0124"/>
    <w:rsid w:val="004F08BA"/>
    <w:rsid w:val="004F0AE9"/>
    <w:rsid w:val="004F147E"/>
    <w:rsid w:val="004F1CA8"/>
    <w:rsid w:val="004F28A7"/>
    <w:rsid w:val="004F3916"/>
    <w:rsid w:val="004F4582"/>
    <w:rsid w:val="004F466E"/>
    <w:rsid w:val="004F4C0F"/>
    <w:rsid w:val="004F792D"/>
    <w:rsid w:val="0050009C"/>
    <w:rsid w:val="005014AE"/>
    <w:rsid w:val="005015C3"/>
    <w:rsid w:val="0050215B"/>
    <w:rsid w:val="00502C0F"/>
    <w:rsid w:val="005052A6"/>
    <w:rsid w:val="00506525"/>
    <w:rsid w:val="00506F3F"/>
    <w:rsid w:val="005100B5"/>
    <w:rsid w:val="00511F79"/>
    <w:rsid w:val="0051348C"/>
    <w:rsid w:val="0051416E"/>
    <w:rsid w:val="005148CD"/>
    <w:rsid w:val="00516004"/>
    <w:rsid w:val="005213AE"/>
    <w:rsid w:val="00521456"/>
    <w:rsid w:val="00521AA2"/>
    <w:rsid w:val="00523A93"/>
    <w:rsid w:val="005248C6"/>
    <w:rsid w:val="00525799"/>
    <w:rsid w:val="00526FD5"/>
    <w:rsid w:val="0052788C"/>
    <w:rsid w:val="00530984"/>
    <w:rsid w:val="00532516"/>
    <w:rsid w:val="00532EA9"/>
    <w:rsid w:val="00534DDC"/>
    <w:rsid w:val="0053545D"/>
    <w:rsid w:val="005356F0"/>
    <w:rsid w:val="00535FD4"/>
    <w:rsid w:val="00540F72"/>
    <w:rsid w:val="00541B65"/>
    <w:rsid w:val="005431AA"/>
    <w:rsid w:val="0054439A"/>
    <w:rsid w:val="005443D2"/>
    <w:rsid w:val="005446A3"/>
    <w:rsid w:val="0054601A"/>
    <w:rsid w:val="00546602"/>
    <w:rsid w:val="005503DC"/>
    <w:rsid w:val="005520B9"/>
    <w:rsid w:val="00552D80"/>
    <w:rsid w:val="00553E33"/>
    <w:rsid w:val="00553E4B"/>
    <w:rsid w:val="00556E87"/>
    <w:rsid w:val="005602F6"/>
    <w:rsid w:val="00560A1C"/>
    <w:rsid w:val="00560E0B"/>
    <w:rsid w:val="00560F52"/>
    <w:rsid w:val="005610F3"/>
    <w:rsid w:val="0056160A"/>
    <w:rsid w:val="005626BA"/>
    <w:rsid w:val="0056363A"/>
    <w:rsid w:val="005639F2"/>
    <w:rsid w:val="00563A48"/>
    <w:rsid w:val="00565FE9"/>
    <w:rsid w:val="00566163"/>
    <w:rsid w:val="00566E60"/>
    <w:rsid w:val="00567436"/>
    <w:rsid w:val="00567B6A"/>
    <w:rsid w:val="0057026B"/>
    <w:rsid w:val="0057112B"/>
    <w:rsid w:val="00572BEC"/>
    <w:rsid w:val="0057312E"/>
    <w:rsid w:val="00573791"/>
    <w:rsid w:val="005737AB"/>
    <w:rsid w:val="00574578"/>
    <w:rsid w:val="0057472B"/>
    <w:rsid w:val="00576B0C"/>
    <w:rsid w:val="005771AA"/>
    <w:rsid w:val="0058030C"/>
    <w:rsid w:val="00581F58"/>
    <w:rsid w:val="005830AB"/>
    <w:rsid w:val="005834A2"/>
    <w:rsid w:val="00584629"/>
    <w:rsid w:val="00584DE6"/>
    <w:rsid w:val="005857ED"/>
    <w:rsid w:val="0058701B"/>
    <w:rsid w:val="00587A87"/>
    <w:rsid w:val="0059036D"/>
    <w:rsid w:val="00590A16"/>
    <w:rsid w:val="00590CF3"/>
    <w:rsid w:val="00591ACE"/>
    <w:rsid w:val="00591D4B"/>
    <w:rsid w:val="00592505"/>
    <w:rsid w:val="00592DD3"/>
    <w:rsid w:val="00593645"/>
    <w:rsid w:val="005940AC"/>
    <w:rsid w:val="00594E10"/>
    <w:rsid w:val="005976BC"/>
    <w:rsid w:val="005A17F1"/>
    <w:rsid w:val="005A20A5"/>
    <w:rsid w:val="005A2411"/>
    <w:rsid w:val="005A2F65"/>
    <w:rsid w:val="005A3E32"/>
    <w:rsid w:val="005A4A33"/>
    <w:rsid w:val="005A4B38"/>
    <w:rsid w:val="005A59EC"/>
    <w:rsid w:val="005A64DA"/>
    <w:rsid w:val="005A66F0"/>
    <w:rsid w:val="005A718B"/>
    <w:rsid w:val="005B201D"/>
    <w:rsid w:val="005B4FC4"/>
    <w:rsid w:val="005B76FF"/>
    <w:rsid w:val="005B7E86"/>
    <w:rsid w:val="005C0431"/>
    <w:rsid w:val="005C14D0"/>
    <w:rsid w:val="005C15EB"/>
    <w:rsid w:val="005C223D"/>
    <w:rsid w:val="005C5E97"/>
    <w:rsid w:val="005C617B"/>
    <w:rsid w:val="005C72B7"/>
    <w:rsid w:val="005C7F74"/>
    <w:rsid w:val="005D1820"/>
    <w:rsid w:val="005D243D"/>
    <w:rsid w:val="005D30D9"/>
    <w:rsid w:val="005D6E85"/>
    <w:rsid w:val="005D71E4"/>
    <w:rsid w:val="005E1642"/>
    <w:rsid w:val="005E1D89"/>
    <w:rsid w:val="005E1FA7"/>
    <w:rsid w:val="005E2C78"/>
    <w:rsid w:val="005E4036"/>
    <w:rsid w:val="005E496E"/>
    <w:rsid w:val="005E5907"/>
    <w:rsid w:val="005E606A"/>
    <w:rsid w:val="005E7EB4"/>
    <w:rsid w:val="005F0483"/>
    <w:rsid w:val="005F0554"/>
    <w:rsid w:val="005F0D85"/>
    <w:rsid w:val="005F3080"/>
    <w:rsid w:val="005F37CB"/>
    <w:rsid w:val="005F3EC7"/>
    <w:rsid w:val="005F3F63"/>
    <w:rsid w:val="005F4551"/>
    <w:rsid w:val="005F4595"/>
    <w:rsid w:val="00600328"/>
    <w:rsid w:val="0060166B"/>
    <w:rsid w:val="0060344D"/>
    <w:rsid w:val="0060673C"/>
    <w:rsid w:val="00610123"/>
    <w:rsid w:val="00610972"/>
    <w:rsid w:val="006131DC"/>
    <w:rsid w:val="006139D8"/>
    <w:rsid w:val="006149A1"/>
    <w:rsid w:val="006149C0"/>
    <w:rsid w:val="00615129"/>
    <w:rsid w:val="006164D8"/>
    <w:rsid w:val="006167B3"/>
    <w:rsid w:val="00616AAF"/>
    <w:rsid w:val="0061728A"/>
    <w:rsid w:val="00617D0E"/>
    <w:rsid w:val="006218B2"/>
    <w:rsid w:val="00623F22"/>
    <w:rsid w:val="00625078"/>
    <w:rsid w:val="00625B1C"/>
    <w:rsid w:val="00626410"/>
    <w:rsid w:val="00626AAD"/>
    <w:rsid w:val="00626DCA"/>
    <w:rsid w:val="00627122"/>
    <w:rsid w:val="00627403"/>
    <w:rsid w:val="00627AAE"/>
    <w:rsid w:val="0063069E"/>
    <w:rsid w:val="00633FC9"/>
    <w:rsid w:val="00636188"/>
    <w:rsid w:val="00636500"/>
    <w:rsid w:val="00637246"/>
    <w:rsid w:val="0063750A"/>
    <w:rsid w:val="00637B29"/>
    <w:rsid w:val="00641441"/>
    <w:rsid w:val="00641ADD"/>
    <w:rsid w:val="00641B10"/>
    <w:rsid w:val="00641F7B"/>
    <w:rsid w:val="0064417B"/>
    <w:rsid w:val="00644EBC"/>
    <w:rsid w:val="00645629"/>
    <w:rsid w:val="00646A3D"/>
    <w:rsid w:val="00646CC3"/>
    <w:rsid w:val="006471AC"/>
    <w:rsid w:val="00650131"/>
    <w:rsid w:val="006509DD"/>
    <w:rsid w:val="00651C29"/>
    <w:rsid w:val="0065220A"/>
    <w:rsid w:val="00653C2C"/>
    <w:rsid w:val="00655037"/>
    <w:rsid w:val="0065566E"/>
    <w:rsid w:val="00656CED"/>
    <w:rsid w:val="00657527"/>
    <w:rsid w:val="006579E5"/>
    <w:rsid w:val="00657B79"/>
    <w:rsid w:val="00657CF5"/>
    <w:rsid w:val="00661D75"/>
    <w:rsid w:val="006630A1"/>
    <w:rsid w:val="00664205"/>
    <w:rsid w:val="00666031"/>
    <w:rsid w:val="006669B8"/>
    <w:rsid w:val="00666AC9"/>
    <w:rsid w:val="00671402"/>
    <w:rsid w:val="006714D7"/>
    <w:rsid w:val="0067454E"/>
    <w:rsid w:val="00674879"/>
    <w:rsid w:val="00680E16"/>
    <w:rsid w:val="00681BAC"/>
    <w:rsid w:val="00685B73"/>
    <w:rsid w:val="006870D2"/>
    <w:rsid w:val="006872F4"/>
    <w:rsid w:val="00687B06"/>
    <w:rsid w:val="00687F52"/>
    <w:rsid w:val="00690B86"/>
    <w:rsid w:val="00691947"/>
    <w:rsid w:val="00693BE2"/>
    <w:rsid w:val="006945F4"/>
    <w:rsid w:val="00694F79"/>
    <w:rsid w:val="00695477"/>
    <w:rsid w:val="00696166"/>
    <w:rsid w:val="00697DAE"/>
    <w:rsid w:val="006A0DD5"/>
    <w:rsid w:val="006A2B59"/>
    <w:rsid w:val="006A349E"/>
    <w:rsid w:val="006A43F3"/>
    <w:rsid w:val="006A4702"/>
    <w:rsid w:val="006A4A03"/>
    <w:rsid w:val="006A528D"/>
    <w:rsid w:val="006A6909"/>
    <w:rsid w:val="006B1548"/>
    <w:rsid w:val="006B32EE"/>
    <w:rsid w:val="006B3E3E"/>
    <w:rsid w:val="006B3FB9"/>
    <w:rsid w:val="006B4BF2"/>
    <w:rsid w:val="006B4CB5"/>
    <w:rsid w:val="006B538A"/>
    <w:rsid w:val="006B59DA"/>
    <w:rsid w:val="006B5A07"/>
    <w:rsid w:val="006B77D4"/>
    <w:rsid w:val="006B7EEA"/>
    <w:rsid w:val="006C0365"/>
    <w:rsid w:val="006C2640"/>
    <w:rsid w:val="006C488C"/>
    <w:rsid w:val="006C5CEF"/>
    <w:rsid w:val="006C6C01"/>
    <w:rsid w:val="006D01E1"/>
    <w:rsid w:val="006D2DF3"/>
    <w:rsid w:val="006D4DD4"/>
    <w:rsid w:val="006D4E02"/>
    <w:rsid w:val="006D6835"/>
    <w:rsid w:val="006D6908"/>
    <w:rsid w:val="006D7064"/>
    <w:rsid w:val="006E0F25"/>
    <w:rsid w:val="006E177D"/>
    <w:rsid w:val="006E2312"/>
    <w:rsid w:val="006E3F79"/>
    <w:rsid w:val="006F0908"/>
    <w:rsid w:val="006F1930"/>
    <w:rsid w:val="006F2D96"/>
    <w:rsid w:val="006F457F"/>
    <w:rsid w:val="006F547C"/>
    <w:rsid w:val="006F5528"/>
    <w:rsid w:val="006F76EA"/>
    <w:rsid w:val="00700786"/>
    <w:rsid w:val="00700F59"/>
    <w:rsid w:val="007036D0"/>
    <w:rsid w:val="007036E5"/>
    <w:rsid w:val="00704214"/>
    <w:rsid w:val="0070615D"/>
    <w:rsid w:val="007066C9"/>
    <w:rsid w:val="007066E6"/>
    <w:rsid w:val="0070755D"/>
    <w:rsid w:val="00707D39"/>
    <w:rsid w:val="00711074"/>
    <w:rsid w:val="00712F98"/>
    <w:rsid w:val="0071522F"/>
    <w:rsid w:val="007154DA"/>
    <w:rsid w:val="00716382"/>
    <w:rsid w:val="00716C56"/>
    <w:rsid w:val="00717080"/>
    <w:rsid w:val="00717215"/>
    <w:rsid w:val="00721CE3"/>
    <w:rsid w:val="0072501C"/>
    <w:rsid w:val="00725565"/>
    <w:rsid w:val="00725D48"/>
    <w:rsid w:val="00726157"/>
    <w:rsid w:val="00726DAB"/>
    <w:rsid w:val="00727158"/>
    <w:rsid w:val="007273AE"/>
    <w:rsid w:val="00727EBC"/>
    <w:rsid w:val="00730D99"/>
    <w:rsid w:val="00732A38"/>
    <w:rsid w:val="00736EEA"/>
    <w:rsid w:val="00737F37"/>
    <w:rsid w:val="0074264A"/>
    <w:rsid w:val="00742AD6"/>
    <w:rsid w:val="0074777F"/>
    <w:rsid w:val="00750437"/>
    <w:rsid w:val="00750870"/>
    <w:rsid w:val="00752845"/>
    <w:rsid w:val="007549BB"/>
    <w:rsid w:val="007556EC"/>
    <w:rsid w:val="00756F00"/>
    <w:rsid w:val="00761E9B"/>
    <w:rsid w:val="007620E2"/>
    <w:rsid w:val="00764AF3"/>
    <w:rsid w:val="007656C9"/>
    <w:rsid w:val="007662C3"/>
    <w:rsid w:val="007666AF"/>
    <w:rsid w:val="0076774D"/>
    <w:rsid w:val="0077001D"/>
    <w:rsid w:val="007728D0"/>
    <w:rsid w:val="00772EED"/>
    <w:rsid w:val="00772F51"/>
    <w:rsid w:val="00773560"/>
    <w:rsid w:val="00774BAC"/>
    <w:rsid w:val="00774E17"/>
    <w:rsid w:val="007755CD"/>
    <w:rsid w:val="00775AFE"/>
    <w:rsid w:val="0077672C"/>
    <w:rsid w:val="00780BE4"/>
    <w:rsid w:val="00781405"/>
    <w:rsid w:val="00781DA5"/>
    <w:rsid w:val="00783993"/>
    <w:rsid w:val="007842AD"/>
    <w:rsid w:val="007847A5"/>
    <w:rsid w:val="00784D5A"/>
    <w:rsid w:val="007856D1"/>
    <w:rsid w:val="00787236"/>
    <w:rsid w:val="007873F7"/>
    <w:rsid w:val="0079024D"/>
    <w:rsid w:val="0079046A"/>
    <w:rsid w:val="00790720"/>
    <w:rsid w:val="0079147D"/>
    <w:rsid w:val="00791C37"/>
    <w:rsid w:val="007931F1"/>
    <w:rsid w:val="00793BCF"/>
    <w:rsid w:val="00794D8C"/>
    <w:rsid w:val="0079532C"/>
    <w:rsid w:val="00796078"/>
    <w:rsid w:val="00796F6E"/>
    <w:rsid w:val="007A0597"/>
    <w:rsid w:val="007A0871"/>
    <w:rsid w:val="007A10D1"/>
    <w:rsid w:val="007A253C"/>
    <w:rsid w:val="007A3E7D"/>
    <w:rsid w:val="007A487D"/>
    <w:rsid w:val="007B1A56"/>
    <w:rsid w:val="007B1E3D"/>
    <w:rsid w:val="007B3733"/>
    <w:rsid w:val="007B3779"/>
    <w:rsid w:val="007B3FDA"/>
    <w:rsid w:val="007B46CC"/>
    <w:rsid w:val="007B4AD9"/>
    <w:rsid w:val="007B671E"/>
    <w:rsid w:val="007C0B2A"/>
    <w:rsid w:val="007C0E95"/>
    <w:rsid w:val="007C1482"/>
    <w:rsid w:val="007C226D"/>
    <w:rsid w:val="007C2765"/>
    <w:rsid w:val="007C47BB"/>
    <w:rsid w:val="007D01B9"/>
    <w:rsid w:val="007D162C"/>
    <w:rsid w:val="007D1CB3"/>
    <w:rsid w:val="007D42C4"/>
    <w:rsid w:val="007D4AF1"/>
    <w:rsid w:val="007D572E"/>
    <w:rsid w:val="007D5EC7"/>
    <w:rsid w:val="007D6025"/>
    <w:rsid w:val="007D6315"/>
    <w:rsid w:val="007D784E"/>
    <w:rsid w:val="007D7E92"/>
    <w:rsid w:val="007E17AF"/>
    <w:rsid w:val="007E27F0"/>
    <w:rsid w:val="007E2D41"/>
    <w:rsid w:val="007E48B3"/>
    <w:rsid w:val="007E4F8B"/>
    <w:rsid w:val="007E70A2"/>
    <w:rsid w:val="007E7255"/>
    <w:rsid w:val="007F037F"/>
    <w:rsid w:val="007F0993"/>
    <w:rsid w:val="007F0B74"/>
    <w:rsid w:val="007F1042"/>
    <w:rsid w:val="007F233F"/>
    <w:rsid w:val="007F2793"/>
    <w:rsid w:val="007F6640"/>
    <w:rsid w:val="007F6A04"/>
    <w:rsid w:val="007F7614"/>
    <w:rsid w:val="00802AFE"/>
    <w:rsid w:val="00807EF3"/>
    <w:rsid w:val="00807F5A"/>
    <w:rsid w:val="008121C5"/>
    <w:rsid w:val="008143DA"/>
    <w:rsid w:val="00814D6F"/>
    <w:rsid w:val="00815964"/>
    <w:rsid w:val="00815F9D"/>
    <w:rsid w:val="0081673A"/>
    <w:rsid w:val="00816FBA"/>
    <w:rsid w:val="00817A06"/>
    <w:rsid w:val="00822605"/>
    <w:rsid w:val="008233CF"/>
    <w:rsid w:val="008260E7"/>
    <w:rsid w:val="008324DC"/>
    <w:rsid w:val="008349F4"/>
    <w:rsid w:val="00834C4F"/>
    <w:rsid w:val="00835543"/>
    <w:rsid w:val="0083581A"/>
    <w:rsid w:val="00835A64"/>
    <w:rsid w:val="00835B4D"/>
    <w:rsid w:val="00836B97"/>
    <w:rsid w:val="00840181"/>
    <w:rsid w:val="0084048B"/>
    <w:rsid w:val="008422C8"/>
    <w:rsid w:val="00842850"/>
    <w:rsid w:val="00842F61"/>
    <w:rsid w:val="008451F6"/>
    <w:rsid w:val="00846280"/>
    <w:rsid w:val="00846E84"/>
    <w:rsid w:val="00847383"/>
    <w:rsid w:val="008478AB"/>
    <w:rsid w:val="00847B3F"/>
    <w:rsid w:val="00850FC3"/>
    <w:rsid w:val="00851165"/>
    <w:rsid w:val="008515B9"/>
    <w:rsid w:val="00851610"/>
    <w:rsid w:val="00852874"/>
    <w:rsid w:val="008530D3"/>
    <w:rsid w:val="00854227"/>
    <w:rsid w:val="00855552"/>
    <w:rsid w:val="00860225"/>
    <w:rsid w:val="008615AF"/>
    <w:rsid w:val="00863A00"/>
    <w:rsid w:val="0086627C"/>
    <w:rsid w:val="008667F9"/>
    <w:rsid w:val="00870B69"/>
    <w:rsid w:val="00871A5B"/>
    <w:rsid w:val="00872E3A"/>
    <w:rsid w:val="00875C47"/>
    <w:rsid w:val="00876325"/>
    <w:rsid w:val="0087682D"/>
    <w:rsid w:val="00880F52"/>
    <w:rsid w:val="008810C6"/>
    <w:rsid w:val="008820F1"/>
    <w:rsid w:val="00882558"/>
    <w:rsid w:val="008878A0"/>
    <w:rsid w:val="00894129"/>
    <w:rsid w:val="0089476B"/>
    <w:rsid w:val="00896629"/>
    <w:rsid w:val="008979C4"/>
    <w:rsid w:val="008A23D6"/>
    <w:rsid w:val="008A2614"/>
    <w:rsid w:val="008A2745"/>
    <w:rsid w:val="008A2874"/>
    <w:rsid w:val="008A3480"/>
    <w:rsid w:val="008A3644"/>
    <w:rsid w:val="008A523C"/>
    <w:rsid w:val="008A5464"/>
    <w:rsid w:val="008A5E42"/>
    <w:rsid w:val="008A6366"/>
    <w:rsid w:val="008A6A70"/>
    <w:rsid w:val="008A7EA9"/>
    <w:rsid w:val="008B098A"/>
    <w:rsid w:val="008B10E5"/>
    <w:rsid w:val="008B3DB9"/>
    <w:rsid w:val="008B5774"/>
    <w:rsid w:val="008C19DF"/>
    <w:rsid w:val="008C1EA0"/>
    <w:rsid w:val="008C45A3"/>
    <w:rsid w:val="008C5B9B"/>
    <w:rsid w:val="008C73B3"/>
    <w:rsid w:val="008D0948"/>
    <w:rsid w:val="008D3025"/>
    <w:rsid w:val="008D50D3"/>
    <w:rsid w:val="008D6471"/>
    <w:rsid w:val="008D6C87"/>
    <w:rsid w:val="008E04C9"/>
    <w:rsid w:val="008E232B"/>
    <w:rsid w:val="008E2691"/>
    <w:rsid w:val="008E281E"/>
    <w:rsid w:val="008E2EAC"/>
    <w:rsid w:val="008E3818"/>
    <w:rsid w:val="008E3A44"/>
    <w:rsid w:val="008E6EF2"/>
    <w:rsid w:val="008E7856"/>
    <w:rsid w:val="008E7DEA"/>
    <w:rsid w:val="008F023C"/>
    <w:rsid w:val="008F2E57"/>
    <w:rsid w:val="008F3ACB"/>
    <w:rsid w:val="008F64AB"/>
    <w:rsid w:val="008F6E36"/>
    <w:rsid w:val="008F7AB9"/>
    <w:rsid w:val="0090069D"/>
    <w:rsid w:val="00901140"/>
    <w:rsid w:val="00902C75"/>
    <w:rsid w:val="00902EF3"/>
    <w:rsid w:val="00903C11"/>
    <w:rsid w:val="009044C9"/>
    <w:rsid w:val="00904BA5"/>
    <w:rsid w:val="00907451"/>
    <w:rsid w:val="00907551"/>
    <w:rsid w:val="0091033A"/>
    <w:rsid w:val="00910434"/>
    <w:rsid w:val="00910BA8"/>
    <w:rsid w:val="00911150"/>
    <w:rsid w:val="00912F71"/>
    <w:rsid w:val="009143C1"/>
    <w:rsid w:val="0091673E"/>
    <w:rsid w:val="009177FD"/>
    <w:rsid w:val="00917B16"/>
    <w:rsid w:val="00920AB0"/>
    <w:rsid w:val="0092177C"/>
    <w:rsid w:val="00921CB3"/>
    <w:rsid w:val="00923130"/>
    <w:rsid w:val="0092545A"/>
    <w:rsid w:val="00925F63"/>
    <w:rsid w:val="00927556"/>
    <w:rsid w:val="0093046E"/>
    <w:rsid w:val="00933117"/>
    <w:rsid w:val="0093395F"/>
    <w:rsid w:val="00934248"/>
    <w:rsid w:val="00935270"/>
    <w:rsid w:val="009355F7"/>
    <w:rsid w:val="00935E51"/>
    <w:rsid w:val="009360A8"/>
    <w:rsid w:val="00936EF0"/>
    <w:rsid w:val="009476A7"/>
    <w:rsid w:val="009504D9"/>
    <w:rsid w:val="009517E6"/>
    <w:rsid w:val="0095437B"/>
    <w:rsid w:val="00954CE0"/>
    <w:rsid w:val="00955ACF"/>
    <w:rsid w:val="0095614B"/>
    <w:rsid w:val="00956E26"/>
    <w:rsid w:val="009579AB"/>
    <w:rsid w:val="009579E7"/>
    <w:rsid w:val="0096006B"/>
    <w:rsid w:val="00960071"/>
    <w:rsid w:val="009607C2"/>
    <w:rsid w:val="00960EF7"/>
    <w:rsid w:val="00961C7D"/>
    <w:rsid w:val="00961D2D"/>
    <w:rsid w:val="00962230"/>
    <w:rsid w:val="00965949"/>
    <w:rsid w:val="0096732B"/>
    <w:rsid w:val="009675E1"/>
    <w:rsid w:val="00970090"/>
    <w:rsid w:val="00970857"/>
    <w:rsid w:val="00970BCE"/>
    <w:rsid w:val="00971601"/>
    <w:rsid w:val="00971FF9"/>
    <w:rsid w:val="00975833"/>
    <w:rsid w:val="0097627F"/>
    <w:rsid w:val="009769B2"/>
    <w:rsid w:val="009824F3"/>
    <w:rsid w:val="00982FCD"/>
    <w:rsid w:val="00984659"/>
    <w:rsid w:val="00987843"/>
    <w:rsid w:val="00990ED0"/>
    <w:rsid w:val="00991E9E"/>
    <w:rsid w:val="0099510B"/>
    <w:rsid w:val="00997522"/>
    <w:rsid w:val="009A05EB"/>
    <w:rsid w:val="009A1C8B"/>
    <w:rsid w:val="009A1F42"/>
    <w:rsid w:val="009A6205"/>
    <w:rsid w:val="009A6A63"/>
    <w:rsid w:val="009A6CAF"/>
    <w:rsid w:val="009A737E"/>
    <w:rsid w:val="009A7519"/>
    <w:rsid w:val="009B3011"/>
    <w:rsid w:val="009B45D0"/>
    <w:rsid w:val="009B465D"/>
    <w:rsid w:val="009B5E55"/>
    <w:rsid w:val="009B7316"/>
    <w:rsid w:val="009C1B5E"/>
    <w:rsid w:val="009C1D09"/>
    <w:rsid w:val="009C202F"/>
    <w:rsid w:val="009C2E38"/>
    <w:rsid w:val="009C2FA7"/>
    <w:rsid w:val="009C4968"/>
    <w:rsid w:val="009C4D14"/>
    <w:rsid w:val="009C5522"/>
    <w:rsid w:val="009C62C4"/>
    <w:rsid w:val="009D1165"/>
    <w:rsid w:val="009D1480"/>
    <w:rsid w:val="009D2364"/>
    <w:rsid w:val="009D2EC6"/>
    <w:rsid w:val="009D5D3A"/>
    <w:rsid w:val="009E0E7C"/>
    <w:rsid w:val="009E2201"/>
    <w:rsid w:val="009E3AFD"/>
    <w:rsid w:val="009E4C00"/>
    <w:rsid w:val="009E6121"/>
    <w:rsid w:val="009E6792"/>
    <w:rsid w:val="009E7DDE"/>
    <w:rsid w:val="009F03A6"/>
    <w:rsid w:val="009F115B"/>
    <w:rsid w:val="009F24FF"/>
    <w:rsid w:val="009F318F"/>
    <w:rsid w:val="009F31FF"/>
    <w:rsid w:val="009F625F"/>
    <w:rsid w:val="009F723E"/>
    <w:rsid w:val="009F7241"/>
    <w:rsid w:val="009F7B05"/>
    <w:rsid w:val="00A04282"/>
    <w:rsid w:val="00A04E49"/>
    <w:rsid w:val="00A05D18"/>
    <w:rsid w:val="00A05D34"/>
    <w:rsid w:val="00A05E21"/>
    <w:rsid w:val="00A0649B"/>
    <w:rsid w:val="00A07AEE"/>
    <w:rsid w:val="00A124DD"/>
    <w:rsid w:val="00A1404A"/>
    <w:rsid w:val="00A1747F"/>
    <w:rsid w:val="00A2064B"/>
    <w:rsid w:val="00A215D0"/>
    <w:rsid w:val="00A22602"/>
    <w:rsid w:val="00A23E8E"/>
    <w:rsid w:val="00A26BA0"/>
    <w:rsid w:val="00A31509"/>
    <w:rsid w:val="00A31FF4"/>
    <w:rsid w:val="00A326C7"/>
    <w:rsid w:val="00A36F7D"/>
    <w:rsid w:val="00A377D6"/>
    <w:rsid w:val="00A41923"/>
    <w:rsid w:val="00A44C67"/>
    <w:rsid w:val="00A46258"/>
    <w:rsid w:val="00A4660C"/>
    <w:rsid w:val="00A466ED"/>
    <w:rsid w:val="00A46738"/>
    <w:rsid w:val="00A46E73"/>
    <w:rsid w:val="00A47B99"/>
    <w:rsid w:val="00A60332"/>
    <w:rsid w:val="00A60BCE"/>
    <w:rsid w:val="00A60BF2"/>
    <w:rsid w:val="00A60CAD"/>
    <w:rsid w:val="00A64751"/>
    <w:rsid w:val="00A65AF3"/>
    <w:rsid w:val="00A65D44"/>
    <w:rsid w:val="00A673BF"/>
    <w:rsid w:val="00A677B5"/>
    <w:rsid w:val="00A7023F"/>
    <w:rsid w:val="00A70831"/>
    <w:rsid w:val="00A70D3A"/>
    <w:rsid w:val="00A71030"/>
    <w:rsid w:val="00A712E2"/>
    <w:rsid w:val="00A72BDC"/>
    <w:rsid w:val="00A74C1B"/>
    <w:rsid w:val="00A75039"/>
    <w:rsid w:val="00A75823"/>
    <w:rsid w:val="00A76F64"/>
    <w:rsid w:val="00A7795C"/>
    <w:rsid w:val="00A77D3D"/>
    <w:rsid w:val="00A80710"/>
    <w:rsid w:val="00A821E2"/>
    <w:rsid w:val="00A82FDE"/>
    <w:rsid w:val="00A83980"/>
    <w:rsid w:val="00A83FC0"/>
    <w:rsid w:val="00A85A1E"/>
    <w:rsid w:val="00A87C37"/>
    <w:rsid w:val="00A906F9"/>
    <w:rsid w:val="00A9132A"/>
    <w:rsid w:val="00A9224D"/>
    <w:rsid w:val="00A93825"/>
    <w:rsid w:val="00A93ADB"/>
    <w:rsid w:val="00A93E3D"/>
    <w:rsid w:val="00A93F05"/>
    <w:rsid w:val="00A9706F"/>
    <w:rsid w:val="00A9774B"/>
    <w:rsid w:val="00A97EF7"/>
    <w:rsid w:val="00AA133A"/>
    <w:rsid w:val="00AA15FF"/>
    <w:rsid w:val="00AA21A2"/>
    <w:rsid w:val="00AA48CE"/>
    <w:rsid w:val="00AA501D"/>
    <w:rsid w:val="00AA68D0"/>
    <w:rsid w:val="00AA755B"/>
    <w:rsid w:val="00AA7ACB"/>
    <w:rsid w:val="00AB1405"/>
    <w:rsid w:val="00AB1735"/>
    <w:rsid w:val="00AB230B"/>
    <w:rsid w:val="00AB31C7"/>
    <w:rsid w:val="00AB4191"/>
    <w:rsid w:val="00AB4C93"/>
    <w:rsid w:val="00AB5C19"/>
    <w:rsid w:val="00AB63C3"/>
    <w:rsid w:val="00AB63E5"/>
    <w:rsid w:val="00AB684D"/>
    <w:rsid w:val="00AB700A"/>
    <w:rsid w:val="00AC0B8B"/>
    <w:rsid w:val="00AC0CCB"/>
    <w:rsid w:val="00AC0E15"/>
    <w:rsid w:val="00AC3029"/>
    <w:rsid w:val="00AC38FF"/>
    <w:rsid w:val="00AC4ECD"/>
    <w:rsid w:val="00AC4F27"/>
    <w:rsid w:val="00AC5022"/>
    <w:rsid w:val="00AC7323"/>
    <w:rsid w:val="00AD036F"/>
    <w:rsid w:val="00AD3E48"/>
    <w:rsid w:val="00AE0792"/>
    <w:rsid w:val="00AE2F19"/>
    <w:rsid w:val="00AE4FF2"/>
    <w:rsid w:val="00AE5712"/>
    <w:rsid w:val="00AE7B1A"/>
    <w:rsid w:val="00AF1078"/>
    <w:rsid w:val="00AF154A"/>
    <w:rsid w:val="00AF27A0"/>
    <w:rsid w:val="00AF3904"/>
    <w:rsid w:val="00AF4A24"/>
    <w:rsid w:val="00AF4ED8"/>
    <w:rsid w:val="00AF53D7"/>
    <w:rsid w:val="00AF715D"/>
    <w:rsid w:val="00B0142F"/>
    <w:rsid w:val="00B04939"/>
    <w:rsid w:val="00B04E6A"/>
    <w:rsid w:val="00B059AF"/>
    <w:rsid w:val="00B1125F"/>
    <w:rsid w:val="00B1136B"/>
    <w:rsid w:val="00B1201E"/>
    <w:rsid w:val="00B12A0A"/>
    <w:rsid w:val="00B14072"/>
    <w:rsid w:val="00B142AA"/>
    <w:rsid w:val="00B14712"/>
    <w:rsid w:val="00B14D95"/>
    <w:rsid w:val="00B15740"/>
    <w:rsid w:val="00B1650A"/>
    <w:rsid w:val="00B17AFC"/>
    <w:rsid w:val="00B210A9"/>
    <w:rsid w:val="00B220FE"/>
    <w:rsid w:val="00B224D2"/>
    <w:rsid w:val="00B23508"/>
    <w:rsid w:val="00B23E82"/>
    <w:rsid w:val="00B2463E"/>
    <w:rsid w:val="00B25511"/>
    <w:rsid w:val="00B25801"/>
    <w:rsid w:val="00B26302"/>
    <w:rsid w:val="00B279C3"/>
    <w:rsid w:val="00B27C6D"/>
    <w:rsid w:val="00B3056F"/>
    <w:rsid w:val="00B30EC7"/>
    <w:rsid w:val="00B314D4"/>
    <w:rsid w:val="00B315A4"/>
    <w:rsid w:val="00B32A92"/>
    <w:rsid w:val="00B32EF3"/>
    <w:rsid w:val="00B3420C"/>
    <w:rsid w:val="00B34795"/>
    <w:rsid w:val="00B35213"/>
    <w:rsid w:val="00B3694D"/>
    <w:rsid w:val="00B41C76"/>
    <w:rsid w:val="00B41CD2"/>
    <w:rsid w:val="00B42FCC"/>
    <w:rsid w:val="00B45AFC"/>
    <w:rsid w:val="00B46196"/>
    <w:rsid w:val="00B5013D"/>
    <w:rsid w:val="00B51746"/>
    <w:rsid w:val="00B51C47"/>
    <w:rsid w:val="00B532D0"/>
    <w:rsid w:val="00B5359C"/>
    <w:rsid w:val="00B53778"/>
    <w:rsid w:val="00B54DC3"/>
    <w:rsid w:val="00B5597D"/>
    <w:rsid w:val="00B56AB8"/>
    <w:rsid w:val="00B56D55"/>
    <w:rsid w:val="00B60C30"/>
    <w:rsid w:val="00B61298"/>
    <w:rsid w:val="00B62B99"/>
    <w:rsid w:val="00B63FEA"/>
    <w:rsid w:val="00B647CE"/>
    <w:rsid w:val="00B6548B"/>
    <w:rsid w:val="00B678DC"/>
    <w:rsid w:val="00B707C0"/>
    <w:rsid w:val="00B7165C"/>
    <w:rsid w:val="00B723A5"/>
    <w:rsid w:val="00B73D07"/>
    <w:rsid w:val="00B73E12"/>
    <w:rsid w:val="00B7500F"/>
    <w:rsid w:val="00B75ECD"/>
    <w:rsid w:val="00B76909"/>
    <w:rsid w:val="00B77B52"/>
    <w:rsid w:val="00B80904"/>
    <w:rsid w:val="00B81E6F"/>
    <w:rsid w:val="00B854CE"/>
    <w:rsid w:val="00B92E45"/>
    <w:rsid w:val="00B93A74"/>
    <w:rsid w:val="00B93C6E"/>
    <w:rsid w:val="00B963FB"/>
    <w:rsid w:val="00BA0AC6"/>
    <w:rsid w:val="00BA0EF5"/>
    <w:rsid w:val="00BA27BF"/>
    <w:rsid w:val="00BA38B8"/>
    <w:rsid w:val="00BA419E"/>
    <w:rsid w:val="00BA4C7C"/>
    <w:rsid w:val="00BA5358"/>
    <w:rsid w:val="00BA576F"/>
    <w:rsid w:val="00BA66D0"/>
    <w:rsid w:val="00BB0F48"/>
    <w:rsid w:val="00BB17F4"/>
    <w:rsid w:val="00BB1E53"/>
    <w:rsid w:val="00BB2AD5"/>
    <w:rsid w:val="00BB3E5A"/>
    <w:rsid w:val="00BC066E"/>
    <w:rsid w:val="00BC1334"/>
    <w:rsid w:val="00BC1799"/>
    <w:rsid w:val="00BC446F"/>
    <w:rsid w:val="00BC4A21"/>
    <w:rsid w:val="00BC528B"/>
    <w:rsid w:val="00BC6E62"/>
    <w:rsid w:val="00BD0BA7"/>
    <w:rsid w:val="00BD16CD"/>
    <w:rsid w:val="00BD284D"/>
    <w:rsid w:val="00BD2C14"/>
    <w:rsid w:val="00BD2C3C"/>
    <w:rsid w:val="00BD3C50"/>
    <w:rsid w:val="00BD46BA"/>
    <w:rsid w:val="00BD549E"/>
    <w:rsid w:val="00BD5AFF"/>
    <w:rsid w:val="00BE18DD"/>
    <w:rsid w:val="00BE1A86"/>
    <w:rsid w:val="00BE2E5E"/>
    <w:rsid w:val="00BE462D"/>
    <w:rsid w:val="00BE5C91"/>
    <w:rsid w:val="00BE6128"/>
    <w:rsid w:val="00BF11D6"/>
    <w:rsid w:val="00BF3B7F"/>
    <w:rsid w:val="00BF408F"/>
    <w:rsid w:val="00BF4CFF"/>
    <w:rsid w:val="00BF5EFE"/>
    <w:rsid w:val="00BF7435"/>
    <w:rsid w:val="00BF74C4"/>
    <w:rsid w:val="00C01480"/>
    <w:rsid w:val="00C01A17"/>
    <w:rsid w:val="00C01EC5"/>
    <w:rsid w:val="00C02574"/>
    <w:rsid w:val="00C0282B"/>
    <w:rsid w:val="00C02952"/>
    <w:rsid w:val="00C02E4F"/>
    <w:rsid w:val="00C030C2"/>
    <w:rsid w:val="00C04F50"/>
    <w:rsid w:val="00C0590A"/>
    <w:rsid w:val="00C05B48"/>
    <w:rsid w:val="00C06F00"/>
    <w:rsid w:val="00C07F0F"/>
    <w:rsid w:val="00C10319"/>
    <w:rsid w:val="00C116B9"/>
    <w:rsid w:val="00C12441"/>
    <w:rsid w:val="00C127C4"/>
    <w:rsid w:val="00C1288D"/>
    <w:rsid w:val="00C1340D"/>
    <w:rsid w:val="00C14BEB"/>
    <w:rsid w:val="00C16679"/>
    <w:rsid w:val="00C168FD"/>
    <w:rsid w:val="00C16B2C"/>
    <w:rsid w:val="00C177D1"/>
    <w:rsid w:val="00C17A47"/>
    <w:rsid w:val="00C20549"/>
    <w:rsid w:val="00C211A6"/>
    <w:rsid w:val="00C21956"/>
    <w:rsid w:val="00C239B9"/>
    <w:rsid w:val="00C27BA8"/>
    <w:rsid w:val="00C30343"/>
    <w:rsid w:val="00C30590"/>
    <w:rsid w:val="00C30883"/>
    <w:rsid w:val="00C30EC7"/>
    <w:rsid w:val="00C31034"/>
    <w:rsid w:val="00C31CE4"/>
    <w:rsid w:val="00C320DF"/>
    <w:rsid w:val="00C32812"/>
    <w:rsid w:val="00C33E08"/>
    <w:rsid w:val="00C35188"/>
    <w:rsid w:val="00C3571C"/>
    <w:rsid w:val="00C35FE0"/>
    <w:rsid w:val="00C36CB3"/>
    <w:rsid w:val="00C413A2"/>
    <w:rsid w:val="00C418EA"/>
    <w:rsid w:val="00C436F3"/>
    <w:rsid w:val="00C44A4C"/>
    <w:rsid w:val="00C473B6"/>
    <w:rsid w:val="00C47C00"/>
    <w:rsid w:val="00C47D32"/>
    <w:rsid w:val="00C506B2"/>
    <w:rsid w:val="00C50FE0"/>
    <w:rsid w:val="00C51255"/>
    <w:rsid w:val="00C53EEE"/>
    <w:rsid w:val="00C540B1"/>
    <w:rsid w:val="00C546E2"/>
    <w:rsid w:val="00C55421"/>
    <w:rsid w:val="00C600B6"/>
    <w:rsid w:val="00C624EE"/>
    <w:rsid w:val="00C629F0"/>
    <w:rsid w:val="00C62A12"/>
    <w:rsid w:val="00C63866"/>
    <w:rsid w:val="00C65AF6"/>
    <w:rsid w:val="00C677E3"/>
    <w:rsid w:val="00C67F5D"/>
    <w:rsid w:val="00C70427"/>
    <w:rsid w:val="00C71750"/>
    <w:rsid w:val="00C7202C"/>
    <w:rsid w:val="00C7420D"/>
    <w:rsid w:val="00C74534"/>
    <w:rsid w:val="00C75187"/>
    <w:rsid w:val="00C76106"/>
    <w:rsid w:val="00C778E4"/>
    <w:rsid w:val="00C809DC"/>
    <w:rsid w:val="00C845A9"/>
    <w:rsid w:val="00C84EC4"/>
    <w:rsid w:val="00C85193"/>
    <w:rsid w:val="00C851A5"/>
    <w:rsid w:val="00C9027C"/>
    <w:rsid w:val="00C91B3E"/>
    <w:rsid w:val="00C92247"/>
    <w:rsid w:val="00C927FE"/>
    <w:rsid w:val="00C97B2E"/>
    <w:rsid w:val="00CA045A"/>
    <w:rsid w:val="00CA05F7"/>
    <w:rsid w:val="00CA21CF"/>
    <w:rsid w:val="00CA3452"/>
    <w:rsid w:val="00CA40CC"/>
    <w:rsid w:val="00CA4160"/>
    <w:rsid w:val="00CA7680"/>
    <w:rsid w:val="00CB0E91"/>
    <w:rsid w:val="00CB17A2"/>
    <w:rsid w:val="00CB472E"/>
    <w:rsid w:val="00CB4A57"/>
    <w:rsid w:val="00CB5F45"/>
    <w:rsid w:val="00CC06AB"/>
    <w:rsid w:val="00CC18AD"/>
    <w:rsid w:val="00CC47F0"/>
    <w:rsid w:val="00CC5119"/>
    <w:rsid w:val="00CC573D"/>
    <w:rsid w:val="00CC6292"/>
    <w:rsid w:val="00CC6323"/>
    <w:rsid w:val="00CC6CEC"/>
    <w:rsid w:val="00CC6D8E"/>
    <w:rsid w:val="00CD215C"/>
    <w:rsid w:val="00CD421D"/>
    <w:rsid w:val="00CD4B87"/>
    <w:rsid w:val="00CE1551"/>
    <w:rsid w:val="00CE2E60"/>
    <w:rsid w:val="00CE359C"/>
    <w:rsid w:val="00CE70F1"/>
    <w:rsid w:val="00CE78CC"/>
    <w:rsid w:val="00CF04B8"/>
    <w:rsid w:val="00CF269B"/>
    <w:rsid w:val="00CF384A"/>
    <w:rsid w:val="00CF6291"/>
    <w:rsid w:val="00CF6326"/>
    <w:rsid w:val="00CF6B45"/>
    <w:rsid w:val="00D01094"/>
    <w:rsid w:val="00D0234A"/>
    <w:rsid w:val="00D05F06"/>
    <w:rsid w:val="00D1050D"/>
    <w:rsid w:val="00D11357"/>
    <w:rsid w:val="00D15641"/>
    <w:rsid w:val="00D15A03"/>
    <w:rsid w:val="00D17C5E"/>
    <w:rsid w:val="00D209AB"/>
    <w:rsid w:val="00D21FF6"/>
    <w:rsid w:val="00D226A3"/>
    <w:rsid w:val="00D22F1C"/>
    <w:rsid w:val="00D23099"/>
    <w:rsid w:val="00D23C6F"/>
    <w:rsid w:val="00D2736E"/>
    <w:rsid w:val="00D27A37"/>
    <w:rsid w:val="00D3025C"/>
    <w:rsid w:val="00D31778"/>
    <w:rsid w:val="00D31864"/>
    <w:rsid w:val="00D31C02"/>
    <w:rsid w:val="00D320CC"/>
    <w:rsid w:val="00D3245A"/>
    <w:rsid w:val="00D3271D"/>
    <w:rsid w:val="00D3346D"/>
    <w:rsid w:val="00D3354E"/>
    <w:rsid w:val="00D35CA1"/>
    <w:rsid w:val="00D367AC"/>
    <w:rsid w:val="00D4154D"/>
    <w:rsid w:val="00D4222E"/>
    <w:rsid w:val="00D43600"/>
    <w:rsid w:val="00D436C5"/>
    <w:rsid w:val="00D44220"/>
    <w:rsid w:val="00D443BB"/>
    <w:rsid w:val="00D445D5"/>
    <w:rsid w:val="00D47256"/>
    <w:rsid w:val="00D47A8B"/>
    <w:rsid w:val="00D52178"/>
    <w:rsid w:val="00D54BBE"/>
    <w:rsid w:val="00D54C2E"/>
    <w:rsid w:val="00D5513F"/>
    <w:rsid w:val="00D5590D"/>
    <w:rsid w:val="00D6148C"/>
    <w:rsid w:val="00D6158B"/>
    <w:rsid w:val="00D615F0"/>
    <w:rsid w:val="00D665E1"/>
    <w:rsid w:val="00D6683C"/>
    <w:rsid w:val="00D6733F"/>
    <w:rsid w:val="00D678ED"/>
    <w:rsid w:val="00D72535"/>
    <w:rsid w:val="00D729B0"/>
    <w:rsid w:val="00D74EA2"/>
    <w:rsid w:val="00D75D24"/>
    <w:rsid w:val="00D80063"/>
    <w:rsid w:val="00D82324"/>
    <w:rsid w:val="00D83048"/>
    <w:rsid w:val="00D84897"/>
    <w:rsid w:val="00D850E5"/>
    <w:rsid w:val="00D861C9"/>
    <w:rsid w:val="00D872C7"/>
    <w:rsid w:val="00D87433"/>
    <w:rsid w:val="00D91039"/>
    <w:rsid w:val="00D91641"/>
    <w:rsid w:val="00D92007"/>
    <w:rsid w:val="00D92C1A"/>
    <w:rsid w:val="00D93B8D"/>
    <w:rsid w:val="00D94663"/>
    <w:rsid w:val="00D9525D"/>
    <w:rsid w:val="00D96515"/>
    <w:rsid w:val="00D96698"/>
    <w:rsid w:val="00D96CF9"/>
    <w:rsid w:val="00D97D9D"/>
    <w:rsid w:val="00DA21DA"/>
    <w:rsid w:val="00DA2637"/>
    <w:rsid w:val="00DA3142"/>
    <w:rsid w:val="00DA32C0"/>
    <w:rsid w:val="00DA340A"/>
    <w:rsid w:val="00DA3B0B"/>
    <w:rsid w:val="00DA449E"/>
    <w:rsid w:val="00DA472B"/>
    <w:rsid w:val="00DA4BDF"/>
    <w:rsid w:val="00DA6253"/>
    <w:rsid w:val="00DA6472"/>
    <w:rsid w:val="00DA69B3"/>
    <w:rsid w:val="00DB0BC8"/>
    <w:rsid w:val="00DB1377"/>
    <w:rsid w:val="00DB1FE7"/>
    <w:rsid w:val="00DB2297"/>
    <w:rsid w:val="00DB3181"/>
    <w:rsid w:val="00DB5D0C"/>
    <w:rsid w:val="00DB662A"/>
    <w:rsid w:val="00DB747A"/>
    <w:rsid w:val="00DC1069"/>
    <w:rsid w:val="00DC182F"/>
    <w:rsid w:val="00DC246C"/>
    <w:rsid w:val="00DC2FC5"/>
    <w:rsid w:val="00DC3C03"/>
    <w:rsid w:val="00DC516A"/>
    <w:rsid w:val="00DC74F6"/>
    <w:rsid w:val="00DC7D72"/>
    <w:rsid w:val="00DC7F28"/>
    <w:rsid w:val="00DD06AF"/>
    <w:rsid w:val="00DD0AC5"/>
    <w:rsid w:val="00DD187A"/>
    <w:rsid w:val="00DD1ABB"/>
    <w:rsid w:val="00DD38B6"/>
    <w:rsid w:val="00DD54CB"/>
    <w:rsid w:val="00DD5AA4"/>
    <w:rsid w:val="00DD5D89"/>
    <w:rsid w:val="00DD6562"/>
    <w:rsid w:val="00DE1E38"/>
    <w:rsid w:val="00DE1FC6"/>
    <w:rsid w:val="00DE22BF"/>
    <w:rsid w:val="00DE2D41"/>
    <w:rsid w:val="00DE2EF0"/>
    <w:rsid w:val="00DE4DF0"/>
    <w:rsid w:val="00DE52F0"/>
    <w:rsid w:val="00DE562F"/>
    <w:rsid w:val="00DE6828"/>
    <w:rsid w:val="00DE71BA"/>
    <w:rsid w:val="00DE788E"/>
    <w:rsid w:val="00DF0EB3"/>
    <w:rsid w:val="00DF2E38"/>
    <w:rsid w:val="00DF4405"/>
    <w:rsid w:val="00DF5650"/>
    <w:rsid w:val="00DF6420"/>
    <w:rsid w:val="00DF6B8E"/>
    <w:rsid w:val="00DF73F2"/>
    <w:rsid w:val="00DF7800"/>
    <w:rsid w:val="00E01227"/>
    <w:rsid w:val="00E013F7"/>
    <w:rsid w:val="00E0209C"/>
    <w:rsid w:val="00E03053"/>
    <w:rsid w:val="00E03E7E"/>
    <w:rsid w:val="00E05257"/>
    <w:rsid w:val="00E06282"/>
    <w:rsid w:val="00E06D94"/>
    <w:rsid w:val="00E11D7E"/>
    <w:rsid w:val="00E13217"/>
    <w:rsid w:val="00E13218"/>
    <w:rsid w:val="00E135B6"/>
    <w:rsid w:val="00E13EC7"/>
    <w:rsid w:val="00E14AA5"/>
    <w:rsid w:val="00E17ECC"/>
    <w:rsid w:val="00E2037F"/>
    <w:rsid w:val="00E20AE1"/>
    <w:rsid w:val="00E20DE6"/>
    <w:rsid w:val="00E2281E"/>
    <w:rsid w:val="00E2483F"/>
    <w:rsid w:val="00E26A3B"/>
    <w:rsid w:val="00E27209"/>
    <w:rsid w:val="00E27DE2"/>
    <w:rsid w:val="00E31B03"/>
    <w:rsid w:val="00E324E9"/>
    <w:rsid w:val="00E32531"/>
    <w:rsid w:val="00E343F3"/>
    <w:rsid w:val="00E35749"/>
    <w:rsid w:val="00E358D1"/>
    <w:rsid w:val="00E35997"/>
    <w:rsid w:val="00E3704B"/>
    <w:rsid w:val="00E40420"/>
    <w:rsid w:val="00E40B58"/>
    <w:rsid w:val="00E41CBB"/>
    <w:rsid w:val="00E437B2"/>
    <w:rsid w:val="00E43B91"/>
    <w:rsid w:val="00E43C6F"/>
    <w:rsid w:val="00E44343"/>
    <w:rsid w:val="00E459A1"/>
    <w:rsid w:val="00E47177"/>
    <w:rsid w:val="00E4799A"/>
    <w:rsid w:val="00E47D7F"/>
    <w:rsid w:val="00E52C48"/>
    <w:rsid w:val="00E538F7"/>
    <w:rsid w:val="00E53E1F"/>
    <w:rsid w:val="00E542B1"/>
    <w:rsid w:val="00E554E3"/>
    <w:rsid w:val="00E557AF"/>
    <w:rsid w:val="00E559C8"/>
    <w:rsid w:val="00E57116"/>
    <w:rsid w:val="00E57565"/>
    <w:rsid w:val="00E608E2"/>
    <w:rsid w:val="00E62203"/>
    <w:rsid w:val="00E64818"/>
    <w:rsid w:val="00E650BA"/>
    <w:rsid w:val="00E71DDE"/>
    <w:rsid w:val="00E755C3"/>
    <w:rsid w:val="00E75828"/>
    <w:rsid w:val="00E761CE"/>
    <w:rsid w:val="00E7785E"/>
    <w:rsid w:val="00E77B6C"/>
    <w:rsid w:val="00E80013"/>
    <w:rsid w:val="00E806DE"/>
    <w:rsid w:val="00E82B2B"/>
    <w:rsid w:val="00E83839"/>
    <w:rsid w:val="00E854FD"/>
    <w:rsid w:val="00E86EDC"/>
    <w:rsid w:val="00E86F6B"/>
    <w:rsid w:val="00E90CE6"/>
    <w:rsid w:val="00E92912"/>
    <w:rsid w:val="00E93921"/>
    <w:rsid w:val="00E94FC3"/>
    <w:rsid w:val="00E95936"/>
    <w:rsid w:val="00E9749E"/>
    <w:rsid w:val="00E97511"/>
    <w:rsid w:val="00EA0BE7"/>
    <w:rsid w:val="00EA0D84"/>
    <w:rsid w:val="00EA2504"/>
    <w:rsid w:val="00EA2E19"/>
    <w:rsid w:val="00EA37CC"/>
    <w:rsid w:val="00EA4370"/>
    <w:rsid w:val="00EA607E"/>
    <w:rsid w:val="00EB214E"/>
    <w:rsid w:val="00EB2420"/>
    <w:rsid w:val="00EB2644"/>
    <w:rsid w:val="00EB374A"/>
    <w:rsid w:val="00EB483E"/>
    <w:rsid w:val="00EB583F"/>
    <w:rsid w:val="00EB7938"/>
    <w:rsid w:val="00EC00EE"/>
    <w:rsid w:val="00EC19B9"/>
    <w:rsid w:val="00EC2F44"/>
    <w:rsid w:val="00EC30A5"/>
    <w:rsid w:val="00EC36ED"/>
    <w:rsid w:val="00EC4005"/>
    <w:rsid w:val="00EC6107"/>
    <w:rsid w:val="00EC6281"/>
    <w:rsid w:val="00EC66BA"/>
    <w:rsid w:val="00EC69E9"/>
    <w:rsid w:val="00EC6D88"/>
    <w:rsid w:val="00EC6F4C"/>
    <w:rsid w:val="00ED0B81"/>
    <w:rsid w:val="00ED2DC0"/>
    <w:rsid w:val="00ED593E"/>
    <w:rsid w:val="00ED5D2D"/>
    <w:rsid w:val="00ED6C54"/>
    <w:rsid w:val="00ED7001"/>
    <w:rsid w:val="00EE1726"/>
    <w:rsid w:val="00EE274B"/>
    <w:rsid w:val="00EE2A85"/>
    <w:rsid w:val="00EE3C53"/>
    <w:rsid w:val="00EE3E29"/>
    <w:rsid w:val="00EE6111"/>
    <w:rsid w:val="00EE6D9C"/>
    <w:rsid w:val="00EF2680"/>
    <w:rsid w:val="00EF48BE"/>
    <w:rsid w:val="00EF5757"/>
    <w:rsid w:val="00EF7A12"/>
    <w:rsid w:val="00F0094C"/>
    <w:rsid w:val="00F00E91"/>
    <w:rsid w:val="00F0161D"/>
    <w:rsid w:val="00F01915"/>
    <w:rsid w:val="00F020B1"/>
    <w:rsid w:val="00F02B0B"/>
    <w:rsid w:val="00F03010"/>
    <w:rsid w:val="00F04A72"/>
    <w:rsid w:val="00F0505E"/>
    <w:rsid w:val="00F0640E"/>
    <w:rsid w:val="00F066B5"/>
    <w:rsid w:val="00F108C8"/>
    <w:rsid w:val="00F1229B"/>
    <w:rsid w:val="00F12869"/>
    <w:rsid w:val="00F1382C"/>
    <w:rsid w:val="00F14F05"/>
    <w:rsid w:val="00F204A9"/>
    <w:rsid w:val="00F207B2"/>
    <w:rsid w:val="00F20937"/>
    <w:rsid w:val="00F234D0"/>
    <w:rsid w:val="00F25F03"/>
    <w:rsid w:val="00F261F7"/>
    <w:rsid w:val="00F26C1F"/>
    <w:rsid w:val="00F27BDB"/>
    <w:rsid w:val="00F3122E"/>
    <w:rsid w:val="00F325DC"/>
    <w:rsid w:val="00F33415"/>
    <w:rsid w:val="00F33452"/>
    <w:rsid w:val="00F35BA9"/>
    <w:rsid w:val="00F35E89"/>
    <w:rsid w:val="00F36716"/>
    <w:rsid w:val="00F36B61"/>
    <w:rsid w:val="00F37982"/>
    <w:rsid w:val="00F40634"/>
    <w:rsid w:val="00F41A24"/>
    <w:rsid w:val="00F4205C"/>
    <w:rsid w:val="00F45651"/>
    <w:rsid w:val="00F46067"/>
    <w:rsid w:val="00F46376"/>
    <w:rsid w:val="00F46576"/>
    <w:rsid w:val="00F50A08"/>
    <w:rsid w:val="00F51B83"/>
    <w:rsid w:val="00F529BB"/>
    <w:rsid w:val="00F53FE2"/>
    <w:rsid w:val="00F547FA"/>
    <w:rsid w:val="00F56507"/>
    <w:rsid w:val="00F6040F"/>
    <w:rsid w:val="00F608AD"/>
    <w:rsid w:val="00F60E8A"/>
    <w:rsid w:val="00F61179"/>
    <w:rsid w:val="00F6141B"/>
    <w:rsid w:val="00F624B9"/>
    <w:rsid w:val="00F62BE0"/>
    <w:rsid w:val="00F63119"/>
    <w:rsid w:val="00F63B04"/>
    <w:rsid w:val="00F6458E"/>
    <w:rsid w:val="00F6602C"/>
    <w:rsid w:val="00F66A44"/>
    <w:rsid w:val="00F66E2F"/>
    <w:rsid w:val="00F72634"/>
    <w:rsid w:val="00F737F6"/>
    <w:rsid w:val="00F7681C"/>
    <w:rsid w:val="00F7703E"/>
    <w:rsid w:val="00F80002"/>
    <w:rsid w:val="00F80359"/>
    <w:rsid w:val="00F80728"/>
    <w:rsid w:val="00F81306"/>
    <w:rsid w:val="00F8225A"/>
    <w:rsid w:val="00F84360"/>
    <w:rsid w:val="00F873A0"/>
    <w:rsid w:val="00F905A7"/>
    <w:rsid w:val="00F90E94"/>
    <w:rsid w:val="00F910E7"/>
    <w:rsid w:val="00F929B2"/>
    <w:rsid w:val="00F92AA6"/>
    <w:rsid w:val="00F93886"/>
    <w:rsid w:val="00F94516"/>
    <w:rsid w:val="00F94EBA"/>
    <w:rsid w:val="00F96731"/>
    <w:rsid w:val="00F97855"/>
    <w:rsid w:val="00FA0020"/>
    <w:rsid w:val="00FA0C9C"/>
    <w:rsid w:val="00FA375A"/>
    <w:rsid w:val="00FA4479"/>
    <w:rsid w:val="00FA50CC"/>
    <w:rsid w:val="00FA6040"/>
    <w:rsid w:val="00FA6C0C"/>
    <w:rsid w:val="00FA6E51"/>
    <w:rsid w:val="00FB1767"/>
    <w:rsid w:val="00FB3334"/>
    <w:rsid w:val="00FB462D"/>
    <w:rsid w:val="00FB7861"/>
    <w:rsid w:val="00FC0611"/>
    <w:rsid w:val="00FC175C"/>
    <w:rsid w:val="00FC27CE"/>
    <w:rsid w:val="00FC2984"/>
    <w:rsid w:val="00FC32C4"/>
    <w:rsid w:val="00FC3C93"/>
    <w:rsid w:val="00FC4F11"/>
    <w:rsid w:val="00FC5BAA"/>
    <w:rsid w:val="00FC77E9"/>
    <w:rsid w:val="00FD0B3C"/>
    <w:rsid w:val="00FD391F"/>
    <w:rsid w:val="00FD454E"/>
    <w:rsid w:val="00FD7BBA"/>
    <w:rsid w:val="00FE0B53"/>
    <w:rsid w:val="00FE0C63"/>
    <w:rsid w:val="00FE21E0"/>
    <w:rsid w:val="00FE3294"/>
    <w:rsid w:val="00FE6609"/>
    <w:rsid w:val="00FE7E5B"/>
    <w:rsid w:val="00FF0677"/>
    <w:rsid w:val="00FF08B1"/>
    <w:rsid w:val="00FF0A80"/>
    <w:rsid w:val="00FF1F12"/>
    <w:rsid w:val="00FF40E5"/>
    <w:rsid w:val="00FF6C1E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2E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100B5"/>
    <w:pPr>
      <w:keepNext/>
      <w:spacing w:after="0" w:line="240" w:lineRule="auto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C18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79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4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939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363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E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E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EBC"/>
    <w:rPr>
      <w:vertAlign w:val="superscript"/>
    </w:rPr>
  </w:style>
  <w:style w:type="paragraph" w:styleId="Tekstpodstawowy2">
    <w:name w:val="Body Text 2"/>
    <w:basedOn w:val="Normalny"/>
    <w:link w:val="Tekstpodstawowy2Znak"/>
    <w:rsid w:val="00035373"/>
    <w:pPr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373"/>
    <w:rPr>
      <w:rFonts w:ascii="Arial" w:eastAsia="Times New Roman" w:hAnsi="Arial" w:cs="Arial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03537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5373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F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40F13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A7"/>
  </w:style>
  <w:style w:type="paragraph" w:styleId="Stopka">
    <w:name w:val="footer"/>
    <w:basedOn w:val="Normalny"/>
    <w:link w:val="Stopka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A7"/>
  </w:style>
  <w:style w:type="table" w:styleId="Tabela-Siatka">
    <w:name w:val="Table Grid"/>
    <w:basedOn w:val="Standardowy"/>
    <w:uiPriority w:val="59"/>
    <w:rsid w:val="003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624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0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00B5"/>
  </w:style>
  <w:style w:type="character" w:customStyle="1" w:styleId="Nagwek3Znak">
    <w:name w:val="Nagłówek 3 Znak"/>
    <w:basedOn w:val="Domylnaczcionkaakapitu"/>
    <w:link w:val="Nagwek3"/>
    <w:uiPriority w:val="9"/>
    <w:rsid w:val="005100B5"/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Legenda">
    <w:name w:val="caption"/>
    <w:basedOn w:val="Normalny"/>
    <w:next w:val="Normalny"/>
    <w:uiPriority w:val="99"/>
    <w:qFormat/>
    <w:rsid w:val="005100B5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A44C6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0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9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Jasnasiatkaakcent3">
    <w:name w:val="Light Grid Accent 3"/>
    <w:basedOn w:val="Standardowy"/>
    <w:uiPriority w:val="62"/>
    <w:rsid w:val="00B92E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E5712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5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5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59E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59FA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F59F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11150"/>
    <w:pPr>
      <w:tabs>
        <w:tab w:val="right" w:leader="dot" w:pos="9060"/>
      </w:tabs>
      <w:spacing w:after="100"/>
    </w:pPr>
    <w:rPr>
      <w:rFonts w:ascii="Times New Roman" w:hAnsi="Times New Roman" w:cs="Times New Roman"/>
      <w:caps/>
      <w:noProof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character" w:customStyle="1" w:styleId="Nagwek4Znak">
    <w:name w:val="Nagłówek 4 Znak"/>
    <w:basedOn w:val="Domylnaczcionkaakapitu"/>
    <w:link w:val="Nagwek4"/>
    <w:uiPriority w:val="9"/>
    <w:rsid w:val="00DC18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8979C4"/>
    <w:rPr>
      <w:rFonts w:asciiTheme="majorHAnsi" w:eastAsiaTheme="majorEastAsia" w:hAnsiTheme="majorHAnsi" w:cstheme="majorBidi"/>
      <w:color w:val="243F60" w:themeColor="accent1" w:themeShade="7F"/>
    </w:rPr>
  </w:style>
  <w:style w:type="table" w:styleId="Jasnecieniowanieakcent5">
    <w:name w:val="Light Shading Accent 5"/>
    <w:basedOn w:val="Standardowy"/>
    <w:uiPriority w:val="60"/>
    <w:rsid w:val="005639F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2E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100B5"/>
    <w:pPr>
      <w:keepNext/>
      <w:spacing w:after="0" w:line="240" w:lineRule="auto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C182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979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4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939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363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E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E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EBC"/>
    <w:rPr>
      <w:vertAlign w:val="superscript"/>
    </w:rPr>
  </w:style>
  <w:style w:type="paragraph" w:styleId="Tekstpodstawowy2">
    <w:name w:val="Body Text 2"/>
    <w:basedOn w:val="Normalny"/>
    <w:link w:val="Tekstpodstawowy2Znak"/>
    <w:rsid w:val="00035373"/>
    <w:pPr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373"/>
    <w:rPr>
      <w:rFonts w:ascii="Arial" w:eastAsia="Times New Roman" w:hAnsi="Arial" w:cs="Arial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03537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5373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F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40F13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A7"/>
  </w:style>
  <w:style w:type="paragraph" w:styleId="Stopka">
    <w:name w:val="footer"/>
    <w:basedOn w:val="Normalny"/>
    <w:link w:val="Stopka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A7"/>
  </w:style>
  <w:style w:type="table" w:styleId="Tabela-Siatka">
    <w:name w:val="Table Grid"/>
    <w:basedOn w:val="Standardowy"/>
    <w:uiPriority w:val="59"/>
    <w:rsid w:val="003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624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0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00B5"/>
  </w:style>
  <w:style w:type="character" w:customStyle="1" w:styleId="Nagwek3Znak">
    <w:name w:val="Nagłówek 3 Znak"/>
    <w:basedOn w:val="Domylnaczcionkaakapitu"/>
    <w:link w:val="Nagwek3"/>
    <w:uiPriority w:val="9"/>
    <w:rsid w:val="005100B5"/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Legenda">
    <w:name w:val="caption"/>
    <w:basedOn w:val="Normalny"/>
    <w:next w:val="Normalny"/>
    <w:uiPriority w:val="99"/>
    <w:qFormat/>
    <w:rsid w:val="005100B5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8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A44C6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0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9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Jasnasiatkaakcent3">
    <w:name w:val="Light Grid Accent 3"/>
    <w:basedOn w:val="Standardowy"/>
    <w:uiPriority w:val="62"/>
    <w:rsid w:val="00B92E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E5712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5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5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59E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59FA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1F59F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11150"/>
    <w:pPr>
      <w:tabs>
        <w:tab w:val="right" w:leader="dot" w:pos="9060"/>
      </w:tabs>
      <w:spacing w:after="100"/>
    </w:pPr>
    <w:rPr>
      <w:rFonts w:ascii="Times New Roman" w:hAnsi="Times New Roman" w:cs="Times New Roman"/>
      <w:caps/>
      <w:noProof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character" w:customStyle="1" w:styleId="Nagwek4Znak">
    <w:name w:val="Nagłówek 4 Znak"/>
    <w:basedOn w:val="Domylnaczcionkaakapitu"/>
    <w:link w:val="Nagwek4"/>
    <w:uiPriority w:val="9"/>
    <w:rsid w:val="00DC18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8979C4"/>
    <w:rPr>
      <w:rFonts w:asciiTheme="majorHAnsi" w:eastAsiaTheme="majorEastAsia" w:hAnsiTheme="majorHAnsi" w:cstheme="majorBidi"/>
      <w:color w:val="243F60" w:themeColor="accent1" w:themeShade="7F"/>
    </w:rPr>
  </w:style>
  <w:style w:type="table" w:styleId="Jasnecieniowanieakcent5">
    <w:name w:val="Light Shading Accent 5"/>
    <w:basedOn w:val="Standardowy"/>
    <w:uiPriority w:val="60"/>
    <w:rsid w:val="005639F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7.emf"/><Relationship Id="rId39" Type="http://schemas.openxmlformats.org/officeDocument/2006/relationships/image" Target="media/image29.emf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image" Target="media/image25.emf"/><Relationship Id="rId42" Type="http://schemas.openxmlformats.org/officeDocument/2006/relationships/image" Target="media/image32.emf"/><Relationship Id="rId47" Type="http://schemas.openxmlformats.org/officeDocument/2006/relationships/chart" Target="charts/chart4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6.emf"/><Relationship Id="rId33" Type="http://schemas.openxmlformats.org/officeDocument/2006/relationships/image" Target="media/image24.emf"/><Relationship Id="rId38" Type="http://schemas.openxmlformats.org/officeDocument/2006/relationships/image" Target="media/image28.emf"/><Relationship Id="rId46" Type="http://schemas.openxmlformats.org/officeDocument/2006/relationships/image" Target="media/image34.emf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0.emf"/><Relationship Id="rId41" Type="http://schemas.openxmlformats.org/officeDocument/2006/relationships/image" Target="media/image3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5.emf"/><Relationship Id="rId32" Type="http://schemas.openxmlformats.org/officeDocument/2006/relationships/image" Target="media/image23.emf"/><Relationship Id="rId37" Type="http://schemas.openxmlformats.org/officeDocument/2006/relationships/chart" Target="charts/chart1.xml"/><Relationship Id="rId40" Type="http://schemas.openxmlformats.org/officeDocument/2006/relationships/image" Target="media/image30.emf"/><Relationship Id="rId45" Type="http://schemas.openxmlformats.org/officeDocument/2006/relationships/image" Target="media/image3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oter" Target="footer1.xml"/><Relationship Id="rId28" Type="http://schemas.openxmlformats.org/officeDocument/2006/relationships/image" Target="media/image19.emf"/><Relationship Id="rId36" Type="http://schemas.openxmlformats.org/officeDocument/2006/relationships/image" Target="media/image27.emf"/><Relationship Id="rId49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2.emf"/><Relationship Id="rId44" Type="http://schemas.openxmlformats.org/officeDocument/2006/relationships/chart" Target="charts/chart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8.emf"/><Relationship Id="rId30" Type="http://schemas.openxmlformats.org/officeDocument/2006/relationships/image" Target="media/image21.emf"/><Relationship Id="rId35" Type="http://schemas.openxmlformats.org/officeDocument/2006/relationships/image" Target="media/image26.emf"/><Relationship Id="rId43" Type="http://schemas.openxmlformats.org/officeDocument/2006/relationships/chart" Target="charts/chart2.xml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I%20p&#243;&#322;orcze%20'17\Aneks%20stat.%20I%20p'1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I%20p&#243;&#322;orcze%20'17\Aneks%20stat.%20I%20p'1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I%20p&#243;&#322;orcze%20'17\Aneks%20stat.%20I%20p'17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I%20p&#243;&#322;orcze%20'17\Aneks%20stat.%20I%20p'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2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4606745288586143E-2"/>
          <c:y val="5.3826316236520483E-2"/>
          <c:w val="0.92521312083839402"/>
          <c:h val="0.845513676278092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wI!$B$1</c:f>
              <c:strCache>
                <c:ptCount val="1"/>
                <c:pt idx="0">
                  <c:v>oferty pracy</c:v>
                </c:pt>
              </c:strCache>
            </c:strRef>
          </c:tx>
          <c:spPr>
            <a:gradFill flip="none" rotWithShape="1">
              <a:gsLst>
                <a:gs pos="0">
                  <a:srgbClr val="286C7E">
                    <a:lumMod val="22000"/>
                    <a:lumOff val="78000"/>
                  </a:srgbClr>
                </a:gs>
                <a:gs pos="83000">
                  <a:srgbClr val="286C7E">
                    <a:alpha val="94902"/>
                  </a:srgbClr>
                </a:gs>
                <a:gs pos="51000">
                  <a:srgbClr val="65DD23">
                    <a:lumMod val="37000"/>
                    <a:alpha val="54000"/>
                  </a:srgbClr>
                </a:gs>
                <a:gs pos="99000">
                  <a:srgbClr val="202C27">
                    <a:lumMod val="63000"/>
                  </a:srgbClr>
                </a:gs>
              </a:gsLst>
              <a:lin ang="5400000" scaled="1"/>
              <a:tileRect/>
            </a:gradFill>
            <a:ln w="31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prstMaterial="metal">
              <a:bevelB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2.0482589061253322E-3"/>
                  <c:y val="7.48183556964257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736089585858538E-2"/>
                  <c:y val="-5.88351365748554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5007495767774194E-3"/>
                  <c:y val="4.10885894151818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148822126583909E-2"/>
                  <c:y val="2.10339085605937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4463695113681965E-3"/>
                  <c:y val="-1.53534135098346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4767907965810073E-2"/>
                  <c:y val="6.47167206297457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3584084063305789E-3"/>
                  <c:y val="2.781786169797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5476430999727847E-2"/>
                  <c:y val="-4.91660000448203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7347190124960214E-2"/>
                  <c:y val="-7.38561792191313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7110831269114207E-2"/>
                  <c:y val="2.074160178268160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1.8991923021924543E-2"/>
                  <c:y val="-2.45147951075640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5.1131132668100862E-2"/>
                  <c:y val="9.22068233526311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4915844027830962E-3"/>
                  <c:y val="-0.32681130423613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2634031436079916E-3"/>
                  <c:y val="-0.32679175163340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0.33767412351244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35229212384315E-3"/>
                  <c:y val="-0.37888580509090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0.372583842024846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5229212384315E-3"/>
                  <c:y val="-0.387828030845188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0.39869081625136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0.411834012827609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0.42944849122536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0.4467031181049577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448983529275019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35229212384315E-3"/>
                  <c:y val="-0.460116287792012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-0.47728103626424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latin typeface="+mj-lt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wI!$B$5:$B$15</c:f>
              <c:strCache>
                <c:ptCount val="11"/>
                <c:pt idx="0">
                  <c:v>I pół '07</c:v>
                </c:pt>
                <c:pt idx="1">
                  <c:v>I pół '08</c:v>
                </c:pt>
                <c:pt idx="2">
                  <c:v>I pół '09</c:v>
                </c:pt>
                <c:pt idx="3">
                  <c:v>I pół '10</c:v>
                </c:pt>
                <c:pt idx="4">
                  <c:v>I pół '11</c:v>
                </c:pt>
                <c:pt idx="5">
                  <c:v>I pół '12</c:v>
                </c:pt>
                <c:pt idx="6">
                  <c:v>I pół '13</c:v>
                </c:pt>
                <c:pt idx="7">
                  <c:v>I pół '14</c:v>
                </c:pt>
                <c:pt idx="8">
                  <c:v>I pół '15</c:v>
                </c:pt>
                <c:pt idx="9">
                  <c:v>I pół '16</c:v>
                </c:pt>
                <c:pt idx="10">
                  <c:v>I pół '17</c:v>
                </c:pt>
              </c:strCache>
            </c:strRef>
          </c:cat>
          <c:val>
            <c:numRef>
              <c:f>wI!$C$5:$C$15</c:f>
              <c:numCache>
                <c:formatCode>#,##0</c:formatCode>
                <c:ptCount val="11"/>
                <c:pt idx="0">
                  <c:v>27392</c:v>
                </c:pt>
                <c:pt idx="1">
                  <c:v>28169</c:v>
                </c:pt>
                <c:pt idx="2">
                  <c:v>25139</c:v>
                </c:pt>
                <c:pt idx="3">
                  <c:v>30966</c:v>
                </c:pt>
                <c:pt idx="4">
                  <c:v>24104</c:v>
                </c:pt>
                <c:pt idx="5">
                  <c:v>24066</c:v>
                </c:pt>
                <c:pt idx="6">
                  <c:v>31113</c:v>
                </c:pt>
                <c:pt idx="7">
                  <c:v>31924</c:v>
                </c:pt>
                <c:pt idx="8">
                  <c:v>33364</c:v>
                </c:pt>
                <c:pt idx="9">
                  <c:v>38617</c:v>
                </c:pt>
                <c:pt idx="10">
                  <c:v>41480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2"/>
        <c:shape val="cylinder"/>
        <c:axId val="171750528"/>
        <c:axId val="171855232"/>
        <c:axId val="0"/>
      </c:bar3DChart>
      <c:catAx>
        <c:axId val="171750528"/>
        <c:scaling>
          <c:orientation val="minMax"/>
        </c:scaling>
        <c:delete val="0"/>
        <c:axPos val="b"/>
        <c:majorGridlines>
          <c:spPr>
            <a:ln>
              <a:solidFill>
                <a:schemeClr val="tx1">
                  <a:lumMod val="50000"/>
                  <a:lumOff val="5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>
            <a:solidFill>
              <a:schemeClr val="tx1">
                <a:alpha val="28000"/>
              </a:schemeClr>
            </a:solidFill>
          </a:ln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+mj-lt"/>
                <a:ea typeface="Arial"/>
                <a:cs typeface="Arial"/>
              </a:defRPr>
            </a:pPr>
            <a:endParaRPr lang="pl-PL"/>
          </a:p>
        </c:txPr>
        <c:crossAx val="171855232"/>
        <c:crosses val="autoZero"/>
        <c:auto val="0"/>
        <c:lblAlgn val="ctr"/>
        <c:lblOffset val="100"/>
        <c:noMultiLvlLbl val="0"/>
      </c:catAx>
      <c:valAx>
        <c:axId val="171855232"/>
        <c:scaling>
          <c:orientation val="minMax"/>
        </c:scaling>
        <c:delete val="0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 w="6350">
            <a:solidFill>
              <a:schemeClr val="tx1">
                <a:alpha val="42000"/>
              </a:schemeClr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pl-PL"/>
          </a:p>
        </c:txPr>
        <c:crossAx val="171750528"/>
        <c:crosses val="autoZero"/>
        <c:crossBetween val="between"/>
      </c:valAx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hPercent val="5"/>
      <c:rotY val="183"/>
      <c:depthPercent val="4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5339155332856122E-2"/>
          <c:y val="0"/>
          <c:w val="0.94410757178456584"/>
          <c:h val="1"/>
        </c:manualLayout>
      </c:layout>
      <c:pie3DChart>
        <c:varyColors val="1"/>
        <c:ser>
          <c:idx val="0"/>
          <c:order val="0"/>
          <c:tx>
            <c:strRef>
              <c:f>XXIV!$F$5</c:f>
              <c:strCache>
                <c:ptCount val="1"/>
                <c:pt idx="0">
                  <c:v>I półrocze 2017</c:v>
                </c:pt>
              </c:strCache>
            </c:strRef>
          </c:tx>
          <c:spPr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explosion val="4"/>
          <c:dPt>
            <c:idx val="0"/>
            <c:bubble3D val="0"/>
            <c:explosion val="5"/>
            <c:spPr>
              <a:gradFill flip="none" rotWithShape="1">
                <a:gsLst>
                  <a:gs pos="53000">
                    <a:srgbClr val="FFFF00">
                      <a:lumMod val="92000"/>
                      <a:alpha val="79000"/>
                    </a:srgbClr>
                  </a:gs>
                  <a:gs pos="0">
                    <a:srgbClr val="FFFF99">
                      <a:lumMod val="91000"/>
                      <a:alpha val="59000"/>
                    </a:srgbClr>
                  </a:gs>
                  <a:gs pos="98000">
                    <a:srgbClr val="FFB13F">
                      <a:lumMod val="52000"/>
                      <a:lumOff val="48000"/>
                    </a:srgbClr>
                  </a:gs>
                  <a:gs pos="36000">
                    <a:srgbClr val="FFFF00">
                      <a:lumMod val="97000"/>
                      <a:alpha val="80000"/>
                    </a:srgbClr>
                  </a:gs>
                  <a:gs pos="19000">
                    <a:srgbClr val="FFFF00">
                      <a:lumMod val="85000"/>
                      <a:lumOff val="15000"/>
                      <a:alpha val="68000"/>
                    </a:srgbClr>
                  </a:gs>
                </a:gsLst>
                <a:lin ang="13500000" scaled="1"/>
                <a:tileRect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1"/>
            <c:bubble3D val="0"/>
            <c:spPr>
              <a:gradFill>
                <a:gsLst>
                  <a:gs pos="100000">
                    <a:srgbClr val="8DB2E3">
                      <a:lumMod val="92000"/>
                    </a:srgbClr>
                  </a:gs>
                  <a:gs pos="0">
                    <a:srgbClr val="B7C4EF">
                      <a:alpha val="76863"/>
                      <a:lumMod val="91000"/>
                    </a:srgbClr>
                  </a:gs>
                  <a:gs pos="52000">
                    <a:srgbClr val="5A6CC6">
                      <a:lumMod val="72000"/>
                      <a:lumOff val="28000"/>
                      <a:alpha val="93000"/>
                    </a:srgbClr>
                  </a:gs>
                </a:gsLst>
                <a:lin ang="5400000" scaled="1"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2"/>
            <c:bubble3D val="0"/>
            <c:spPr>
              <a:gradFill flip="none" rotWithShape="1">
                <a:gsLst>
                  <a:gs pos="0">
                    <a:schemeClr val="accent4">
                      <a:lumMod val="20000"/>
                      <a:lumOff val="80000"/>
                    </a:schemeClr>
                  </a:gs>
                  <a:gs pos="30000">
                    <a:schemeClr val="accent4">
                      <a:lumMod val="25000"/>
                      <a:lumOff val="75000"/>
                      <a:alpha val="81000"/>
                    </a:schemeClr>
                  </a:gs>
                  <a:gs pos="70000">
                    <a:schemeClr val="accent4">
                      <a:lumMod val="75000"/>
                      <a:lumOff val="25000"/>
                      <a:alpha val="79000"/>
                    </a:schemeClr>
                  </a:gs>
                  <a:gs pos="100000">
                    <a:schemeClr val="accent4">
                      <a:lumMod val="91000"/>
                      <a:lumOff val="9000"/>
                      <a:alpha val="77000"/>
                    </a:schemeClr>
                  </a:gs>
                </a:gsLst>
                <a:lin ang="13500000" scaled="1"/>
                <a:tileRect/>
              </a:gradFill>
              <a:ln w="41275">
                <a:solidFill>
                  <a:schemeClr val="tx1"/>
                </a:solidFill>
              </a:ln>
              <a:effectLst>
                <a:innerShdw blurRad="63500" dist="50800" dir="6780000">
                  <a:schemeClr val="accent4">
                    <a:lumMod val="75000"/>
                    <a:alpha val="51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bubble3D val="0"/>
            <c:spPr>
              <a:solidFill>
                <a:srgbClr val="4A7DBA"/>
              </a:soli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4"/>
            <c:bubble3D val="0"/>
            <c:spPr>
              <a:gradFill>
                <a:gsLst>
                  <a:gs pos="100000">
                    <a:srgbClr val="C00000">
                      <a:lumMod val="47000"/>
                      <a:lumOff val="53000"/>
                      <a:alpha val="82000"/>
                    </a:srgbClr>
                  </a:gs>
                  <a:gs pos="0">
                    <a:srgbClr val="C00000"/>
                  </a:gs>
                  <a:gs pos="52000">
                    <a:srgbClr val="FF0000"/>
                  </a:gs>
                </a:gsLst>
                <a:lin ang="5400000" scaled="1"/>
              </a:gradFill>
              <a:ln>
                <a:solidFill>
                  <a:schemeClr val="accent1"/>
                </a:solidFill>
              </a:ln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5"/>
            <c:bubble3D val="0"/>
            <c:spPr>
              <a:gradFill>
                <a:gsLst>
                  <a:gs pos="0">
                    <a:srgbClr val="5E9EFF"/>
                  </a:gs>
                  <a:gs pos="39999">
                    <a:srgbClr val="85C2FF">
                      <a:lumMod val="80000"/>
                    </a:srgbClr>
                  </a:gs>
                </a:gsLst>
                <a:lin ang="5400000" scaled="0"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Lbls>
            <c:dLbl>
              <c:idx val="0"/>
              <c:layout>
                <c:manualLayout>
                  <c:x val="0.17564285376018721"/>
                  <c:y val="-0.13431141755642043"/>
                </c:manualLayout>
              </c:layout>
              <c:tx>
                <c:rich>
                  <a:bodyPr/>
                  <a:lstStyle/>
                  <a:p>
                    <a:r>
                      <a:rPr lang="pl-PL" sz="900" i="0"/>
                      <a:t>formy pasywne zasiłki dla bezrobotnych</a:t>
                    </a:r>
                    <a:r>
                      <a:rPr lang="pl-PL" sz="900" i="0" baseline="0"/>
                      <a:t> - </a:t>
                    </a:r>
                    <a:r>
                      <a:rPr lang="en-US" sz="900" b="1" i="0"/>
                      <a:t>76,13</a:t>
                    </a:r>
                    <a:r>
                      <a:rPr lang="pl-PL" sz="900" b="1" i="0"/>
                      <a:t> mln. zł</a:t>
                    </a:r>
                    <a:endParaRPr lang="en-US" b="1" i="1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6964999271512091"/>
                  <c:y val="0.21632270621608554"/>
                </c:manualLayout>
              </c:layout>
              <c:tx>
                <c:rich>
                  <a:bodyPr/>
                  <a:lstStyle/>
                  <a:p>
                    <a:r>
                      <a:rPr lang="pl-PL" sz="900" i="0"/>
                      <a:t>formy aktywne</a:t>
                    </a:r>
                  </a:p>
                  <a:p>
                    <a:r>
                      <a:rPr lang="pl-PL" sz="900" i="0"/>
                      <a:t>promocji zatrudnienia</a:t>
                    </a:r>
                  </a:p>
                  <a:p>
                    <a:r>
                      <a:rPr lang="en-US" sz="900" b="1" i="0"/>
                      <a:t>150,41</a:t>
                    </a:r>
                    <a:r>
                      <a:rPr lang="pl-PL" sz="900" b="1" i="0"/>
                      <a:t> mln. zł</a:t>
                    </a:r>
                    <a:endParaRPr lang="en-US" b="1" i="1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785297958353153E-2"/>
                  <c:y val="-0.12664002190163073"/>
                </c:manualLayout>
              </c:layout>
              <c:tx>
                <c:rich>
                  <a:bodyPr/>
                  <a:lstStyle/>
                  <a:p>
                    <a:r>
                      <a:rPr lang="pl-PL" sz="900" i="0"/>
                      <a:t>inne</a:t>
                    </a:r>
                  </a:p>
                  <a:p>
                    <a:r>
                      <a:rPr lang="en-US" sz="900" b="1" i="0"/>
                      <a:t>10,35</a:t>
                    </a:r>
                    <a:r>
                      <a:rPr lang="pl-PL" sz="900" b="1" i="0"/>
                      <a:t> mln. zł</a:t>
                    </a:r>
                    <a:endParaRPr lang="en-US" b="1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i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(XXIV!$B$8:$B$9,XXIV!$B$19)</c:f>
              <c:strCache>
                <c:ptCount val="3"/>
                <c:pt idx="0">
                  <c:v>     pasywne formy - zasiłki dla bezrobotnych</c:v>
                </c:pt>
                <c:pt idx="1">
                  <c:v>     aktywne formy promocji zatrudnienia</c:v>
                </c:pt>
                <c:pt idx="2">
                  <c:v>inne</c:v>
                </c:pt>
              </c:strCache>
            </c:strRef>
          </c:cat>
          <c:val>
            <c:numRef>
              <c:f>(XXIV!$F$8:$F$9,XXIV!$F$19)</c:f>
              <c:numCache>
                <c:formatCode>0.00</c:formatCode>
                <c:ptCount val="3"/>
                <c:pt idx="0">
                  <c:v>76.13</c:v>
                </c:pt>
                <c:pt idx="1">
                  <c:v>150.41</c:v>
                </c:pt>
                <c:pt idx="2" formatCode="General">
                  <c:v>10.35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hPercent val="5"/>
      <c:rotY val="317"/>
      <c:depthPercent val="4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0854415835799511E-2"/>
          <c:y val="2.2012039025438638E-2"/>
          <c:w val="0.896471845611722"/>
          <c:h val="0.95047291219276309"/>
        </c:manualLayout>
      </c:layout>
      <c:pie3DChart>
        <c:varyColors val="1"/>
        <c:ser>
          <c:idx val="0"/>
          <c:order val="0"/>
          <c:tx>
            <c:strRef>
              <c:f>XXIV!$F$5</c:f>
              <c:strCache>
                <c:ptCount val="1"/>
                <c:pt idx="0">
                  <c:v>I półrocze 2017</c:v>
                </c:pt>
              </c:strCache>
            </c:strRef>
          </c:tx>
          <c:spPr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explosion val="4"/>
          <c:dPt>
            <c:idx val="0"/>
            <c:bubble3D val="0"/>
            <c:explosion val="5"/>
            <c:spPr>
              <a:gradFill flip="none" rotWithShape="1">
                <a:gsLst>
                  <a:gs pos="0">
                    <a:srgbClr val="C00000">
                      <a:lumMod val="58000"/>
                      <a:lumOff val="42000"/>
                    </a:srgbClr>
                  </a:gs>
                  <a:gs pos="99000">
                    <a:srgbClr val="C00000"/>
                  </a:gs>
                  <a:gs pos="55000">
                    <a:srgbClr val="FF0000">
                      <a:lumMod val="85000"/>
                      <a:lumOff val="15000"/>
                    </a:srgbClr>
                  </a:gs>
                </a:gsLst>
                <a:lin ang="10800000" scaled="1"/>
                <a:tileRect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1"/>
            <c:bubble3D val="0"/>
            <c:spPr>
              <a:gradFill>
                <a:gsLst>
                  <a:gs pos="100000">
                    <a:schemeClr val="bg1"/>
                  </a:gs>
                  <a:gs pos="0">
                    <a:schemeClr val="tx1"/>
                  </a:gs>
                  <a:gs pos="52000">
                    <a:schemeClr val="tx1"/>
                  </a:gs>
                </a:gsLst>
                <a:lin ang="5400000" scaled="1"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2"/>
            <c:bubble3D val="0"/>
            <c:spPr>
              <a:gradFill flip="none" rotWithShape="1">
                <a:gsLst>
                  <a:gs pos="100000">
                    <a:srgbClr val="5454EC">
                      <a:alpha val="93725"/>
                    </a:srgbClr>
                  </a:gs>
                  <a:gs pos="57000">
                    <a:srgbClr val="1F3D73">
                      <a:alpha val="65098"/>
                    </a:srgbClr>
                  </a:gs>
                </a:gsLst>
                <a:lin ang="5400000" scaled="1"/>
                <a:tileRect/>
              </a:gradFill>
              <a:ln w="57150">
                <a:solidFill>
                  <a:srgbClr val="FFFFFF"/>
                </a:solidFill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bubble3D val="0"/>
            <c:spPr>
              <a:gradFill flip="none" rotWithShape="1">
                <a:gsLst>
                  <a:gs pos="100000">
                    <a:schemeClr val="accent2">
                      <a:alpha val="84000"/>
                      <a:lumMod val="73000"/>
                      <a:lumOff val="27000"/>
                    </a:schemeClr>
                  </a:gs>
                  <a:gs pos="49200">
                    <a:srgbClr val="CC9900">
                      <a:lumMod val="58000"/>
                      <a:alpha val="86000"/>
                    </a:srgbClr>
                  </a:gs>
                  <a:gs pos="0">
                    <a:schemeClr val="accent2">
                      <a:lumMod val="75000"/>
                    </a:schemeClr>
                  </a:gs>
                </a:gsLst>
                <a:lin ang="0" scaled="1"/>
                <a:tileRect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4"/>
            <c:bubble3D val="0"/>
            <c:spPr>
              <a:gradFill>
                <a:gsLst>
                  <a:gs pos="100000">
                    <a:srgbClr val="C00000">
                      <a:lumMod val="47000"/>
                      <a:lumOff val="53000"/>
                      <a:alpha val="82000"/>
                    </a:srgbClr>
                  </a:gs>
                  <a:gs pos="0">
                    <a:srgbClr val="C00000"/>
                  </a:gs>
                  <a:gs pos="52000">
                    <a:srgbClr val="FF0000"/>
                  </a:gs>
                </a:gsLst>
                <a:lin ang="5400000" scaled="1"/>
              </a:gradFill>
              <a:ln>
                <a:solidFill>
                  <a:schemeClr val="accent1"/>
                </a:solidFill>
              </a:ln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5"/>
            <c:bubble3D val="0"/>
            <c:spPr>
              <a:gradFill>
                <a:gsLst>
                  <a:gs pos="0">
                    <a:srgbClr val="5E9EFF"/>
                  </a:gs>
                  <a:gs pos="39999">
                    <a:srgbClr val="85C2FF">
                      <a:lumMod val="80000"/>
                    </a:srgbClr>
                  </a:gs>
                </a:gsLst>
                <a:lin ang="5400000" scaled="0"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6"/>
            <c:bubble3D val="0"/>
            <c:spPr>
              <a:gradFill>
                <a:gsLst>
                  <a:gs pos="0">
                    <a:schemeClr val="bg1"/>
                  </a:gs>
                  <a:gs pos="98000">
                    <a:schemeClr val="bg1">
                      <a:lumMod val="50000"/>
                    </a:schemeClr>
                  </a:gs>
                  <a:gs pos="19000">
                    <a:schemeClr val="tx1"/>
                  </a:gs>
                </a:gsLst>
                <a:lin ang="13500000" scaled="1"/>
              </a:gradFill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Lbls>
            <c:dLbl>
              <c:idx val="0"/>
              <c:layout>
                <c:manualLayout>
                  <c:x val="2.8285485332032612E-3"/>
                  <c:y val="0.12812168121062562"/>
                </c:manualLayout>
              </c:layout>
              <c:tx>
                <c:rich>
                  <a:bodyPr/>
                  <a:lstStyle/>
                  <a:p>
                    <a:r>
                      <a:rPr lang="pl-PL" sz="900"/>
                      <a:t>staże</a:t>
                    </a:r>
                  </a:p>
                  <a:p>
                    <a:r>
                      <a:rPr lang="en-US" sz="900"/>
                      <a:t>35,99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5971709288551239E-2"/>
                  <c:y val="-6.0221957196424213E-3"/>
                </c:manualLayout>
              </c:layout>
              <c:tx>
                <c:rich>
                  <a:bodyPr/>
                  <a:lstStyle/>
                  <a:p>
                    <a:r>
                      <a:rPr lang="pl-PL" sz="900"/>
                      <a:t>szkolenia</a:t>
                    </a:r>
                  </a:p>
                  <a:p>
                    <a:r>
                      <a:rPr lang="en-US" sz="900"/>
                      <a:t>1,59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6903351682809556E-3"/>
                  <c:y val="2.0943644593531003E-2"/>
                </c:manualLayout>
              </c:layout>
              <c:tx>
                <c:rich>
                  <a:bodyPr/>
                  <a:lstStyle/>
                  <a:p>
                    <a:r>
                      <a:rPr lang="pl-PL" sz="900"/>
                      <a:t>prace interwencyjne</a:t>
                    </a:r>
                  </a:p>
                  <a:p>
                    <a:r>
                      <a:rPr lang="en-US" sz="900"/>
                      <a:t>8,81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21440244749207E-3"/>
                  <c:y val="5.4076820282967361E-3"/>
                </c:manualLayout>
              </c:layout>
              <c:tx>
                <c:rich>
                  <a:bodyPr/>
                  <a:lstStyle/>
                  <a:p>
                    <a:r>
                      <a:rPr lang="pl-PL" sz="900"/>
                      <a:t>roboty publiczne</a:t>
                    </a:r>
                  </a:p>
                  <a:p>
                    <a:r>
                      <a:rPr lang="en-US" sz="900"/>
                      <a:t>8,44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443617169535224"/>
                  <c:y val="-6.1391202136398162E-2"/>
                </c:manualLayout>
              </c:layout>
              <c:tx>
                <c:rich>
                  <a:bodyPr/>
                  <a:lstStyle/>
                  <a:p>
                    <a:r>
                      <a:rPr lang="pl-PL" sz="900"/>
                      <a:t>dotacje na działalnosć gospodarczą</a:t>
                    </a:r>
                  </a:p>
                  <a:p>
                    <a:r>
                      <a:rPr lang="pl-PL" sz="900"/>
                      <a:t>dla  bezrobotnych</a:t>
                    </a:r>
                  </a:p>
                  <a:p>
                    <a:r>
                      <a:rPr lang="en-US" sz="900"/>
                      <a:t>24,89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pl-PL" sz="900"/>
                      <a:t>refundacje</a:t>
                    </a:r>
                    <a:r>
                      <a:rPr lang="pl-PL" sz="900" baseline="0"/>
                      <a:t> pracodawcom</a:t>
                    </a:r>
                    <a:endParaRPr lang="pl-PL" sz="900"/>
                  </a:p>
                  <a:p>
                    <a:r>
                      <a:rPr lang="en-US" sz="900"/>
                      <a:t>17,48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1939206316951193E-2"/>
                  <c:y val="-1.1384297269987192E-2"/>
                </c:manualLayout>
              </c:layout>
              <c:tx>
                <c:rich>
                  <a:bodyPr/>
                  <a:lstStyle/>
                  <a:p>
                    <a:r>
                      <a:rPr lang="pl-PL" sz="900"/>
                      <a:t>stypendia</a:t>
                    </a:r>
                    <a:r>
                      <a:rPr lang="pl-PL" sz="900" baseline="0"/>
                      <a:t> i składki</a:t>
                    </a:r>
                  </a:p>
                  <a:p>
                    <a:r>
                      <a:rPr lang="en-US" sz="900"/>
                      <a:t>1,04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.18885013276630189"/>
                  <c:y val="-2.0548858521819091E-2"/>
                </c:manualLayout>
              </c:layout>
              <c:tx>
                <c:rich>
                  <a:bodyPr/>
                  <a:lstStyle/>
                  <a:p>
                    <a:r>
                      <a:rPr lang="pl-PL" sz="900"/>
                      <a:t>pozostałe aktywne formy</a:t>
                    </a:r>
                  </a:p>
                  <a:p>
                    <a:r>
                      <a:rPr lang="en-US" sz="900"/>
                      <a:t>52,17</a:t>
                    </a:r>
                    <a:r>
                      <a:rPr lang="pl-PL" sz="900"/>
                      <a:t> mln. zł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XXIV!$B$11:$B$18</c:f>
              <c:strCache>
                <c:ptCount val="8"/>
                <c:pt idx="0">
                  <c:v>staże</c:v>
                </c:pt>
                <c:pt idx="1">
                  <c:v>szkolenia *</c:v>
                </c:pt>
                <c:pt idx="2">
                  <c:v>prace interwencyjne</c:v>
                </c:pt>
                <c:pt idx="3">
                  <c:v>roboty publiczne</c:v>
                </c:pt>
                <c:pt idx="4">
                  <c:v>środki na podjęcie działalności gospodarczej</c:v>
                </c:pt>
                <c:pt idx="5">
                  <c:v>środki dla pracodawców na wyposażenie i doposażenie miejsc pracy</c:v>
                </c:pt>
                <c:pt idx="6">
                  <c:v>stypendia i składki na ubezpieczenia społeczne **</c:v>
                </c:pt>
                <c:pt idx="7">
                  <c:v>pozostałe aktywne formy 1</c:v>
                </c:pt>
              </c:strCache>
            </c:strRef>
          </c:cat>
          <c:val>
            <c:numRef>
              <c:f>XXIV!$F$11:$F$18</c:f>
              <c:numCache>
                <c:formatCode>0.00</c:formatCode>
                <c:ptCount val="8"/>
                <c:pt idx="0">
                  <c:v>35.99</c:v>
                </c:pt>
                <c:pt idx="1">
                  <c:v>1.59</c:v>
                </c:pt>
                <c:pt idx="2" formatCode="General">
                  <c:v>8.81</c:v>
                </c:pt>
                <c:pt idx="3" formatCode="General">
                  <c:v>8.44</c:v>
                </c:pt>
                <c:pt idx="4">
                  <c:v>24.89</c:v>
                </c:pt>
                <c:pt idx="5" formatCode="General">
                  <c:v>17.48</c:v>
                </c:pt>
                <c:pt idx="6" formatCode="General">
                  <c:v>1.04</c:v>
                </c:pt>
                <c:pt idx="7" formatCode="General">
                  <c:v>52.17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</c:spPr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2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7.72254781721496E-2"/>
          <c:y val="4.9310048225689476E-2"/>
          <c:w val="0.90996525342134471"/>
          <c:h val="0.865029529795740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wII!$C$2</c:f>
              <c:strCache>
                <c:ptCount val="1"/>
                <c:pt idx="0">
                  <c:v>osoby zgłoszone do zwolnienia</c:v>
                </c:pt>
              </c:strCache>
            </c:strRef>
          </c:tx>
          <c:spPr>
            <a:gradFill flip="none" rotWithShape="1">
              <a:gsLst>
                <a:gs pos="0">
                  <a:srgbClr val="19555D">
                    <a:lumMod val="100000"/>
                  </a:srgbClr>
                </a:gs>
                <a:gs pos="28000">
                  <a:srgbClr val="238385">
                    <a:lumMod val="97000"/>
                    <a:lumOff val="3000"/>
                    <a:alpha val="94000"/>
                  </a:srgbClr>
                </a:gs>
              </a:gsLst>
              <a:lin ang="5400000" scaled="1"/>
              <a:tileRect/>
            </a:gradFill>
            <a:ln w="3175">
              <a:solidFill>
                <a:schemeClr val="bg1"/>
              </a:solidFill>
            </a:ln>
            <a:effectLst/>
            <a:scene3d>
              <a:camera prst="orthographicFront"/>
              <a:lightRig rig="threePt" dir="t"/>
            </a:scene3d>
            <a:sp3d prstMaterial="metal">
              <a:bevelT prst="angle"/>
              <a:bevelB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-2.9416561140731645E-3"/>
                  <c:y val="-2.54443876674242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8382837695616566E-3"/>
                  <c:y val="4.98702031795384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4665764237981371E-3"/>
                  <c:y val="7.72208571711462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5340999521457336E-3"/>
                  <c:y val="8.905962459641212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8593146948243425E-3"/>
                  <c:y val="-1.692878302819794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5.6492986275538982E-3"/>
                  <c:y val="5.6903472363690582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8.0865689916829828E-3"/>
                  <c:y val="1.54663637884510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9.1375805702767088E-3"/>
                  <c:y val="5.581092569430771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0317451123149435E-2"/>
                  <c:y val="7.06769578493218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7.7378910504777697E-3"/>
                  <c:y val="2.07427587842681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7.9136876568964946E-3"/>
                  <c:y val="6.4215568562424818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5.1131132668100862E-2"/>
                  <c:y val="9.22068233526311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4915844027830958E-3"/>
                  <c:y val="-0.32681130423613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2634031436079916E-3"/>
                  <c:y val="-0.32679175163340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0.33767412351244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352292123843141E-3"/>
                  <c:y val="-0.37888580509090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0.372583842024846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52292123843141E-3"/>
                  <c:y val="-0.387828030845188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0.39869081625136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0.411834012827609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0.42944849122536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0.446703118104957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448983529275019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352292123843141E-3"/>
                  <c:y val="-0.460116287792012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-0.47728103626424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wII!$B$3:$B$13</c:f>
              <c:strCache>
                <c:ptCount val="11"/>
                <c:pt idx="0">
                  <c:v>07</c:v>
                </c:pt>
                <c:pt idx="1">
                  <c:v>08</c:v>
                </c:pt>
                <c:pt idx="2">
                  <c:v>09</c:v>
                </c:pt>
                <c:pt idx="3">
                  <c:v>10</c:v>
                </c:pt>
                <c:pt idx="4">
                  <c:v>11</c:v>
                </c:pt>
                <c:pt idx="5">
                  <c:v>12</c:v>
                </c:pt>
                <c:pt idx="6">
                  <c:v>13</c:v>
                </c:pt>
                <c:pt idx="7">
                  <c:v>14</c:v>
                </c:pt>
                <c:pt idx="8">
                  <c:v>15</c:v>
                </c:pt>
                <c:pt idx="9">
                  <c:v>16</c:v>
                </c:pt>
                <c:pt idx="10">
                  <c:v>17</c:v>
                </c:pt>
              </c:strCache>
            </c:strRef>
          </c:cat>
          <c:val>
            <c:numRef>
              <c:f>wII!$C$3:$C$13</c:f>
              <c:numCache>
                <c:formatCode>#,##0</c:formatCode>
                <c:ptCount val="11"/>
                <c:pt idx="0">
                  <c:v>236</c:v>
                </c:pt>
                <c:pt idx="1">
                  <c:v>1321</c:v>
                </c:pt>
                <c:pt idx="2">
                  <c:v>8218</c:v>
                </c:pt>
                <c:pt idx="3">
                  <c:v>803</c:v>
                </c:pt>
                <c:pt idx="4">
                  <c:v>2044</c:v>
                </c:pt>
                <c:pt idx="5">
                  <c:v>438</c:v>
                </c:pt>
                <c:pt idx="6">
                  <c:v>1134</c:v>
                </c:pt>
                <c:pt idx="7">
                  <c:v>809</c:v>
                </c:pt>
                <c:pt idx="8">
                  <c:v>991</c:v>
                </c:pt>
                <c:pt idx="9">
                  <c:v>264</c:v>
                </c:pt>
                <c:pt idx="10" formatCode="General">
                  <c:v>485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wII!$D$2</c:f>
              <c:strCache>
                <c:ptCount val="1"/>
                <c:pt idx="0">
                  <c:v>osoby zwolnione</c:v>
                </c:pt>
              </c:strCache>
            </c:strRef>
          </c:tx>
          <c:spPr>
            <a:gradFill>
              <a:gsLst>
                <a:gs pos="0">
                  <a:srgbClr val="C41616">
                    <a:lumMod val="86000"/>
                    <a:lumOff val="14000"/>
                  </a:srgbClr>
                </a:gs>
                <a:gs pos="50000">
                  <a:srgbClr val="FF0000">
                    <a:lumMod val="85000"/>
                    <a:alpha val="98000"/>
                  </a:srgbClr>
                </a:gs>
                <a:gs pos="100000">
                  <a:srgbClr val="C00000">
                    <a:lumMod val="80000"/>
                    <a:lumOff val="20000"/>
                  </a:srgbClr>
                </a:gs>
              </a:gsLst>
              <a:lin ang="5400000" scaled="0"/>
            </a:gradFill>
            <a:ln w="3175">
              <a:solidFill>
                <a:schemeClr val="bg1">
                  <a:lumMod val="65000"/>
                </a:schemeClr>
              </a:solidFill>
            </a:ln>
            <a:scene3d>
              <a:camera prst="orthographicFront"/>
              <a:lightRig rig="threePt" dir="t"/>
            </a:scene3d>
            <a:sp3d>
              <a:bevelT w="152400" h="50800" prst="softRound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9.5398646240744279E-3"/>
                  <c:y val="-4.72440838898795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254295076357408E-2"/>
                  <c:y val="-7.22674099018870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9902206197528551E-2"/>
                  <c:y val="1.11132481526287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7800931598697859E-3"/>
                  <c:y val="-2.84944137861180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011141934684719E-2"/>
                  <c:y val="7.09244879541039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2261207656326165E-2"/>
                  <c:y val="4.37758412893871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4165575761680406E-2"/>
                  <c:y val="5.90658043135108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4165575761680406E-2"/>
                  <c:y val="1.0840111485283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0624181821260304E-2"/>
                  <c:y val="2.2932099362567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9.8390866875134233E-3"/>
                  <c:y val="8.75545277523924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9.0539915537665404E-3"/>
                  <c:y val="7.22674099018870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wII!$B$3:$B$13</c:f>
              <c:strCache>
                <c:ptCount val="11"/>
                <c:pt idx="0">
                  <c:v>07</c:v>
                </c:pt>
                <c:pt idx="1">
                  <c:v>08</c:v>
                </c:pt>
                <c:pt idx="2">
                  <c:v>09</c:v>
                </c:pt>
                <c:pt idx="3">
                  <c:v>10</c:v>
                </c:pt>
                <c:pt idx="4">
                  <c:v>11</c:v>
                </c:pt>
                <c:pt idx="5">
                  <c:v>12</c:v>
                </c:pt>
                <c:pt idx="6">
                  <c:v>13</c:v>
                </c:pt>
                <c:pt idx="7">
                  <c:v>14</c:v>
                </c:pt>
                <c:pt idx="8">
                  <c:v>15</c:v>
                </c:pt>
                <c:pt idx="9">
                  <c:v>16</c:v>
                </c:pt>
                <c:pt idx="10">
                  <c:v>17</c:v>
                </c:pt>
              </c:strCache>
            </c:strRef>
          </c:cat>
          <c:val>
            <c:numRef>
              <c:f>wII!$D$3:$D$13</c:f>
              <c:numCache>
                <c:formatCode>#,##0</c:formatCode>
                <c:ptCount val="11"/>
                <c:pt idx="0">
                  <c:v>199</c:v>
                </c:pt>
                <c:pt idx="1">
                  <c:v>909</c:v>
                </c:pt>
                <c:pt idx="2">
                  <c:v>4590</c:v>
                </c:pt>
                <c:pt idx="3">
                  <c:v>129</c:v>
                </c:pt>
                <c:pt idx="4">
                  <c:v>1509</c:v>
                </c:pt>
                <c:pt idx="5">
                  <c:v>549</c:v>
                </c:pt>
                <c:pt idx="6">
                  <c:v>590</c:v>
                </c:pt>
                <c:pt idx="7">
                  <c:v>378</c:v>
                </c:pt>
                <c:pt idx="8">
                  <c:v>419</c:v>
                </c:pt>
                <c:pt idx="9">
                  <c:v>92</c:v>
                </c:pt>
                <c:pt idx="10" formatCode="General">
                  <c:v>348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3"/>
        <c:gapDepth val="148"/>
        <c:shape val="cylinder"/>
        <c:axId val="179707264"/>
        <c:axId val="179737728"/>
        <c:axId val="0"/>
      </c:bar3DChart>
      <c:catAx>
        <c:axId val="179707264"/>
        <c:scaling>
          <c:orientation val="minMax"/>
        </c:scaling>
        <c:delete val="0"/>
        <c:axPos val="b"/>
        <c:majorGridlines>
          <c:spPr>
            <a:ln w="3175">
              <a:solidFill>
                <a:schemeClr val="bg1">
                  <a:lumMod val="8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 w="3175">
            <a:solidFill>
              <a:schemeClr val="bg1">
                <a:lumMod val="75000"/>
                <a:alpha val="28000"/>
              </a:schemeClr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endParaRPr lang="pl-PL"/>
          </a:p>
        </c:txPr>
        <c:crossAx val="179737728"/>
        <c:crosses val="autoZero"/>
        <c:auto val="0"/>
        <c:lblAlgn val="ctr"/>
        <c:lblOffset val="100"/>
        <c:noMultiLvlLbl val="0"/>
      </c:catAx>
      <c:valAx>
        <c:axId val="179737728"/>
        <c:scaling>
          <c:orientation val="minMax"/>
        </c:scaling>
        <c:delete val="0"/>
        <c:axPos val="l"/>
        <c:majorGridlines>
          <c:spPr>
            <a:ln w="3175">
              <a:solidFill>
                <a:schemeClr val="bg1">
                  <a:lumMod val="95000"/>
                </a:schemeClr>
              </a:solidFill>
            </a:ln>
          </c:spPr>
        </c:majorGridlines>
        <c:minorGridlines>
          <c:spPr>
            <a:ln w="3175">
              <a:solidFill>
                <a:schemeClr val="accent5">
                  <a:lumMod val="40000"/>
                  <a:lumOff val="60000"/>
                </a:schemeClr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 w="3175">
            <a:solidFill>
              <a:schemeClr val="bg1">
                <a:lumMod val="85000"/>
                <a:alpha val="79000"/>
              </a:schemeClr>
            </a:solidFill>
          </a:ln>
          <a:effectLst/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"/>
                <a:cs typeface="Times New Roman" panose="02020603050405020304" pitchFamily="18" charset="0"/>
              </a:defRPr>
            </a:pPr>
            <a:endParaRPr lang="pl-PL"/>
          </a:p>
        </c:txPr>
        <c:crossAx val="179707264"/>
        <c:crosses val="autoZero"/>
        <c:crossBetween val="between"/>
      </c:val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9.826036709021238E-2"/>
          <c:y val="0.89109630526953365"/>
          <c:w val="0.60116107415113984"/>
          <c:h val="0.10890369473046638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907DB-4262-4443-B9EB-DDD31418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3405</TotalTime>
  <Pages>43</Pages>
  <Words>6529</Words>
  <Characters>39177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Piotr.Kocaj</dc:creator>
  <cp:lastModifiedBy>WUP</cp:lastModifiedBy>
  <cp:revision>530</cp:revision>
  <cp:lastPrinted>2017-07-31T12:32:00Z</cp:lastPrinted>
  <dcterms:created xsi:type="dcterms:W3CDTF">2016-03-22T08:33:00Z</dcterms:created>
  <dcterms:modified xsi:type="dcterms:W3CDTF">2017-08-31T12:03:00Z</dcterms:modified>
</cp:coreProperties>
</file>