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oter1.xml" ContentType="application/vnd.openxmlformats-officedocument.wordprocessingml.footer+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16E" w:rsidRPr="004E3B3E" w:rsidRDefault="0051416E" w:rsidP="009A1F42">
      <w:pPr>
        <w:pStyle w:val="Default"/>
        <w:jc w:val="both"/>
      </w:pPr>
      <w:r w:rsidRPr="004E3B3E">
        <w:rPr>
          <w:noProof/>
          <w:lang w:eastAsia="pl-PL"/>
        </w:rPr>
        <w:drawing>
          <wp:anchor distT="0" distB="0" distL="0" distR="0" simplePos="0" relativeHeight="251632640" behindDoc="0" locked="0" layoutInCell="1" allowOverlap="1" wp14:anchorId="0A04057B" wp14:editId="5752F901">
            <wp:simplePos x="0" y="0"/>
            <wp:positionH relativeFrom="column">
              <wp:posOffset>-899795</wp:posOffset>
            </wp:positionH>
            <wp:positionV relativeFrom="paragraph">
              <wp:posOffset>-819785</wp:posOffset>
            </wp:positionV>
            <wp:extent cx="7559040" cy="1092835"/>
            <wp:effectExtent l="0" t="0" r="381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9040" cy="1092835"/>
                    </a:xfrm>
                    <a:prstGeom prst="rect">
                      <a:avLst/>
                    </a:prstGeom>
                    <a:solidFill>
                      <a:srgbClr val="FFFFFF"/>
                    </a:solidFill>
                    <a:ln>
                      <a:noFill/>
                    </a:ln>
                  </pic:spPr>
                </pic:pic>
              </a:graphicData>
            </a:graphic>
          </wp:anchor>
        </w:drawing>
      </w:r>
    </w:p>
    <w:p w:rsidR="0051416E" w:rsidRPr="004E3B3E" w:rsidRDefault="0051416E" w:rsidP="009A1F42">
      <w:pPr>
        <w:pStyle w:val="Default"/>
        <w:jc w:val="both"/>
      </w:pPr>
    </w:p>
    <w:p w:rsidR="0051416E" w:rsidRPr="004E3B3E" w:rsidRDefault="0051416E" w:rsidP="009A1F42">
      <w:pPr>
        <w:pStyle w:val="Default"/>
        <w:jc w:val="both"/>
      </w:pPr>
    </w:p>
    <w:p w:rsidR="0051416E" w:rsidRPr="004E3B3E" w:rsidRDefault="0051416E" w:rsidP="009A1F42">
      <w:pPr>
        <w:pStyle w:val="Default"/>
        <w:jc w:val="both"/>
      </w:pPr>
    </w:p>
    <w:p w:rsidR="0051416E" w:rsidRPr="004E3B3E" w:rsidRDefault="0051416E" w:rsidP="009A1F42">
      <w:pPr>
        <w:pStyle w:val="Default"/>
        <w:jc w:val="both"/>
      </w:pPr>
    </w:p>
    <w:p w:rsidR="0051416E" w:rsidRPr="004E3B3E" w:rsidRDefault="0051416E" w:rsidP="009A1F42">
      <w:pPr>
        <w:pStyle w:val="Default"/>
        <w:jc w:val="both"/>
      </w:pPr>
    </w:p>
    <w:p w:rsidR="0051416E" w:rsidRPr="004E3B3E" w:rsidRDefault="0051416E" w:rsidP="009A1F42">
      <w:pPr>
        <w:pStyle w:val="Default"/>
        <w:jc w:val="both"/>
      </w:pPr>
    </w:p>
    <w:p w:rsidR="0051416E" w:rsidRPr="004E3B3E" w:rsidRDefault="0051416E" w:rsidP="009A1F42">
      <w:pPr>
        <w:pStyle w:val="Default"/>
        <w:jc w:val="both"/>
      </w:pPr>
    </w:p>
    <w:p w:rsidR="0051416E" w:rsidRPr="004E3B3E" w:rsidRDefault="0051416E" w:rsidP="009A1F42">
      <w:pPr>
        <w:pStyle w:val="Default"/>
        <w:jc w:val="both"/>
      </w:pPr>
    </w:p>
    <w:p w:rsidR="0051416E" w:rsidRPr="004E3B3E" w:rsidRDefault="0051416E" w:rsidP="009A1F42">
      <w:pPr>
        <w:pStyle w:val="Default"/>
        <w:jc w:val="both"/>
      </w:pPr>
    </w:p>
    <w:p w:rsidR="0051416E" w:rsidRPr="004E3B3E" w:rsidRDefault="0051416E" w:rsidP="009A1F42">
      <w:pPr>
        <w:pStyle w:val="Default"/>
        <w:jc w:val="both"/>
      </w:pPr>
    </w:p>
    <w:p w:rsidR="0051416E" w:rsidRPr="004E3B3E" w:rsidRDefault="0051416E" w:rsidP="009A1F42">
      <w:pPr>
        <w:pStyle w:val="Default"/>
        <w:jc w:val="both"/>
      </w:pPr>
    </w:p>
    <w:p w:rsidR="0009289E" w:rsidRDefault="0009289E" w:rsidP="00516004">
      <w:pPr>
        <w:pStyle w:val="Default"/>
        <w:jc w:val="center"/>
        <w:rPr>
          <w:sz w:val="40"/>
        </w:rPr>
      </w:pPr>
    </w:p>
    <w:p w:rsidR="0009289E" w:rsidRDefault="0009289E" w:rsidP="00516004">
      <w:pPr>
        <w:pStyle w:val="Default"/>
        <w:jc w:val="center"/>
        <w:rPr>
          <w:sz w:val="40"/>
        </w:rPr>
      </w:pPr>
    </w:p>
    <w:p w:rsidR="0051416E" w:rsidRPr="00E42CD3" w:rsidRDefault="0051416E" w:rsidP="00516004">
      <w:pPr>
        <w:pStyle w:val="Default"/>
        <w:jc w:val="center"/>
        <w:rPr>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42CD3">
        <w:rPr>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ANALIZA SYTUACJI NA RYNKU PRACY</w:t>
      </w:r>
    </w:p>
    <w:p w:rsidR="0051416E" w:rsidRPr="00E42CD3" w:rsidRDefault="0051416E" w:rsidP="00516004">
      <w:pPr>
        <w:pStyle w:val="Default"/>
        <w:jc w:val="center"/>
        <w:rPr>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42CD3">
        <w:rPr>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 WOJEWÓDZTWIE PODKARPACKIM</w:t>
      </w:r>
    </w:p>
    <w:p w:rsidR="0051416E" w:rsidRPr="004E3B3E" w:rsidRDefault="00235A6B" w:rsidP="00516004">
      <w:pPr>
        <w:pStyle w:val="Default"/>
        <w:jc w:val="center"/>
        <w:rPr>
          <w:sz w:val="40"/>
        </w:rPr>
      </w:pPr>
      <w:r w:rsidRPr="00E42CD3">
        <w:rPr>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t>
      </w:r>
      <w:r w:rsidR="0051416E" w:rsidRPr="00E42CD3">
        <w:rPr>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201</w:t>
      </w:r>
      <w:r w:rsidR="00C75C71">
        <w:rPr>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8</w:t>
      </w:r>
      <w:r w:rsidR="0051416E" w:rsidRPr="00E42CD3">
        <w:rPr>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E42CD3">
        <w:rPr>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ROKU</w:t>
      </w:r>
    </w:p>
    <w:p w:rsidR="0051416E" w:rsidRPr="004E3B3E" w:rsidRDefault="0051416E" w:rsidP="009A1F42">
      <w:pPr>
        <w:jc w:val="both"/>
        <w:rPr>
          <w:rFonts w:ascii="Times New Roman" w:hAnsi="Times New Roman" w:cs="Times New Roman"/>
          <w:sz w:val="40"/>
          <w:szCs w:val="24"/>
        </w:rPr>
      </w:pPr>
    </w:p>
    <w:p w:rsidR="0051416E" w:rsidRPr="004E3B3E" w:rsidRDefault="0051416E" w:rsidP="009A1F42">
      <w:pPr>
        <w:jc w:val="both"/>
        <w:rPr>
          <w:rFonts w:ascii="Times New Roman" w:hAnsi="Times New Roman" w:cs="Times New Roman"/>
          <w:sz w:val="24"/>
          <w:szCs w:val="24"/>
        </w:rPr>
      </w:pPr>
    </w:p>
    <w:p w:rsidR="0051416E" w:rsidRPr="004E3B3E" w:rsidRDefault="0051416E" w:rsidP="009A1F42">
      <w:pPr>
        <w:jc w:val="both"/>
        <w:rPr>
          <w:rFonts w:ascii="Times New Roman" w:hAnsi="Times New Roman" w:cs="Times New Roman"/>
          <w:sz w:val="24"/>
          <w:szCs w:val="24"/>
        </w:rPr>
      </w:pPr>
    </w:p>
    <w:p w:rsidR="0051416E" w:rsidRPr="004E3B3E" w:rsidRDefault="0051416E" w:rsidP="009A1F42">
      <w:pPr>
        <w:jc w:val="both"/>
        <w:rPr>
          <w:rFonts w:ascii="Times New Roman" w:hAnsi="Times New Roman" w:cs="Times New Roman"/>
          <w:sz w:val="24"/>
          <w:szCs w:val="24"/>
        </w:rPr>
      </w:pPr>
    </w:p>
    <w:p w:rsidR="0051416E" w:rsidRPr="004E3B3E" w:rsidRDefault="0051416E" w:rsidP="009A1F42">
      <w:pPr>
        <w:jc w:val="both"/>
        <w:rPr>
          <w:rFonts w:ascii="Times New Roman" w:hAnsi="Times New Roman" w:cs="Times New Roman"/>
          <w:sz w:val="24"/>
          <w:szCs w:val="24"/>
        </w:rPr>
      </w:pPr>
    </w:p>
    <w:p w:rsidR="0051416E" w:rsidRPr="004E3B3E" w:rsidRDefault="0051416E" w:rsidP="009A1F42">
      <w:pPr>
        <w:jc w:val="both"/>
        <w:rPr>
          <w:rFonts w:ascii="Times New Roman" w:hAnsi="Times New Roman" w:cs="Times New Roman"/>
          <w:sz w:val="24"/>
          <w:szCs w:val="24"/>
        </w:rPr>
      </w:pPr>
    </w:p>
    <w:p w:rsidR="0051416E" w:rsidRPr="004E3B3E" w:rsidRDefault="0051416E" w:rsidP="009A1F42">
      <w:pPr>
        <w:jc w:val="both"/>
        <w:rPr>
          <w:rFonts w:ascii="Times New Roman" w:hAnsi="Times New Roman" w:cs="Times New Roman"/>
          <w:sz w:val="24"/>
          <w:szCs w:val="24"/>
        </w:rPr>
      </w:pPr>
    </w:p>
    <w:p w:rsidR="0051416E" w:rsidRDefault="0051416E" w:rsidP="009A1F42">
      <w:pPr>
        <w:jc w:val="both"/>
        <w:rPr>
          <w:rFonts w:ascii="Times New Roman" w:hAnsi="Times New Roman" w:cs="Times New Roman"/>
          <w:sz w:val="24"/>
          <w:szCs w:val="24"/>
        </w:rPr>
      </w:pPr>
    </w:p>
    <w:p w:rsidR="004E3B3E" w:rsidRDefault="004E3B3E" w:rsidP="009A1F42">
      <w:pPr>
        <w:jc w:val="both"/>
        <w:rPr>
          <w:rFonts w:ascii="Times New Roman" w:hAnsi="Times New Roman" w:cs="Times New Roman"/>
          <w:sz w:val="24"/>
          <w:szCs w:val="24"/>
        </w:rPr>
      </w:pPr>
    </w:p>
    <w:p w:rsidR="004E3B3E" w:rsidRDefault="004E3B3E" w:rsidP="009A1F42">
      <w:pPr>
        <w:jc w:val="both"/>
        <w:rPr>
          <w:rFonts w:ascii="Times New Roman" w:hAnsi="Times New Roman" w:cs="Times New Roman"/>
          <w:sz w:val="24"/>
          <w:szCs w:val="24"/>
        </w:rPr>
      </w:pPr>
    </w:p>
    <w:p w:rsidR="004E3B3E" w:rsidRDefault="004E3B3E" w:rsidP="009A1F42">
      <w:pPr>
        <w:jc w:val="both"/>
        <w:rPr>
          <w:rFonts w:ascii="Times New Roman" w:hAnsi="Times New Roman" w:cs="Times New Roman"/>
          <w:sz w:val="24"/>
          <w:szCs w:val="24"/>
        </w:rPr>
      </w:pPr>
    </w:p>
    <w:p w:rsidR="004E3B3E" w:rsidRDefault="004E3B3E" w:rsidP="009A1F42">
      <w:pPr>
        <w:jc w:val="both"/>
        <w:rPr>
          <w:rFonts w:ascii="Times New Roman" w:hAnsi="Times New Roman" w:cs="Times New Roman"/>
          <w:sz w:val="24"/>
          <w:szCs w:val="24"/>
        </w:rPr>
      </w:pPr>
    </w:p>
    <w:p w:rsidR="004E3B3E" w:rsidRPr="004E3B3E" w:rsidRDefault="004E3B3E" w:rsidP="009A1F42">
      <w:pPr>
        <w:jc w:val="both"/>
        <w:rPr>
          <w:rFonts w:ascii="Times New Roman" w:hAnsi="Times New Roman" w:cs="Times New Roman"/>
          <w:sz w:val="24"/>
          <w:szCs w:val="24"/>
        </w:rPr>
      </w:pPr>
    </w:p>
    <w:p w:rsidR="00051207" w:rsidRPr="00E42CD3" w:rsidRDefault="0051416E" w:rsidP="00507831">
      <w:pPr>
        <w:pBdr>
          <w:top w:val="double" w:sz="6" w:space="1" w:color="auto"/>
        </w:pBdr>
        <w:spacing w:after="0"/>
        <w:jc w:val="center"/>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42CD3">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RZESZÓW</w:t>
      </w:r>
      <w:r w:rsidR="00EC30A5" w:rsidRPr="00E42CD3">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E42CD3">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w:t>
      </w:r>
      <w:r w:rsidR="00C75C71">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9</w:t>
      </w:r>
    </w:p>
    <w:bookmarkStart w:id="0" w:name="_Toc446334626" w:displacedByCustomXml="next"/>
    <w:sdt>
      <w:sdtPr>
        <w:rPr>
          <w:rFonts w:ascii="Times New Roman" w:eastAsiaTheme="minorHAnsi" w:hAnsi="Times New Roman" w:cs="Times New Roman"/>
          <w:b w:val="0"/>
          <w:bCs w:val="0"/>
          <w:caps/>
          <w:noProof/>
          <w:color w:val="auto"/>
          <w:sz w:val="22"/>
          <w:szCs w:val="22"/>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id w:val="-1691137078"/>
        <w:docPartObj>
          <w:docPartGallery w:val="Table of Contents"/>
          <w:docPartUnique/>
        </w:docPartObj>
      </w:sdtPr>
      <w:sdtEndPr>
        <w:rPr>
          <w:b/>
          <w:bCs/>
          <w:color w:val="000000"/>
          <w:sz w:val="28"/>
          <w:szCs w:val="28"/>
        </w:rPr>
      </w:sdtEndPr>
      <w:sdtContent>
        <w:p w:rsidR="001F59FA" w:rsidRDefault="001F59FA" w:rsidP="000C27C0">
          <w:pPr>
            <w:pStyle w:val="Nagwekspisutreci"/>
            <w:spacing w:line="360" w:lineRule="auto"/>
            <w:jc w:val="center"/>
            <w:rPr>
              <w:rFonts w:ascii="Times New Roman" w:hAnsi="Times New Roman" w:cs="Times New Roman"/>
              <w:caps/>
              <w:color w:val="auto"/>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C27C0">
            <w:rPr>
              <w:rFonts w:ascii="Times New Roman" w:hAnsi="Times New Roman" w:cs="Times New Roman"/>
              <w:caps/>
              <w:color w:val="auto"/>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Spis treści</w:t>
          </w:r>
        </w:p>
        <w:p w:rsidR="004C556B" w:rsidRPr="004C556B" w:rsidRDefault="004C556B" w:rsidP="004C556B">
          <w:pPr>
            <w:rPr>
              <w:lang w:eastAsia="pl-PL"/>
            </w:rPr>
          </w:pPr>
        </w:p>
        <w:p w:rsidR="00FC6624" w:rsidRDefault="00015579">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r w:rsidRPr="004C556B">
            <w:rPr>
              <w:sz w:val="24"/>
              <w:szCs w:val="24"/>
            </w:rPr>
            <w:fldChar w:fldCharType="begin"/>
          </w:r>
          <w:r w:rsidR="001F59FA" w:rsidRPr="004C556B">
            <w:rPr>
              <w:sz w:val="24"/>
              <w:szCs w:val="24"/>
            </w:rPr>
            <w:instrText xml:space="preserve"> TOC \o "1-3" \h \z \u </w:instrText>
          </w:r>
          <w:r w:rsidRPr="004C556B">
            <w:rPr>
              <w:sz w:val="24"/>
              <w:szCs w:val="24"/>
            </w:rPr>
            <w:fldChar w:fldCharType="separate"/>
          </w:r>
          <w:hyperlink w:anchor="_Toc938715" w:history="1">
            <w:r w:rsidR="00FC6624" w:rsidRPr="0012621C">
              <w:rPr>
                <w:rStyle w:val="Hipercze"/>
              </w:rPr>
              <w:t>Wstęp</w:t>
            </w:r>
            <w:r w:rsidR="00FC6624">
              <w:rPr>
                <w:webHidden/>
              </w:rPr>
              <w:tab/>
            </w:r>
            <w:r w:rsidR="00FC6624">
              <w:rPr>
                <w:webHidden/>
              </w:rPr>
              <w:fldChar w:fldCharType="begin"/>
            </w:r>
            <w:r w:rsidR="00FC6624">
              <w:rPr>
                <w:webHidden/>
              </w:rPr>
              <w:instrText xml:space="preserve"> PAGEREF _Toc938715 \h </w:instrText>
            </w:r>
            <w:r w:rsidR="00FC6624">
              <w:rPr>
                <w:webHidden/>
              </w:rPr>
            </w:r>
            <w:r w:rsidR="00FC6624">
              <w:rPr>
                <w:webHidden/>
              </w:rPr>
              <w:fldChar w:fldCharType="separate"/>
            </w:r>
            <w:r w:rsidR="00096258">
              <w:rPr>
                <w:webHidden/>
              </w:rPr>
              <w:t>3</w:t>
            </w:r>
            <w:r w:rsidR="00FC6624">
              <w:rPr>
                <w:webHidden/>
              </w:rPr>
              <w:fldChar w:fldCharType="end"/>
            </w:r>
          </w:hyperlink>
        </w:p>
        <w:p w:rsidR="00FC6624" w:rsidRDefault="003B2AA7">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938716" w:history="1">
            <w:r w:rsidR="00FC6624" w:rsidRPr="0012621C">
              <w:rPr>
                <w:rStyle w:val="Hipercze"/>
              </w:rPr>
              <w:t>Ogólna  charakterystyka  regionu</w:t>
            </w:r>
            <w:r w:rsidR="00FC6624">
              <w:rPr>
                <w:webHidden/>
              </w:rPr>
              <w:tab/>
            </w:r>
            <w:r w:rsidR="00FC6624">
              <w:rPr>
                <w:webHidden/>
              </w:rPr>
              <w:fldChar w:fldCharType="begin"/>
            </w:r>
            <w:r w:rsidR="00FC6624">
              <w:rPr>
                <w:webHidden/>
              </w:rPr>
              <w:instrText xml:space="preserve"> PAGEREF _Toc938716 \h </w:instrText>
            </w:r>
            <w:r w:rsidR="00FC6624">
              <w:rPr>
                <w:webHidden/>
              </w:rPr>
            </w:r>
            <w:r w:rsidR="00FC6624">
              <w:rPr>
                <w:webHidden/>
              </w:rPr>
              <w:fldChar w:fldCharType="separate"/>
            </w:r>
            <w:r w:rsidR="00096258">
              <w:rPr>
                <w:webHidden/>
              </w:rPr>
              <w:t>5</w:t>
            </w:r>
            <w:r w:rsidR="00FC6624">
              <w:rPr>
                <w:webHidden/>
              </w:rPr>
              <w:fldChar w:fldCharType="end"/>
            </w:r>
          </w:hyperlink>
        </w:p>
        <w:p w:rsidR="00FC6624" w:rsidRDefault="003B2AA7">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938717" w:history="1">
            <w:r w:rsidR="00FC6624" w:rsidRPr="0012621C">
              <w:rPr>
                <w:rStyle w:val="Hipercze"/>
              </w:rPr>
              <w:t>Wiek  produkcyjny  ludności</w:t>
            </w:r>
            <w:r w:rsidR="00FC6624">
              <w:rPr>
                <w:webHidden/>
              </w:rPr>
              <w:tab/>
            </w:r>
            <w:r w:rsidR="00FC6624">
              <w:rPr>
                <w:webHidden/>
              </w:rPr>
              <w:fldChar w:fldCharType="begin"/>
            </w:r>
            <w:r w:rsidR="00FC6624">
              <w:rPr>
                <w:webHidden/>
              </w:rPr>
              <w:instrText xml:space="preserve"> PAGEREF _Toc938717 \h </w:instrText>
            </w:r>
            <w:r w:rsidR="00FC6624">
              <w:rPr>
                <w:webHidden/>
              </w:rPr>
            </w:r>
            <w:r w:rsidR="00FC6624">
              <w:rPr>
                <w:webHidden/>
              </w:rPr>
              <w:fldChar w:fldCharType="separate"/>
            </w:r>
            <w:r w:rsidR="00096258">
              <w:rPr>
                <w:webHidden/>
              </w:rPr>
              <w:t>8</w:t>
            </w:r>
            <w:r w:rsidR="00FC6624">
              <w:rPr>
                <w:webHidden/>
              </w:rPr>
              <w:fldChar w:fldCharType="end"/>
            </w:r>
          </w:hyperlink>
        </w:p>
        <w:p w:rsidR="00FC6624" w:rsidRDefault="003B2AA7">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938718" w:history="1">
            <w:r w:rsidR="00FC6624" w:rsidRPr="0012621C">
              <w:rPr>
                <w:rStyle w:val="Hipercze"/>
              </w:rPr>
              <w:t>Stan   rozwoju  przedsiębiorczości </w:t>
            </w:r>
            <w:r w:rsidR="00FC6624">
              <w:rPr>
                <w:webHidden/>
              </w:rPr>
              <w:tab/>
            </w:r>
            <w:r w:rsidR="00FC6624">
              <w:rPr>
                <w:webHidden/>
              </w:rPr>
              <w:fldChar w:fldCharType="begin"/>
            </w:r>
            <w:r w:rsidR="00FC6624">
              <w:rPr>
                <w:webHidden/>
              </w:rPr>
              <w:instrText xml:space="preserve"> PAGEREF _Toc938718 \h </w:instrText>
            </w:r>
            <w:r w:rsidR="00FC6624">
              <w:rPr>
                <w:webHidden/>
              </w:rPr>
            </w:r>
            <w:r w:rsidR="00FC6624">
              <w:rPr>
                <w:webHidden/>
              </w:rPr>
              <w:fldChar w:fldCharType="separate"/>
            </w:r>
            <w:r w:rsidR="00096258">
              <w:rPr>
                <w:webHidden/>
              </w:rPr>
              <w:t>10</w:t>
            </w:r>
            <w:r w:rsidR="00FC6624">
              <w:rPr>
                <w:webHidden/>
              </w:rPr>
              <w:fldChar w:fldCharType="end"/>
            </w:r>
          </w:hyperlink>
        </w:p>
        <w:p w:rsidR="00FC6624" w:rsidRDefault="003B2AA7">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938719" w:history="1">
            <w:r w:rsidR="00FC6624" w:rsidRPr="0012621C">
              <w:rPr>
                <w:rStyle w:val="Hipercze"/>
              </w:rPr>
              <w:t>Podkarpacki   rynek  pracy  2018</w:t>
            </w:r>
            <w:r w:rsidR="00FC6624">
              <w:rPr>
                <w:webHidden/>
              </w:rPr>
              <w:tab/>
            </w:r>
            <w:r w:rsidR="00FC6624">
              <w:rPr>
                <w:webHidden/>
              </w:rPr>
              <w:fldChar w:fldCharType="begin"/>
            </w:r>
            <w:r w:rsidR="00FC6624">
              <w:rPr>
                <w:webHidden/>
              </w:rPr>
              <w:instrText xml:space="preserve"> PAGEREF _Toc938719 \h </w:instrText>
            </w:r>
            <w:r w:rsidR="00FC6624">
              <w:rPr>
                <w:webHidden/>
              </w:rPr>
            </w:r>
            <w:r w:rsidR="00FC6624">
              <w:rPr>
                <w:webHidden/>
              </w:rPr>
              <w:fldChar w:fldCharType="separate"/>
            </w:r>
            <w:r w:rsidR="00096258">
              <w:rPr>
                <w:webHidden/>
              </w:rPr>
              <w:t>18</w:t>
            </w:r>
            <w:r w:rsidR="00FC6624">
              <w:rPr>
                <w:webHidden/>
              </w:rPr>
              <w:fldChar w:fldCharType="end"/>
            </w:r>
          </w:hyperlink>
        </w:p>
        <w:p w:rsidR="00FC6624" w:rsidRDefault="003B2AA7">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938720" w:history="1">
            <w:r w:rsidR="00FC6624" w:rsidRPr="0012621C">
              <w:rPr>
                <w:rStyle w:val="Hipercze"/>
              </w:rPr>
              <w:t>Płynność bezrobocia,  ZMIANY W EWIDENCJI PUP</w:t>
            </w:r>
            <w:r w:rsidR="00FC6624">
              <w:rPr>
                <w:webHidden/>
              </w:rPr>
              <w:tab/>
            </w:r>
            <w:r w:rsidR="00FC6624">
              <w:rPr>
                <w:webHidden/>
              </w:rPr>
              <w:fldChar w:fldCharType="begin"/>
            </w:r>
            <w:r w:rsidR="00FC6624">
              <w:rPr>
                <w:webHidden/>
              </w:rPr>
              <w:instrText xml:space="preserve"> PAGEREF _Toc938720 \h </w:instrText>
            </w:r>
            <w:r w:rsidR="00FC6624">
              <w:rPr>
                <w:webHidden/>
              </w:rPr>
            </w:r>
            <w:r w:rsidR="00FC6624">
              <w:rPr>
                <w:webHidden/>
              </w:rPr>
              <w:fldChar w:fldCharType="separate"/>
            </w:r>
            <w:r w:rsidR="00096258">
              <w:rPr>
                <w:webHidden/>
              </w:rPr>
              <w:t>20</w:t>
            </w:r>
            <w:r w:rsidR="00FC6624">
              <w:rPr>
                <w:webHidden/>
              </w:rPr>
              <w:fldChar w:fldCharType="end"/>
            </w:r>
          </w:hyperlink>
        </w:p>
        <w:p w:rsidR="00FC6624" w:rsidRDefault="003B2AA7">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938721" w:history="1">
            <w:r w:rsidR="00FC6624" w:rsidRPr="0012621C">
              <w:rPr>
                <w:rStyle w:val="Hipercze"/>
              </w:rPr>
              <w:t>PRZYCZYNY  Fluktuacji   bezrobotnych</w:t>
            </w:r>
            <w:r w:rsidR="00FC6624">
              <w:rPr>
                <w:webHidden/>
              </w:rPr>
              <w:tab/>
            </w:r>
            <w:r w:rsidR="00FC6624">
              <w:rPr>
                <w:webHidden/>
              </w:rPr>
              <w:fldChar w:fldCharType="begin"/>
            </w:r>
            <w:r w:rsidR="00FC6624">
              <w:rPr>
                <w:webHidden/>
              </w:rPr>
              <w:instrText xml:space="preserve"> PAGEREF _Toc938721 \h </w:instrText>
            </w:r>
            <w:r w:rsidR="00FC6624">
              <w:rPr>
                <w:webHidden/>
              </w:rPr>
            </w:r>
            <w:r w:rsidR="00FC6624">
              <w:rPr>
                <w:webHidden/>
              </w:rPr>
              <w:fldChar w:fldCharType="separate"/>
            </w:r>
            <w:r w:rsidR="00096258">
              <w:rPr>
                <w:webHidden/>
              </w:rPr>
              <w:t>22</w:t>
            </w:r>
            <w:r w:rsidR="00FC6624">
              <w:rPr>
                <w:webHidden/>
              </w:rPr>
              <w:fldChar w:fldCharType="end"/>
            </w:r>
          </w:hyperlink>
        </w:p>
        <w:p w:rsidR="00FC6624" w:rsidRDefault="003B2AA7">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938722" w:history="1">
            <w:r w:rsidR="00FC6624" w:rsidRPr="0012621C">
              <w:rPr>
                <w:rStyle w:val="Hipercze"/>
              </w:rPr>
              <w:t>Bezrobotni z prawem do zasiłku</w:t>
            </w:r>
            <w:r w:rsidR="00FC6624">
              <w:rPr>
                <w:webHidden/>
              </w:rPr>
              <w:tab/>
            </w:r>
            <w:r w:rsidR="00FC6624">
              <w:rPr>
                <w:webHidden/>
              </w:rPr>
              <w:fldChar w:fldCharType="begin"/>
            </w:r>
            <w:r w:rsidR="00FC6624">
              <w:rPr>
                <w:webHidden/>
              </w:rPr>
              <w:instrText xml:space="preserve"> PAGEREF _Toc938722 \h </w:instrText>
            </w:r>
            <w:r w:rsidR="00FC6624">
              <w:rPr>
                <w:webHidden/>
              </w:rPr>
            </w:r>
            <w:r w:rsidR="00FC6624">
              <w:rPr>
                <w:webHidden/>
              </w:rPr>
              <w:fldChar w:fldCharType="separate"/>
            </w:r>
            <w:r w:rsidR="00096258">
              <w:rPr>
                <w:webHidden/>
              </w:rPr>
              <w:t>27</w:t>
            </w:r>
            <w:r w:rsidR="00FC6624">
              <w:rPr>
                <w:webHidden/>
              </w:rPr>
              <w:fldChar w:fldCharType="end"/>
            </w:r>
          </w:hyperlink>
        </w:p>
        <w:p w:rsidR="00FC6624" w:rsidRDefault="003B2AA7">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938723" w:history="1">
            <w:r w:rsidR="00FC6624" w:rsidRPr="0012621C">
              <w:rPr>
                <w:rStyle w:val="Hipercze"/>
              </w:rPr>
              <w:t>Bezrobotni  wG  wieku</w:t>
            </w:r>
            <w:r w:rsidR="00FC6624">
              <w:rPr>
                <w:webHidden/>
              </w:rPr>
              <w:tab/>
            </w:r>
            <w:r w:rsidR="00FC6624">
              <w:rPr>
                <w:webHidden/>
              </w:rPr>
              <w:fldChar w:fldCharType="begin"/>
            </w:r>
            <w:r w:rsidR="00FC6624">
              <w:rPr>
                <w:webHidden/>
              </w:rPr>
              <w:instrText xml:space="preserve"> PAGEREF _Toc938723 \h </w:instrText>
            </w:r>
            <w:r w:rsidR="00FC6624">
              <w:rPr>
                <w:webHidden/>
              </w:rPr>
            </w:r>
            <w:r w:rsidR="00FC6624">
              <w:rPr>
                <w:webHidden/>
              </w:rPr>
              <w:fldChar w:fldCharType="separate"/>
            </w:r>
            <w:r w:rsidR="00096258">
              <w:rPr>
                <w:webHidden/>
              </w:rPr>
              <w:t>28</w:t>
            </w:r>
            <w:r w:rsidR="00FC6624">
              <w:rPr>
                <w:webHidden/>
              </w:rPr>
              <w:fldChar w:fldCharType="end"/>
            </w:r>
          </w:hyperlink>
        </w:p>
        <w:p w:rsidR="00FC6624" w:rsidRDefault="003B2AA7">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938724" w:history="1">
            <w:r w:rsidR="00FC6624" w:rsidRPr="0012621C">
              <w:rPr>
                <w:rStyle w:val="Hipercze"/>
              </w:rPr>
              <w:t>Bezrobotni wg Wykształcenia</w:t>
            </w:r>
            <w:r w:rsidR="00FC6624">
              <w:rPr>
                <w:webHidden/>
              </w:rPr>
              <w:tab/>
            </w:r>
            <w:r w:rsidR="00FC6624">
              <w:rPr>
                <w:webHidden/>
              </w:rPr>
              <w:fldChar w:fldCharType="begin"/>
            </w:r>
            <w:r w:rsidR="00FC6624">
              <w:rPr>
                <w:webHidden/>
              </w:rPr>
              <w:instrText xml:space="preserve"> PAGEREF _Toc938724 \h </w:instrText>
            </w:r>
            <w:r w:rsidR="00FC6624">
              <w:rPr>
                <w:webHidden/>
              </w:rPr>
            </w:r>
            <w:r w:rsidR="00FC6624">
              <w:rPr>
                <w:webHidden/>
              </w:rPr>
              <w:fldChar w:fldCharType="separate"/>
            </w:r>
            <w:r w:rsidR="00096258">
              <w:rPr>
                <w:webHidden/>
              </w:rPr>
              <w:t>29</w:t>
            </w:r>
            <w:r w:rsidR="00FC6624">
              <w:rPr>
                <w:webHidden/>
              </w:rPr>
              <w:fldChar w:fldCharType="end"/>
            </w:r>
          </w:hyperlink>
        </w:p>
        <w:p w:rsidR="00FC6624" w:rsidRDefault="003B2AA7">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938725" w:history="1">
            <w:r w:rsidR="00FC6624" w:rsidRPr="0012621C">
              <w:rPr>
                <w:rStyle w:val="Hipercze"/>
              </w:rPr>
              <w:t>Bezrobotni wg stażu pracy</w:t>
            </w:r>
            <w:r w:rsidR="00FC6624">
              <w:rPr>
                <w:webHidden/>
              </w:rPr>
              <w:tab/>
            </w:r>
            <w:r w:rsidR="00FC6624">
              <w:rPr>
                <w:webHidden/>
              </w:rPr>
              <w:fldChar w:fldCharType="begin"/>
            </w:r>
            <w:r w:rsidR="00FC6624">
              <w:rPr>
                <w:webHidden/>
              </w:rPr>
              <w:instrText xml:space="preserve"> PAGEREF _Toc938725 \h </w:instrText>
            </w:r>
            <w:r w:rsidR="00FC6624">
              <w:rPr>
                <w:webHidden/>
              </w:rPr>
            </w:r>
            <w:r w:rsidR="00FC6624">
              <w:rPr>
                <w:webHidden/>
              </w:rPr>
              <w:fldChar w:fldCharType="separate"/>
            </w:r>
            <w:r w:rsidR="00096258">
              <w:rPr>
                <w:webHidden/>
              </w:rPr>
              <w:t>30</w:t>
            </w:r>
            <w:r w:rsidR="00FC6624">
              <w:rPr>
                <w:webHidden/>
              </w:rPr>
              <w:fldChar w:fldCharType="end"/>
            </w:r>
          </w:hyperlink>
        </w:p>
        <w:p w:rsidR="00FC6624" w:rsidRDefault="003B2AA7">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938726" w:history="1">
            <w:r w:rsidR="00FC6624" w:rsidRPr="0012621C">
              <w:rPr>
                <w:rStyle w:val="Hipercze"/>
              </w:rPr>
              <w:t>Bezrobotni zamieszkali na wsi</w:t>
            </w:r>
            <w:r w:rsidR="00FC6624">
              <w:rPr>
                <w:webHidden/>
              </w:rPr>
              <w:tab/>
            </w:r>
            <w:r w:rsidR="00FC6624">
              <w:rPr>
                <w:webHidden/>
              </w:rPr>
              <w:fldChar w:fldCharType="begin"/>
            </w:r>
            <w:r w:rsidR="00FC6624">
              <w:rPr>
                <w:webHidden/>
              </w:rPr>
              <w:instrText xml:space="preserve"> PAGEREF _Toc938726 \h </w:instrText>
            </w:r>
            <w:r w:rsidR="00FC6624">
              <w:rPr>
                <w:webHidden/>
              </w:rPr>
            </w:r>
            <w:r w:rsidR="00FC6624">
              <w:rPr>
                <w:webHidden/>
              </w:rPr>
              <w:fldChar w:fldCharType="separate"/>
            </w:r>
            <w:r w:rsidR="00096258">
              <w:rPr>
                <w:webHidden/>
              </w:rPr>
              <w:t>33</w:t>
            </w:r>
            <w:r w:rsidR="00FC6624">
              <w:rPr>
                <w:webHidden/>
              </w:rPr>
              <w:fldChar w:fldCharType="end"/>
            </w:r>
          </w:hyperlink>
        </w:p>
        <w:p w:rsidR="00FC6624" w:rsidRDefault="003B2AA7">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938727" w:history="1">
            <w:r w:rsidR="00FC6624" w:rsidRPr="0012621C">
              <w:rPr>
                <w:rStyle w:val="Hipercze"/>
              </w:rPr>
              <w:t>Bezrobotni  w  szczególnej  sytuacji  na  rynku  pracy</w:t>
            </w:r>
            <w:r w:rsidR="00FC6624">
              <w:rPr>
                <w:webHidden/>
              </w:rPr>
              <w:tab/>
            </w:r>
            <w:r w:rsidR="00FC6624">
              <w:rPr>
                <w:webHidden/>
              </w:rPr>
              <w:fldChar w:fldCharType="begin"/>
            </w:r>
            <w:r w:rsidR="00FC6624">
              <w:rPr>
                <w:webHidden/>
              </w:rPr>
              <w:instrText xml:space="preserve"> PAGEREF _Toc938727 \h </w:instrText>
            </w:r>
            <w:r w:rsidR="00FC6624">
              <w:rPr>
                <w:webHidden/>
              </w:rPr>
            </w:r>
            <w:r w:rsidR="00FC6624">
              <w:rPr>
                <w:webHidden/>
              </w:rPr>
              <w:fldChar w:fldCharType="separate"/>
            </w:r>
            <w:r w:rsidR="00096258">
              <w:rPr>
                <w:webHidden/>
              </w:rPr>
              <w:t>38</w:t>
            </w:r>
            <w:r w:rsidR="00FC6624">
              <w:rPr>
                <w:webHidden/>
              </w:rPr>
              <w:fldChar w:fldCharType="end"/>
            </w:r>
          </w:hyperlink>
        </w:p>
        <w:p w:rsidR="00FC6624" w:rsidRDefault="003B2AA7">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938728" w:history="1">
            <w:r w:rsidR="00FC6624" w:rsidRPr="0012621C">
              <w:rPr>
                <w:rStyle w:val="Hipercze"/>
              </w:rPr>
              <w:t>Bezrobotni  wg  Polskiej  Klasyfikacji  Działalności</w:t>
            </w:r>
            <w:r w:rsidR="00FC6624">
              <w:rPr>
                <w:webHidden/>
              </w:rPr>
              <w:tab/>
            </w:r>
            <w:r w:rsidR="00FC6624">
              <w:rPr>
                <w:webHidden/>
              </w:rPr>
              <w:fldChar w:fldCharType="begin"/>
            </w:r>
            <w:r w:rsidR="00FC6624">
              <w:rPr>
                <w:webHidden/>
              </w:rPr>
              <w:instrText xml:space="preserve"> PAGEREF _Toc938728 \h </w:instrText>
            </w:r>
            <w:r w:rsidR="00FC6624">
              <w:rPr>
                <w:webHidden/>
              </w:rPr>
            </w:r>
            <w:r w:rsidR="00FC6624">
              <w:rPr>
                <w:webHidden/>
              </w:rPr>
              <w:fldChar w:fldCharType="separate"/>
            </w:r>
            <w:r w:rsidR="00096258">
              <w:rPr>
                <w:webHidden/>
              </w:rPr>
              <w:t>41</w:t>
            </w:r>
            <w:r w:rsidR="00FC6624">
              <w:rPr>
                <w:webHidden/>
              </w:rPr>
              <w:fldChar w:fldCharType="end"/>
            </w:r>
          </w:hyperlink>
        </w:p>
        <w:p w:rsidR="00FC6624" w:rsidRDefault="003B2AA7">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938729" w:history="1">
            <w:r w:rsidR="00FC6624" w:rsidRPr="0012621C">
              <w:rPr>
                <w:rStyle w:val="Hipercze"/>
              </w:rPr>
              <w:t>Bezrobotni  wg  zawodów</w:t>
            </w:r>
            <w:r w:rsidR="00FC6624">
              <w:rPr>
                <w:webHidden/>
              </w:rPr>
              <w:tab/>
            </w:r>
            <w:r w:rsidR="00FC6624">
              <w:rPr>
                <w:webHidden/>
              </w:rPr>
              <w:fldChar w:fldCharType="begin"/>
            </w:r>
            <w:r w:rsidR="00FC6624">
              <w:rPr>
                <w:webHidden/>
              </w:rPr>
              <w:instrText xml:space="preserve"> PAGEREF _Toc938729 \h </w:instrText>
            </w:r>
            <w:r w:rsidR="00FC6624">
              <w:rPr>
                <w:webHidden/>
              </w:rPr>
            </w:r>
            <w:r w:rsidR="00FC6624">
              <w:rPr>
                <w:webHidden/>
              </w:rPr>
              <w:fldChar w:fldCharType="separate"/>
            </w:r>
            <w:r w:rsidR="00096258">
              <w:rPr>
                <w:webHidden/>
              </w:rPr>
              <w:t>42</w:t>
            </w:r>
            <w:r w:rsidR="00FC6624">
              <w:rPr>
                <w:webHidden/>
              </w:rPr>
              <w:fldChar w:fldCharType="end"/>
            </w:r>
          </w:hyperlink>
        </w:p>
        <w:p w:rsidR="00FC6624" w:rsidRDefault="003B2AA7">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938730" w:history="1">
            <w:r w:rsidR="00FC6624" w:rsidRPr="0012621C">
              <w:rPr>
                <w:rStyle w:val="Hipercze"/>
              </w:rPr>
              <w:t>Wolne miejsca pracy i miejsca aktywizacji zawodowej</w:t>
            </w:r>
            <w:r w:rsidR="00FC6624">
              <w:rPr>
                <w:webHidden/>
              </w:rPr>
              <w:tab/>
            </w:r>
            <w:r w:rsidR="00FC6624">
              <w:rPr>
                <w:webHidden/>
              </w:rPr>
              <w:fldChar w:fldCharType="begin"/>
            </w:r>
            <w:r w:rsidR="00FC6624">
              <w:rPr>
                <w:webHidden/>
              </w:rPr>
              <w:instrText xml:space="preserve"> PAGEREF _Toc938730 \h </w:instrText>
            </w:r>
            <w:r w:rsidR="00FC6624">
              <w:rPr>
                <w:webHidden/>
              </w:rPr>
            </w:r>
            <w:r w:rsidR="00FC6624">
              <w:rPr>
                <w:webHidden/>
              </w:rPr>
              <w:fldChar w:fldCharType="separate"/>
            </w:r>
            <w:r w:rsidR="00096258">
              <w:rPr>
                <w:webHidden/>
              </w:rPr>
              <w:t>45</w:t>
            </w:r>
            <w:r w:rsidR="00FC6624">
              <w:rPr>
                <w:webHidden/>
              </w:rPr>
              <w:fldChar w:fldCharType="end"/>
            </w:r>
          </w:hyperlink>
        </w:p>
        <w:p w:rsidR="00FC6624" w:rsidRDefault="003B2AA7">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938731" w:history="1">
            <w:r w:rsidR="00FC6624" w:rsidRPr="0012621C">
              <w:rPr>
                <w:rStyle w:val="Hipercze"/>
              </w:rPr>
              <w:t>Wydatki z Funduszu Pracy na aktywne I PASYWNE formy promocji zatrudnienia</w:t>
            </w:r>
            <w:r w:rsidR="00FC6624">
              <w:rPr>
                <w:webHidden/>
              </w:rPr>
              <w:tab/>
            </w:r>
            <w:r w:rsidR="00FC6624">
              <w:rPr>
                <w:webHidden/>
              </w:rPr>
              <w:fldChar w:fldCharType="begin"/>
            </w:r>
            <w:r w:rsidR="00FC6624">
              <w:rPr>
                <w:webHidden/>
              </w:rPr>
              <w:instrText xml:space="preserve"> PAGEREF _Toc938731 \h </w:instrText>
            </w:r>
            <w:r w:rsidR="00FC6624">
              <w:rPr>
                <w:webHidden/>
              </w:rPr>
            </w:r>
            <w:r w:rsidR="00FC6624">
              <w:rPr>
                <w:webHidden/>
              </w:rPr>
              <w:fldChar w:fldCharType="separate"/>
            </w:r>
            <w:r w:rsidR="00096258">
              <w:rPr>
                <w:webHidden/>
              </w:rPr>
              <w:t>50</w:t>
            </w:r>
            <w:r w:rsidR="00FC6624">
              <w:rPr>
                <w:webHidden/>
              </w:rPr>
              <w:fldChar w:fldCharType="end"/>
            </w:r>
          </w:hyperlink>
        </w:p>
        <w:p w:rsidR="00FC6624" w:rsidRDefault="003B2AA7">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938732" w:history="1">
            <w:r w:rsidR="00FC6624" w:rsidRPr="0012621C">
              <w:rPr>
                <w:rStyle w:val="Hipercze"/>
              </w:rPr>
              <w:t>Zwolnienia z przyczyn niedotyczących pracowników</w:t>
            </w:r>
            <w:r w:rsidR="00FC6624">
              <w:rPr>
                <w:webHidden/>
              </w:rPr>
              <w:tab/>
            </w:r>
            <w:r w:rsidR="00FC6624">
              <w:rPr>
                <w:webHidden/>
              </w:rPr>
              <w:fldChar w:fldCharType="begin"/>
            </w:r>
            <w:r w:rsidR="00FC6624">
              <w:rPr>
                <w:webHidden/>
              </w:rPr>
              <w:instrText xml:space="preserve"> PAGEREF _Toc938732 \h </w:instrText>
            </w:r>
            <w:r w:rsidR="00FC6624">
              <w:rPr>
                <w:webHidden/>
              </w:rPr>
            </w:r>
            <w:r w:rsidR="00FC6624">
              <w:rPr>
                <w:webHidden/>
              </w:rPr>
              <w:fldChar w:fldCharType="separate"/>
            </w:r>
            <w:r w:rsidR="00096258">
              <w:rPr>
                <w:webHidden/>
              </w:rPr>
              <w:t>52</w:t>
            </w:r>
            <w:r w:rsidR="00FC6624">
              <w:rPr>
                <w:webHidden/>
              </w:rPr>
              <w:fldChar w:fldCharType="end"/>
            </w:r>
          </w:hyperlink>
        </w:p>
        <w:p w:rsidR="00FC6624" w:rsidRDefault="003B2AA7">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938733" w:history="1">
            <w:r w:rsidR="00FC6624" w:rsidRPr="0012621C">
              <w:rPr>
                <w:rStyle w:val="Hipercze"/>
              </w:rPr>
              <w:t>Fundusz Gwarantowanych Świadczeń Pracowniczych</w:t>
            </w:r>
            <w:r w:rsidR="00FC6624">
              <w:rPr>
                <w:webHidden/>
              </w:rPr>
              <w:tab/>
            </w:r>
            <w:r w:rsidR="00FC6624">
              <w:rPr>
                <w:webHidden/>
              </w:rPr>
              <w:fldChar w:fldCharType="begin"/>
            </w:r>
            <w:r w:rsidR="00FC6624">
              <w:rPr>
                <w:webHidden/>
              </w:rPr>
              <w:instrText xml:space="preserve"> PAGEREF _Toc938733 \h </w:instrText>
            </w:r>
            <w:r w:rsidR="00FC6624">
              <w:rPr>
                <w:webHidden/>
              </w:rPr>
            </w:r>
            <w:r w:rsidR="00FC6624">
              <w:rPr>
                <w:webHidden/>
              </w:rPr>
              <w:fldChar w:fldCharType="separate"/>
            </w:r>
            <w:r w:rsidR="00096258">
              <w:rPr>
                <w:webHidden/>
              </w:rPr>
              <w:t>54</w:t>
            </w:r>
            <w:r w:rsidR="00FC6624">
              <w:rPr>
                <w:webHidden/>
              </w:rPr>
              <w:fldChar w:fldCharType="end"/>
            </w:r>
          </w:hyperlink>
        </w:p>
        <w:p w:rsidR="00FC6624" w:rsidRDefault="003B2AA7">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938734" w:history="1">
            <w:r w:rsidR="00FC6624" w:rsidRPr="0012621C">
              <w:rPr>
                <w:rStyle w:val="Hipercze"/>
              </w:rPr>
              <w:t>Podsumowanie</w:t>
            </w:r>
            <w:r w:rsidR="00FC6624">
              <w:rPr>
                <w:webHidden/>
              </w:rPr>
              <w:tab/>
            </w:r>
            <w:r w:rsidR="00FC6624">
              <w:rPr>
                <w:webHidden/>
              </w:rPr>
              <w:fldChar w:fldCharType="begin"/>
            </w:r>
            <w:r w:rsidR="00FC6624">
              <w:rPr>
                <w:webHidden/>
              </w:rPr>
              <w:instrText xml:space="preserve"> PAGEREF _Toc938734 \h </w:instrText>
            </w:r>
            <w:r w:rsidR="00FC6624">
              <w:rPr>
                <w:webHidden/>
              </w:rPr>
            </w:r>
            <w:r w:rsidR="00FC6624">
              <w:rPr>
                <w:webHidden/>
              </w:rPr>
              <w:fldChar w:fldCharType="separate"/>
            </w:r>
            <w:r w:rsidR="00096258">
              <w:rPr>
                <w:webHidden/>
              </w:rPr>
              <w:t>56</w:t>
            </w:r>
            <w:r w:rsidR="00FC6624">
              <w:rPr>
                <w:webHidden/>
              </w:rPr>
              <w:fldChar w:fldCharType="end"/>
            </w:r>
          </w:hyperlink>
        </w:p>
        <w:p w:rsidR="001F59FA" w:rsidRPr="004C556B" w:rsidRDefault="00015579" w:rsidP="004C556B">
          <w:pPr>
            <w:pStyle w:val="Spistreci1"/>
          </w:pPr>
          <w:r w:rsidRPr="004C556B">
            <w:rPr>
              <w:sz w:val="24"/>
              <w:szCs w:val="24"/>
            </w:rPr>
            <w:fldChar w:fldCharType="end"/>
          </w:r>
        </w:p>
      </w:sdtContent>
    </w:sdt>
    <w:p w:rsidR="001F59FA" w:rsidRDefault="001F59FA">
      <w:pPr>
        <w:rPr>
          <w:rFonts w:ascii="Times New Roman" w:hAnsi="Times New Roman" w:cs="Times New Roman"/>
          <w:b/>
          <w:bCs/>
          <w:color w:val="000000"/>
          <w:sz w:val="24"/>
          <w:szCs w:val="24"/>
        </w:rPr>
      </w:pPr>
      <w:r>
        <w:rPr>
          <w:b/>
          <w:bCs/>
        </w:rPr>
        <w:br w:type="page"/>
      </w:r>
    </w:p>
    <w:p w:rsidR="003A2CF6" w:rsidRPr="000773D3" w:rsidRDefault="003A2CF6" w:rsidP="00A157FF">
      <w:pPr>
        <w:pStyle w:val="Nagwek3"/>
        <w:pBdr>
          <w:bottom w:val="double" w:sz="4" w:space="1" w:color="auto"/>
        </w:pBdr>
        <w:jc w:val="left"/>
        <w:rPr>
          <w:rFonts w:ascii="Times New Roman" w:hAnsi="Times New Roman" w:cs="Times New Roman"/>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 w:name="_Toc938715"/>
      <w:r w:rsidRPr="000773D3">
        <w:rPr>
          <w:rFonts w:ascii="Times New Roman" w:hAnsi="Times New Roman" w:cs="Times New Roman"/>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Wstęp</w:t>
      </w:r>
      <w:bookmarkEnd w:id="0"/>
      <w:bookmarkEnd w:id="1"/>
    </w:p>
    <w:p w:rsidR="002767B7" w:rsidRDefault="002767B7" w:rsidP="002767B7">
      <w:pPr>
        <w:spacing w:after="0" w:line="360" w:lineRule="auto"/>
        <w:jc w:val="both"/>
        <w:rPr>
          <w:rFonts w:ascii="Times New Roman" w:hAnsi="Times New Roman" w:cs="Times New Roman"/>
          <w:sz w:val="24"/>
          <w:szCs w:val="24"/>
        </w:rPr>
      </w:pPr>
    </w:p>
    <w:p w:rsidR="003A2CF6" w:rsidRPr="00C75C71" w:rsidRDefault="00507831" w:rsidP="00C75C71">
      <w:pPr>
        <w:spacing w:after="0" w:line="360" w:lineRule="auto"/>
        <w:ind w:firstLine="709"/>
        <w:jc w:val="both"/>
        <w:rPr>
          <w:rFonts w:ascii="Times New Roman" w:hAnsi="Times New Roman" w:cs="Times New Roman"/>
          <w:sz w:val="24"/>
          <w:szCs w:val="24"/>
        </w:rPr>
      </w:pPr>
      <w:r w:rsidRPr="00C75C71">
        <w:rPr>
          <w:rFonts w:ascii="Times New Roman" w:hAnsi="Times New Roman" w:cs="Times New Roman"/>
          <w:sz w:val="24"/>
          <w:szCs w:val="24"/>
        </w:rPr>
        <w:t xml:space="preserve">Oddajemy do rąk czytelnika </w:t>
      </w:r>
      <w:r w:rsidR="003A2CF6" w:rsidRPr="00C75C71">
        <w:rPr>
          <w:rFonts w:ascii="Times New Roman" w:hAnsi="Times New Roman" w:cs="Times New Roman"/>
          <w:sz w:val="24"/>
          <w:szCs w:val="24"/>
        </w:rPr>
        <w:t>„Analiz</w:t>
      </w:r>
      <w:r w:rsidRPr="00C75C71">
        <w:rPr>
          <w:rFonts w:ascii="Times New Roman" w:hAnsi="Times New Roman" w:cs="Times New Roman"/>
          <w:sz w:val="24"/>
          <w:szCs w:val="24"/>
        </w:rPr>
        <w:t>ę</w:t>
      </w:r>
      <w:r w:rsidR="003A2CF6" w:rsidRPr="00C75C71">
        <w:rPr>
          <w:rFonts w:ascii="Times New Roman" w:hAnsi="Times New Roman" w:cs="Times New Roman"/>
          <w:sz w:val="24"/>
          <w:szCs w:val="24"/>
        </w:rPr>
        <w:t xml:space="preserve"> sytuacji na rynku pracy</w:t>
      </w:r>
      <w:r w:rsidR="00AE5712" w:rsidRPr="00C75C71">
        <w:rPr>
          <w:rFonts w:ascii="Times New Roman" w:hAnsi="Times New Roman" w:cs="Times New Roman"/>
          <w:sz w:val="24"/>
          <w:szCs w:val="24"/>
        </w:rPr>
        <w:t xml:space="preserve"> w </w:t>
      </w:r>
      <w:r w:rsidR="003A2CF6" w:rsidRPr="00C75C71">
        <w:rPr>
          <w:rFonts w:ascii="Times New Roman" w:hAnsi="Times New Roman" w:cs="Times New Roman"/>
          <w:sz w:val="24"/>
          <w:szCs w:val="24"/>
        </w:rPr>
        <w:t>województwie podkarpackim</w:t>
      </w:r>
      <w:r w:rsidRPr="00C75C71">
        <w:rPr>
          <w:rFonts w:ascii="Times New Roman" w:hAnsi="Times New Roman" w:cs="Times New Roman"/>
          <w:sz w:val="24"/>
          <w:szCs w:val="24"/>
        </w:rPr>
        <w:t xml:space="preserve"> </w:t>
      </w:r>
      <w:r w:rsidR="00AE5712" w:rsidRPr="00C75C71">
        <w:rPr>
          <w:rFonts w:ascii="Times New Roman" w:hAnsi="Times New Roman" w:cs="Times New Roman"/>
          <w:sz w:val="24"/>
          <w:szCs w:val="24"/>
        </w:rPr>
        <w:t>w</w:t>
      </w:r>
      <w:r w:rsidRPr="00C75C71">
        <w:rPr>
          <w:rFonts w:ascii="Times New Roman" w:hAnsi="Times New Roman" w:cs="Times New Roman"/>
          <w:sz w:val="24"/>
          <w:szCs w:val="24"/>
        </w:rPr>
        <w:t xml:space="preserve"> </w:t>
      </w:r>
      <w:r w:rsidR="003A2CF6" w:rsidRPr="00C75C71">
        <w:rPr>
          <w:rFonts w:ascii="Times New Roman" w:hAnsi="Times New Roman" w:cs="Times New Roman"/>
          <w:sz w:val="24"/>
          <w:szCs w:val="24"/>
        </w:rPr>
        <w:t>201</w:t>
      </w:r>
      <w:r w:rsidR="00C75C71" w:rsidRPr="00C75C71">
        <w:rPr>
          <w:rFonts w:ascii="Times New Roman" w:hAnsi="Times New Roman" w:cs="Times New Roman"/>
          <w:sz w:val="24"/>
          <w:szCs w:val="24"/>
        </w:rPr>
        <w:t>8</w:t>
      </w:r>
      <w:r w:rsidR="003A2CF6" w:rsidRPr="00C75C71">
        <w:rPr>
          <w:rFonts w:ascii="Times New Roman" w:hAnsi="Times New Roman" w:cs="Times New Roman"/>
          <w:sz w:val="24"/>
          <w:szCs w:val="24"/>
        </w:rPr>
        <w:t xml:space="preserve"> roku”</w:t>
      </w:r>
      <w:r w:rsidR="00C75C71" w:rsidRPr="00C75C71">
        <w:rPr>
          <w:rFonts w:ascii="Times New Roman" w:hAnsi="Times New Roman" w:cs="Times New Roman"/>
          <w:sz w:val="24"/>
          <w:szCs w:val="24"/>
        </w:rPr>
        <w:t xml:space="preserve"> – </w:t>
      </w:r>
      <w:r w:rsidRPr="00C75C71">
        <w:rPr>
          <w:rFonts w:ascii="Times New Roman" w:hAnsi="Times New Roman" w:cs="Times New Roman"/>
          <w:sz w:val="24"/>
          <w:szCs w:val="24"/>
        </w:rPr>
        <w:t>publikacj</w:t>
      </w:r>
      <w:r w:rsidR="00C75C71" w:rsidRPr="00C75C71">
        <w:rPr>
          <w:rFonts w:ascii="Times New Roman" w:hAnsi="Times New Roman" w:cs="Times New Roman"/>
          <w:sz w:val="24"/>
          <w:szCs w:val="24"/>
        </w:rPr>
        <w:t>ę</w:t>
      </w:r>
      <w:r w:rsidRPr="00C75C71">
        <w:rPr>
          <w:rFonts w:ascii="Times New Roman" w:hAnsi="Times New Roman" w:cs="Times New Roman"/>
          <w:sz w:val="24"/>
          <w:szCs w:val="24"/>
        </w:rPr>
        <w:t xml:space="preserve"> tematyczną z zakresu analiz i informacji o</w:t>
      </w:r>
      <w:r w:rsidR="00C75C71" w:rsidRPr="00C75C71">
        <w:rPr>
          <w:rFonts w:ascii="Times New Roman" w:hAnsi="Times New Roman" w:cs="Times New Roman"/>
          <w:sz w:val="24"/>
          <w:szCs w:val="24"/>
        </w:rPr>
        <w:t> </w:t>
      </w:r>
      <w:r w:rsidRPr="00C75C71">
        <w:rPr>
          <w:rFonts w:ascii="Times New Roman" w:hAnsi="Times New Roman" w:cs="Times New Roman"/>
          <w:sz w:val="24"/>
          <w:szCs w:val="24"/>
        </w:rPr>
        <w:t>regionalnym rynku pracy</w:t>
      </w:r>
      <w:r w:rsidR="003A2CF6" w:rsidRPr="00C75C71">
        <w:rPr>
          <w:rFonts w:ascii="Times New Roman" w:hAnsi="Times New Roman" w:cs="Times New Roman"/>
          <w:sz w:val="24"/>
          <w:szCs w:val="24"/>
        </w:rPr>
        <w:t>. Wojewódzki Urząd Pracy</w:t>
      </w:r>
      <w:r w:rsidR="00AE5712" w:rsidRPr="00C75C71">
        <w:rPr>
          <w:rFonts w:ascii="Times New Roman" w:hAnsi="Times New Roman" w:cs="Times New Roman"/>
          <w:sz w:val="24"/>
          <w:szCs w:val="24"/>
        </w:rPr>
        <w:t xml:space="preserve"> w</w:t>
      </w:r>
      <w:r w:rsidR="00992E19" w:rsidRPr="00C75C71">
        <w:rPr>
          <w:rFonts w:ascii="Times New Roman" w:hAnsi="Times New Roman" w:cs="Times New Roman"/>
          <w:sz w:val="24"/>
          <w:szCs w:val="24"/>
        </w:rPr>
        <w:t xml:space="preserve"> </w:t>
      </w:r>
      <w:r w:rsidR="003A2CF6" w:rsidRPr="00C75C71">
        <w:rPr>
          <w:rFonts w:ascii="Times New Roman" w:hAnsi="Times New Roman" w:cs="Times New Roman"/>
          <w:sz w:val="24"/>
          <w:szCs w:val="24"/>
        </w:rPr>
        <w:t>Rzeszowie</w:t>
      </w:r>
      <w:r w:rsidR="00CD1263" w:rsidRPr="00C75C71">
        <w:rPr>
          <w:rFonts w:ascii="Times New Roman" w:hAnsi="Times New Roman" w:cs="Times New Roman"/>
          <w:sz w:val="24"/>
          <w:szCs w:val="24"/>
        </w:rPr>
        <w:t xml:space="preserve"> </w:t>
      </w:r>
      <w:r w:rsidR="00C75C71" w:rsidRPr="00C75C71">
        <w:rPr>
          <w:rFonts w:ascii="Times New Roman" w:hAnsi="Times New Roman" w:cs="Times New Roman"/>
          <w:sz w:val="24"/>
          <w:szCs w:val="24"/>
        </w:rPr>
        <w:t xml:space="preserve">realizując szereg prozatrudnieniowych programów, </w:t>
      </w:r>
      <w:r w:rsidR="00CD1263" w:rsidRPr="00C75C71">
        <w:rPr>
          <w:rFonts w:ascii="Times New Roman" w:hAnsi="Times New Roman" w:cs="Times New Roman"/>
          <w:sz w:val="24"/>
          <w:szCs w:val="24"/>
        </w:rPr>
        <w:t>d</w:t>
      </w:r>
      <w:r w:rsidR="003A2CF6" w:rsidRPr="00C75C71">
        <w:rPr>
          <w:rFonts w:ascii="Times New Roman" w:hAnsi="Times New Roman" w:cs="Times New Roman"/>
          <w:sz w:val="24"/>
          <w:szCs w:val="24"/>
        </w:rPr>
        <w:t xml:space="preserve">okłada </w:t>
      </w:r>
      <w:r w:rsidRPr="00C75C71">
        <w:rPr>
          <w:rFonts w:ascii="Times New Roman" w:hAnsi="Times New Roman" w:cs="Times New Roman"/>
          <w:sz w:val="24"/>
          <w:szCs w:val="24"/>
        </w:rPr>
        <w:t xml:space="preserve">wszelkich </w:t>
      </w:r>
      <w:r w:rsidR="003A2CF6" w:rsidRPr="00C75C71">
        <w:rPr>
          <w:rFonts w:ascii="Times New Roman" w:hAnsi="Times New Roman" w:cs="Times New Roman"/>
          <w:sz w:val="24"/>
          <w:szCs w:val="24"/>
        </w:rPr>
        <w:t xml:space="preserve">starań, </w:t>
      </w:r>
      <w:r w:rsidRPr="00C75C71">
        <w:rPr>
          <w:rFonts w:ascii="Times New Roman" w:hAnsi="Times New Roman" w:cs="Times New Roman"/>
          <w:sz w:val="24"/>
          <w:szCs w:val="24"/>
        </w:rPr>
        <w:t>a</w:t>
      </w:r>
      <w:r w:rsidR="003A2CF6" w:rsidRPr="00C75C71">
        <w:rPr>
          <w:rFonts w:ascii="Times New Roman" w:hAnsi="Times New Roman" w:cs="Times New Roman"/>
          <w:sz w:val="24"/>
          <w:szCs w:val="24"/>
        </w:rPr>
        <w:t>by dostarczać rzetelnej wiedzy na temat zjawisk</w:t>
      </w:r>
      <w:r w:rsidR="00C75C71" w:rsidRPr="00C75C71">
        <w:rPr>
          <w:rFonts w:ascii="Times New Roman" w:hAnsi="Times New Roman" w:cs="Times New Roman"/>
          <w:sz w:val="24"/>
          <w:szCs w:val="24"/>
        </w:rPr>
        <w:t xml:space="preserve"> i </w:t>
      </w:r>
      <w:r w:rsidR="003A2CF6" w:rsidRPr="00C75C71">
        <w:rPr>
          <w:rFonts w:ascii="Times New Roman" w:hAnsi="Times New Roman" w:cs="Times New Roman"/>
          <w:sz w:val="24"/>
          <w:szCs w:val="24"/>
        </w:rPr>
        <w:t>procesów</w:t>
      </w:r>
      <w:r w:rsidRPr="00C75C71">
        <w:rPr>
          <w:rFonts w:ascii="Times New Roman" w:hAnsi="Times New Roman" w:cs="Times New Roman"/>
          <w:sz w:val="24"/>
          <w:szCs w:val="24"/>
        </w:rPr>
        <w:t xml:space="preserve"> dotyczących tej problematyki</w:t>
      </w:r>
      <w:r w:rsidR="003A2CF6" w:rsidRPr="00C75C71">
        <w:rPr>
          <w:rFonts w:ascii="Times New Roman" w:hAnsi="Times New Roman" w:cs="Times New Roman"/>
          <w:sz w:val="24"/>
          <w:szCs w:val="24"/>
        </w:rPr>
        <w:t>. Naszą analizą chcemy zainteresować władze samorządowe, środowiska zaangażowane</w:t>
      </w:r>
      <w:r w:rsidRPr="00C75C71">
        <w:rPr>
          <w:rFonts w:ascii="Times New Roman" w:hAnsi="Times New Roman" w:cs="Times New Roman"/>
          <w:sz w:val="24"/>
          <w:szCs w:val="24"/>
        </w:rPr>
        <w:t xml:space="preserve"> </w:t>
      </w:r>
      <w:r w:rsidR="00AE5712" w:rsidRPr="00C75C71">
        <w:rPr>
          <w:rFonts w:ascii="Times New Roman" w:hAnsi="Times New Roman" w:cs="Times New Roman"/>
          <w:sz w:val="24"/>
          <w:szCs w:val="24"/>
        </w:rPr>
        <w:t>w</w:t>
      </w:r>
      <w:r w:rsidRPr="00C75C71">
        <w:rPr>
          <w:rFonts w:ascii="Times New Roman" w:hAnsi="Times New Roman" w:cs="Times New Roman"/>
          <w:sz w:val="24"/>
          <w:szCs w:val="24"/>
        </w:rPr>
        <w:t xml:space="preserve"> </w:t>
      </w:r>
      <w:r w:rsidR="003A2CF6" w:rsidRPr="00C75C71">
        <w:rPr>
          <w:rFonts w:ascii="Times New Roman" w:hAnsi="Times New Roman" w:cs="Times New Roman"/>
          <w:sz w:val="24"/>
          <w:szCs w:val="24"/>
        </w:rPr>
        <w:t>bieżące problemy regionu</w:t>
      </w:r>
      <w:r w:rsidR="00A0535A" w:rsidRPr="00C75C71">
        <w:rPr>
          <w:rFonts w:ascii="Times New Roman" w:hAnsi="Times New Roman" w:cs="Times New Roman"/>
          <w:sz w:val="24"/>
          <w:szCs w:val="24"/>
        </w:rPr>
        <w:t>,</w:t>
      </w:r>
      <w:r w:rsidR="003A2CF6" w:rsidRPr="00C75C71">
        <w:rPr>
          <w:rFonts w:ascii="Times New Roman" w:hAnsi="Times New Roman" w:cs="Times New Roman"/>
          <w:sz w:val="24"/>
          <w:szCs w:val="24"/>
        </w:rPr>
        <w:t xml:space="preserve"> </w:t>
      </w:r>
      <w:r w:rsidR="004F7BD7" w:rsidRPr="00C75C71">
        <w:rPr>
          <w:rFonts w:ascii="Times New Roman" w:hAnsi="Times New Roman" w:cs="Times New Roman"/>
          <w:sz w:val="24"/>
          <w:szCs w:val="24"/>
        </w:rPr>
        <w:t xml:space="preserve">instytucje </w:t>
      </w:r>
      <w:r w:rsidR="003A2CF6" w:rsidRPr="00C75C71">
        <w:rPr>
          <w:rFonts w:ascii="Times New Roman" w:hAnsi="Times New Roman" w:cs="Times New Roman"/>
          <w:sz w:val="24"/>
          <w:szCs w:val="24"/>
        </w:rPr>
        <w:t>oświat</w:t>
      </w:r>
      <w:r w:rsidR="004F7BD7" w:rsidRPr="00C75C71">
        <w:rPr>
          <w:rFonts w:ascii="Times New Roman" w:hAnsi="Times New Roman" w:cs="Times New Roman"/>
          <w:sz w:val="24"/>
          <w:szCs w:val="24"/>
        </w:rPr>
        <w:t>owe</w:t>
      </w:r>
      <w:r w:rsidR="00A0535A" w:rsidRPr="00C75C71">
        <w:rPr>
          <w:rFonts w:ascii="Times New Roman" w:hAnsi="Times New Roman" w:cs="Times New Roman"/>
          <w:sz w:val="24"/>
          <w:szCs w:val="24"/>
        </w:rPr>
        <w:t xml:space="preserve"> </w:t>
      </w:r>
      <w:r w:rsidR="00AE5712" w:rsidRPr="00C75C71">
        <w:rPr>
          <w:rFonts w:ascii="Times New Roman" w:hAnsi="Times New Roman" w:cs="Times New Roman"/>
          <w:sz w:val="24"/>
          <w:szCs w:val="24"/>
        </w:rPr>
        <w:t>i</w:t>
      </w:r>
      <w:r w:rsidR="00A0535A" w:rsidRPr="00C75C71">
        <w:rPr>
          <w:rFonts w:ascii="Times New Roman" w:hAnsi="Times New Roman" w:cs="Times New Roman"/>
          <w:sz w:val="24"/>
          <w:szCs w:val="24"/>
        </w:rPr>
        <w:t xml:space="preserve"> </w:t>
      </w:r>
      <w:r w:rsidR="003A2CF6" w:rsidRPr="00C75C71">
        <w:rPr>
          <w:rFonts w:ascii="Times New Roman" w:hAnsi="Times New Roman" w:cs="Times New Roman"/>
          <w:sz w:val="24"/>
          <w:szCs w:val="24"/>
        </w:rPr>
        <w:t>szkoleniow</w:t>
      </w:r>
      <w:r w:rsidR="004F7BD7" w:rsidRPr="00C75C71">
        <w:rPr>
          <w:rFonts w:ascii="Times New Roman" w:hAnsi="Times New Roman" w:cs="Times New Roman"/>
          <w:sz w:val="24"/>
          <w:szCs w:val="24"/>
        </w:rPr>
        <w:t>e</w:t>
      </w:r>
      <w:r w:rsidR="00992E19" w:rsidRPr="00C75C71">
        <w:rPr>
          <w:rFonts w:ascii="Times New Roman" w:hAnsi="Times New Roman" w:cs="Times New Roman"/>
          <w:sz w:val="24"/>
          <w:szCs w:val="24"/>
        </w:rPr>
        <w:t xml:space="preserve"> </w:t>
      </w:r>
      <w:r w:rsidR="003A2CF6" w:rsidRPr="00C75C71">
        <w:rPr>
          <w:rFonts w:ascii="Times New Roman" w:hAnsi="Times New Roman" w:cs="Times New Roman"/>
          <w:sz w:val="24"/>
          <w:szCs w:val="24"/>
        </w:rPr>
        <w:t>–</w:t>
      </w:r>
      <w:r w:rsidR="00992E19" w:rsidRPr="00C75C71">
        <w:rPr>
          <w:rFonts w:ascii="Times New Roman" w:hAnsi="Times New Roman" w:cs="Times New Roman"/>
          <w:sz w:val="24"/>
          <w:szCs w:val="24"/>
        </w:rPr>
        <w:t xml:space="preserve"> </w:t>
      </w:r>
      <w:r w:rsidR="003A2CF6" w:rsidRPr="00C75C71">
        <w:rPr>
          <w:rFonts w:ascii="Times New Roman" w:hAnsi="Times New Roman" w:cs="Times New Roman"/>
          <w:sz w:val="24"/>
          <w:szCs w:val="24"/>
        </w:rPr>
        <w:t>zwłaszcza</w:t>
      </w:r>
      <w:r w:rsidR="00AE5712" w:rsidRPr="00C75C71">
        <w:rPr>
          <w:rFonts w:ascii="Times New Roman" w:hAnsi="Times New Roman" w:cs="Times New Roman"/>
          <w:sz w:val="24"/>
          <w:szCs w:val="24"/>
        </w:rPr>
        <w:t xml:space="preserve"> w</w:t>
      </w:r>
      <w:r w:rsidR="00992E19" w:rsidRPr="00C75C71">
        <w:rPr>
          <w:rFonts w:ascii="Times New Roman" w:hAnsi="Times New Roman" w:cs="Times New Roman"/>
          <w:sz w:val="24"/>
          <w:szCs w:val="24"/>
        </w:rPr>
        <w:t xml:space="preserve"> </w:t>
      </w:r>
      <w:r w:rsidR="003A2CF6" w:rsidRPr="00C75C71">
        <w:rPr>
          <w:rFonts w:ascii="Times New Roman" w:hAnsi="Times New Roman" w:cs="Times New Roman"/>
          <w:sz w:val="24"/>
          <w:szCs w:val="24"/>
        </w:rPr>
        <w:t>kwestii kształcenia zawodowego</w:t>
      </w:r>
      <w:r w:rsidR="00992E19" w:rsidRPr="00C75C71">
        <w:rPr>
          <w:rFonts w:ascii="Times New Roman" w:hAnsi="Times New Roman" w:cs="Times New Roman"/>
          <w:sz w:val="24"/>
          <w:szCs w:val="24"/>
        </w:rPr>
        <w:t xml:space="preserve"> </w:t>
      </w:r>
      <w:r w:rsidR="00AE5712" w:rsidRPr="00C75C71">
        <w:rPr>
          <w:rFonts w:ascii="Times New Roman" w:hAnsi="Times New Roman" w:cs="Times New Roman"/>
          <w:sz w:val="24"/>
          <w:szCs w:val="24"/>
        </w:rPr>
        <w:t>i</w:t>
      </w:r>
      <w:r w:rsidR="00C75C71" w:rsidRPr="00C75C71">
        <w:rPr>
          <w:rFonts w:ascii="Times New Roman" w:hAnsi="Times New Roman" w:cs="Times New Roman"/>
          <w:sz w:val="24"/>
          <w:szCs w:val="24"/>
        </w:rPr>
        <w:t> </w:t>
      </w:r>
      <w:r w:rsidR="003A2CF6" w:rsidRPr="00C75C71">
        <w:rPr>
          <w:rFonts w:ascii="Times New Roman" w:hAnsi="Times New Roman" w:cs="Times New Roman"/>
          <w:sz w:val="24"/>
          <w:szCs w:val="24"/>
        </w:rPr>
        <w:t xml:space="preserve">ustawicznego, organizacje pozarządowe działające na rzecz poszczególnych </w:t>
      </w:r>
      <w:r w:rsidRPr="00C75C71">
        <w:rPr>
          <w:rFonts w:ascii="Times New Roman" w:hAnsi="Times New Roman" w:cs="Times New Roman"/>
          <w:sz w:val="24"/>
          <w:szCs w:val="24"/>
        </w:rPr>
        <w:t xml:space="preserve">programów </w:t>
      </w:r>
      <w:r w:rsidR="003A2CF6" w:rsidRPr="00C75C71">
        <w:rPr>
          <w:rFonts w:ascii="Times New Roman" w:hAnsi="Times New Roman" w:cs="Times New Roman"/>
          <w:sz w:val="24"/>
          <w:szCs w:val="24"/>
        </w:rPr>
        <w:t>rynku pracy, czy –</w:t>
      </w:r>
      <w:r w:rsidR="00AE5712" w:rsidRPr="00C75C71">
        <w:rPr>
          <w:rFonts w:ascii="Times New Roman" w:hAnsi="Times New Roman" w:cs="Times New Roman"/>
          <w:sz w:val="24"/>
          <w:szCs w:val="24"/>
        </w:rPr>
        <w:t xml:space="preserve"> a</w:t>
      </w:r>
      <w:r w:rsidR="00992E19" w:rsidRPr="00C75C71">
        <w:rPr>
          <w:rFonts w:ascii="Times New Roman" w:hAnsi="Times New Roman" w:cs="Times New Roman"/>
          <w:sz w:val="24"/>
          <w:szCs w:val="24"/>
        </w:rPr>
        <w:t xml:space="preserve"> </w:t>
      </w:r>
      <w:r w:rsidR="003A2CF6" w:rsidRPr="00C75C71">
        <w:rPr>
          <w:rFonts w:ascii="Times New Roman" w:hAnsi="Times New Roman" w:cs="Times New Roman"/>
          <w:sz w:val="24"/>
          <w:szCs w:val="24"/>
        </w:rPr>
        <w:t xml:space="preserve">może przede wszystkim – </w:t>
      </w:r>
      <w:r w:rsidRPr="00C75C71">
        <w:rPr>
          <w:rFonts w:ascii="Times New Roman" w:hAnsi="Times New Roman" w:cs="Times New Roman"/>
          <w:sz w:val="24"/>
          <w:szCs w:val="24"/>
        </w:rPr>
        <w:t>pracodawców</w:t>
      </w:r>
      <w:r w:rsidR="003A2CF6" w:rsidRPr="00C75C71">
        <w:rPr>
          <w:rFonts w:ascii="Times New Roman" w:hAnsi="Times New Roman" w:cs="Times New Roman"/>
          <w:sz w:val="24"/>
          <w:szCs w:val="24"/>
        </w:rPr>
        <w:t>.</w:t>
      </w:r>
      <w:r w:rsidR="004B4002" w:rsidRPr="00C75C71">
        <w:rPr>
          <w:rFonts w:ascii="Times New Roman" w:hAnsi="Times New Roman" w:cs="Times New Roman"/>
          <w:sz w:val="24"/>
          <w:szCs w:val="24"/>
        </w:rPr>
        <w:t xml:space="preserve"> </w:t>
      </w:r>
      <w:r w:rsidR="003A2CF6" w:rsidRPr="00C75C71">
        <w:rPr>
          <w:rFonts w:ascii="Times New Roman" w:hAnsi="Times New Roman" w:cs="Times New Roman"/>
          <w:sz w:val="24"/>
          <w:szCs w:val="24"/>
        </w:rPr>
        <w:t xml:space="preserve">Prezentowane informacje </w:t>
      </w:r>
      <w:r w:rsidR="004F7BD7" w:rsidRPr="00C75C71">
        <w:rPr>
          <w:rFonts w:ascii="Times New Roman" w:hAnsi="Times New Roman" w:cs="Times New Roman"/>
          <w:sz w:val="24"/>
          <w:szCs w:val="24"/>
        </w:rPr>
        <w:t>w</w:t>
      </w:r>
      <w:r w:rsidR="00C75C71" w:rsidRPr="00C75C71">
        <w:rPr>
          <w:rFonts w:ascii="Times New Roman" w:hAnsi="Times New Roman" w:cs="Times New Roman"/>
          <w:sz w:val="24"/>
          <w:szCs w:val="24"/>
        </w:rPr>
        <w:t> </w:t>
      </w:r>
      <w:r w:rsidR="004F7BD7" w:rsidRPr="00C75C71">
        <w:rPr>
          <w:rFonts w:ascii="Times New Roman" w:hAnsi="Times New Roman" w:cs="Times New Roman"/>
          <w:sz w:val="24"/>
          <w:szCs w:val="24"/>
        </w:rPr>
        <w:t xml:space="preserve">znacznej części wynikają z </w:t>
      </w:r>
      <w:r w:rsidR="003A2CF6" w:rsidRPr="00C75C71">
        <w:rPr>
          <w:rFonts w:ascii="Times New Roman" w:hAnsi="Times New Roman" w:cs="Times New Roman"/>
          <w:sz w:val="24"/>
          <w:szCs w:val="24"/>
        </w:rPr>
        <w:t>obowiązującej sprawozdawczości rynku pracy.</w:t>
      </w:r>
      <w:r w:rsidR="00AE5712" w:rsidRPr="00C75C71">
        <w:rPr>
          <w:rFonts w:ascii="Times New Roman" w:hAnsi="Times New Roman" w:cs="Times New Roman"/>
          <w:sz w:val="24"/>
          <w:szCs w:val="24"/>
        </w:rPr>
        <w:t xml:space="preserve"> </w:t>
      </w:r>
      <w:r w:rsidR="00235A6B" w:rsidRPr="00C75C71">
        <w:rPr>
          <w:rFonts w:ascii="Times New Roman" w:hAnsi="Times New Roman" w:cs="Times New Roman"/>
          <w:sz w:val="24"/>
          <w:szCs w:val="24"/>
        </w:rPr>
        <w:t>W</w:t>
      </w:r>
      <w:r w:rsidR="00AE5712" w:rsidRPr="00C75C71">
        <w:rPr>
          <w:rFonts w:ascii="Times New Roman" w:hAnsi="Times New Roman" w:cs="Times New Roman"/>
          <w:sz w:val="24"/>
          <w:szCs w:val="24"/>
        </w:rPr>
        <w:t> </w:t>
      </w:r>
      <w:r w:rsidR="003A2CF6" w:rsidRPr="00C75C71">
        <w:rPr>
          <w:rFonts w:ascii="Times New Roman" w:hAnsi="Times New Roman" w:cs="Times New Roman"/>
          <w:sz w:val="24"/>
          <w:szCs w:val="24"/>
        </w:rPr>
        <w:t>ramach opracowania wykorzystano:</w:t>
      </w:r>
    </w:p>
    <w:p w:rsidR="003A2CF6" w:rsidRPr="00C75C71" w:rsidRDefault="003A2CF6" w:rsidP="003A2CF6">
      <w:pPr>
        <w:pStyle w:val="Default"/>
        <w:numPr>
          <w:ilvl w:val="0"/>
          <w:numId w:val="25"/>
        </w:numPr>
        <w:spacing w:line="360" w:lineRule="auto"/>
        <w:ind w:left="426" w:hanging="426"/>
        <w:jc w:val="both"/>
      </w:pPr>
      <w:r w:rsidRPr="00C75C71">
        <w:t>sprawozdanie MPiPS-01,</w:t>
      </w:r>
      <w:r w:rsidR="00AE5712" w:rsidRPr="00C75C71">
        <w:t xml:space="preserve"> o</w:t>
      </w:r>
      <w:r w:rsidR="00992E19" w:rsidRPr="00C75C71">
        <w:t xml:space="preserve"> </w:t>
      </w:r>
      <w:r w:rsidRPr="00C75C71">
        <w:t>rynku pracy</w:t>
      </w:r>
      <w:r w:rsidR="00AE5712" w:rsidRPr="00C75C71">
        <w:t xml:space="preserve"> w</w:t>
      </w:r>
      <w:r w:rsidR="00992E19" w:rsidRPr="00C75C71">
        <w:t xml:space="preserve"> w</w:t>
      </w:r>
      <w:r w:rsidRPr="00C75C71">
        <w:t>ojewództwie podkarpackim za 201</w:t>
      </w:r>
      <w:r w:rsidR="00C75C71" w:rsidRPr="00C75C71">
        <w:t>8</w:t>
      </w:r>
      <w:r w:rsidR="00992E19" w:rsidRPr="00C75C71">
        <w:t xml:space="preserve"> </w:t>
      </w:r>
      <w:r w:rsidR="00AE5712" w:rsidRPr="00C75C71">
        <w:t>r</w:t>
      </w:r>
      <w:r w:rsidR="00507831" w:rsidRPr="00C75C71">
        <w:t>ok</w:t>
      </w:r>
      <w:r w:rsidRPr="00C75C71">
        <w:t>,</w:t>
      </w:r>
      <w:r w:rsidR="00AE5712" w:rsidRPr="00C75C71">
        <w:t xml:space="preserve"> w </w:t>
      </w:r>
      <w:r w:rsidRPr="00C75C71">
        <w:t>tym również</w:t>
      </w:r>
    </w:p>
    <w:p w:rsidR="003A2CF6" w:rsidRPr="00C75C71" w:rsidRDefault="003A2CF6" w:rsidP="003A2CF6">
      <w:pPr>
        <w:pStyle w:val="Default"/>
        <w:numPr>
          <w:ilvl w:val="1"/>
          <w:numId w:val="25"/>
        </w:numPr>
        <w:spacing w:line="360" w:lineRule="auto"/>
        <w:jc w:val="both"/>
      </w:pPr>
      <w:r w:rsidRPr="00C75C71">
        <w:t>załącznik nr 1 do sprawozdania</w:t>
      </w:r>
      <w:r w:rsidR="00AE5712" w:rsidRPr="00C75C71">
        <w:t xml:space="preserve"> o</w:t>
      </w:r>
      <w:r w:rsidR="00992E19" w:rsidRPr="00C75C71">
        <w:t xml:space="preserve"> </w:t>
      </w:r>
      <w:r w:rsidRPr="00C75C71">
        <w:t>rynku pracy MPiPS-01 – bezrobotni oraz poszukujący pracy według czasu pozostawania bez pracy, wieku, poziomu wykształcenia</w:t>
      </w:r>
      <w:r w:rsidR="00AE5712" w:rsidRPr="00C75C71">
        <w:t xml:space="preserve"> i </w:t>
      </w:r>
      <w:r w:rsidRPr="00C75C71">
        <w:t>stażu pracy;</w:t>
      </w:r>
    </w:p>
    <w:p w:rsidR="003A2CF6" w:rsidRPr="00C75C71" w:rsidRDefault="003A2CF6" w:rsidP="003A2CF6">
      <w:pPr>
        <w:pStyle w:val="Default"/>
        <w:numPr>
          <w:ilvl w:val="1"/>
          <w:numId w:val="25"/>
        </w:numPr>
        <w:spacing w:line="360" w:lineRule="auto"/>
        <w:jc w:val="both"/>
      </w:pPr>
      <w:r w:rsidRPr="00C75C71">
        <w:t>załącznik nr 2 do sprawozdania MPiPS-01 – bezrobotni według rodzaju działalności ostatniego miejsca pracy, poszukujący pracy oraz wolne miejsca pracy</w:t>
      </w:r>
      <w:r w:rsidR="00AE5712" w:rsidRPr="00C75C71">
        <w:t xml:space="preserve"> i </w:t>
      </w:r>
      <w:r w:rsidRPr="00C75C71">
        <w:t>miejsca aktywizacji zawodowej;</w:t>
      </w:r>
    </w:p>
    <w:p w:rsidR="003A2CF6" w:rsidRPr="00C75C71" w:rsidRDefault="00235A6B" w:rsidP="00235A6B">
      <w:pPr>
        <w:pStyle w:val="Default"/>
        <w:numPr>
          <w:ilvl w:val="1"/>
          <w:numId w:val="25"/>
        </w:numPr>
        <w:spacing w:line="360" w:lineRule="auto"/>
        <w:jc w:val="both"/>
      </w:pPr>
      <w:r w:rsidRPr="00C75C71">
        <w:t>załącznik nr 3 do sprawozdania MPiPS-01 – bezrobotni oraz  wolne miejsca pracy i miejsca aktywizacji zawodowej według zawodów i specjalności</w:t>
      </w:r>
      <w:r w:rsidR="002B03E5" w:rsidRPr="00C75C71">
        <w:t>.</w:t>
      </w:r>
    </w:p>
    <w:p w:rsidR="00235A6B" w:rsidRPr="00C75C71" w:rsidRDefault="00235A6B" w:rsidP="00235A6B">
      <w:pPr>
        <w:pStyle w:val="Default"/>
        <w:numPr>
          <w:ilvl w:val="0"/>
          <w:numId w:val="25"/>
        </w:numPr>
        <w:spacing w:line="360" w:lineRule="auto"/>
        <w:ind w:left="426" w:hanging="426"/>
        <w:jc w:val="both"/>
      </w:pPr>
      <w:r w:rsidRPr="00C75C71">
        <w:t>MPiPS-02 – sprawozdanie o przychodach i wydatkach Funduszu Pracy.</w:t>
      </w:r>
    </w:p>
    <w:p w:rsidR="003A2CF6" w:rsidRPr="00C75C71" w:rsidRDefault="003A2CF6" w:rsidP="003A2CF6">
      <w:pPr>
        <w:pStyle w:val="Default"/>
        <w:numPr>
          <w:ilvl w:val="0"/>
          <w:numId w:val="25"/>
        </w:numPr>
        <w:spacing w:line="360" w:lineRule="auto"/>
        <w:ind w:left="426" w:hanging="426"/>
        <w:jc w:val="both"/>
      </w:pPr>
      <w:r w:rsidRPr="00C75C71">
        <w:t>Sprawozdanie</w:t>
      </w:r>
      <w:r w:rsidR="00AE5712" w:rsidRPr="00C75C71">
        <w:t xml:space="preserve"> z </w:t>
      </w:r>
      <w:r w:rsidRPr="00C75C71">
        <w:t>realizacji wsparcia</w:t>
      </w:r>
      <w:r w:rsidR="00AE5712" w:rsidRPr="00C75C71">
        <w:t xml:space="preserve"> w </w:t>
      </w:r>
      <w:r w:rsidRPr="00C75C71">
        <w:t>ramach Funduszu Gwarantowanych Świadczeń Pracowniczych</w:t>
      </w:r>
      <w:r w:rsidR="00AE5712" w:rsidRPr="00C75C71">
        <w:t xml:space="preserve"> w </w:t>
      </w:r>
      <w:r w:rsidRPr="00C75C71">
        <w:t>województwie podkarpackim.</w:t>
      </w:r>
    </w:p>
    <w:p w:rsidR="001477F2" w:rsidRPr="00C75C71" w:rsidRDefault="001477F2" w:rsidP="001477F2">
      <w:pPr>
        <w:spacing w:after="0" w:line="240" w:lineRule="auto"/>
        <w:jc w:val="both"/>
        <w:rPr>
          <w:rFonts w:ascii="Times New Roman" w:hAnsi="Times New Roman" w:cs="Times New Roman"/>
          <w:sz w:val="16"/>
          <w:szCs w:val="16"/>
          <w:highlight w:val="yellow"/>
        </w:rPr>
      </w:pPr>
    </w:p>
    <w:p w:rsidR="001477F2" w:rsidRPr="00C75C71" w:rsidRDefault="001477F2" w:rsidP="001477F2">
      <w:pPr>
        <w:spacing w:after="0" w:line="360" w:lineRule="auto"/>
        <w:ind w:firstLine="709"/>
        <w:jc w:val="both"/>
        <w:rPr>
          <w:rFonts w:ascii="Times New Roman" w:hAnsi="Times New Roman" w:cs="Times New Roman"/>
          <w:sz w:val="24"/>
          <w:szCs w:val="24"/>
        </w:rPr>
      </w:pPr>
      <w:r w:rsidRPr="00C75C71">
        <w:rPr>
          <w:rFonts w:ascii="Times New Roman" w:hAnsi="Times New Roman" w:cs="Times New Roman"/>
          <w:sz w:val="24"/>
          <w:szCs w:val="24"/>
        </w:rPr>
        <w:t>Informacja w głównym zakresie obejmuje 201</w:t>
      </w:r>
      <w:r w:rsidR="00C75C71" w:rsidRPr="00C75C71">
        <w:rPr>
          <w:rFonts w:ascii="Times New Roman" w:hAnsi="Times New Roman" w:cs="Times New Roman"/>
          <w:sz w:val="24"/>
          <w:szCs w:val="24"/>
        </w:rPr>
        <w:t>8 rok</w:t>
      </w:r>
      <w:r w:rsidR="00931A5A" w:rsidRPr="00C75C71">
        <w:rPr>
          <w:rFonts w:ascii="Times New Roman" w:hAnsi="Times New Roman" w:cs="Times New Roman"/>
          <w:sz w:val="24"/>
          <w:szCs w:val="24"/>
        </w:rPr>
        <w:t>.</w:t>
      </w:r>
      <w:r w:rsidRPr="00C75C71">
        <w:rPr>
          <w:rFonts w:ascii="Times New Roman" w:hAnsi="Times New Roman" w:cs="Times New Roman"/>
          <w:sz w:val="24"/>
          <w:szCs w:val="24"/>
        </w:rPr>
        <w:t xml:space="preserve"> </w:t>
      </w:r>
      <w:r w:rsidR="004B4002" w:rsidRPr="00C75C71">
        <w:rPr>
          <w:rFonts w:ascii="Times New Roman" w:hAnsi="Times New Roman" w:cs="Times New Roman"/>
          <w:sz w:val="24"/>
          <w:szCs w:val="24"/>
        </w:rPr>
        <w:t>P</w:t>
      </w:r>
      <w:r w:rsidRPr="00C75C71">
        <w:rPr>
          <w:rFonts w:ascii="Times New Roman" w:hAnsi="Times New Roman" w:cs="Times New Roman"/>
          <w:sz w:val="24"/>
          <w:szCs w:val="24"/>
        </w:rPr>
        <w:t>ogłębiona analiza opisywanych zjawisk jest porównywalna z analogicznym okresem roku ubiegłego. Jednocześnie w</w:t>
      </w:r>
      <w:r w:rsidR="004B4002" w:rsidRPr="00C75C71">
        <w:rPr>
          <w:rFonts w:ascii="Times New Roman" w:hAnsi="Times New Roman" w:cs="Times New Roman"/>
          <w:sz w:val="24"/>
          <w:szCs w:val="24"/>
        </w:rPr>
        <w:t> </w:t>
      </w:r>
      <w:r w:rsidRPr="00C75C71">
        <w:rPr>
          <w:rFonts w:ascii="Times New Roman" w:hAnsi="Times New Roman" w:cs="Times New Roman"/>
          <w:sz w:val="24"/>
          <w:szCs w:val="24"/>
        </w:rPr>
        <w:t>uzasadnionych przypadkach dla dokładniejszego odzwierciedlenia zachowanych zmian odwoływano się do szerszej perspektywy lat wcześniejszych.</w:t>
      </w:r>
    </w:p>
    <w:p w:rsidR="000C0BD0" w:rsidRPr="000C0BD0" w:rsidRDefault="003A2CF6" w:rsidP="003A2CF6">
      <w:pPr>
        <w:spacing w:after="0" w:line="360" w:lineRule="auto"/>
        <w:ind w:firstLine="709"/>
        <w:jc w:val="both"/>
        <w:rPr>
          <w:rFonts w:ascii="Times New Roman" w:hAnsi="Times New Roman" w:cs="Times New Roman"/>
          <w:sz w:val="24"/>
          <w:szCs w:val="24"/>
        </w:rPr>
      </w:pPr>
      <w:r w:rsidRPr="00FE6E10">
        <w:rPr>
          <w:rFonts w:ascii="Times New Roman" w:hAnsi="Times New Roman" w:cs="Times New Roman"/>
          <w:sz w:val="24"/>
          <w:szCs w:val="24"/>
        </w:rPr>
        <w:t>Pomimo</w:t>
      </w:r>
      <w:r w:rsidR="00507831" w:rsidRPr="00FE6E10">
        <w:rPr>
          <w:rFonts w:ascii="Times New Roman" w:hAnsi="Times New Roman" w:cs="Times New Roman"/>
          <w:sz w:val="24"/>
          <w:szCs w:val="24"/>
        </w:rPr>
        <w:t xml:space="preserve"> </w:t>
      </w:r>
      <w:r w:rsidR="00FE4D21" w:rsidRPr="00FE6E10">
        <w:rPr>
          <w:rFonts w:ascii="Times New Roman" w:hAnsi="Times New Roman" w:cs="Times New Roman"/>
          <w:sz w:val="24"/>
          <w:szCs w:val="24"/>
        </w:rPr>
        <w:t xml:space="preserve">oczywistych </w:t>
      </w:r>
      <w:r w:rsidRPr="00FE6E10">
        <w:rPr>
          <w:rFonts w:ascii="Times New Roman" w:hAnsi="Times New Roman" w:cs="Times New Roman"/>
          <w:sz w:val="24"/>
          <w:szCs w:val="24"/>
        </w:rPr>
        <w:t xml:space="preserve">niedoskonałości danych </w:t>
      </w:r>
      <w:r w:rsidR="00927E06" w:rsidRPr="00FE6E10">
        <w:rPr>
          <w:rFonts w:ascii="Times New Roman" w:hAnsi="Times New Roman" w:cs="Times New Roman"/>
          <w:sz w:val="24"/>
          <w:szCs w:val="24"/>
        </w:rPr>
        <w:t>sprawozdawczych</w:t>
      </w:r>
      <w:r w:rsidRPr="00FE6E10">
        <w:rPr>
          <w:rFonts w:ascii="Times New Roman" w:hAnsi="Times New Roman" w:cs="Times New Roman"/>
          <w:sz w:val="24"/>
          <w:szCs w:val="24"/>
        </w:rPr>
        <w:t>, takich jak ograniczenie do zjawisk rejestrowanych</w:t>
      </w:r>
      <w:r w:rsidR="001477F2" w:rsidRPr="00FE6E10">
        <w:rPr>
          <w:rFonts w:ascii="Times New Roman" w:hAnsi="Times New Roman" w:cs="Times New Roman"/>
          <w:sz w:val="24"/>
          <w:szCs w:val="24"/>
        </w:rPr>
        <w:t xml:space="preserve"> </w:t>
      </w:r>
      <w:r w:rsidR="00AE5712" w:rsidRPr="00FE6E10">
        <w:rPr>
          <w:rFonts w:ascii="Times New Roman" w:hAnsi="Times New Roman" w:cs="Times New Roman"/>
          <w:sz w:val="24"/>
          <w:szCs w:val="24"/>
        </w:rPr>
        <w:t>w</w:t>
      </w:r>
      <w:r w:rsidR="001477F2" w:rsidRPr="00FE6E10">
        <w:rPr>
          <w:rFonts w:ascii="Times New Roman" w:hAnsi="Times New Roman" w:cs="Times New Roman"/>
          <w:sz w:val="24"/>
          <w:szCs w:val="24"/>
        </w:rPr>
        <w:t xml:space="preserve"> </w:t>
      </w:r>
      <w:r w:rsidRPr="00FE6E10">
        <w:rPr>
          <w:rFonts w:ascii="Times New Roman" w:hAnsi="Times New Roman" w:cs="Times New Roman"/>
          <w:sz w:val="24"/>
          <w:szCs w:val="24"/>
        </w:rPr>
        <w:t>statystykach</w:t>
      </w:r>
      <w:r w:rsidR="00AE5712" w:rsidRPr="00FE6E10">
        <w:rPr>
          <w:rFonts w:ascii="Times New Roman" w:hAnsi="Times New Roman" w:cs="Times New Roman"/>
          <w:sz w:val="24"/>
          <w:szCs w:val="24"/>
        </w:rPr>
        <w:t xml:space="preserve"> i </w:t>
      </w:r>
      <w:r w:rsidRPr="00FE6E10">
        <w:rPr>
          <w:rFonts w:ascii="Times New Roman" w:hAnsi="Times New Roman" w:cs="Times New Roman"/>
          <w:sz w:val="24"/>
          <w:szCs w:val="24"/>
        </w:rPr>
        <w:t xml:space="preserve">pomijanie obszaru tzw. „szarej strefy” – jest to </w:t>
      </w:r>
      <w:r w:rsidR="00374127" w:rsidRPr="00FE6E10">
        <w:rPr>
          <w:rFonts w:ascii="Times New Roman" w:hAnsi="Times New Roman" w:cs="Times New Roman"/>
          <w:sz w:val="24"/>
          <w:szCs w:val="24"/>
        </w:rPr>
        <w:t>istotny</w:t>
      </w:r>
      <w:r w:rsidRPr="00FE6E10">
        <w:rPr>
          <w:rFonts w:ascii="Times New Roman" w:hAnsi="Times New Roman" w:cs="Times New Roman"/>
          <w:sz w:val="24"/>
          <w:szCs w:val="24"/>
        </w:rPr>
        <w:t xml:space="preserve"> zasób informacji, który ukazuje aktualny stan zatrudnienia, </w:t>
      </w:r>
      <w:r w:rsidRPr="00FE6E10">
        <w:rPr>
          <w:rFonts w:ascii="Times New Roman" w:hAnsi="Times New Roman" w:cs="Times New Roman"/>
          <w:sz w:val="24"/>
          <w:szCs w:val="24"/>
        </w:rPr>
        <w:lastRenderedPageBreak/>
        <w:t>przedsiębiorczości</w:t>
      </w:r>
      <w:r w:rsidR="00871609" w:rsidRPr="00FE6E10">
        <w:rPr>
          <w:rFonts w:ascii="Times New Roman" w:hAnsi="Times New Roman" w:cs="Times New Roman"/>
          <w:sz w:val="24"/>
          <w:szCs w:val="24"/>
        </w:rPr>
        <w:t xml:space="preserve"> i</w:t>
      </w:r>
      <w:r w:rsidRPr="00FE6E10">
        <w:rPr>
          <w:rFonts w:ascii="Times New Roman" w:hAnsi="Times New Roman" w:cs="Times New Roman"/>
          <w:sz w:val="24"/>
          <w:szCs w:val="24"/>
        </w:rPr>
        <w:t xml:space="preserve"> </w:t>
      </w:r>
      <w:r w:rsidR="00871609" w:rsidRPr="00FE6E10">
        <w:rPr>
          <w:rFonts w:ascii="Times New Roman" w:hAnsi="Times New Roman" w:cs="Times New Roman"/>
          <w:sz w:val="24"/>
          <w:szCs w:val="24"/>
        </w:rPr>
        <w:t xml:space="preserve">możliwości aktywizowania różnych grup osób </w:t>
      </w:r>
      <w:r w:rsidR="00FE6E10">
        <w:rPr>
          <w:rFonts w:ascii="Times New Roman" w:hAnsi="Times New Roman" w:cs="Times New Roman"/>
          <w:sz w:val="24"/>
          <w:szCs w:val="24"/>
        </w:rPr>
        <w:t>pozostających poza rynkiem pracy</w:t>
      </w:r>
      <w:r w:rsidR="006013BF">
        <w:rPr>
          <w:rFonts w:ascii="Times New Roman" w:hAnsi="Times New Roman" w:cs="Times New Roman"/>
          <w:sz w:val="24"/>
          <w:szCs w:val="24"/>
        </w:rPr>
        <w:t>.</w:t>
      </w:r>
      <w:r w:rsidR="00FE6E10">
        <w:rPr>
          <w:rFonts w:ascii="Times New Roman" w:hAnsi="Times New Roman" w:cs="Times New Roman"/>
          <w:sz w:val="24"/>
          <w:szCs w:val="24"/>
        </w:rPr>
        <w:t xml:space="preserve"> </w:t>
      </w:r>
      <w:r w:rsidR="006013BF">
        <w:rPr>
          <w:rFonts w:ascii="Times New Roman" w:hAnsi="Times New Roman" w:cs="Times New Roman"/>
          <w:sz w:val="24"/>
          <w:szCs w:val="24"/>
        </w:rPr>
        <w:t xml:space="preserve">Pracowników </w:t>
      </w:r>
      <w:r w:rsidR="000C0BD0">
        <w:rPr>
          <w:rFonts w:ascii="Times New Roman" w:hAnsi="Times New Roman" w:cs="Times New Roman"/>
          <w:sz w:val="24"/>
          <w:szCs w:val="24"/>
        </w:rPr>
        <w:t xml:space="preserve">z różnych przyczyn </w:t>
      </w:r>
      <w:r w:rsidR="00871609" w:rsidRPr="00FE6E10">
        <w:rPr>
          <w:rFonts w:ascii="Times New Roman" w:hAnsi="Times New Roman" w:cs="Times New Roman"/>
          <w:sz w:val="24"/>
          <w:szCs w:val="24"/>
        </w:rPr>
        <w:t>nieaktywnych zawodowo</w:t>
      </w:r>
      <w:r w:rsidR="000C0BD0">
        <w:rPr>
          <w:rFonts w:ascii="Times New Roman" w:hAnsi="Times New Roman" w:cs="Times New Roman"/>
          <w:sz w:val="24"/>
          <w:szCs w:val="24"/>
        </w:rPr>
        <w:t xml:space="preserve">, </w:t>
      </w:r>
      <w:r w:rsidR="000C0BD0" w:rsidRPr="000C0BD0">
        <w:rPr>
          <w:rFonts w:ascii="Times New Roman" w:hAnsi="Times New Roman" w:cs="Times New Roman"/>
          <w:sz w:val="24"/>
          <w:szCs w:val="24"/>
        </w:rPr>
        <w:t>a </w:t>
      </w:r>
      <w:r w:rsidR="00871609" w:rsidRPr="000C0BD0">
        <w:rPr>
          <w:rFonts w:ascii="Times New Roman" w:hAnsi="Times New Roman" w:cs="Times New Roman"/>
          <w:sz w:val="24"/>
          <w:szCs w:val="24"/>
        </w:rPr>
        <w:t>obecnych na rynku pracy</w:t>
      </w:r>
      <w:r w:rsidR="000C0BD0" w:rsidRPr="000C0BD0">
        <w:rPr>
          <w:rFonts w:ascii="Times New Roman" w:hAnsi="Times New Roman" w:cs="Times New Roman"/>
          <w:sz w:val="24"/>
          <w:szCs w:val="24"/>
        </w:rPr>
        <w:t xml:space="preserve"> </w:t>
      </w:r>
      <w:r w:rsidR="000C0BD0">
        <w:rPr>
          <w:rFonts w:ascii="Times New Roman" w:hAnsi="Times New Roman" w:cs="Times New Roman"/>
          <w:sz w:val="24"/>
          <w:szCs w:val="24"/>
        </w:rPr>
        <w:t xml:space="preserve">dla efektywniejszego </w:t>
      </w:r>
      <w:r w:rsidR="000C0BD0" w:rsidRPr="000C0BD0">
        <w:rPr>
          <w:rFonts w:ascii="Times New Roman" w:hAnsi="Times New Roman" w:cs="Times New Roman"/>
          <w:sz w:val="24"/>
          <w:szCs w:val="24"/>
        </w:rPr>
        <w:t xml:space="preserve">wykorzystania </w:t>
      </w:r>
      <w:r w:rsidR="006013BF">
        <w:rPr>
          <w:rFonts w:ascii="Times New Roman" w:hAnsi="Times New Roman" w:cs="Times New Roman"/>
          <w:sz w:val="24"/>
          <w:szCs w:val="24"/>
        </w:rPr>
        <w:t xml:space="preserve">kapitału społecznego </w:t>
      </w:r>
      <w:r w:rsidR="000C0BD0">
        <w:rPr>
          <w:rFonts w:ascii="Times New Roman" w:hAnsi="Times New Roman" w:cs="Times New Roman"/>
          <w:sz w:val="24"/>
          <w:szCs w:val="24"/>
        </w:rPr>
        <w:t>i</w:t>
      </w:r>
      <w:r w:rsidR="006013BF">
        <w:rPr>
          <w:rFonts w:ascii="Times New Roman" w:hAnsi="Times New Roman" w:cs="Times New Roman"/>
          <w:sz w:val="24"/>
          <w:szCs w:val="24"/>
        </w:rPr>
        <w:t> </w:t>
      </w:r>
      <w:r w:rsidR="000C0BD0">
        <w:rPr>
          <w:rFonts w:ascii="Times New Roman" w:hAnsi="Times New Roman" w:cs="Times New Roman"/>
          <w:sz w:val="24"/>
          <w:szCs w:val="24"/>
        </w:rPr>
        <w:t>wzmocnienia pozytywnych tendencji na rynku pracy</w:t>
      </w:r>
      <w:r w:rsidR="006013BF">
        <w:rPr>
          <w:rFonts w:ascii="Times New Roman" w:hAnsi="Times New Roman" w:cs="Times New Roman"/>
          <w:sz w:val="24"/>
          <w:szCs w:val="24"/>
        </w:rPr>
        <w:t xml:space="preserve"> skutkujących </w:t>
      </w:r>
      <w:r w:rsidR="000C0BD0">
        <w:rPr>
          <w:rFonts w:ascii="Times New Roman" w:hAnsi="Times New Roman" w:cs="Times New Roman"/>
          <w:sz w:val="24"/>
          <w:szCs w:val="24"/>
        </w:rPr>
        <w:t>utrzymani</w:t>
      </w:r>
      <w:r w:rsidR="006013BF">
        <w:rPr>
          <w:rFonts w:ascii="Times New Roman" w:hAnsi="Times New Roman" w:cs="Times New Roman"/>
          <w:sz w:val="24"/>
          <w:szCs w:val="24"/>
        </w:rPr>
        <w:t>em</w:t>
      </w:r>
      <w:r w:rsidR="000C0BD0">
        <w:rPr>
          <w:rFonts w:ascii="Times New Roman" w:hAnsi="Times New Roman" w:cs="Times New Roman"/>
          <w:sz w:val="24"/>
          <w:szCs w:val="24"/>
        </w:rPr>
        <w:t xml:space="preserve"> wzrostu gospodarczego</w:t>
      </w:r>
      <w:r w:rsidR="00871609" w:rsidRPr="000C0BD0">
        <w:rPr>
          <w:rFonts w:ascii="Times New Roman" w:hAnsi="Times New Roman" w:cs="Times New Roman"/>
          <w:sz w:val="24"/>
          <w:szCs w:val="24"/>
        </w:rPr>
        <w:t>.</w:t>
      </w:r>
    </w:p>
    <w:p w:rsidR="003A2CF6" w:rsidRPr="006013BF" w:rsidRDefault="003A2CF6" w:rsidP="003A2CF6">
      <w:pPr>
        <w:spacing w:after="0" w:line="360" w:lineRule="auto"/>
        <w:ind w:firstLine="709"/>
        <w:jc w:val="both"/>
        <w:rPr>
          <w:rFonts w:ascii="Times New Roman" w:hAnsi="Times New Roman" w:cs="Times New Roman"/>
          <w:sz w:val="24"/>
          <w:szCs w:val="24"/>
        </w:rPr>
      </w:pPr>
      <w:r w:rsidRPr="006013BF">
        <w:rPr>
          <w:rFonts w:ascii="Times New Roman" w:hAnsi="Times New Roman" w:cs="Times New Roman"/>
          <w:sz w:val="24"/>
          <w:szCs w:val="24"/>
        </w:rPr>
        <w:t xml:space="preserve">Analiza </w:t>
      </w:r>
      <w:r w:rsidR="00374127" w:rsidRPr="006013BF">
        <w:rPr>
          <w:rFonts w:ascii="Times New Roman" w:hAnsi="Times New Roman" w:cs="Times New Roman"/>
          <w:sz w:val="24"/>
          <w:szCs w:val="24"/>
        </w:rPr>
        <w:t xml:space="preserve">sytuacji na rynku pracy województwa podkarpackiego </w:t>
      </w:r>
      <w:r w:rsidRPr="006013BF">
        <w:rPr>
          <w:rFonts w:ascii="Times New Roman" w:hAnsi="Times New Roman" w:cs="Times New Roman"/>
          <w:sz w:val="24"/>
          <w:szCs w:val="24"/>
        </w:rPr>
        <w:t xml:space="preserve">jest </w:t>
      </w:r>
      <w:r w:rsidR="00374127" w:rsidRPr="006013BF">
        <w:rPr>
          <w:rFonts w:ascii="Times New Roman" w:hAnsi="Times New Roman" w:cs="Times New Roman"/>
          <w:sz w:val="24"/>
          <w:szCs w:val="24"/>
        </w:rPr>
        <w:t>porównywalna</w:t>
      </w:r>
      <w:r w:rsidR="00AE5712" w:rsidRPr="006013BF">
        <w:rPr>
          <w:rFonts w:ascii="Times New Roman" w:hAnsi="Times New Roman" w:cs="Times New Roman"/>
          <w:sz w:val="24"/>
          <w:szCs w:val="24"/>
        </w:rPr>
        <w:t xml:space="preserve"> z </w:t>
      </w:r>
      <w:r w:rsidRPr="006013BF">
        <w:rPr>
          <w:rFonts w:ascii="Times New Roman" w:hAnsi="Times New Roman" w:cs="Times New Roman"/>
          <w:sz w:val="24"/>
          <w:szCs w:val="24"/>
        </w:rPr>
        <w:t xml:space="preserve">analogicznymi </w:t>
      </w:r>
      <w:r w:rsidR="002D1667" w:rsidRPr="006013BF">
        <w:rPr>
          <w:rFonts w:ascii="Times New Roman" w:hAnsi="Times New Roman" w:cs="Times New Roman"/>
          <w:sz w:val="24"/>
          <w:szCs w:val="24"/>
        </w:rPr>
        <w:t xml:space="preserve">publikatorami </w:t>
      </w:r>
      <w:r w:rsidRPr="006013BF">
        <w:rPr>
          <w:rFonts w:ascii="Times New Roman" w:hAnsi="Times New Roman" w:cs="Times New Roman"/>
          <w:sz w:val="24"/>
          <w:szCs w:val="24"/>
        </w:rPr>
        <w:t>lat</w:t>
      </w:r>
      <w:r w:rsidR="00AE5712" w:rsidRPr="006013BF">
        <w:rPr>
          <w:rFonts w:ascii="Times New Roman" w:hAnsi="Times New Roman" w:cs="Times New Roman"/>
          <w:sz w:val="24"/>
          <w:szCs w:val="24"/>
        </w:rPr>
        <w:t xml:space="preserve"> </w:t>
      </w:r>
      <w:r w:rsidR="002D1667" w:rsidRPr="006013BF">
        <w:rPr>
          <w:rFonts w:ascii="Times New Roman" w:hAnsi="Times New Roman" w:cs="Times New Roman"/>
          <w:sz w:val="24"/>
          <w:szCs w:val="24"/>
        </w:rPr>
        <w:t>ubiegłych</w:t>
      </w:r>
      <w:r w:rsidR="006013BF">
        <w:rPr>
          <w:rFonts w:ascii="Times New Roman" w:hAnsi="Times New Roman" w:cs="Times New Roman"/>
          <w:sz w:val="24"/>
          <w:szCs w:val="24"/>
        </w:rPr>
        <w:t>.</w:t>
      </w:r>
      <w:r w:rsidR="002D1667" w:rsidRPr="006013BF">
        <w:rPr>
          <w:rFonts w:ascii="Times New Roman" w:hAnsi="Times New Roman" w:cs="Times New Roman"/>
          <w:sz w:val="24"/>
          <w:szCs w:val="24"/>
        </w:rPr>
        <w:t xml:space="preserve"> </w:t>
      </w:r>
      <w:r w:rsidR="006013BF">
        <w:rPr>
          <w:rFonts w:ascii="Times New Roman" w:hAnsi="Times New Roman" w:cs="Times New Roman"/>
          <w:sz w:val="24"/>
          <w:szCs w:val="24"/>
        </w:rPr>
        <w:t>P</w:t>
      </w:r>
      <w:r w:rsidRPr="006013BF">
        <w:rPr>
          <w:rFonts w:ascii="Times New Roman" w:hAnsi="Times New Roman" w:cs="Times New Roman"/>
          <w:sz w:val="24"/>
          <w:szCs w:val="24"/>
        </w:rPr>
        <w:t>okazuje</w:t>
      </w:r>
      <w:r w:rsidR="002D1667" w:rsidRPr="006013BF">
        <w:rPr>
          <w:rFonts w:ascii="Times New Roman" w:hAnsi="Times New Roman" w:cs="Times New Roman"/>
          <w:sz w:val="24"/>
          <w:szCs w:val="24"/>
        </w:rPr>
        <w:t xml:space="preserve"> </w:t>
      </w:r>
      <w:r w:rsidR="006013BF">
        <w:rPr>
          <w:rFonts w:ascii="Times New Roman" w:hAnsi="Times New Roman" w:cs="Times New Roman"/>
          <w:sz w:val="24"/>
          <w:szCs w:val="24"/>
        </w:rPr>
        <w:t>stan rynku pracy</w:t>
      </w:r>
      <w:r w:rsidR="00516B56" w:rsidRPr="006013BF">
        <w:rPr>
          <w:rFonts w:ascii="Times New Roman" w:hAnsi="Times New Roman" w:cs="Times New Roman"/>
          <w:sz w:val="24"/>
          <w:szCs w:val="24"/>
        </w:rPr>
        <w:t>.</w:t>
      </w:r>
      <w:r w:rsidRPr="006013BF">
        <w:rPr>
          <w:rFonts w:ascii="Times New Roman" w:hAnsi="Times New Roman" w:cs="Times New Roman"/>
          <w:sz w:val="24"/>
          <w:szCs w:val="24"/>
        </w:rPr>
        <w:t xml:space="preserve"> </w:t>
      </w:r>
      <w:r w:rsidR="00516B56" w:rsidRPr="006013BF">
        <w:rPr>
          <w:rFonts w:ascii="Times New Roman" w:hAnsi="Times New Roman" w:cs="Times New Roman"/>
          <w:sz w:val="24"/>
          <w:szCs w:val="24"/>
        </w:rPr>
        <w:t>O</w:t>
      </w:r>
      <w:r w:rsidRPr="006013BF">
        <w:rPr>
          <w:rFonts w:ascii="Times New Roman" w:hAnsi="Times New Roman" w:cs="Times New Roman"/>
          <w:sz w:val="24"/>
          <w:szCs w:val="24"/>
        </w:rPr>
        <w:t xml:space="preserve">d najbardziej </w:t>
      </w:r>
      <w:r w:rsidR="00374127" w:rsidRPr="006013BF">
        <w:rPr>
          <w:rFonts w:ascii="Times New Roman" w:hAnsi="Times New Roman" w:cs="Times New Roman"/>
          <w:sz w:val="24"/>
          <w:szCs w:val="24"/>
        </w:rPr>
        <w:t xml:space="preserve">widocznego </w:t>
      </w:r>
      <w:r w:rsidRPr="006013BF">
        <w:rPr>
          <w:rFonts w:ascii="Times New Roman" w:hAnsi="Times New Roman" w:cs="Times New Roman"/>
          <w:sz w:val="24"/>
          <w:szCs w:val="24"/>
        </w:rPr>
        <w:t xml:space="preserve">spadku stopy bezrobocia </w:t>
      </w:r>
      <w:r w:rsidR="00374127" w:rsidRPr="006013BF">
        <w:rPr>
          <w:rFonts w:ascii="Times New Roman" w:hAnsi="Times New Roman" w:cs="Times New Roman"/>
          <w:sz w:val="24"/>
          <w:szCs w:val="24"/>
        </w:rPr>
        <w:t>poprzez</w:t>
      </w:r>
      <w:r w:rsidRPr="006013BF">
        <w:rPr>
          <w:rFonts w:ascii="Times New Roman" w:hAnsi="Times New Roman" w:cs="Times New Roman"/>
          <w:sz w:val="24"/>
          <w:szCs w:val="24"/>
        </w:rPr>
        <w:t xml:space="preserve"> tendencje </w:t>
      </w:r>
      <w:r w:rsidR="00374127" w:rsidRPr="006013BF">
        <w:rPr>
          <w:rFonts w:ascii="Times New Roman" w:hAnsi="Times New Roman" w:cs="Times New Roman"/>
          <w:sz w:val="24"/>
          <w:szCs w:val="24"/>
        </w:rPr>
        <w:t>wzrostowe</w:t>
      </w:r>
      <w:r w:rsidR="00725E3E">
        <w:rPr>
          <w:rFonts w:ascii="Times New Roman" w:hAnsi="Times New Roman" w:cs="Times New Roman"/>
          <w:sz w:val="24"/>
          <w:szCs w:val="24"/>
        </w:rPr>
        <w:t xml:space="preserve"> </w:t>
      </w:r>
      <w:r w:rsidR="00374127" w:rsidRPr="006013BF">
        <w:rPr>
          <w:rFonts w:ascii="Times New Roman" w:hAnsi="Times New Roman" w:cs="Times New Roman"/>
          <w:sz w:val="24"/>
          <w:szCs w:val="24"/>
        </w:rPr>
        <w:t>w</w:t>
      </w:r>
      <w:r w:rsidR="00725E3E">
        <w:rPr>
          <w:rFonts w:ascii="Times New Roman" w:hAnsi="Times New Roman" w:cs="Times New Roman"/>
          <w:sz w:val="24"/>
          <w:szCs w:val="24"/>
        </w:rPr>
        <w:t xml:space="preserve"> </w:t>
      </w:r>
      <w:r w:rsidR="00374127" w:rsidRPr="006013BF">
        <w:rPr>
          <w:rFonts w:ascii="Times New Roman" w:hAnsi="Times New Roman" w:cs="Times New Roman"/>
          <w:sz w:val="24"/>
          <w:szCs w:val="24"/>
        </w:rPr>
        <w:t xml:space="preserve">zatrudnieniu </w:t>
      </w:r>
      <w:r w:rsidR="00725E3E">
        <w:rPr>
          <w:rFonts w:ascii="Times New Roman" w:hAnsi="Times New Roman" w:cs="Times New Roman"/>
          <w:sz w:val="24"/>
          <w:szCs w:val="24"/>
        </w:rPr>
        <w:t xml:space="preserve">poszczególnych branż, </w:t>
      </w:r>
      <w:r w:rsidR="00871609" w:rsidRPr="006013BF">
        <w:rPr>
          <w:rFonts w:ascii="Times New Roman" w:hAnsi="Times New Roman" w:cs="Times New Roman"/>
          <w:sz w:val="24"/>
          <w:szCs w:val="24"/>
        </w:rPr>
        <w:t xml:space="preserve">wyrażone </w:t>
      </w:r>
      <w:r w:rsidR="007203E1">
        <w:rPr>
          <w:rFonts w:ascii="Times New Roman" w:hAnsi="Times New Roman" w:cs="Times New Roman"/>
          <w:sz w:val="24"/>
          <w:szCs w:val="24"/>
        </w:rPr>
        <w:t>np.</w:t>
      </w:r>
      <w:r w:rsidR="00725E3E">
        <w:rPr>
          <w:rFonts w:ascii="Times New Roman" w:hAnsi="Times New Roman" w:cs="Times New Roman"/>
          <w:sz w:val="24"/>
          <w:szCs w:val="24"/>
        </w:rPr>
        <w:t xml:space="preserve"> przez </w:t>
      </w:r>
      <w:r w:rsidR="00374127" w:rsidRPr="006013BF">
        <w:rPr>
          <w:rFonts w:ascii="Times New Roman" w:hAnsi="Times New Roman" w:cs="Times New Roman"/>
          <w:sz w:val="24"/>
          <w:szCs w:val="24"/>
        </w:rPr>
        <w:t>wskaźnik zatrudnienia</w:t>
      </w:r>
      <w:r w:rsidRPr="006013BF">
        <w:rPr>
          <w:rFonts w:ascii="Times New Roman" w:hAnsi="Times New Roman" w:cs="Times New Roman"/>
          <w:sz w:val="24"/>
          <w:szCs w:val="24"/>
        </w:rPr>
        <w:t xml:space="preserve">. </w:t>
      </w:r>
    </w:p>
    <w:p w:rsidR="00725E3E" w:rsidRDefault="00862E87" w:rsidP="003A2CF6">
      <w:pPr>
        <w:spacing w:after="0" w:line="360" w:lineRule="auto"/>
        <w:ind w:firstLine="709"/>
        <w:jc w:val="both"/>
        <w:rPr>
          <w:rFonts w:ascii="Times New Roman" w:hAnsi="Times New Roman" w:cs="Times New Roman"/>
          <w:sz w:val="24"/>
          <w:szCs w:val="24"/>
        </w:rPr>
      </w:pPr>
      <w:r w:rsidRPr="00725E3E">
        <w:rPr>
          <w:rFonts w:ascii="Times New Roman" w:hAnsi="Times New Roman" w:cs="Times New Roman"/>
          <w:sz w:val="24"/>
          <w:szCs w:val="24"/>
        </w:rPr>
        <w:t xml:space="preserve">W </w:t>
      </w:r>
      <w:r w:rsidR="002D1667" w:rsidRPr="00725E3E">
        <w:rPr>
          <w:rFonts w:ascii="Times New Roman" w:hAnsi="Times New Roman" w:cs="Times New Roman"/>
          <w:sz w:val="24"/>
          <w:szCs w:val="24"/>
        </w:rPr>
        <w:t>I</w:t>
      </w:r>
      <w:r w:rsidRPr="00725E3E">
        <w:rPr>
          <w:rFonts w:ascii="Times New Roman" w:hAnsi="Times New Roman" w:cs="Times New Roman"/>
          <w:sz w:val="24"/>
          <w:szCs w:val="24"/>
        </w:rPr>
        <w:t xml:space="preserve"> części opracowania, </w:t>
      </w:r>
      <w:r w:rsidR="00725E3E">
        <w:rPr>
          <w:rFonts w:ascii="Times New Roman" w:hAnsi="Times New Roman" w:cs="Times New Roman"/>
          <w:sz w:val="24"/>
          <w:szCs w:val="24"/>
        </w:rPr>
        <w:t xml:space="preserve">gdzie </w:t>
      </w:r>
      <w:r w:rsidR="002B5739" w:rsidRPr="00725E3E">
        <w:rPr>
          <w:rFonts w:ascii="Times New Roman" w:hAnsi="Times New Roman" w:cs="Times New Roman"/>
          <w:sz w:val="24"/>
          <w:szCs w:val="24"/>
        </w:rPr>
        <w:t xml:space="preserve">informacje </w:t>
      </w:r>
      <w:r w:rsidR="002D1667" w:rsidRPr="00725E3E">
        <w:rPr>
          <w:rFonts w:ascii="Times New Roman" w:hAnsi="Times New Roman" w:cs="Times New Roman"/>
          <w:sz w:val="24"/>
          <w:szCs w:val="24"/>
        </w:rPr>
        <w:t>zaczerpnięt</w:t>
      </w:r>
      <w:r w:rsidR="00516B56" w:rsidRPr="00725E3E">
        <w:rPr>
          <w:rFonts w:ascii="Times New Roman" w:hAnsi="Times New Roman" w:cs="Times New Roman"/>
          <w:sz w:val="24"/>
          <w:szCs w:val="24"/>
        </w:rPr>
        <w:t>o</w:t>
      </w:r>
      <w:r w:rsidR="002D1667" w:rsidRPr="00725E3E">
        <w:rPr>
          <w:rFonts w:ascii="Times New Roman" w:hAnsi="Times New Roman" w:cs="Times New Roman"/>
          <w:sz w:val="24"/>
          <w:szCs w:val="24"/>
        </w:rPr>
        <w:t xml:space="preserve"> z</w:t>
      </w:r>
      <w:r w:rsidR="00992E19" w:rsidRPr="00725E3E">
        <w:rPr>
          <w:rFonts w:ascii="Times New Roman" w:hAnsi="Times New Roman" w:cs="Times New Roman"/>
          <w:sz w:val="24"/>
          <w:szCs w:val="24"/>
        </w:rPr>
        <w:t xml:space="preserve"> </w:t>
      </w:r>
      <w:r w:rsidR="002D1667" w:rsidRPr="00725E3E">
        <w:rPr>
          <w:rFonts w:ascii="Times New Roman" w:hAnsi="Times New Roman" w:cs="Times New Roman"/>
          <w:sz w:val="24"/>
          <w:szCs w:val="24"/>
        </w:rPr>
        <w:t>publikatorów lub zbiorów danych GUS (US) został</w:t>
      </w:r>
      <w:r w:rsidR="00516B56" w:rsidRPr="00725E3E">
        <w:rPr>
          <w:rFonts w:ascii="Times New Roman" w:hAnsi="Times New Roman" w:cs="Times New Roman"/>
          <w:sz w:val="24"/>
          <w:szCs w:val="24"/>
        </w:rPr>
        <w:t>y</w:t>
      </w:r>
      <w:r w:rsidR="002D1667" w:rsidRPr="00725E3E">
        <w:rPr>
          <w:rFonts w:ascii="Times New Roman" w:hAnsi="Times New Roman" w:cs="Times New Roman"/>
          <w:sz w:val="24"/>
          <w:szCs w:val="24"/>
        </w:rPr>
        <w:t xml:space="preserve"> podane </w:t>
      </w:r>
      <w:r w:rsidR="00516B56" w:rsidRPr="00725E3E">
        <w:rPr>
          <w:rFonts w:ascii="Times New Roman" w:hAnsi="Times New Roman" w:cs="Times New Roman"/>
          <w:sz w:val="24"/>
          <w:szCs w:val="24"/>
        </w:rPr>
        <w:t xml:space="preserve">każdorazowo </w:t>
      </w:r>
      <w:r w:rsidR="002D1667" w:rsidRPr="00725E3E">
        <w:rPr>
          <w:rFonts w:ascii="Times New Roman" w:hAnsi="Times New Roman" w:cs="Times New Roman"/>
          <w:sz w:val="24"/>
          <w:szCs w:val="24"/>
        </w:rPr>
        <w:t>źródł</w:t>
      </w:r>
      <w:r w:rsidR="00516B56" w:rsidRPr="00725E3E">
        <w:rPr>
          <w:rFonts w:ascii="Times New Roman" w:hAnsi="Times New Roman" w:cs="Times New Roman"/>
          <w:sz w:val="24"/>
          <w:szCs w:val="24"/>
        </w:rPr>
        <w:t>a</w:t>
      </w:r>
      <w:r w:rsidRPr="00725E3E">
        <w:rPr>
          <w:rFonts w:ascii="Times New Roman" w:hAnsi="Times New Roman" w:cs="Times New Roman"/>
          <w:sz w:val="24"/>
          <w:szCs w:val="24"/>
        </w:rPr>
        <w:t>.</w:t>
      </w:r>
      <w:r w:rsidR="002D1667" w:rsidRPr="00725E3E">
        <w:rPr>
          <w:rFonts w:ascii="Times New Roman" w:hAnsi="Times New Roman" w:cs="Times New Roman"/>
          <w:sz w:val="24"/>
          <w:szCs w:val="24"/>
        </w:rPr>
        <w:t xml:space="preserve"> W części</w:t>
      </w:r>
      <w:r w:rsidR="00725E3E">
        <w:rPr>
          <w:rFonts w:ascii="Times New Roman" w:hAnsi="Times New Roman" w:cs="Times New Roman"/>
          <w:sz w:val="24"/>
          <w:szCs w:val="24"/>
        </w:rPr>
        <w:t xml:space="preserve"> II</w:t>
      </w:r>
      <w:r w:rsidR="002D1667" w:rsidRPr="00725E3E">
        <w:rPr>
          <w:rFonts w:ascii="Times New Roman" w:hAnsi="Times New Roman" w:cs="Times New Roman"/>
          <w:sz w:val="24"/>
          <w:szCs w:val="24"/>
        </w:rPr>
        <w:t xml:space="preserve">, uwzględniając </w:t>
      </w:r>
      <w:r w:rsidR="003A2CF6" w:rsidRPr="00725E3E">
        <w:rPr>
          <w:rFonts w:ascii="Times New Roman" w:hAnsi="Times New Roman" w:cs="Times New Roman"/>
          <w:sz w:val="24"/>
          <w:szCs w:val="24"/>
        </w:rPr>
        <w:t>ustalon</w:t>
      </w:r>
      <w:r w:rsidR="002D1667" w:rsidRPr="00725E3E">
        <w:rPr>
          <w:rFonts w:ascii="Times New Roman" w:hAnsi="Times New Roman" w:cs="Times New Roman"/>
          <w:sz w:val="24"/>
          <w:szCs w:val="24"/>
        </w:rPr>
        <w:t xml:space="preserve">y </w:t>
      </w:r>
      <w:r w:rsidR="00AE5712" w:rsidRPr="00725E3E">
        <w:rPr>
          <w:rFonts w:ascii="Times New Roman" w:hAnsi="Times New Roman" w:cs="Times New Roman"/>
          <w:sz w:val="24"/>
          <w:szCs w:val="24"/>
        </w:rPr>
        <w:t>w</w:t>
      </w:r>
      <w:r w:rsidR="002D1667" w:rsidRPr="00725E3E">
        <w:rPr>
          <w:rFonts w:ascii="Times New Roman" w:hAnsi="Times New Roman" w:cs="Times New Roman"/>
          <w:sz w:val="24"/>
          <w:szCs w:val="24"/>
        </w:rPr>
        <w:t xml:space="preserve"> </w:t>
      </w:r>
      <w:r w:rsidR="003A2CF6" w:rsidRPr="00725E3E">
        <w:rPr>
          <w:rFonts w:ascii="Times New Roman" w:hAnsi="Times New Roman" w:cs="Times New Roman"/>
          <w:sz w:val="24"/>
          <w:szCs w:val="24"/>
        </w:rPr>
        <w:t>ramach</w:t>
      </w:r>
      <w:r w:rsidR="002D1667" w:rsidRPr="00725E3E">
        <w:rPr>
          <w:rFonts w:ascii="Times New Roman" w:hAnsi="Times New Roman" w:cs="Times New Roman"/>
          <w:sz w:val="24"/>
          <w:szCs w:val="24"/>
        </w:rPr>
        <w:t xml:space="preserve"> </w:t>
      </w:r>
      <w:r w:rsidR="003A2CF6" w:rsidRPr="00725E3E">
        <w:rPr>
          <w:rFonts w:ascii="Times New Roman" w:hAnsi="Times New Roman" w:cs="Times New Roman"/>
          <w:sz w:val="24"/>
          <w:szCs w:val="24"/>
        </w:rPr>
        <w:t>sprawozdawczości publicznej zasób informacji</w:t>
      </w:r>
      <w:r w:rsidR="00AE5712" w:rsidRPr="00725E3E">
        <w:rPr>
          <w:rFonts w:ascii="Times New Roman" w:hAnsi="Times New Roman" w:cs="Times New Roman"/>
          <w:sz w:val="24"/>
          <w:szCs w:val="24"/>
        </w:rPr>
        <w:t xml:space="preserve"> w</w:t>
      </w:r>
      <w:r w:rsidR="00992E19" w:rsidRPr="00725E3E">
        <w:rPr>
          <w:rFonts w:ascii="Times New Roman" w:hAnsi="Times New Roman" w:cs="Times New Roman"/>
          <w:sz w:val="24"/>
          <w:szCs w:val="24"/>
        </w:rPr>
        <w:t xml:space="preserve"> </w:t>
      </w:r>
      <w:r w:rsidR="003A2CF6" w:rsidRPr="00725E3E">
        <w:rPr>
          <w:rFonts w:ascii="Times New Roman" w:hAnsi="Times New Roman" w:cs="Times New Roman"/>
          <w:sz w:val="24"/>
          <w:szCs w:val="24"/>
        </w:rPr>
        <w:t xml:space="preserve">poszczególnych dokumentach – </w:t>
      </w:r>
      <w:r w:rsidR="00725E3E" w:rsidRPr="00725E3E">
        <w:rPr>
          <w:rFonts w:ascii="Times New Roman" w:hAnsi="Times New Roman" w:cs="Times New Roman"/>
          <w:sz w:val="24"/>
          <w:szCs w:val="24"/>
        </w:rPr>
        <w:t xml:space="preserve">ich </w:t>
      </w:r>
      <w:r w:rsidR="006A132D" w:rsidRPr="00725E3E">
        <w:rPr>
          <w:rFonts w:ascii="Times New Roman" w:hAnsi="Times New Roman" w:cs="Times New Roman"/>
          <w:sz w:val="24"/>
          <w:szCs w:val="24"/>
        </w:rPr>
        <w:t>źródłem są sprawozdania statystyki publicznej z</w:t>
      </w:r>
      <w:r w:rsidR="00992E19" w:rsidRPr="00725E3E">
        <w:rPr>
          <w:rFonts w:ascii="Times New Roman" w:hAnsi="Times New Roman" w:cs="Times New Roman"/>
          <w:sz w:val="24"/>
          <w:szCs w:val="24"/>
        </w:rPr>
        <w:t xml:space="preserve"> </w:t>
      </w:r>
      <w:r w:rsidR="006A132D" w:rsidRPr="00725E3E">
        <w:rPr>
          <w:rFonts w:ascii="Times New Roman" w:hAnsi="Times New Roman" w:cs="Times New Roman"/>
          <w:sz w:val="24"/>
          <w:szCs w:val="24"/>
        </w:rPr>
        <w:t>zakresu sprawozdawczości rynku pracy.</w:t>
      </w:r>
    </w:p>
    <w:p w:rsidR="00E84BED" w:rsidRDefault="002D1667" w:rsidP="003A2CF6">
      <w:pPr>
        <w:spacing w:after="0" w:line="360" w:lineRule="auto"/>
        <w:ind w:firstLine="709"/>
        <w:jc w:val="both"/>
        <w:rPr>
          <w:rFonts w:ascii="Times New Roman" w:hAnsi="Times New Roman" w:cs="Times New Roman"/>
          <w:sz w:val="24"/>
          <w:szCs w:val="24"/>
        </w:rPr>
      </w:pPr>
      <w:r w:rsidRPr="00E84BED">
        <w:rPr>
          <w:rFonts w:ascii="Times New Roman" w:hAnsi="Times New Roman" w:cs="Times New Roman"/>
          <w:sz w:val="24"/>
          <w:szCs w:val="24"/>
        </w:rPr>
        <w:t>Zrezygnowaliśmy z ich wielokrotnego przytaczania dla lepszej transparentności zawartych w</w:t>
      </w:r>
      <w:r w:rsidR="002B5739" w:rsidRPr="00E84BED">
        <w:rPr>
          <w:rFonts w:ascii="Times New Roman" w:hAnsi="Times New Roman" w:cs="Times New Roman"/>
          <w:sz w:val="24"/>
          <w:szCs w:val="24"/>
        </w:rPr>
        <w:t> </w:t>
      </w:r>
      <w:r w:rsidR="00E84BED" w:rsidRPr="00E84BED">
        <w:rPr>
          <w:rFonts w:ascii="Times New Roman" w:hAnsi="Times New Roman" w:cs="Times New Roman"/>
          <w:sz w:val="24"/>
          <w:szCs w:val="24"/>
        </w:rPr>
        <w:t xml:space="preserve">niniejszym </w:t>
      </w:r>
      <w:r w:rsidRPr="00E84BED">
        <w:rPr>
          <w:rFonts w:ascii="Times New Roman" w:hAnsi="Times New Roman" w:cs="Times New Roman"/>
          <w:sz w:val="24"/>
          <w:szCs w:val="24"/>
        </w:rPr>
        <w:t xml:space="preserve">opracowaniu </w:t>
      </w:r>
      <w:r w:rsidR="002B5739" w:rsidRPr="00E84BED">
        <w:rPr>
          <w:rFonts w:ascii="Times New Roman" w:hAnsi="Times New Roman" w:cs="Times New Roman"/>
          <w:sz w:val="24"/>
          <w:szCs w:val="24"/>
        </w:rPr>
        <w:t>treści</w:t>
      </w:r>
      <w:r w:rsidRPr="00E84BED">
        <w:rPr>
          <w:rFonts w:ascii="Times New Roman" w:hAnsi="Times New Roman" w:cs="Times New Roman"/>
          <w:sz w:val="24"/>
          <w:szCs w:val="24"/>
        </w:rPr>
        <w:t>. Wszystkie dane liczbowe pochodzące z ww. dokumentów, użyte w publikacji zostały również przygotowane w</w:t>
      </w:r>
      <w:r w:rsidR="00992E19" w:rsidRPr="00E84BED">
        <w:rPr>
          <w:rFonts w:ascii="Times New Roman" w:hAnsi="Times New Roman" w:cs="Times New Roman"/>
          <w:sz w:val="24"/>
          <w:szCs w:val="24"/>
        </w:rPr>
        <w:t xml:space="preserve"> </w:t>
      </w:r>
      <w:r w:rsidRPr="00E84BED">
        <w:rPr>
          <w:rFonts w:ascii="Times New Roman" w:hAnsi="Times New Roman" w:cs="Times New Roman"/>
          <w:sz w:val="24"/>
          <w:szCs w:val="24"/>
        </w:rPr>
        <w:t>formacie MS Excel w ramach aneksu statystycznego</w:t>
      </w:r>
      <w:r w:rsidR="00E84BED">
        <w:rPr>
          <w:rFonts w:ascii="Times New Roman" w:hAnsi="Times New Roman" w:cs="Times New Roman"/>
          <w:sz w:val="24"/>
          <w:szCs w:val="24"/>
        </w:rPr>
        <w:t xml:space="preserve"> (na końcu opracowania)</w:t>
      </w:r>
      <w:r w:rsidRPr="00E84BED">
        <w:rPr>
          <w:rFonts w:ascii="Times New Roman" w:hAnsi="Times New Roman" w:cs="Times New Roman"/>
          <w:sz w:val="24"/>
          <w:szCs w:val="24"/>
        </w:rPr>
        <w:t>. Mogą one zostać wykorzystane w</w:t>
      </w:r>
      <w:r w:rsidR="00E84BED" w:rsidRPr="00E84BED">
        <w:rPr>
          <w:rFonts w:ascii="Times New Roman" w:hAnsi="Times New Roman" w:cs="Times New Roman"/>
          <w:sz w:val="24"/>
          <w:szCs w:val="24"/>
        </w:rPr>
        <w:t> </w:t>
      </w:r>
      <w:r w:rsidRPr="00E84BED">
        <w:rPr>
          <w:rFonts w:ascii="Times New Roman" w:hAnsi="Times New Roman" w:cs="Times New Roman"/>
          <w:sz w:val="24"/>
          <w:szCs w:val="24"/>
        </w:rPr>
        <w:t xml:space="preserve">celu przeprowadzenia samodzielnych analiz </w:t>
      </w:r>
      <w:r w:rsidR="00E84BED" w:rsidRPr="00E84BED">
        <w:rPr>
          <w:rFonts w:ascii="Times New Roman" w:hAnsi="Times New Roman" w:cs="Times New Roman"/>
          <w:sz w:val="24"/>
          <w:szCs w:val="24"/>
        </w:rPr>
        <w:t xml:space="preserve">przez pasjonatów, </w:t>
      </w:r>
      <w:r w:rsidRPr="00E84BED">
        <w:rPr>
          <w:rFonts w:ascii="Times New Roman" w:hAnsi="Times New Roman" w:cs="Times New Roman"/>
          <w:sz w:val="24"/>
          <w:szCs w:val="24"/>
        </w:rPr>
        <w:t xml:space="preserve">zajmujących się zawodowo problematyką rynku pracy lub przez </w:t>
      </w:r>
      <w:r w:rsidR="00E84BED" w:rsidRPr="00E84BED">
        <w:rPr>
          <w:rFonts w:ascii="Times New Roman" w:hAnsi="Times New Roman" w:cs="Times New Roman"/>
          <w:sz w:val="24"/>
          <w:szCs w:val="24"/>
        </w:rPr>
        <w:t xml:space="preserve">inne </w:t>
      </w:r>
      <w:r w:rsidRPr="00E84BED">
        <w:rPr>
          <w:rFonts w:ascii="Times New Roman" w:hAnsi="Times New Roman" w:cs="Times New Roman"/>
          <w:sz w:val="24"/>
          <w:szCs w:val="24"/>
        </w:rPr>
        <w:t>osoby zainteresowane.</w:t>
      </w:r>
    </w:p>
    <w:p w:rsidR="001477F2" w:rsidRPr="00E84BED" w:rsidRDefault="00FE4D21" w:rsidP="003A2CF6">
      <w:pPr>
        <w:spacing w:after="0" w:line="360" w:lineRule="auto"/>
        <w:ind w:firstLine="709"/>
        <w:jc w:val="both"/>
        <w:rPr>
          <w:rFonts w:ascii="Times New Roman" w:hAnsi="Times New Roman" w:cs="Times New Roman"/>
          <w:sz w:val="24"/>
          <w:szCs w:val="24"/>
        </w:rPr>
      </w:pPr>
      <w:r w:rsidRPr="00E84BED">
        <w:rPr>
          <w:rFonts w:ascii="Times New Roman" w:hAnsi="Times New Roman" w:cs="Times New Roman"/>
          <w:sz w:val="24"/>
          <w:szCs w:val="24"/>
        </w:rPr>
        <w:t xml:space="preserve">Ten rok jest </w:t>
      </w:r>
      <w:r w:rsidR="00E84BED" w:rsidRPr="00E84BED">
        <w:rPr>
          <w:rFonts w:ascii="Times New Roman" w:hAnsi="Times New Roman" w:cs="Times New Roman"/>
          <w:sz w:val="24"/>
          <w:szCs w:val="24"/>
        </w:rPr>
        <w:t xml:space="preserve">czwartym </w:t>
      </w:r>
      <w:r w:rsidRPr="00E84BED">
        <w:rPr>
          <w:rFonts w:ascii="Times New Roman" w:hAnsi="Times New Roman" w:cs="Times New Roman"/>
          <w:sz w:val="24"/>
          <w:szCs w:val="24"/>
        </w:rPr>
        <w:t>z</w:t>
      </w:r>
      <w:r w:rsidR="00E84BED">
        <w:rPr>
          <w:rFonts w:ascii="Times New Roman" w:hAnsi="Times New Roman" w:cs="Times New Roman"/>
          <w:sz w:val="24"/>
          <w:szCs w:val="24"/>
        </w:rPr>
        <w:t> </w:t>
      </w:r>
      <w:r w:rsidRPr="00E84BED">
        <w:rPr>
          <w:rFonts w:ascii="Times New Roman" w:hAnsi="Times New Roman" w:cs="Times New Roman"/>
          <w:sz w:val="24"/>
          <w:szCs w:val="24"/>
        </w:rPr>
        <w:t xml:space="preserve">cyklu publikacji w zmienionym sposobie </w:t>
      </w:r>
      <w:r w:rsidR="003A2CF6" w:rsidRPr="00E84BED">
        <w:rPr>
          <w:rFonts w:ascii="Times New Roman" w:hAnsi="Times New Roman" w:cs="Times New Roman"/>
          <w:sz w:val="24"/>
          <w:szCs w:val="24"/>
        </w:rPr>
        <w:t>prezentowania informacji</w:t>
      </w:r>
      <w:r w:rsidRPr="00E84BED">
        <w:rPr>
          <w:rFonts w:ascii="Times New Roman" w:hAnsi="Times New Roman" w:cs="Times New Roman"/>
          <w:sz w:val="24"/>
          <w:szCs w:val="24"/>
        </w:rPr>
        <w:t xml:space="preserve">, powstałym w odpowiedzi na </w:t>
      </w:r>
      <w:r w:rsidR="003A2CF6" w:rsidRPr="00E84BED">
        <w:rPr>
          <w:rFonts w:ascii="Times New Roman" w:hAnsi="Times New Roman" w:cs="Times New Roman"/>
          <w:sz w:val="24"/>
          <w:szCs w:val="24"/>
        </w:rPr>
        <w:t>uwagi</w:t>
      </w:r>
      <w:r w:rsidR="00203EC2" w:rsidRPr="00E84BED">
        <w:rPr>
          <w:rFonts w:ascii="Times New Roman" w:hAnsi="Times New Roman" w:cs="Times New Roman"/>
          <w:sz w:val="24"/>
          <w:szCs w:val="24"/>
        </w:rPr>
        <w:t xml:space="preserve"> </w:t>
      </w:r>
      <w:r w:rsidR="00AE5712" w:rsidRPr="00E84BED">
        <w:rPr>
          <w:rFonts w:ascii="Times New Roman" w:hAnsi="Times New Roman" w:cs="Times New Roman"/>
          <w:sz w:val="24"/>
          <w:szCs w:val="24"/>
        </w:rPr>
        <w:t>i</w:t>
      </w:r>
      <w:r w:rsidR="00203EC2" w:rsidRPr="00E84BED">
        <w:rPr>
          <w:rFonts w:ascii="Times New Roman" w:hAnsi="Times New Roman" w:cs="Times New Roman"/>
          <w:sz w:val="24"/>
          <w:szCs w:val="24"/>
        </w:rPr>
        <w:t xml:space="preserve"> </w:t>
      </w:r>
      <w:r w:rsidR="003A2CF6" w:rsidRPr="00E84BED">
        <w:rPr>
          <w:rFonts w:ascii="Times New Roman" w:hAnsi="Times New Roman" w:cs="Times New Roman"/>
          <w:sz w:val="24"/>
          <w:szCs w:val="24"/>
        </w:rPr>
        <w:t xml:space="preserve">sugestie dotyczące </w:t>
      </w:r>
      <w:r w:rsidR="009E3D27" w:rsidRPr="00E84BED">
        <w:rPr>
          <w:rFonts w:ascii="Times New Roman" w:hAnsi="Times New Roman" w:cs="Times New Roman"/>
          <w:sz w:val="24"/>
          <w:szCs w:val="24"/>
        </w:rPr>
        <w:t xml:space="preserve">ostatecznego </w:t>
      </w:r>
      <w:r w:rsidR="003A2CF6" w:rsidRPr="00E84BED">
        <w:rPr>
          <w:rFonts w:ascii="Times New Roman" w:hAnsi="Times New Roman" w:cs="Times New Roman"/>
          <w:sz w:val="24"/>
          <w:szCs w:val="24"/>
        </w:rPr>
        <w:t xml:space="preserve">kształtu </w:t>
      </w:r>
      <w:r w:rsidR="009E3D27" w:rsidRPr="00E84BED">
        <w:rPr>
          <w:rFonts w:ascii="Times New Roman" w:hAnsi="Times New Roman" w:cs="Times New Roman"/>
          <w:sz w:val="24"/>
          <w:szCs w:val="24"/>
        </w:rPr>
        <w:t>publikacji z zakresu analiz rynku pracy</w:t>
      </w:r>
      <w:r w:rsidR="003A2CF6" w:rsidRPr="00E84BED">
        <w:rPr>
          <w:rFonts w:ascii="Times New Roman" w:hAnsi="Times New Roman" w:cs="Times New Roman"/>
          <w:sz w:val="24"/>
          <w:szCs w:val="24"/>
        </w:rPr>
        <w:t>.</w:t>
      </w:r>
    </w:p>
    <w:p w:rsidR="00206C0F" w:rsidRPr="00C75C71" w:rsidRDefault="00206C0F" w:rsidP="00206C0F">
      <w:pPr>
        <w:spacing w:after="0" w:line="360" w:lineRule="auto"/>
        <w:jc w:val="both"/>
        <w:rPr>
          <w:rFonts w:ascii="Times New Roman" w:hAnsi="Times New Roman" w:cs="Times New Roman"/>
          <w:sz w:val="24"/>
          <w:szCs w:val="24"/>
          <w:highlight w:val="yellow"/>
        </w:rPr>
      </w:pPr>
    </w:p>
    <w:p w:rsidR="00206C0F" w:rsidRPr="00C75C71" w:rsidRDefault="00206C0F" w:rsidP="00206C0F">
      <w:pPr>
        <w:spacing w:after="0" w:line="360" w:lineRule="auto"/>
        <w:jc w:val="both"/>
        <w:rPr>
          <w:rFonts w:ascii="Times New Roman" w:hAnsi="Times New Roman" w:cs="Times New Roman"/>
          <w:sz w:val="24"/>
          <w:szCs w:val="24"/>
          <w:highlight w:val="yellow"/>
        </w:rPr>
      </w:pPr>
    </w:p>
    <w:p w:rsidR="00206C0F" w:rsidRPr="00C75C71" w:rsidRDefault="00206C0F" w:rsidP="00206C0F">
      <w:pPr>
        <w:spacing w:after="0" w:line="360" w:lineRule="auto"/>
        <w:jc w:val="both"/>
        <w:rPr>
          <w:rFonts w:ascii="Times New Roman" w:hAnsi="Times New Roman" w:cs="Times New Roman"/>
          <w:sz w:val="24"/>
          <w:szCs w:val="24"/>
          <w:highlight w:val="yellow"/>
        </w:rPr>
      </w:pPr>
    </w:p>
    <w:p w:rsidR="00206C0F" w:rsidRPr="00C75C71" w:rsidRDefault="00206C0F" w:rsidP="00206C0F">
      <w:pPr>
        <w:spacing w:after="0" w:line="360" w:lineRule="auto"/>
        <w:jc w:val="both"/>
        <w:rPr>
          <w:rFonts w:ascii="Times New Roman" w:hAnsi="Times New Roman" w:cs="Times New Roman"/>
          <w:sz w:val="24"/>
          <w:szCs w:val="24"/>
          <w:highlight w:val="yellow"/>
        </w:rPr>
      </w:pPr>
    </w:p>
    <w:p w:rsidR="00206C0F" w:rsidRPr="00C75C71" w:rsidRDefault="00206C0F" w:rsidP="00206C0F">
      <w:pPr>
        <w:spacing w:after="0" w:line="360" w:lineRule="auto"/>
        <w:jc w:val="both"/>
        <w:rPr>
          <w:rFonts w:ascii="Times New Roman" w:hAnsi="Times New Roman" w:cs="Times New Roman"/>
          <w:sz w:val="24"/>
          <w:szCs w:val="24"/>
          <w:highlight w:val="yellow"/>
        </w:rPr>
      </w:pPr>
    </w:p>
    <w:p w:rsidR="00206C0F" w:rsidRPr="00C75C71" w:rsidRDefault="00206C0F" w:rsidP="00206C0F">
      <w:pPr>
        <w:spacing w:after="0" w:line="360" w:lineRule="auto"/>
        <w:jc w:val="both"/>
        <w:rPr>
          <w:rFonts w:ascii="Times New Roman" w:hAnsi="Times New Roman" w:cs="Times New Roman"/>
          <w:sz w:val="24"/>
          <w:szCs w:val="24"/>
          <w:highlight w:val="yellow"/>
        </w:rPr>
      </w:pPr>
    </w:p>
    <w:p w:rsidR="00206C0F" w:rsidRPr="00C75C71" w:rsidRDefault="00206C0F" w:rsidP="00206C0F">
      <w:pPr>
        <w:spacing w:after="0" w:line="360" w:lineRule="auto"/>
        <w:jc w:val="both"/>
        <w:rPr>
          <w:rFonts w:ascii="Times New Roman" w:hAnsi="Times New Roman" w:cs="Times New Roman"/>
          <w:sz w:val="24"/>
          <w:szCs w:val="24"/>
          <w:highlight w:val="yellow"/>
        </w:rPr>
      </w:pPr>
    </w:p>
    <w:p w:rsidR="00206C0F" w:rsidRPr="00C75C71" w:rsidRDefault="00206C0F" w:rsidP="00206C0F">
      <w:pPr>
        <w:spacing w:after="0" w:line="360" w:lineRule="auto"/>
        <w:jc w:val="both"/>
        <w:rPr>
          <w:rFonts w:ascii="Times New Roman" w:hAnsi="Times New Roman" w:cs="Times New Roman"/>
          <w:sz w:val="24"/>
          <w:szCs w:val="24"/>
          <w:highlight w:val="yellow"/>
        </w:rPr>
      </w:pPr>
    </w:p>
    <w:p w:rsidR="00206C0F" w:rsidRPr="00C75C71" w:rsidRDefault="00206C0F" w:rsidP="00206C0F">
      <w:pPr>
        <w:spacing w:after="0" w:line="360" w:lineRule="auto"/>
        <w:jc w:val="both"/>
        <w:rPr>
          <w:rFonts w:ascii="Times New Roman" w:hAnsi="Times New Roman" w:cs="Times New Roman"/>
          <w:sz w:val="24"/>
          <w:szCs w:val="24"/>
          <w:highlight w:val="yellow"/>
        </w:rPr>
      </w:pPr>
    </w:p>
    <w:p w:rsidR="00206C0F" w:rsidRPr="00C75C71" w:rsidRDefault="00206C0F" w:rsidP="00206C0F">
      <w:pPr>
        <w:spacing w:after="0" w:line="360" w:lineRule="auto"/>
        <w:jc w:val="both"/>
        <w:rPr>
          <w:rFonts w:ascii="Times New Roman" w:hAnsi="Times New Roman" w:cs="Times New Roman"/>
          <w:sz w:val="24"/>
          <w:szCs w:val="24"/>
          <w:highlight w:val="yellow"/>
        </w:rPr>
      </w:pPr>
    </w:p>
    <w:p w:rsidR="00206C0F" w:rsidRPr="00C75C71" w:rsidRDefault="00E75828" w:rsidP="009A1F42">
      <w:pPr>
        <w:jc w:val="both"/>
        <w:rPr>
          <w:rFonts w:ascii="Times New Roman" w:hAnsi="Times New Roman" w:cs="Times New Roman"/>
          <w:color w:val="000000"/>
          <w:sz w:val="24"/>
          <w:szCs w:val="24"/>
          <w:highlight w:val="yellow"/>
        </w:rPr>
      </w:pPr>
      <w:r w:rsidRPr="00C75C71">
        <w:rPr>
          <w:rFonts w:ascii="Times New Roman" w:hAnsi="Times New Roman" w:cs="Times New Roman"/>
          <w:color w:val="000000"/>
          <w:sz w:val="24"/>
          <w:szCs w:val="24"/>
          <w:highlight w:val="yellow"/>
        </w:rPr>
        <w:br w:type="page"/>
      </w:r>
    </w:p>
    <w:p w:rsidR="00B92E45" w:rsidRPr="00C75C71" w:rsidRDefault="00B92E45" w:rsidP="00B92E45">
      <w:pPr>
        <w:pStyle w:val="Nagwek1"/>
        <w:spacing w:line="360" w:lineRule="auto"/>
        <w:rPr>
          <w:rFonts w:ascii="Times New Roman" w:hAnsi="Times New Roman" w:cs="Times New Roman"/>
          <w:bCs w:val="0"/>
          <w:sz w:val="24"/>
          <w:szCs w:val="24"/>
          <w:highlight w:val="yellow"/>
        </w:rPr>
        <w:sectPr w:rsidR="00B92E45" w:rsidRPr="00C75C71" w:rsidSect="00EF41CF">
          <w:pgSz w:w="11906" w:h="16838"/>
          <w:pgMar w:top="1418" w:right="1418" w:bottom="1418" w:left="1418" w:header="708" w:footer="708" w:gutter="0"/>
          <w:cols w:space="708"/>
          <w:docGrid w:linePitch="360"/>
        </w:sectPr>
      </w:pPr>
    </w:p>
    <w:p w:rsidR="00B92E45" w:rsidRPr="00FC6624" w:rsidRDefault="00AE5712" w:rsidP="00FC6624">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 w:name="_Toc446334627"/>
      <w:bookmarkStart w:id="3" w:name="_Toc938716"/>
      <w:r w:rsidRPr="00FC6624">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 xml:space="preserve">Ogólna </w:t>
      </w:r>
      <w:r w:rsidR="000773D3" w:rsidRPr="00FC6624">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FC6624">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w:t>
      </w:r>
      <w:r w:rsidR="00B92E45" w:rsidRPr="00FC6624">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harakterystyka </w:t>
      </w:r>
      <w:r w:rsidR="000773D3" w:rsidRPr="00FC6624">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B92E45" w:rsidRPr="00FC6624">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regionu</w:t>
      </w:r>
      <w:bookmarkEnd w:id="2"/>
      <w:bookmarkEnd w:id="3"/>
    </w:p>
    <w:p w:rsidR="002767B7" w:rsidRPr="00E84BED" w:rsidRDefault="002767B7" w:rsidP="00B92E45">
      <w:pPr>
        <w:spacing w:after="0" w:line="360" w:lineRule="auto"/>
        <w:rPr>
          <w:rFonts w:ascii="Times New Roman" w:hAnsi="Times New Roman" w:cs="Times New Roman"/>
          <w:szCs w:val="24"/>
        </w:rPr>
      </w:pPr>
    </w:p>
    <w:p w:rsidR="00B92E45" w:rsidRPr="00E84BED" w:rsidRDefault="00B92E45" w:rsidP="00B92E45">
      <w:pPr>
        <w:spacing w:after="0" w:line="360" w:lineRule="auto"/>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84BE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Tabela 1. </w:t>
      </w:r>
      <w:r w:rsidR="00203EC2" w:rsidRPr="00E84BE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E84BE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Podstawowe dane charakteryzujące województwo</w:t>
      </w:r>
      <w:r w:rsidR="00E12B57" w:rsidRPr="00E84BE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Pr="00E84BED">
        <w:rPr>
          <w:rStyle w:val="Odwoanieprzypisudolnego"/>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footnoteReference w:id="1"/>
      </w:r>
    </w:p>
    <w:tbl>
      <w:tblPr>
        <w:tblStyle w:val="Tabela-Siatka"/>
        <w:tblW w:w="15072" w:type="dxa"/>
        <w:tblLook w:val="04A0" w:firstRow="1" w:lastRow="0" w:firstColumn="1" w:lastColumn="0" w:noHBand="0" w:noVBand="1"/>
      </w:tblPr>
      <w:tblGrid>
        <w:gridCol w:w="675"/>
        <w:gridCol w:w="3262"/>
        <w:gridCol w:w="2552"/>
        <w:gridCol w:w="2551"/>
        <w:gridCol w:w="6032"/>
      </w:tblGrid>
      <w:tr w:rsidR="00B92E45" w:rsidRPr="00C75C71" w:rsidTr="00C10ED1">
        <w:tc>
          <w:tcPr>
            <w:tcW w:w="675" w:type="dxa"/>
            <w:shd w:val="clear" w:color="auto" w:fill="E5DFEC" w:themeFill="accent4" w:themeFillTint="33"/>
          </w:tcPr>
          <w:p w:rsidR="00B92E45" w:rsidRPr="00A157FF" w:rsidRDefault="00B92E45" w:rsidP="00656CED">
            <w:pPr>
              <w:autoSpaceDE w:val="0"/>
              <w:autoSpaceDN w:val="0"/>
              <w:adjustRightInd w:val="0"/>
              <w:spacing w:before="120" w:after="120"/>
              <w:jc w:val="center"/>
              <w:rPr>
                <w:rFonts w:ascii="Times New Roman" w:hAnsi="Times New Roman" w:cs="Times New Roman"/>
                <w:caps/>
                <w:color w:val="000000" w:themeColor="text1"/>
                <w:sz w:val="20"/>
                <w:szCs w:val="20"/>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A157FF">
              <w:rPr>
                <w:rFonts w:ascii="Times New Roman" w:hAnsi="Times New Roman" w:cs="Times New Roman"/>
                <w:caps/>
                <w:color w:val="000000" w:themeColor="text1"/>
                <w:sz w:val="20"/>
                <w:szCs w:val="20"/>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Lp.</w:t>
            </w:r>
          </w:p>
        </w:tc>
        <w:tc>
          <w:tcPr>
            <w:tcW w:w="3262" w:type="dxa"/>
            <w:shd w:val="clear" w:color="auto" w:fill="E5DFEC" w:themeFill="accent4" w:themeFillTint="33"/>
          </w:tcPr>
          <w:p w:rsidR="00B92E45" w:rsidRPr="00A157FF" w:rsidRDefault="00B92E45" w:rsidP="00656CED">
            <w:pPr>
              <w:autoSpaceDE w:val="0"/>
              <w:autoSpaceDN w:val="0"/>
              <w:adjustRightInd w:val="0"/>
              <w:spacing w:before="120" w:after="120"/>
              <w:jc w:val="center"/>
              <w:rPr>
                <w:rFonts w:ascii="Times New Roman" w:hAnsi="Times New Roman" w:cs="Times New Roman"/>
                <w:caps/>
                <w:color w:val="000000" w:themeColor="text1"/>
                <w:sz w:val="20"/>
                <w:szCs w:val="20"/>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A157FF">
              <w:rPr>
                <w:rFonts w:ascii="Times New Roman" w:hAnsi="Times New Roman" w:cs="Times New Roman"/>
                <w:caps/>
                <w:color w:val="000000" w:themeColor="text1"/>
                <w:sz w:val="20"/>
                <w:szCs w:val="20"/>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Wskaźnik</w:t>
            </w:r>
          </w:p>
        </w:tc>
        <w:tc>
          <w:tcPr>
            <w:tcW w:w="2552" w:type="dxa"/>
            <w:shd w:val="clear" w:color="auto" w:fill="E5DFEC" w:themeFill="accent4" w:themeFillTint="33"/>
          </w:tcPr>
          <w:p w:rsidR="00B92E45" w:rsidRPr="00A157FF" w:rsidRDefault="00B92E45" w:rsidP="00E84BED">
            <w:pPr>
              <w:autoSpaceDE w:val="0"/>
              <w:autoSpaceDN w:val="0"/>
              <w:adjustRightInd w:val="0"/>
              <w:spacing w:before="120" w:after="120"/>
              <w:jc w:val="center"/>
              <w:rPr>
                <w:rFonts w:ascii="Times New Roman" w:hAnsi="Times New Roman" w:cs="Times New Roman"/>
                <w:caps/>
                <w:color w:val="000000" w:themeColor="text1"/>
                <w:sz w:val="20"/>
                <w:szCs w:val="20"/>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A157FF">
              <w:rPr>
                <w:rFonts w:ascii="Times New Roman" w:hAnsi="Times New Roman" w:cs="Times New Roman"/>
                <w:caps/>
                <w:color w:val="000000" w:themeColor="text1"/>
                <w:sz w:val="20"/>
                <w:szCs w:val="20"/>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201</w:t>
            </w:r>
            <w:r w:rsidR="00E84BED" w:rsidRPr="00A157FF">
              <w:rPr>
                <w:rFonts w:ascii="Times New Roman" w:hAnsi="Times New Roman" w:cs="Times New Roman"/>
                <w:caps/>
                <w:color w:val="000000" w:themeColor="text1"/>
                <w:sz w:val="20"/>
                <w:szCs w:val="20"/>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6</w:t>
            </w:r>
          </w:p>
        </w:tc>
        <w:tc>
          <w:tcPr>
            <w:tcW w:w="2551" w:type="dxa"/>
            <w:shd w:val="clear" w:color="auto" w:fill="E5DFEC" w:themeFill="accent4" w:themeFillTint="33"/>
          </w:tcPr>
          <w:p w:rsidR="00B92E45" w:rsidRPr="00A157FF" w:rsidRDefault="00B92E45" w:rsidP="00E84BED">
            <w:pPr>
              <w:autoSpaceDE w:val="0"/>
              <w:autoSpaceDN w:val="0"/>
              <w:adjustRightInd w:val="0"/>
              <w:spacing w:before="120" w:after="120"/>
              <w:jc w:val="center"/>
              <w:rPr>
                <w:rFonts w:ascii="Times New Roman" w:hAnsi="Times New Roman" w:cs="Times New Roman"/>
                <w:caps/>
                <w:color w:val="000000" w:themeColor="text1"/>
                <w:sz w:val="20"/>
                <w:szCs w:val="20"/>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A157FF">
              <w:rPr>
                <w:rFonts w:ascii="Times New Roman" w:hAnsi="Times New Roman" w:cs="Times New Roman"/>
                <w:caps/>
                <w:color w:val="000000" w:themeColor="text1"/>
                <w:sz w:val="20"/>
                <w:szCs w:val="20"/>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201</w:t>
            </w:r>
            <w:r w:rsidR="00E84BED" w:rsidRPr="00A157FF">
              <w:rPr>
                <w:rFonts w:ascii="Times New Roman" w:hAnsi="Times New Roman" w:cs="Times New Roman"/>
                <w:caps/>
                <w:color w:val="000000" w:themeColor="text1"/>
                <w:sz w:val="20"/>
                <w:szCs w:val="20"/>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7</w:t>
            </w:r>
          </w:p>
        </w:tc>
        <w:tc>
          <w:tcPr>
            <w:tcW w:w="6032" w:type="dxa"/>
            <w:shd w:val="clear" w:color="auto" w:fill="E5DFEC" w:themeFill="accent4" w:themeFillTint="33"/>
          </w:tcPr>
          <w:p w:rsidR="00B92E45" w:rsidRPr="00A157FF" w:rsidRDefault="00B92E45" w:rsidP="00656CED">
            <w:pPr>
              <w:autoSpaceDE w:val="0"/>
              <w:autoSpaceDN w:val="0"/>
              <w:adjustRightInd w:val="0"/>
              <w:spacing w:before="120" w:after="120"/>
              <w:jc w:val="center"/>
              <w:rPr>
                <w:rFonts w:ascii="Times New Roman" w:hAnsi="Times New Roman" w:cs="Times New Roman"/>
                <w:caps/>
                <w:color w:val="000000" w:themeColor="text1"/>
                <w:sz w:val="20"/>
                <w:szCs w:val="20"/>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A157FF">
              <w:rPr>
                <w:rFonts w:ascii="Times New Roman" w:hAnsi="Times New Roman" w:cs="Times New Roman"/>
                <w:caps/>
                <w:color w:val="000000" w:themeColor="text1"/>
                <w:sz w:val="20"/>
                <w:szCs w:val="20"/>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Uwagi</w:t>
            </w:r>
          </w:p>
        </w:tc>
      </w:tr>
      <w:tr w:rsidR="00E84BED" w:rsidRPr="00C75C71" w:rsidTr="00C10ED1">
        <w:tc>
          <w:tcPr>
            <w:tcW w:w="675" w:type="dxa"/>
            <w:tcBorders>
              <w:bottom w:val="single" w:sz="4" w:space="0" w:color="auto"/>
            </w:tcBorders>
            <w:vAlign w:val="center"/>
          </w:tcPr>
          <w:p w:rsidR="00E84BED" w:rsidRPr="00E84BED" w:rsidRDefault="00E84BED" w:rsidP="00E12B57">
            <w:pPr>
              <w:pStyle w:val="Akapitzlist"/>
              <w:numPr>
                <w:ilvl w:val="0"/>
                <w:numId w:val="13"/>
              </w:numPr>
              <w:spacing w:before="120" w:after="120"/>
              <w:ind w:left="0" w:firstLine="0"/>
              <w:rPr>
                <w:rFonts w:ascii="Times New Roman" w:hAnsi="Times New Roman" w:cs="Times New Roman"/>
                <w:sz w:val="24"/>
                <w:szCs w:val="24"/>
              </w:rPr>
            </w:pPr>
          </w:p>
        </w:tc>
        <w:tc>
          <w:tcPr>
            <w:tcW w:w="3262" w:type="dxa"/>
            <w:tcBorders>
              <w:bottom w:val="single" w:sz="4" w:space="0" w:color="auto"/>
            </w:tcBorders>
            <w:vAlign w:val="center"/>
          </w:tcPr>
          <w:p w:rsidR="00E84BED" w:rsidRPr="00E84BED" w:rsidRDefault="00E84BED" w:rsidP="00992E19">
            <w:pPr>
              <w:rPr>
                <w:rFonts w:ascii="Times New Roman" w:hAnsi="Times New Roman" w:cs="Times New Roman"/>
                <w:sz w:val="24"/>
                <w:szCs w:val="24"/>
              </w:rPr>
            </w:pPr>
            <w:r w:rsidRPr="00E84BED">
              <w:rPr>
                <w:rFonts w:ascii="Times New Roman" w:hAnsi="Times New Roman" w:cs="Times New Roman"/>
                <w:sz w:val="24"/>
                <w:szCs w:val="24"/>
              </w:rPr>
              <w:t>Liczba ludności</w:t>
            </w:r>
          </w:p>
        </w:tc>
        <w:tc>
          <w:tcPr>
            <w:tcW w:w="2552" w:type="dxa"/>
            <w:tcBorders>
              <w:bottom w:val="single" w:sz="4" w:space="0" w:color="auto"/>
            </w:tcBorders>
            <w:vAlign w:val="center"/>
          </w:tcPr>
          <w:p w:rsidR="00E84BED" w:rsidRPr="00E84BED" w:rsidRDefault="00E84BED" w:rsidP="00E84BED">
            <w:pPr>
              <w:spacing w:before="120" w:after="120"/>
              <w:rPr>
                <w:rFonts w:ascii="Times New Roman" w:hAnsi="Times New Roman" w:cs="Times New Roman"/>
                <w:sz w:val="24"/>
                <w:szCs w:val="24"/>
              </w:rPr>
            </w:pPr>
            <w:r w:rsidRPr="00E84BED">
              <w:rPr>
                <w:rFonts w:ascii="Times New Roman" w:hAnsi="Times New Roman" w:cs="Times New Roman"/>
                <w:sz w:val="24"/>
                <w:szCs w:val="24"/>
              </w:rPr>
              <w:t>2 127 656 osób</w:t>
            </w:r>
          </w:p>
        </w:tc>
        <w:tc>
          <w:tcPr>
            <w:tcW w:w="2551" w:type="dxa"/>
            <w:tcBorders>
              <w:bottom w:val="single" w:sz="4" w:space="0" w:color="auto"/>
            </w:tcBorders>
            <w:vAlign w:val="center"/>
          </w:tcPr>
          <w:p w:rsidR="00E84BED" w:rsidRPr="00B72AEC" w:rsidRDefault="00E84BED" w:rsidP="00B72AEC">
            <w:pPr>
              <w:spacing w:before="120" w:after="120"/>
              <w:rPr>
                <w:rFonts w:ascii="Times New Roman" w:hAnsi="Times New Roman" w:cs="Times New Roman"/>
                <w:sz w:val="24"/>
                <w:szCs w:val="24"/>
              </w:rPr>
            </w:pPr>
            <w:r w:rsidRPr="00B72AEC">
              <w:rPr>
                <w:rFonts w:ascii="Times New Roman" w:hAnsi="Times New Roman" w:cs="Times New Roman"/>
                <w:sz w:val="24"/>
                <w:szCs w:val="24"/>
              </w:rPr>
              <w:t>2 12</w:t>
            </w:r>
            <w:r w:rsidR="00B72AEC" w:rsidRPr="00B72AEC">
              <w:rPr>
                <w:rFonts w:ascii="Times New Roman" w:hAnsi="Times New Roman" w:cs="Times New Roman"/>
                <w:sz w:val="24"/>
                <w:szCs w:val="24"/>
              </w:rPr>
              <w:t>9</w:t>
            </w:r>
            <w:r w:rsidRPr="00B72AEC">
              <w:rPr>
                <w:rFonts w:ascii="Times New Roman" w:hAnsi="Times New Roman" w:cs="Times New Roman"/>
                <w:sz w:val="24"/>
                <w:szCs w:val="24"/>
              </w:rPr>
              <w:t> </w:t>
            </w:r>
            <w:r w:rsidR="00B72AEC" w:rsidRPr="00B72AEC">
              <w:rPr>
                <w:rFonts w:ascii="Times New Roman" w:hAnsi="Times New Roman" w:cs="Times New Roman"/>
                <w:sz w:val="24"/>
                <w:szCs w:val="24"/>
              </w:rPr>
              <w:t>138</w:t>
            </w:r>
            <w:r w:rsidRPr="00B72AEC">
              <w:rPr>
                <w:rFonts w:ascii="Times New Roman" w:hAnsi="Times New Roman" w:cs="Times New Roman"/>
                <w:sz w:val="24"/>
                <w:szCs w:val="24"/>
              </w:rPr>
              <w:t xml:space="preserve"> osób</w:t>
            </w:r>
          </w:p>
        </w:tc>
        <w:tc>
          <w:tcPr>
            <w:tcW w:w="6032" w:type="dxa"/>
            <w:tcBorders>
              <w:bottom w:val="single" w:sz="4" w:space="0" w:color="auto"/>
            </w:tcBorders>
          </w:tcPr>
          <w:p w:rsidR="00E84BED" w:rsidRPr="00841287" w:rsidRDefault="00E84BED" w:rsidP="0001205D">
            <w:pPr>
              <w:rPr>
                <w:rFonts w:ascii="Times New Roman" w:hAnsi="Times New Roman" w:cs="Times New Roman"/>
                <w:sz w:val="24"/>
                <w:szCs w:val="24"/>
              </w:rPr>
            </w:pPr>
            <w:r w:rsidRPr="00F72623">
              <w:rPr>
                <w:rFonts w:ascii="Times New Roman" w:hAnsi="Times New Roman" w:cs="Times New Roman"/>
                <w:sz w:val="24"/>
                <w:szCs w:val="24"/>
              </w:rPr>
              <w:t xml:space="preserve">5,5 % populacji całego </w:t>
            </w:r>
            <w:r w:rsidRPr="00841287">
              <w:rPr>
                <w:rFonts w:ascii="Times New Roman" w:hAnsi="Times New Roman" w:cs="Times New Roman"/>
                <w:sz w:val="24"/>
                <w:szCs w:val="24"/>
              </w:rPr>
              <w:t>kraju, 8 lokata wśród województw.</w:t>
            </w:r>
          </w:p>
          <w:p w:rsidR="003825A5" w:rsidRPr="003825A5" w:rsidRDefault="00E84BED" w:rsidP="0001205D">
            <w:pPr>
              <w:rPr>
                <w:rFonts w:ascii="Times New Roman" w:hAnsi="Times New Roman" w:cs="Times New Roman"/>
                <w:sz w:val="24"/>
                <w:szCs w:val="24"/>
              </w:rPr>
            </w:pPr>
            <w:r w:rsidRPr="00841287">
              <w:rPr>
                <w:rFonts w:ascii="Times New Roman" w:hAnsi="Times New Roman" w:cs="Times New Roman"/>
                <w:sz w:val="24"/>
                <w:szCs w:val="24"/>
              </w:rPr>
              <w:t>Najbardziej zaludnione</w:t>
            </w:r>
            <w:r w:rsidR="003825A5">
              <w:rPr>
                <w:rFonts w:ascii="Times New Roman" w:hAnsi="Times New Roman" w:cs="Times New Roman"/>
                <w:sz w:val="24"/>
                <w:szCs w:val="24"/>
              </w:rPr>
              <w:t xml:space="preserve"> miasta to: </w:t>
            </w:r>
            <w:r w:rsidRPr="00841287">
              <w:rPr>
                <w:rFonts w:ascii="Times New Roman" w:hAnsi="Times New Roman" w:cs="Times New Roman"/>
                <w:sz w:val="24"/>
                <w:szCs w:val="24"/>
              </w:rPr>
              <w:t>Rzeszów</w:t>
            </w:r>
            <w:r w:rsidR="003825A5">
              <w:rPr>
                <w:rFonts w:ascii="Times New Roman" w:hAnsi="Times New Roman" w:cs="Times New Roman"/>
                <w:sz w:val="24"/>
                <w:szCs w:val="24"/>
              </w:rPr>
              <w:t xml:space="preserve"> </w:t>
            </w:r>
            <w:r w:rsidR="003825A5" w:rsidRPr="003825A5">
              <w:rPr>
                <w:rFonts w:ascii="Times New Roman" w:hAnsi="Times New Roman" w:cs="Times New Roman"/>
                <w:sz w:val="24"/>
                <w:szCs w:val="24"/>
              </w:rPr>
              <w:t xml:space="preserve">- </w:t>
            </w:r>
            <w:r w:rsidRPr="003825A5">
              <w:rPr>
                <w:rFonts w:ascii="Times New Roman" w:hAnsi="Times New Roman" w:cs="Times New Roman"/>
                <w:sz w:val="24"/>
                <w:szCs w:val="24"/>
              </w:rPr>
              <w:t>18</w:t>
            </w:r>
            <w:r w:rsidR="003825A5" w:rsidRPr="003825A5">
              <w:rPr>
                <w:rFonts w:ascii="Times New Roman" w:hAnsi="Times New Roman" w:cs="Times New Roman"/>
                <w:sz w:val="24"/>
                <w:szCs w:val="24"/>
              </w:rPr>
              <w:t>9 662 m</w:t>
            </w:r>
            <w:r w:rsidRPr="003825A5">
              <w:rPr>
                <w:rFonts w:ascii="Times New Roman" w:hAnsi="Times New Roman" w:cs="Times New Roman"/>
                <w:sz w:val="24"/>
                <w:szCs w:val="24"/>
              </w:rPr>
              <w:t>ieszkańców</w:t>
            </w:r>
            <w:r w:rsidR="003825A5" w:rsidRPr="003825A5">
              <w:rPr>
                <w:rFonts w:ascii="Times New Roman" w:hAnsi="Times New Roman" w:cs="Times New Roman"/>
                <w:sz w:val="24"/>
                <w:szCs w:val="24"/>
              </w:rPr>
              <w:t xml:space="preserve"> </w:t>
            </w:r>
            <w:r w:rsidR="003825A5">
              <w:rPr>
                <w:rFonts w:ascii="Times New Roman" w:hAnsi="Times New Roman" w:cs="Times New Roman"/>
                <w:sz w:val="24"/>
                <w:szCs w:val="24"/>
              </w:rPr>
              <w:t>(</w:t>
            </w:r>
            <w:r w:rsidR="003825A5" w:rsidRPr="003825A5">
              <w:rPr>
                <w:rFonts w:ascii="Times New Roman" w:hAnsi="Times New Roman" w:cs="Times New Roman"/>
                <w:sz w:val="24"/>
                <w:szCs w:val="24"/>
              </w:rPr>
              <w:t>dominanta</w:t>
            </w:r>
            <w:r w:rsidR="003825A5">
              <w:rPr>
                <w:rFonts w:ascii="Times New Roman" w:hAnsi="Times New Roman" w:cs="Times New Roman"/>
                <w:sz w:val="24"/>
                <w:szCs w:val="24"/>
              </w:rPr>
              <w:t>), a w</w:t>
            </w:r>
            <w:r w:rsidR="003825A5" w:rsidRPr="003825A5">
              <w:rPr>
                <w:rFonts w:ascii="Times New Roman" w:hAnsi="Times New Roman" w:cs="Times New Roman"/>
                <w:sz w:val="24"/>
                <w:szCs w:val="24"/>
              </w:rPr>
              <w:t xml:space="preserve"> przedziale  pow. 35 tys. mieszkańców – Stalowa Wola (61 903), Przemyśl (61 808) i</w:t>
            </w:r>
            <w:r w:rsidR="003825A5">
              <w:rPr>
                <w:rFonts w:ascii="Times New Roman" w:hAnsi="Times New Roman" w:cs="Times New Roman"/>
                <w:sz w:val="24"/>
                <w:szCs w:val="24"/>
              </w:rPr>
              <w:t> </w:t>
            </w:r>
            <w:r w:rsidR="003825A5" w:rsidRPr="003825A5">
              <w:rPr>
                <w:rFonts w:ascii="Times New Roman" w:hAnsi="Times New Roman" w:cs="Times New Roman"/>
                <w:sz w:val="24"/>
                <w:szCs w:val="24"/>
              </w:rPr>
              <w:t>Mielec (60 628).</w:t>
            </w:r>
          </w:p>
          <w:p w:rsidR="00E84BED" w:rsidRPr="00C75C71" w:rsidRDefault="003825A5" w:rsidP="008B0360">
            <w:pPr>
              <w:rPr>
                <w:rFonts w:ascii="Times New Roman" w:hAnsi="Times New Roman" w:cs="Times New Roman"/>
                <w:sz w:val="24"/>
                <w:szCs w:val="24"/>
                <w:highlight w:val="yellow"/>
              </w:rPr>
            </w:pPr>
            <w:r w:rsidRPr="008B0360">
              <w:rPr>
                <w:rFonts w:ascii="Times New Roman" w:hAnsi="Times New Roman" w:cs="Times New Roman"/>
                <w:sz w:val="24"/>
                <w:szCs w:val="24"/>
              </w:rPr>
              <w:t xml:space="preserve">Skupienia w powiatach: </w:t>
            </w:r>
            <w:r w:rsidR="00E84BED" w:rsidRPr="008B0360">
              <w:rPr>
                <w:rFonts w:ascii="Times New Roman" w:hAnsi="Times New Roman" w:cs="Times New Roman"/>
                <w:sz w:val="24"/>
                <w:szCs w:val="24"/>
              </w:rPr>
              <w:t>rzeszowski</w:t>
            </w:r>
            <w:r w:rsidRPr="008B0360">
              <w:rPr>
                <w:rFonts w:ascii="Times New Roman" w:hAnsi="Times New Roman" w:cs="Times New Roman"/>
                <w:sz w:val="24"/>
                <w:szCs w:val="24"/>
              </w:rPr>
              <w:t xml:space="preserve">m </w:t>
            </w:r>
            <w:r w:rsidR="00E84BED" w:rsidRPr="008B0360">
              <w:rPr>
                <w:rFonts w:ascii="Times New Roman" w:hAnsi="Times New Roman" w:cs="Times New Roman"/>
                <w:sz w:val="24"/>
                <w:szCs w:val="24"/>
              </w:rPr>
              <w:t>(16</w:t>
            </w:r>
            <w:r w:rsidR="008B0360" w:rsidRPr="008B0360">
              <w:rPr>
                <w:rFonts w:ascii="Times New Roman" w:hAnsi="Times New Roman" w:cs="Times New Roman"/>
                <w:sz w:val="24"/>
                <w:szCs w:val="24"/>
              </w:rPr>
              <w:t>9</w:t>
            </w:r>
            <w:r w:rsidR="00E84BED" w:rsidRPr="008B0360">
              <w:rPr>
                <w:rFonts w:ascii="Times New Roman" w:hAnsi="Times New Roman" w:cs="Times New Roman"/>
                <w:sz w:val="24"/>
                <w:szCs w:val="24"/>
              </w:rPr>
              <w:t> </w:t>
            </w:r>
            <w:r w:rsidR="008B0360" w:rsidRPr="008B0360">
              <w:rPr>
                <w:rFonts w:ascii="Times New Roman" w:hAnsi="Times New Roman" w:cs="Times New Roman"/>
                <w:sz w:val="24"/>
                <w:szCs w:val="24"/>
              </w:rPr>
              <w:t>165</w:t>
            </w:r>
            <w:r w:rsidR="00E84BED" w:rsidRPr="008B0360">
              <w:rPr>
                <w:rFonts w:ascii="Times New Roman" w:hAnsi="Times New Roman" w:cs="Times New Roman"/>
                <w:sz w:val="24"/>
                <w:szCs w:val="24"/>
              </w:rPr>
              <w:t>), mielecki</w:t>
            </w:r>
            <w:r w:rsidRPr="008B0360">
              <w:rPr>
                <w:rFonts w:ascii="Times New Roman" w:hAnsi="Times New Roman" w:cs="Times New Roman"/>
                <w:sz w:val="24"/>
                <w:szCs w:val="24"/>
              </w:rPr>
              <w:t>m</w:t>
            </w:r>
            <w:r w:rsidR="00E84BED" w:rsidRPr="008B0360">
              <w:rPr>
                <w:rFonts w:ascii="Times New Roman" w:hAnsi="Times New Roman" w:cs="Times New Roman"/>
                <w:sz w:val="24"/>
                <w:szCs w:val="24"/>
              </w:rPr>
              <w:t xml:space="preserve"> (136 </w:t>
            </w:r>
            <w:r w:rsidR="008B0360" w:rsidRPr="008B0360">
              <w:rPr>
                <w:rFonts w:ascii="Times New Roman" w:hAnsi="Times New Roman" w:cs="Times New Roman"/>
                <w:sz w:val="24"/>
                <w:szCs w:val="24"/>
              </w:rPr>
              <w:t>666</w:t>
            </w:r>
            <w:r w:rsidR="00E84BED" w:rsidRPr="008B0360">
              <w:rPr>
                <w:rFonts w:ascii="Times New Roman" w:hAnsi="Times New Roman" w:cs="Times New Roman"/>
                <w:sz w:val="24"/>
                <w:szCs w:val="24"/>
              </w:rPr>
              <w:t>)</w:t>
            </w:r>
            <w:r w:rsidRPr="008B0360">
              <w:rPr>
                <w:rFonts w:ascii="Times New Roman" w:hAnsi="Times New Roman" w:cs="Times New Roman"/>
                <w:sz w:val="24"/>
                <w:szCs w:val="24"/>
              </w:rPr>
              <w:t xml:space="preserve"> i</w:t>
            </w:r>
            <w:r w:rsidR="00E84BED" w:rsidRPr="008B0360">
              <w:rPr>
                <w:rFonts w:ascii="Times New Roman" w:hAnsi="Times New Roman" w:cs="Times New Roman"/>
                <w:sz w:val="24"/>
                <w:szCs w:val="24"/>
              </w:rPr>
              <w:t xml:space="preserve"> dębicki</w:t>
            </w:r>
            <w:r w:rsidRPr="008B0360">
              <w:rPr>
                <w:rFonts w:ascii="Times New Roman" w:hAnsi="Times New Roman" w:cs="Times New Roman"/>
                <w:sz w:val="24"/>
                <w:szCs w:val="24"/>
              </w:rPr>
              <w:t>m</w:t>
            </w:r>
            <w:r w:rsidR="00E84BED" w:rsidRPr="008B0360">
              <w:rPr>
                <w:rFonts w:ascii="Times New Roman" w:hAnsi="Times New Roman" w:cs="Times New Roman"/>
                <w:sz w:val="24"/>
                <w:szCs w:val="24"/>
              </w:rPr>
              <w:t xml:space="preserve"> (135 </w:t>
            </w:r>
            <w:r w:rsidR="008B0360" w:rsidRPr="008B0360">
              <w:rPr>
                <w:rFonts w:ascii="Times New Roman" w:hAnsi="Times New Roman" w:cs="Times New Roman"/>
                <w:sz w:val="24"/>
                <w:szCs w:val="24"/>
              </w:rPr>
              <w:t>479</w:t>
            </w:r>
            <w:r w:rsidR="00E84BED" w:rsidRPr="008B0360">
              <w:rPr>
                <w:rFonts w:ascii="Times New Roman" w:hAnsi="Times New Roman" w:cs="Times New Roman"/>
                <w:sz w:val="24"/>
                <w:szCs w:val="24"/>
              </w:rPr>
              <w:t>).</w:t>
            </w:r>
            <w:r w:rsidR="008B0360" w:rsidRPr="008B0360">
              <w:rPr>
                <w:rFonts w:ascii="Times New Roman" w:hAnsi="Times New Roman" w:cs="Times New Roman"/>
                <w:sz w:val="24"/>
                <w:szCs w:val="24"/>
              </w:rPr>
              <w:t xml:space="preserve"> </w:t>
            </w:r>
            <w:r w:rsidR="00E84BED" w:rsidRPr="008B0360">
              <w:rPr>
                <w:rFonts w:ascii="Times New Roman" w:hAnsi="Times New Roman" w:cs="Times New Roman"/>
                <w:sz w:val="24"/>
                <w:szCs w:val="24"/>
              </w:rPr>
              <w:t>Łącznie ww. powiaty</w:t>
            </w:r>
            <w:r w:rsidR="008B0360" w:rsidRPr="008B0360">
              <w:rPr>
                <w:rFonts w:ascii="Times New Roman" w:hAnsi="Times New Roman" w:cs="Times New Roman"/>
                <w:sz w:val="24"/>
                <w:szCs w:val="24"/>
              </w:rPr>
              <w:t xml:space="preserve"> i m. Rzeszów </w:t>
            </w:r>
            <w:r w:rsidR="00E84BED" w:rsidRPr="008B0360">
              <w:rPr>
                <w:rFonts w:ascii="Times New Roman" w:hAnsi="Times New Roman" w:cs="Times New Roman"/>
                <w:sz w:val="24"/>
                <w:szCs w:val="24"/>
              </w:rPr>
              <w:t>skupiają 29,</w:t>
            </w:r>
            <w:r w:rsidR="008B0360" w:rsidRPr="008B0360">
              <w:rPr>
                <w:rFonts w:ascii="Times New Roman" w:hAnsi="Times New Roman" w:cs="Times New Roman"/>
                <w:sz w:val="24"/>
                <w:szCs w:val="24"/>
              </w:rPr>
              <w:t xml:space="preserve">6 </w:t>
            </w:r>
            <w:r w:rsidR="00E84BED" w:rsidRPr="008B0360">
              <w:rPr>
                <w:rFonts w:ascii="Times New Roman" w:hAnsi="Times New Roman" w:cs="Times New Roman"/>
                <w:sz w:val="24"/>
                <w:szCs w:val="24"/>
              </w:rPr>
              <w:t>% populacji</w:t>
            </w:r>
            <w:r w:rsidR="00E84BED" w:rsidRPr="00841287">
              <w:rPr>
                <w:rFonts w:ascii="Times New Roman" w:hAnsi="Times New Roman" w:cs="Times New Roman"/>
                <w:sz w:val="24"/>
                <w:szCs w:val="24"/>
              </w:rPr>
              <w:t xml:space="preserve"> w województwie.</w:t>
            </w:r>
          </w:p>
        </w:tc>
      </w:tr>
      <w:tr w:rsidR="00E84BED" w:rsidRPr="00C75C71" w:rsidTr="00C10ED1">
        <w:tc>
          <w:tcPr>
            <w:tcW w:w="675" w:type="dxa"/>
            <w:shd w:val="clear" w:color="auto" w:fill="FFFFFF" w:themeFill="background1"/>
            <w:vAlign w:val="center"/>
          </w:tcPr>
          <w:p w:rsidR="00E84BED" w:rsidRPr="00E84BED" w:rsidRDefault="00E84BED" w:rsidP="00E12B57">
            <w:pPr>
              <w:pStyle w:val="Akapitzlist"/>
              <w:numPr>
                <w:ilvl w:val="0"/>
                <w:numId w:val="13"/>
              </w:numPr>
              <w:spacing w:before="120" w:after="120"/>
              <w:ind w:left="0" w:firstLine="0"/>
              <w:rPr>
                <w:rFonts w:ascii="Times New Roman" w:hAnsi="Times New Roman" w:cs="Times New Roman"/>
                <w:sz w:val="24"/>
                <w:szCs w:val="24"/>
              </w:rPr>
            </w:pPr>
          </w:p>
        </w:tc>
        <w:tc>
          <w:tcPr>
            <w:tcW w:w="3262" w:type="dxa"/>
            <w:shd w:val="clear" w:color="auto" w:fill="FFFFFF" w:themeFill="background1"/>
            <w:vAlign w:val="center"/>
          </w:tcPr>
          <w:p w:rsidR="00E84BED" w:rsidRPr="00E84BED" w:rsidRDefault="00E84BED" w:rsidP="00992E19">
            <w:pPr>
              <w:rPr>
                <w:rFonts w:ascii="Times New Roman" w:hAnsi="Times New Roman" w:cs="Times New Roman"/>
                <w:sz w:val="24"/>
                <w:szCs w:val="24"/>
              </w:rPr>
            </w:pPr>
            <w:r w:rsidRPr="00E84BED">
              <w:rPr>
                <w:rFonts w:ascii="Times New Roman" w:hAnsi="Times New Roman" w:cs="Times New Roman"/>
                <w:sz w:val="24"/>
                <w:szCs w:val="24"/>
              </w:rPr>
              <w:t>Ludność zamieszkała</w:t>
            </w:r>
          </w:p>
          <w:p w:rsidR="00E84BED" w:rsidRPr="00E84BED" w:rsidRDefault="00E84BED" w:rsidP="00992E19">
            <w:pPr>
              <w:rPr>
                <w:rFonts w:ascii="Times New Roman" w:hAnsi="Times New Roman" w:cs="Times New Roman"/>
                <w:sz w:val="24"/>
                <w:szCs w:val="24"/>
              </w:rPr>
            </w:pPr>
            <w:r w:rsidRPr="00E84BED">
              <w:rPr>
                <w:rFonts w:ascii="Times New Roman" w:hAnsi="Times New Roman" w:cs="Times New Roman"/>
                <w:sz w:val="24"/>
                <w:szCs w:val="24"/>
              </w:rPr>
              <w:t>w miastach</w:t>
            </w:r>
          </w:p>
        </w:tc>
        <w:tc>
          <w:tcPr>
            <w:tcW w:w="2552" w:type="dxa"/>
            <w:shd w:val="clear" w:color="auto" w:fill="FFFFFF" w:themeFill="background1"/>
            <w:vAlign w:val="center"/>
          </w:tcPr>
          <w:p w:rsidR="00EA2F14" w:rsidRDefault="00E84BED" w:rsidP="00EA2F14">
            <w:pPr>
              <w:rPr>
                <w:rFonts w:ascii="Times New Roman" w:hAnsi="Times New Roman" w:cs="Times New Roman"/>
                <w:sz w:val="24"/>
                <w:szCs w:val="24"/>
              </w:rPr>
            </w:pPr>
            <w:r w:rsidRPr="00E84BED">
              <w:rPr>
                <w:rFonts w:ascii="Times New Roman" w:hAnsi="Times New Roman" w:cs="Times New Roman"/>
                <w:sz w:val="24"/>
                <w:szCs w:val="24"/>
              </w:rPr>
              <w:t>51 miast</w:t>
            </w:r>
          </w:p>
          <w:p w:rsidR="00EA2F14" w:rsidRDefault="00E84BED" w:rsidP="00EA2F14">
            <w:pPr>
              <w:rPr>
                <w:rFonts w:ascii="Times New Roman" w:hAnsi="Times New Roman" w:cs="Times New Roman"/>
                <w:sz w:val="24"/>
                <w:szCs w:val="24"/>
              </w:rPr>
            </w:pPr>
            <w:r w:rsidRPr="00E84BED">
              <w:rPr>
                <w:rFonts w:ascii="Times New Roman" w:hAnsi="Times New Roman" w:cs="Times New Roman"/>
                <w:sz w:val="24"/>
                <w:szCs w:val="24"/>
              </w:rPr>
              <w:t>876 148 osób</w:t>
            </w:r>
          </w:p>
          <w:p w:rsidR="00E84BED" w:rsidRPr="00E84BED" w:rsidRDefault="00E84BED" w:rsidP="00EA2F14">
            <w:pPr>
              <w:rPr>
                <w:rFonts w:ascii="Times New Roman" w:hAnsi="Times New Roman" w:cs="Times New Roman"/>
                <w:sz w:val="24"/>
                <w:szCs w:val="24"/>
              </w:rPr>
            </w:pPr>
            <w:r w:rsidRPr="00E84BED">
              <w:rPr>
                <w:rFonts w:ascii="Times New Roman" w:hAnsi="Times New Roman" w:cs="Times New Roman"/>
                <w:sz w:val="24"/>
                <w:szCs w:val="24"/>
              </w:rPr>
              <w:t>41,2% ludności</w:t>
            </w:r>
          </w:p>
        </w:tc>
        <w:tc>
          <w:tcPr>
            <w:tcW w:w="2551" w:type="dxa"/>
            <w:shd w:val="clear" w:color="auto" w:fill="FFFFFF" w:themeFill="background1"/>
            <w:vAlign w:val="center"/>
          </w:tcPr>
          <w:p w:rsidR="00EA2F14" w:rsidRDefault="00E84BED" w:rsidP="00EA2F14">
            <w:pPr>
              <w:rPr>
                <w:rFonts w:ascii="Times New Roman" w:hAnsi="Times New Roman" w:cs="Times New Roman"/>
                <w:sz w:val="24"/>
                <w:szCs w:val="24"/>
              </w:rPr>
            </w:pPr>
            <w:r w:rsidRPr="00BB0AEB">
              <w:rPr>
                <w:rFonts w:ascii="Times New Roman" w:hAnsi="Times New Roman" w:cs="Times New Roman"/>
                <w:sz w:val="24"/>
                <w:szCs w:val="24"/>
              </w:rPr>
              <w:t>51 miast</w:t>
            </w:r>
          </w:p>
          <w:p w:rsidR="00EA2F14" w:rsidRPr="00C10ED1" w:rsidRDefault="00E84BED" w:rsidP="00EA2F14">
            <w:pPr>
              <w:rPr>
                <w:rFonts w:ascii="Times New Roman" w:hAnsi="Times New Roman" w:cs="Times New Roman"/>
                <w:sz w:val="24"/>
                <w:szCs w:val="24"/>
              </w:rPr>
            </w:pPr>
            <w:r w:rsidRPr="00C10ED1">
              <w:rPr>
                <w:rFonts w:ascii="Times New Roman" w:hAnsi="Times New Roman" w:cs="Times New Roman"/>
                <w:sz w:val="24"/>
                <w:szCs w:val="24"/>
              </w:rPr>
              <w:t>876 </w:t>
            </w:r>
            <w:r w:rsidR="00C10ED1" w:rsidRPr="00C10ED1">
              <w:rPr>
                <w:rFonts w:ascii="Times New Roman" w:hAnsi="Times New Roman" w:cs="Times New Roman"/>
                <w:sz w:val="24"/>
                <w:szCs w:val="24"/>
              </w:rPr>
              <w:t>243</w:t>
            </w:r>
            <w:r w:rsidRPr="00C10ED1">
              <w:rPr>
                <w:rFonts w:ascii="Times New Roman" w:hAnsi="Times New Roman" w:cs="Times New Roman"/>
                <w:sz w:val="24"/>
                <w:szCs w:val="24"/>
              </w:rPr>
              <w:t xml:space="preserve"> osób</w:t>
            </w:r>
          </w:p>
          <w:p w:rsidR="00E84BED" w:rsidRPr="00C75C71" w:rsidRDefault="00E84BED" w:rsidP="00EA2F14">
            <w:pPr>
              <w:rPr>
                <w:rFonts w:ascii="Times New Roman" w:hAnsi="Times New Roman" w:cs="Times New Roman"/>
                <w:sz w:val="24"/>
                <w:szCs w:val="24"/>
                <w:highlight w:val="yellow"/>
              </w:rPr>
            </w:pPr>
            <w:r w:rsidRPr="00BB0AEB">
              <w:rPr>
                <w:rFonts w:ascii="Times New Roman" w:hAnsi="Times New Roman" w:cs="Times New Roman"/>
                <w:sz w:val="24"/>
                <w:szCs w:val="24"/>
              </w:rPr>
              <w:t>41,</w:t>
            </w:r>
            <w:r w:rsidR="00BB0AEB" w:rsidRPr="00BB0AEB">
              <w:rPr>
                <w:rFonts w:ascii="Times New Roman" w:hAnsi="Times New Roman" w:cs="Times New Roman"/>
                <w:sz w:val="24"/>
                <w:szCs w:val="24"/>
              </w:rPr>
              <w:t>15</w:t>
            </w:r>
            <w:r w:rsidRPr="00BB0AEB">
              <w:rPr>
                <w:rFonts w:ascii="Times New Roman" w:hAnsi="Times New Roman" w:cs="Times New Roman"/>
                <w:sz w:val="24"/>
                <w:szCs w:val="24"/>
              </w:rPr>
              <w:t>% ludności</w:t>
            </w:r>
          </w:p>
        </w:tc>
        <w:tc>
          <w:tcPr>
            <w:tcW w:w="6032" w:type="dxa"/>
            <w:shd w:val="clear" w:color="auto" w:fill="FFFFFF" w:themeFill="background1"/>
            <w:vAlign w:val="center"/>
          </w:tcPr>
          <w:p w:rsidR="00E84BED" w:rsidRPr="00BB0AEB" w:rsidRDefault="00E84BED" w:rsidP="00992E19">
            <w:pPr>
              <w:rPr>
                <w:rFonts w:ascii="Times New Roman" w:hAnsi="Times New Roman" w:cs="Times New Roman"/>
                <w:sz w:val="24"/>
                <w:szCs w:val="24"/>
              </w:rPr>
            </w:pPr>
            <w:r w:rsidRPr="00BB0AEB">
              <w:rPr>
                <w:rFonts w:ascii="Times New Roman" w:hAnsi="Times New Roman" w:cs="Times New Roman"/>
                <w:sz w:val="24"/>
                <w:szCs w:val="24"/>
              </w:rPr>
              <w:t>Najniższy odsetek ludności w miastach – w porównaniu</w:t>
            </w:r>
          </w:p>
          <w:p w:rsidR="00E84BED" w:rsidRPr="00C75C71" w:rsidRDefault="00E84BED" w:rsidP="00992E19">
            <w:pPr>
              <w:rPr>
                <w:rFonts w:ascii="Times New Roman" w:hAnsi="Times New Roman" w:cs="Times New Roman"/>
                <w:sz w:val="24"/>
                <w:szCs w:val="24"/>
                <w:highlight w:val="yellow"/>
              </w:rPr>
            </w:pPr>
            <w:r w:rsidRPr="00BB0AEB">
              <w:rPr>
                <w:rFonts w:ascii="Times New Roman" w:hAnsi="Times New Roman" w:cs="Times New Roman"/>
                <w:sz w:val="24"/>
                <w:szCs w:val="24"/>
              </w:rPr>
              <w:t>międzywojewódzkim.</w:t>
            </w:r>
          </w:p>
        </w:tc>
      </w:tr>
      <w:tr w:rsidR="00E84BED" w:rsidRPr="00C75C71" w:rsidTr="00C10ED1">
        <w:tc>
          <w:tcPr>
            <w:tcW w:w="675" w:type="dxa"/>
            <w:shd w:val="clear" w:color="auto" w:fill="FFFFFF" w:themeFill="background1"/>
            <w:vAlign w:val="center"/>
          </w:tcPr>
          <w:p w:rsidR="00E84BED" w:rsidRPr="00E84BED" w:rsidRDefault="00E84BED" w:rsidP="00E12B57">
            <w:pPr>
              <w:pStyle w:val="Akapitzlist"/>
              <w:numPr>
                <w:ilvl w:val="0"/>
                <w:numId w:val="13"/>
              </w:numPr>
              <w:spacing w:before="120" w:after="120"/>
              <w:ind w:left="0" w:firstLine="0"/>
              <w:rPr>
                <w:rFonts w:ascii="Times New Roman" w:hAnsi="Times New Roman" w:cs="Times New Roman"/>
                <w:sz w:val="24"/>
                <w:szCs w:val="24"/>
              </w:rPr>
            </w:pPr>
          </w:p>
        </w:tc>
        <w:tc>
          <w:tcPr>
            <w:tcW w:w="3262" w:type="dxa"/>
            <w:shd w:val="clear" w:color="auto" w:fill="FFFFFF" w:themeFill="background1"/>
            <w:vAlign w:val="center"/>
          </w:tcPr>
          <w:p w:rsidR="00E84BED" w:rsidRPr="00E84BED" w:rsidRDefault="00E84BED" w:rsidP="00992E19">
            <w:pPr>
              <w:rPr>
                <w:rFonts w:ascii="Times New Roman" w:hAnsi="Times New Roman" w:cs="Times New Roman"/>
                <w:sz w:val="24"/>
                <w:szCs w:val="24"/>
              </w:rPr>
            </w:pPr>
            <w:r w:rsidRPr="00E84BED">
              <w:rPr>
                <w:rFonts w:ascii="Times New Roman" w:hAnsi="Times New Roman" w:cs="Times New Roman"/>
                <w:sz w:val="24"/>
                <w:szCs w:val="24"/>
              </w:rPr>
              <w:t>Ludność zamieszkała</w:t>
            </w:r>
          </w:p>
          <w:p w:rsidR="00E84BED" w:rsidRPr="00E84BED" w:rsidRDefault="00E84BED" w:rsidP="00992E19">
            <w:pPr>
              <w:rPr>
                <w:rFonts w:ascii="Times New Roman" w:hAnsi="Times New Roman" w:cs="Times New Roman"/>
                <w:sz w:val="24"/>
                <w:szCs w:val="24"/>
              </w:rPr>
            </w:pPr>
            <w:r w:rsidRPr="00E84BED">
              <w:rPr>
                <w:rFonts w:ascii="Times New Roman" w:hAnsi="Times New Roman" w:cs="Times New Roman"/>
                <w:sz w:val="24"/>
                <w:szCs w:val="24"/>
              </w:rPr>
              <w:t>na wsi</w:t>
            </w:r>
          </w:p>
        </w:tc>
        <w:tc>
          <w:tcPr>
            <w:tcW w:w="2552" w:type="dxa"/>
            <w:shd w:val="clear" w:color="auto" w:fill="FFFFFF" w:themeFill="background1"/>
            <w:vAlign w:val="center"/>
          </w:tcPr>
          <w:p w:rsidR="00EA2F14" w:rsidRPr="00C10ED1" w:rsidRDefault="00E84BED" w:rsidP="00EA2F14">
            <w:pPr>
              <w:rPr>
                <w:rFonts w:ascii="Times New Roman" w:hAnsi="Times New Roman" w:cs="Times New Roman"/>
                <w:sz w:val="24"/>
                <w:szCs w:val="24"/>
              </w:rPr>
            </w:pPr>
            <w:r w:rsidRPr="00C10ED1">
              <w:rPr>
                <w:rFonts w:ascii="Times New Roman" w:hAnsi="Times New Roman" w:cs="Times New Roman"/>
                <w:sz w:val="24"/>
                <w:szCs w:val="24"/>
              </w:rPr>
              <w:t>1 251 508 osób</w:t>
            </w:r>
          </w:p>
          <w:p w:rsidR="00E84BED" w:rsidRPr="00C10ED1" w:rsidRDefault="00E84BED" w:rsidP="00EA2F14">
            <w:pPr>
              <w:rPr>
                <w:rFonts w:ascii="Times New Roman" w:hAnsi="Times New Roman" w:cs="Times New Roman"/>
                <w:sz w:val="24"/>
                <w:szCs w:val="24"/>
              </w:rPr>
            </w:pPr>
            <w:r w:rsidRPr="00C10ED1">
              <w:rPr>
                <w:rFonts w:ascii="Times New Roman" w:hAnsi="Times New Roman" w:cs="Times New Roman"/>
                <w:sz w:val="24"/>
                <w:szCs w:val="24"/>
              </w:rPr>
              <w:t>58,8% ludności</w:t>
            </w:r>
          </w:p>
        </w:tc>
        <w:tc>
          <w:tcPr>
            <w:tcW w:w="2551" w:type="dxa"/>
            <w:shd w:val="clear" w:color="auto" w:fill="FFFFFF" w:themeFill="background1"/>
            <w:vAlign w:val="center"/>
          </w:tcPr>
          <w:p w:rsidR="00EA2F14" w:rsidRPr="00C10ED1" w:rsidRDefault="00E84BED" w:rsidP="00EA2F14">
            <w:pPr>
              <w:rPr>
                <w:rFonts w:ascii="Times New Roman" w:hAnsi="Times New Roman" w:cs="Times New Roman"/>
                <w:sz w:val="24"/>
                <w:szCs w:val="24"/>
              </w:rPr>
            </w:pPr>
            <w:r w:rsidRPr="00C10ED1">
              <w:rPr>
                <w:rFonts w:ascii="Times New Roman" w:hAnsi="Times New Roman" w:cs="Times New Roman"/>
                <w:sz w:val="24"/>
                <w:szCs w:val="24"/>
              </w:rPr>
              <w:t>1 25</w:t>
            </w:r>
            <w:r w:rsidR="00C10ED1" w:rsidRPr="00C10ED1">
              <w:rPr>
                <w:rFonts w:ascii="Times New Roman" w:hAnsi="Times New Roman" w:cs="Times New Roman"/>
                <w:sz w:val="24"/>
                <w:szCs w:val="24"/>
              </w:rPr>
              <w:t>2</w:t>
            </w:r>
            <w:r w:rsidRPr="00C10ED1">
              <w:rPr>
                <w:rFonts w:ascii="Times New Roman" w:hAnsi="Times New Roman" w:cs="Times New Roman"/>
                <w:sz w:val="24"/>
                <w:szCs w:val="24"/>
              </w:rPr>
              <w:t> 8</w:t>
            </w:r>
            <w:r w:rsidR="00C10ED1" w:rsidRPr="00C10ED1">
              <w:rPr>
                <w:rFonts w:ascii="Times New Roman" w:hAnsi="Times New Roman" w:cs="Times New Roman"/>
                <w:sz w:val="24"/>
                <w:szCs w:val="24"/>
              </w:rPr>
              <w:t>95</w:t>
            </w:r>
            <w:r w:rsidRPr="00C10ED1">
              <w:rPr>
                <w:rFonts w:ascii="Times New Roman" w:hAnsi="Times New Roman" w:cs="Times New Roman"/>
                <w:sz w:val="24"/>
                <w:szCs w:val="24"/>
              </w:rPr>
              <w:t xml:space="preserve"> osób</w:t>
            </w:r>
          </w:p>
          <w:p w:rsidR="00E84BED" w:rsidRPr="00C10ED1" w:rsidRDefault="00E84BED" w:rsidP="00EA2F14">
            <w:pPr>
              <w:rPr>
                <w:rFonts w:ascii="Times New Roman" w:hAnsi="Times New Roman" w:cs="Times New Roman"/>
                <w:sz w:val="24"/>
                <w:szCs w:val="24"/>
              </w:rPr>
            </w:pPr>
            <w:r w:rsidRPr="00C10ED1">
              <w:rPr>
                <w:rFonts w:ascii="Times New Roman" w:hAnsi="Times New Roman" w:cs="Times New Roman"/>
                <w:sz w:val="24"/>
                <w:szCs w:val="24"/>
              </w:rPr>
              <w:t>58,8</w:t>
            </w:r>
            <w:r w:rsidR="00BB0AEB" w:rsidRPr="00C10ED1">
              <w:rPr>
                <w:rFonts w:ascii="Times New Roman" w:hAnsi="Times New Roman" w:cs="Times New Roman"/>
                <w:sz w:val="24"/>
                <w:szCs w:val="24"/>
              </w:rPr>
              <w:t>5</w:t>
            </w:r>
            <w:r w:rsidRPr="00C10ED1">
              <w:rPr>
                <w:rFonts w:ascii="Times New Roman" w:hAnsi="Times New Roman" w:cs="Times New Roman"/>
                <w:sz w:val="24"/>
                <w:szCs w:val="24"/>
              </w:rPr>
              <w:t>% ludności</w:t>
            </w:r>
          </w:p>
        </w:tc>
        <w:tc>
          <w:tcPr>
            <w:tcW w:w="6032" w:type="dxa"/>
            <w:shd w:val="clear" w:color="auto" w:fill="FFFFFF" w:themeFill="background1"/>
            <w:vAlign w:val="center"/>
          </w:tcPr>
          <w:p w:rsidR="00E84BED" w:rsidRPr="00BB0AEB" w:rsidRDefault="00E84BED" w:rsidP="00992E19">
            <w:pPr>
              <w:rPr>
                <w:rFonts w:ascii="Times New Roman" w:hAnsi="Times New Roman" w:cs="Times New Roman"/>
                <w:sz w:val="24"/>
                <w:szCs w:val="24"/>
              </w:rPr>
            </w:pPr>
            <w:r w:rsidRPr="00BB0AEB">
              <w:rPr>
                <w:rFonts w:ascii="Times New Roman" w:hAnsi="Times New Roman" w:cs="Times New Roman"/>
                <w:sz w:val="24"/>
                <w:szCs w:val="24"/>
              </w:rPr>
              <w:t>Najwyższy odsetek ludności na wsi – w porównaniu</w:t>
            </w:r>
          </w:p>
          <w:p w:rsidR="00E84BED" w:rsidRPr="00C75C71" w:rsidRDefault="00E84BED" w:rsidP="00992E19">
            <w:pPr>
              <w:rPr>
                <w:rFonts w:ascii="Times New Roman" w:hAnsi="Times New Roman" w:cs="Times New Roman"/>
                <w:sz w:val="24"/>
                <w:szCs w:val="24"/>
                <w:highlight w:val="yellow"/>
              </w:rPr>
            </w:pPr>
            <w:r w:rsidRPr="00BB0AEB">
              <w:rPr>
                <w:rFonts w:ascii="Times New Roman" w:hAnsi="Times New Roman" w:cs="Times New Roman"/>
                <w:sz w:val="24"/>
                <w:szCs w:val="24"/>
              </w:rPr>
              <w:t>międzywojewódzkim.</w:t>
            </w:r>
          </w:p>
        </w:tc>
      </w:tr>
      <w:tr w:rsidR="00E84BED" w:rsidRPr="00C75C71" w:rsidTr="00C10ED1">
        <w:tc>
          <w:tcPr>
            <w:tcW w:w="675" w:type="dxa"/>
            <w:shd w:val="clear" w:color="auto" w:fill="FFFFFF" w:themeFill="background1"/>
            <w:vAlign w:val="center"/>
          </w:tcPr>
          <w:p w:rsidR="00E84BED" w:rsidRPr="00E84BED" w:rsidRDefault="00E84BED" w:rsidP="00E12B57">
            <w:pPr>
              <w:pStyle w:val="Akapitzlist"/>
              <w:numPr>
                <w:ilvl w:val="0"/>
                <w:numId w:val="13"/>
              </w:numPr>
              <w:spacing w:before="120" w:after="120"/>
              <w:ind w:left="0" w:firstLine="0"/>
              <w:rPr>
                <w:rFonts w:ascii="Times New Roman" w:hAnsi="Times New Roman" w:cs="Times New Roman"/>
                <w:sz w:val="24"/>
                <w:szCs w:val="24"/>
              </w:rPr>
            </w:pPr>
          </w:p>
        </w:tc>
        <w:tc>
          <w:tcPr>
            <w:tcW w:w="3262" w:type="dxa"/>
            <w:shd w:val="clear" w:color="auto" w:fill="FFFFFF" w:themeFill="background1"/>
            <w:vAlign w:val="center"/>
          </w:tcPr>
          <w:p w:rsidR="00E84BED" w:rsidRPr="00E84BED" w:rsidRDefault="00E84BED" w:rsidP="00992E19">
            <w:pPr>
              <w:rPr>
                <w:rFonts w:ascii="Times New Roman" w:hAnsi="Times New Roman" w:cs="Times New Roman"/>
                <w:sz w:val="24"/>
                <w:szCs w:val="24"/>
              </w:rPr>
            </w:pPr>
            <w:r w:rsidRPr="00E84BED">
              <w:rPr>
                <w:rFonts w:ascii="Times New Roman" w:hAnsi="Times New Roman" w:cs="Times New Roman"/>
                <w:sz w:val="24"/>
                <w:szCs w:val="24"/>
              </w:rPr>
              <w:t>Gęstość zaludnienia</w:t>
            </w:r>
          </w:p>
          <w:p w:rsidR="00E84BED" w:rsidRPr="00E84BED" w:rsidRDefault="00E84BED" w:rsidP="00992E19">
            <w:pPr>
              <w:rPr>
                <w:rFonts w:ascii="Times New Roman" w:hAnsi="Times New Roman" w:cs="Times New Roman"/>
                <w:sz w:val="24"/>
                <w:szCs w:val="24"/>
              </w:rPr>
            </w:pPr>
            <w:r w:rsidRPr="00E84BED">
              <w:rPr>
                <w:rFonts w:ascii="Times New Roman" w:hAnsi="Times New Roman" w:cs="Times New Roman"/>
                <w:sz w:val="24"/>
                <w:szCs w:val="24"/>
              </w:rPr>
              <w:t>(ludność na 1 km</w:t>
            </w:r>
            <w:r w:rsidRPr="00E84BED">
              <w:rPr>
                <w:rFonts w:ascii="Times New Roman" w:hAnsi="Times New Roman" w:cs="Times New Roman"/>
                <w:sz w:val="24"/>
                <w:szCs w:val="24"/>
                <w:vertAlign w:val="superscript"/>
              </w:rPr>
              <w:t>2</w:t>
            </w:r>
            <w:r w:rsidRPr="00E84BED">
              <w:rPr>
                <w:rFonts w:ascii="Times New Roman" w:hAnsi="Times New Roman" w:cs="Times New Roman"/>
                <w:sz w:val="24"/>
                <w:szCs w:val="24"/>
              </w:rPr>
              <w:t>)</w:t>
            </w:r>
          </w:p>
        </w:tc>
        <w:tc>
          <w:tcPr>
            <w:tcW w:w="2552" w:type="dxa"/>
            <w:shd w:val="clear" w:color="auto" w:fill="FFFFFF" w:themeFill="background1"/>
            <w:vAlign w:val="center"/>
          </w:tcPr>
          <w:p w:rsidR="00E84BED" w:rsidRPr="00B82D2D" w:rsidRDefault="00E84BED" w:rsidP="00E84BED">
            <w:pPr>
              <w:spacing w:before="120" w:after="120"/>
              <w:rPr>
                <w:rFonts w:ascii="Times New Roman" w:hAnsi="Times New Roman" w:cs="Times New Roman"/>
                <w:sz w:val="24"/>
                <w:szCs w:val="24"/>
              </w:rPr>
            </w:pPr>
            <w:r w:rsidRPr="00B82D2D">
              <w:rPr>
                <w:rFonts w:ascii="Times New Roman" w:hAnsi="Times New Roman" w:cs="Times New Roman"/>
                <w:sz w:val="24"/>
                <w:szCs w:val="24"/>
              </w:rPr>
              <w:t>119 os./km</w:t>
            </w:r>
            <w:r w:rsidRPr="00B82D2D">
              <w:rPr>
                <w:rFonts w:ascii="Times New Roman" w:hAnsi="Times New Roman" w:cs="Times New Roman"/>
                <w:sz w:val="24"/>
                <w:szCs w:val="24"/>
                <w:vertAlign w:val="superscript"/>
              </w:rPr>
              <w:t>2</w:t>
            </w:r>
          </w:p>
        </w:tc>
        <w:tc>
          <w:tcPr>
            <w:tcW w:w="2551" w:type="dxa"/>
            <w:shd w:val="clear" w:color="auto" w:fill="FFFFFF" w:themeFill="background1"/>
            <w:vAlign w:val="center"/>
          </w:tcPr>
          <w:p w:rsidR="00E84BED" w:rsidRPr="00B82D2D" w:rsidRDefault="00E84BED" w:rsidP="00E84BED">
            <w:pPr>
              <w:spacing w:before="120" w:after="120"/>
              <w:rPr>
                <w:rFonts w:ascii="Times New Roman" w:hAnsi="Times New Roman" w:cs="Times New Roman"/>
                <w:sz w:val="24"/>
                <w:szCs w:val="24"/>
              </w:rPr>
            </w:pPr>
            <w:r w:rsidRPr="00B82D2D">
              <w:rPr>
                <w:rFonts w:ascii="Times New Roman" w:hAnsi="Times New Roman" w:cs="Times New Roman"/>
                <w:sz w:val="24"/>
                <w:szCs w:val="24"/>
              </w:rPr>
              <w:t>119 os./km</w:t>
            </w:r>
            <w:r w:rsidR="00BB0AEB">
              <w:rPr>
                <w:rFonts w:ascii="Times New Roman" w:hAnsi="Times New Roman" w:cs="Times New Roman"/>
                <w:sz w:val="24"/>
                <w:szCs w:val="24"/>
              </w:rPr>
              <w:t> </w:t>
            </w:r>
            <w:r w:rsidRPr="00B82D2D">
              <w:rPr>
                <w:rFonts w:ascii="Times New Roman" w:hAnsi="Times New Roman" w:cs="Times New Roman"/>
                <w:sz w:val="24"/>
                <w:szCs w:val="24"/>
                <w:vertAlign w:val="superscript"/>
              </w:rPr>
              <w:t>2</w:t>
            </w:r>
          </w:p>
        </w:tc>
        <w:tc>
          <w:tcPr>
            <w:tcW w:w="6032" w:type="dxa"/>
            <w:shd w:val="clear" w:color="auto" w:fill="FFFFFF" w:themeFill="background1"/>
          </w:tcPr>
          <w:p w:rsidR="00E84BED" w:rsidRPr="00B82D2D" w:rsidRDefault="00E84BED" w:rsidP="00992E19">
            <w:pPr>
              <w:rPr>
                <w:rFonts w:ascii="Times New Roman" w:hAnsi="Times New Roman" w:cs="Times New Roman"/>
                <w:sz w:val="24"/>
                <w:szCs w:val="24"/>
              </w:rPr>
            </w:pPr>
            <w:r w:rsidRPr="00B82D2D">
              <w:rPr>
                <w:rFonts w:ascii="Times New Roman" w:hAnsi="Times New Roman" w:cs="Times New Roman"/>
                <w:sz w:val="24"/>
                <w:szCs w:val="24"/>
              </w:rPr>
              <w:t>Dla kraju: 123 os./km</w:t>
            </w:r>
            <w:r w:rsidRPr="00B82D2D">
              <w:rPr>
                <w:rFonts w:ascii="Times New Roman" w:hAnsi="Times New Roman" w:cs="Times New Roman"/>
                <w:sz w:val="24"/>
                <w:szCs w:val="24"/>
                <w:vertAlign w:val="superscript"/>
              </w:rPr>
              <w:t>2</w:t>
            </w:r>
            <w:r w:rsidRPr="00B82D2D">
              <w:rPr>
                <w:rFonts w:ascii="Times New Roman" w:hAnsi="Times New Roman" w:cs="Times New Roman"/>
                <w:sz w:val="24"/>
                <w:szCs w:val="24"/>
              </w:rPr>
              <w:t>,</w:t>
            </w:r>
          </w:p>
          <w:p w:rsidR="00E84BED" w:rsidRPr="00B82D2D" w:rsidRDefault="00E84BED" w:rsidP="00992E19">
            <w:pPr>
              <w:rPr>
                <w:rFonts w:ascii="Times New Roman" w:hAnsi="Times New Roman" w:cs="Times New Roman"/>
                <w:sz w:val="24"/>
                <w:szCs w:val="24"/>
              </w:rPr>
            </w:pPr>
            <w:r w:rsidRPr="00B82D2D">
              <w:rPr>
                <w:rFonts w:ascii="Times New Roman" w:hAnsi="Times New Roman" w:cs="Times New Roman"/>
                <w:sz w:val="24"/>
                <w:szCs w:val="24"/>
              </w:rPr>
              <w:t>znaczne zróżnicowanie przestrzenne w poszczególnych</w:t>
            </w:r>
          </w:p>
          <w:p w:rsidR="00E84BED" w:rsidRPr="00C75C71" w:rsidRDefault="00E84BED" w:rsidP="00992E19">
            <w:pPr>
              <w:rPr>
                <w:rFonts w:ascii="Times New Roman" w:hAnsi="Times New Roman" w:cs="Times New Roman"/>
                <w:sz w:val="24"/>
                <w:szCs w:val="24"/>
                <w:highlight w:val="yellow"/>
              </w:rPr>
            </w:pPr>
            <w:r w:rsidRPr="00B82D2D">
              <w:rPr>
                <w:rFonts w:ascii="Times New Roman" w:hAnsi="Times New Roman" w:cs="Times New Roman"/>
                <w:sz w:val="24"/>
                <w:szCs w:val="24"/>
              </w:rPr>
              <w:t>powiatach, stała wartość wskaźnika – w porównaniu rdr.</w:t>
            </w:r>
          </w:p>
        </w:tc>
      </w:tr>
      <w:tr w:rsidR="00E84BED" w:rsidRPr="00C75C71" w:rsidTr="00C10ED1">
        <w:tc>
          <w:tcPr>
            <w:tcW w:w="675" w:type="dxa"/>
            <w:tcBorders>
              <w:bottom w:val="single" w:sz="4" w:space="0" w:color="auto"/>
            </w:tcBorders>
            <w:vAlign w:val="center"/>
          </w:tcPr>
          <w:p w:rsidR="00E84BED" w:rsidRPr="00E84BED" w:rsidRDefault="00E84BED" w:rsidP="00E12B57">
            <w:pPr>
              <w:pStyle w:val="Akapitzlist"/>
              <w:numPr>
                <w:ilvl w:val="0"/>
                <w:numId w:val="13"/>
              </w:numPr>
              <w:spacing w:before="120" w:after="120"/>
              <w:ind w:left="0" w:firstLine="0"/>
              <w:rPr>
                <w:rFonts w:ascii="Times New Roman" w:hAnsi="Times New Roman" w:cs="Times New Roman"/>
                <w:sz w:val="24"/>
                <w:szCs w:val="24"/>
              </w:rPr>
            </w:pPr>
          </w:p>
        </w:tc>
        <w:tc>
          <w:tcPr>
            <w:tcW w:w="3262" w:type="dxa"/>
            <w:tcBorders>
              <w:bottom w:val="single" w:sz="4" w:space="0" w:color="auto"/>
            </w:tcBorders>
            <w:vAlign w:val="center"/>
          </w:tcPr>
          <w:p w:rsidR="00E84BED" w:rsidRPr="00E84BED" w:rsidRDefault="00E84BED" w:rsidP="00992E19">
            <w:pPr>
              <w:rPr>
                <w:rFonts w:ascii="Times New Roman" w:hAnsi="Times New Roman" w:cs="Times New Roman"/>
                <w:sz w:val="24"/>
                <w:szCs w:val="24"/>
              </w:rPr>
            </w:pPr>
            <w:r w:rsidRPr="00E84BED">
              <w:rPr>
                <w:rFonts w:ascii="Times New Roman" w:hAnsi="Times New Roman" w:cs="Times New Roman"/>
                <w:sz w:val="24"/>
                <w:szCs w:val="24"/>
              </w:rPr>
              <w:t>Przyrost naturalny</w:t>
            </w:r>
          </w:p>
        </w:tc>
        <w:tc>
          <w:tcPr>
            <w:tcW w:w="2552" w:type="dxa"/>
            <w:tcBorders>
              <w:bottom w:val="single" w:sz="4" w:space="0" w:color="auto"/>
            </w:tcBorders>
            <w:vAlign w:val="center"/>
          </w:tcPr>
          <w:p w:rsidR="00E84BED" w:rsidRPr="00E84BED" w:rsidRDefault="00E84BED" w:rsidP="00E84BED">
            <w:pPr>
              <w:spacing w:before="120" w:after="120"/>
              <w:rPr>
                <w:rFonts w:ascii="Times New Roman" w:hAnsi="Times New Roman" w:cs="Times New Roman"/>
                <w:sz w:val="24"/>
                <w:szCs w:val="24"/>
              </w:rPr>
            </w:pPr>
            <w:r w:rsidRPr="00E84BED">
              <w:rPr>
                <w:rFonts w:ascii="Times New Roman" w:hAnsi="Times New Roman" w:cs="Times New Roman"/>
                <w:sz w:val="24"/>
                <w:szCs w:val="24"/>
              </w:rPr>
              <w:t>+</w:t>
            </w:r>
            <w:r w:rsidR="001262D3">
              <w:rPr>
                <w:rFonts w:ascii="Times New Roman" w:hAnsi="Times New Roman" w:cs="Times New Roman"/>
                <w:sz w:val="24"/>
                <w:szCs w:val="24"/>
              </w:rPr>
              <w:t xml:space="preserve"> </w:t>
            </w:r>
            <w:r w:rsidRPr="00E84BED">
              <w:rPr>
                <w:rFonts w:ascii="Times New Roman" w:hAnsi="Times New Roman" w:cs="Times New Roman"/>
                <w:sz w:val="24"/>
                <w:szCs w:val="24"/>
              </w:rPr>
              <w:t>0,54494</w:t>
            </w:r>
            <w:r w:rsidR="001262D3">
              <w:rPr>
                <w:rFonts w:ascii="Times New Roman" w:hAnsi="Times New Roman" w:cs="Times New Roman"/>
                <w:sz w:val="24"/>
                <w:szCs w:val="24"/>
              </w:rPr>
              <w:t> </w:t>
            </w:r>
            <w:r w:rsidRPr="00E84BED">
              <w:rPr>
                <w:rFonts w:ascii="Times New Roman" w:hAnsi="Times New Roman" w:cs="Times New Roman"/>
                <w:sz w:val="24"/>
                <w:szCs w:val="24"/>
              </w:rPr>
              <w:t>‰</w:t>
            </w:r>
          </w:p>
        </w:tc>
        <w:tc>
          <w:tcPr>
            <w:tcW w:w="2551" w:type="dxa"/>
            <w:tcBorders>
              <w:bottom w:val="single" w:sz="4" w:space="0" w:color="auto"/>
            </w:tcBorders>
            <w:shd w:val="clear" w:color="auto" w:fill="auto"/>
            <w:vAlign w:val="center"/>
          </w:tcPr>
          <w:p w:rsidR="00E84BED" w:rsidRPr="00C75C71" w:rsidRDefault="00E84BED" w:rsidP="001262D3">
            <w:pPr>
              <w:spacing w:before="120" w:after="120"/>
              <w:rPr>
                <w:rFonts w:ascii="Times New Roman" w:hAnsi="Times New Roman" w:cs="Times New Roman"/>
                <w:sz w:val="24"/>
                <w:szCs w:val="24"/>
                <w:highlight w:val="yellow"/>
              </w:rPr>
            </w:pPr>
            <w:r w:rsidRPr="001262D3">
              <w:rPr>
                <w:rFonts w:ascii="Times New Roman" w:hAnsi="Times New Roman" w:cs="Times New Roman"/>
                <w:sz w:val="24"/>
                <w:szCs w:val="24"/>
              </w:rPr>
              <w:t>+</w:t>
            </w:r>
            <w:r w:rsidR="001262D3">
              <w:rPr>
                <w:rFonts w:ascii="Times New Roman" w:hAnsi="Times New Roman" w:cs="Times New Roman"/>
                <w:sz w:val="24"/>
                <w:szCs w:val="24"/>
              </w:rPr>
              <w:t xml:space="preserve"> </w:t>
            </w:r>
            <w:r w:rsidR="001262D3" w:rsidRPr="001262D3">
              <w:rPr>
                <w:rFonts w:ascii="Times New Roman" w:hAnsi="Times New Roman" w:cs="Times New Roman"/>
                <w:sz w:val="24"/>
                <w:szCs w:val="24"/>
              </w:rPr>
              <w:t>1</w:t>
            </w:r>
            <w:r w:rsidRPr="001262D3">
              <w:rPr>
                <w:rFonts w:ascii="Times New Roman" w:hAnsi="Times New Roman" w:cs="Times New Roman"/>
                <w:sz w:val="24"/>
                <w:szCs w:val="24"/>
              </w:rPr>
              <w:t>,</w:t>
            </w:r>
            <w:r w:rsidR="001262D3" w:rsidRPr="001262D3">
              <w:rPr>
                <w:rFonts w:ascii="Times New Roman" w:hAnsi="Times New Roman" w:cs="Times New Roman"/>
                <w:sz w:val="24"/>
                <w:szCs w:val="24"/>
              </w:rPr>
              <w:t>22 </w:t>
            </w:r>
            <w:r w:rsidRPr="001262D3">
              <w:rPr>
                <w:rFonts w:ascii="Times New Roman" w:hAnsi="Times New Roman" w:cs="Times New Roman"/>
                <w:sz w:val="24"/>
                <w:szCs w:val="24"/>
              </w:rPr>
              <w:t>‰</w:t>
            </w:r>
          </w:p>
        </w:tc>
        <w:tc>
          <w:tcPr>
            <w:tcW w:w="6032" w:type="dxa"/>
            <w:tcBorders>
              <w:bottom w:val="single" w:sz="4" w:space="0" w:color="auto"/>
            </w:tcBorders>
          </w:tcPr>
          <w:p w:rsidR="00E84BED" w:rsidRPr="001262D3" w:rsidRDefault="00E84BED" w:rsidP="004F68E4">
            <w:pPr>
              <w:rPr>
                <w:rFonts w:ascii="Times New Roman" w:hAnsi="Times New Roman" w:cs="Times New Roman"/>
                <w:sz w:val="24"/>
                <w:szCs w:val="24"/>
              </w:rPr>
            </w:pPr>
            <w:r w:rsidRPr="001262D3">
              <w:rPr>
                <w:rFonts w:ascii="Times New Roman" w:hAnsi="Times New Roman" w:cs="Times New Roman"/>
                <w:sz w:val="24"/>
                <w:szCs w:val="24"/>
              </w:rPr>
              <w:t>Wartość dla kraju [201</w:t>
            </w:r>
            <w:r w:rsidR="001262D3" w:rsidRPr="001262D3">
              <w:rPr>
                <w:rFonts w:ascii="Times New Roman" w:hAnsi="Times New Roman" w:cs="Times New Roman"/>
                <w:sz w:val="24"/>
                <w:szCs w:val="24"/>
              </w:rPr>
              <w:t>7</w:t>
            </w:r>
            <w:r w:rsidRPr="001262D3">
              <w:rPr>
                <w:rFonts w:ascii="Times New Roman" w:hAnsi="Times New Roman" w:cs="Times New Roman"/>
                <w:sz w:val="24"/>
                <w:szCs w:val="24"/>
              </w:rPr>
              <w:t xml:space="preserve">]: </w:t>
            </w:r>
            <w:r w:rsidR="00BA64D6">
              <w:rPr>
                <w:rFonts w:ascii="Times New Roman" w:hAnsi="Times New Roman" w:cs="Times New Roman"/>
                <w:sz w:val="24"/>
                <w:szCs w:val="24"/>
              </w:rPr>
              <w:t>minus</w:t>
            </w:r>
            <w:r w:rsidR="001262D3" w:rsidRPr="001262D3">
              <w:rPr>
                <w:rFonts w:ascii="Times New Roman" w:hAnsi="Times New Roman" w:cs="Times New Roman"/>
                <w:sz w:val="24"/>
                <w:szCs w:val="24"/>
              </w:rPr>
              <w:t xml:space="preserve"> </w:t>
            </w:r>
            <w:r w:rsidRPr="001262D3">
              <w:rPr>
                <w:rFonts w:ascii="Times New Roman" w:hAnsi="Times New Roman" w:cs="Times New Roman"/>
                <w:sz w:val="24"/>
                <w:szCs w:val="24"/>
              </w:rPr>
              <w:t>0,</w:t>
            </w:r>
            <w:r w:rsidR="001262D3" w:rsidRPr="001262D3">
              <w:rPr>
                <w:rFonts w:ascii="Times New Roman" w:hAnsi="Times New Roman" w:cs="Times New Roman"/>
                <w:sz w:val="24"/>
                <w:szCs w:val="24"/>
              </w:rPr>
              <w:t xml:space="preserve">02 </w:t>
            </w:r>
            <w:r w:rsidRPr="001262D3">
              <w:rPr>
                <w:rFonts w:ascii="Times New Roman" w:hAnsi="Times New Roman" w:cs="Times New Roman"/>
                <w:sz w:val="24"/>
                <w:szCs w:val="24"/>
              </w:rPr>
              <w:t xml:space="preserve">‰, </w:t>
            </w:r>
            <w:r w:rsidR="001262D3" w:rsidRPr="001262D3">
              <w:rPr>
                <w:rFonts w:ascii="Times New Roman" w:hAnsi="Times New Roman" w:cs="Times New Roman"/>
                <w:sz w:val="24"/>
                <w:szCs w:val="24"/>
              </w:rPr>
              <w:t>4</w:t>
            </w:r>
            <w:r w:rsidRPr="001262D3">
              <w:rPr>
                <w:rFonts w:ascii="Times New Roman" w:hAnsi="Times New Roman" w:cs="Times New Roman"/>
                <w:sz w:val="24"/>
                <w:szCs w:val="24"/>
              </w:rPr>
              <w:t xml:space="preserve"> lokata wśród</w:t>
            </w:r>
          </w:p>
          <w:p w:rsidR="00E84BED" w:rsidRPr="00C75C71" w:rsidRDefault="00E84BED" w:rsidP="004F68E4">
            <w:pPr>
              <w:rPr>
                <w:rFonts w:ascii="Times New Roman" w:hAnsi="Times New Roman" w:cs="Times New Roman"/>
                <w:sz w:val="24"/>
                <w:szCs w:val="24"/>
                <w:highlight w:val="yellow"/>
              </w:rPr>
            </w:pPr>
            <w:r w:rsidRPr="001262D3">
              <w:rPr>
                <w:rFonts w:ascii="Times New Roman" w:hAnsi="Times New Roman" w:cs="Times New Roman"/>
                <w:sz w:val="24"/>
                <w:szCs w:val="24"/>
              </w:rPr>
              <w:t>województw.</w:t>
            </w:r>
          </w:p>
        </w:tc>
      </w:tr>
    </w:tbl>
    <w:p w:rsidR="00206C0F" w:rsidRPr="00BB0AEB" w:rsidRDefault="00206C0F" w:rsidP="00EA2F14">
      <w:pPr>
        <w:spacing w:after="0" w:line="240" w:lineRule="auto"/>
        <w:rPr>
          <w:sz w:val="16"/>
          <w:szCs w:val="16"/>
          <w:highlight w:val="yellow"/>
        </w:rPr>
      </w:pPr>
    </w:p>
    <w:p w:rsidR="00E42CD3" w:rsidRPr="00C75C71" w:rsidRDefault="00E42CD3">
      <w:pPr>
        <w:rPr>
          <w:highlight w:val="yellow"/>
        </w:rPr>
      </w:pPr>
      <w:r w:rsidRPr="00C75C71">
        <w:rPr>
          <w:highlight w:val="yellow"/>
        </w:rPr>
        <w:br w:type="page"/>
      </w:r>
    </w:p>
    <w:p w:rsidR="00206C0F" w:rsidRPr="004C466F" w:rsidRDefault="00206C0F" w:rsidP="00206C0F">
      <w:pPr>
        <w:autoSpaceDE w:val="0"/>
        <w:autoSpaceDN w:val="0"/>
        <w:adjustRightInd w:val="0"/>
        <w:spacing w:after="0" w:line="240" w:lineRule="auto"/>
        <w:ind w:left="1410" w:hanging="1410"/>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C466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Wykres 1. Przyrost naturalny w</w:t>
      </w:r>
      <w:r w:rsidR="00C04A38" w:rsidRPr="004C466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4C466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województwie podkarpackim w przeliczeniu na 1000 ludności ’02</w:t>
      </w:r>
      <w:r w:rsidRPr="004C466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1C3CF7" w:rsidRPr="004C466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4C466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sidR="004C466F" w:rsidRPr="004C466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7</w:t>
      </w:r>
      <w:r w:rsidRPr="004C466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C466F" w:rsidRPr="004C466F">
        <w:rPr>
          <w:rFonts w:ascii="Times New Roman" w:hAnsi="Times New Roman" w:cs="Times New Roman"/>
          <w:b/>
          <w:caps/>
          <w:sz w:val="16"/>
          <w:szCs w:val="16"/>
          <w:vertAlign w:val="sub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t>
      </w:r>
      <w:r w:rsidRPr="004C466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C04A38" w:rsidRPr="00C75C71" w:rsidRDefault="009F4F22" w:rsidP="003676D2">
      <w:pPr>
        <w:autoSpaceDE w:val="0"/>
        <w:autoSpaceDN w:val="0"/>
        <w:adjustRightInd w:val="0"/>
        <w:spacing w:after="0" w:line="240" w:lineRule="auto"/>
        <w:jc w:val="both"/>
        <w:rPr>
          <w:rFonts w:ascii="Times New Roman" w:hAnsi="Times New Roman" w:cs="Times New Roman"/>
          <w:sz w:val="16"/>
          <w:szCs w:val="16"/>
          <w:highlight w:val="yellow"/>
        </w:rPr>
      </w:pPr>
      <w:r>
        <w:rPr>
          <w:noProof/>
          <w:lang w:eastAsia="pl-PL"/>
        </w:rPr>
        <w:drawing>
          <wp:anchor distT="0" distB="0" distL="114300" distR="114300" simplePos="0" relativeHeight="251798528" behindDoc="1" locked="0" layoutInCell="1" allowOverlap="1" wp14:anchorId="74E57D1E" wp14:editId="22FDEAF3">
            <wp:simplePos x="0" y="0"/>
            <wp:positionH relativeFrom="column">
              <wp:posOffset>1913255</wp:posOffset>
            </wp:positionH>
            <wp:positionV relativeFrom="paragraph">
              <wp:posOffset>24765</wp:posOffset>
            </wp:positionV>
            <wp:extent cx="5361305" cy="2036445"/>
            <wp:effectExtent l="0" t="0" r="0" b="1905"/>
            <wp:wrapThrough wrapText="bothSides">
              <wp:wrapPolygon edited="0">
                <wp:start x="8749" y="606"/>
                <wp:lineTo x="384" y="1010"/>
                <wp:lineTo x="307" y="1819"/>
                <wp:lineTo x="767" y="4243"/>
                <wp:lineTo x="460" y="6668"/>
                <wp:lineTo x="614" y="10103"/>
                <wp:lineTo x="18804" y="10709"/>
                <wp:lineTo x="384" y="12123"/>
                <wp:lineTo x="384" y="13336"/>
                <wp:lineTo x="691" y="13942"/>
                <wp:lineTo x="691" y="16771"/>
                <wp:lineTo x="230" y="17781"/>
                <wp:lineTo x="230" y="18791"/>
                <wp:lineTo x="12587" y="20408"/>
                <wp:lineTo x="921" y="20610"/>
                <wp:lineTo x="460" y="21014"/>
                <wp:lineTo x="691" y="21418"/>
                <wp:lineTo x="21490" y="21418"/>
                <wp:lineTo x="21490" y="12528"/>
                <wp:lineTo x="19955" y="10709"/>
                <wp:lineTo x="21260" y="7274"/>
                <wp:lineTo x="12433" y="4243"/>
                <wp:lineTo x="12971" y="4243"/>
                <wp:lineTo x="15580" y="1616"/>
                <wp:lineTo x="15580" y="606"/>
                <wp:lineTo x="8749" y="606"/>
              </wp:wrapPolygon>
            </wp:wrapThrough>
            <wp:docPr id="29" name="Wykres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C04A38" w:rsidRPr="00C75C71" w:rsidRDefault="00C04A38"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206C0F" w:rsidRPr="00C75C71" w:rsidRDefault="00206C0F"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C75C71"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C04A38" w:rsidRPr="00C75C71" w:rsidRDefault="00C04A38"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C75C71"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C75C71"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C75C71"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C75C71"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C75C71"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C75C71"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C75C71"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C75C71"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C75C71"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C75C71"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4C466F" w:rsidRDefault="004C466F"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4C466F" w:rsidRPr="00C75C71" w:rsidRDefault="004C466F" w:rsidP="003676D2">
      <w:pPr>
        <w:autoSpaceDE w:val="0"/>
        <w:autoSpaceDN w:val="0"/>
        <w:adjustRightInd w:val="0"/>
        <w:spacing w:after="0" w:line="240" w:lineRule="auto"/>
        <w:jc w:val="both"/>
        <w:rPr>
          <w:rFonts w:ascii="Times New Roman" w:hAnsi="Times New Roman" w:cs="Times New Roman"/>
          <w:sz w:val="16"/>
          <w:szCs w:val="16"/>
          <w:highlight w:val="yellow"/>
        </w:rPr>
      </w:pPr>
    </w:p>
    <w:tbl>
      <w:tblPr>
        <w:tblStyle w:val="Tabela-Siatka"/>
        <w:tblW w:w="15072" w:type="dxa"/>
        <w:tblLook w:val="04A0" w:firstRow="1" w:lastRow="0" w:firstColumn="1" w:lastColumn="0" w:noHBand="0" w:noVBand="1"/>
      </w:tblPr>
      <w:tblGrid>
        <w:gridCol w:w="675"/>
        <w:gridCol w:w="3262"/>
        <w:gridCol w:w="2552"/>
        <w:gridCol w:w="2551"/>
        <w:gridCol w:w="6032"/>
      </w:tblGrid>
      <w:tr w:rsidR="004F27D6" w:rsidRPr="00C75C71" w:rsidTr="004F27D6">
        <w:tc>
          <w:tcPr>
            <w:tcW w:w="675" w:type="dxa"/>
            <w:shd w:val="clear" w:color="auto" w:fill="FFFFFF" w:themeFill="background1"/>
            <w:vAlign w:val="center"/>
          </w:tcPr>
          <w:p w:rsidR="004F27D6" w:rsidRPr="004F27D6" w:rsidRDefault="004F27D6" w:rsidP="00E12B57">
            <w:pPr>
              <w:pStyle w:val="Akapitzlist"/>
              <w:numPr>
                <w:ilvl w:val="0"/>
                <w:numId w:val="13"/>
              </w:numPr>
              <w:spacing w:before="120" w:after="120"/>
              <w:ind w:left="0" w:firstLine="0"/>
              <w:jc w:val="center"/>
              <w:rPr>
                <w:rFonts w:ascii="Times New Roman" w:hAnsi="Times New Roman" w:cs="Times New Roman"/>
                <w:sz w:val="24"/>
                <w:szCs w:val="24"/>
              </w:rPr>
            </w:pPr>
          </w:p>
        </w:tc>
        <w:tc>
          <w:tcPr>
            <w:tcW w:w="3262" w:type="dxa"/>
            <w:shd w:val="clear" w:color="auto" w:fill="FFFFFF" w:themeFill="background1"/>
            <w:vAlign w:val="center"/>
          </w:tcPr>
          <w:p w:rsidR="004F27D6" w:rsidRPr="004F27D6" w:rsidRDefault="004F27D6" w:rsidP="00992E19">
            <w:pPr>
              <w:rPr>
                <w:rFonts w:ascii="Times New Roman" w:hAnsi="Times New Roman" w:cs="Times New Roman"/>
                <w:sz w:val="24"/>
                <w:szCs w:val="24"/>
              </w:rPr>
            </w:pPr>
            <w:r w:rsidRPr="004F27D6">
              <w:rPr>
                <w:rFonts w:ascii="Times New Roman" w:hAnsi="Times New Roman" w:cs="Times New Roman"/>
                <w:sz w:val="24"/>
                <w:szCs w:val="24"/>
              </w:rPr>
              <w:t>Wskaźnik urbanizacji</w:t>
            </w:r>
          </w:p>
          <w:p w:rsidR="004F27D6" w:rsidRPr="004F27D6" w:rsidRDefault="004F27D6" w:rsidP="00992E19">
            <w:pPr>
              <w:rPr>
                <w:rFonts w:ascii="Times New Roman" w:hAnsi="Times New Roman" w:cs="Times New Roman"/>
                <w:sz w:val="24"/>
                <w:szCs w:val="24"/>
              </w:rPr>
            </w:pPr>
            <w:r w:rsidRPr="004F27D6">
              <w:rPr>
                <w:rFonts w:ascii="Times New Roman" w:hAnsi="Times New Roman" w:cs="Times New Roman"/>
                <w:sz w:val="24"/>
                <w:szCs w:val="24"/>
              </w:rPr>
              <w:t>(udział gruntów zabudowanych</w:t>
            </w:r>
          </w:p>
          <w:p w:rsidR="004F27D6" w:rsidRPr="004F27D6" w:rsidRDefault="004F27D6" w:rsidP="00992E19">
            <w:pPr>
              <w:rPr>
                <w:rFonts w:ascii="Times New Roman" w:hAnsi="Times New Roman" w:cs="Times New Roman"/>
                <w:sz w:val="24"/>
                <w:szCs w:val="24"/>
              </w:rPr>
            </w:pPr>
            <w:r w:rsidRPr="004F27D6">
              <w:rPr>
                <w:rFonts w:ascii="Times New Roman" w:hAnsi="Times New Roman" w:cs="Times New Roman"/>
                <w:sz w:val="24"/>
                <w:szCs w:val="24"/>
              </w:rPr>
              <w:t>i zurbanizowanych</w:t>
            </w:r>
          </w:p>
          <w:p w:rsidR="004F27D6" w:rsidRPr="004F27D6" w:rsidRDefault="004F27D6" w:rsidP="00992E19">
            <w:pPr>
              <w:rPr>
                <w:rFonts w:ascii="Times New Roman" w:hAnsi="Times New Roman" w:cs="Times New Roman"/>
                <w:sz w:val="24"/>
                <w:szCs w:val="24"/>
              </w:rPr>
            </w:pPr>
            <w:r w:rsidRPr="004F27D6">
              <w:rPr>
                <w:rFonts w:ascii="Times New Roman" w:hAnsi="Times New Roman" w:cs="Times New Roman"/>
                <w:sz w:val="24"/>
                <w:szCs w:val="24"/>
              </w:rPr>
              <w:t>w powierzchni ogółem)</w:t>
            </w:r>
          </w:p>
        </w:tc>
        <w:tc>
          <w:tcPr>
            <w:tcW w:w="2552" w:type="dxa"/>
            <w:shd w:val="clear" w:color="auto" w:fill="FFFFFF" w:themeFill="background1"/>
            <w:vAlign w:val="center"/>
          </w:tcPr>
          <w:p w:rsidR="004F27D6" w:rsidRPr="004F27D6" w:rsidRDefault="004F27D6" w:rsidP="00FD51BE">
            <w:pPr>
              <w:spacing w:before="120" w:after="120"/>
              <w:rPr>
                <w:rFonts w:ascii="Times New Roman" w:hAnsi="Times New Roman" w:cs="Times New Roman"/>
                <w:sz w:val="24"/>
                <w:szCs w:val="24"/>
              </w:rPr>
            </w:pPr>
            <w:r w:rsidRPr="004F27D6">
              <w:rPr>
                <w:rFonts w:ascii="Times New Roman" w:hAnsi="Times New Roman" w:cs="Times New Roman"/>
                <w:sz w:val="24"/>
                <w:szCs w:val="24"/>
              </w:rPr>
              <w:t>4,8</w:t>
            </w:r>
            <w:r w:rsidR="00FD51BE">
              <w:rPr>
                <w:rFonts w:ascii="Times New Roman" w:hAnsi="Times New Roman" w:cs="Times New Roman"/>
                <w:sz w:val="24"/>
                <w:szCs w:val="24"/>
              </w:rPr>
              <w:t xml:space="preserve"> </w:t>
            </w:r>
            <w:r w:rsidRPr="004F27D6">
              <w:rPr>
                <w:rStyle w:val="Odwoanieprzypisudolnego"/>
                <w:rFonts w:ascii="Times New Roman" w:hAnsi="Times New Roman" w:cs="Times New Roman"/>
                <w:sz w:val="24"/>
                <w:szCs w:val="24"/>
              </w:rPr>
              <w:footnoteReference w:id="2"/>
            </w:r>
          </w:p>
        </w:tc>
        <w:tc>
          <w:tcPr>
            <w:tcW w:w="2551" w:type="dxa"/>
            <w:shd w:val="clear" w:color="auto" w:fill="FFFFFF" w:themeFill="background1"/>
            <w:vAlign w:val="center"/>
          </w:tcPr>
          <w:p w:rsidR="004F27D6" w:rsidRPr="00F32733" w:rsidRDefault="004F27D6" w:rsidP="00B8715F">
            <w:pPr>
              <w:spacing w:before="120" w:after="120"/>
              <w:rPr>
                <w:rFonts w:ascii="Times New Roman" w:hAnsi="Times New Roman" w:cs="Times New Roman"/>
                <w:sz w:val="24"/>
                <w:szCs w:val="24"/>
              </w:rPr>
            </w:pPr>
            <w:r w:rsidRPr="00F32733">
              <w:rPr>
                <w:rFonts w:ascii="Times New Roman" w:hAnsi="Times New Roman" w:cs="Times New Roman"/>
                <w:sz w:val="24"/>
                <w:szCs w:val="24"/>
              </w:rPr>
              <w:t>4,8</w:t>
            </w:r>
            <w:r w:rsidR="00715488" w:rsidRPr="00F32733">
              <w:rPr>
                <w:rFonts w:ascii="Times New Roman" w:hAnsi="Times New Roman" w:cs="Times New Roman"/>
                <w:sz w:val="24"/>
                <w:szCs w:val="24"/>
              </w:rPr>
              <w:t> </w:t>
            </w:r>
            <w:r w:rsidRPr="00F32733">
              <w:rPr>
                <w:rStyle w:val="Odwoanieprzypisudolnego"/>
                <w:rFonts w:ascii="Times New Roman" w:hAnsi="Times New Roman" w:cs="Times New Roman"/>
                <w:sz w:val="24"/>
                <w:szCs w:val="24"/>
              </w:rPr>
              <w:footnoteReference w:id="3"/>
            </w:r>
          </w:p>
        </w:tc>
        <w:tc>
          <w:tcPr>
            <w:tcW w:w="6032" w:type="dxa"/>
            <w:shd w:val="clear" w:color="auto" w:fill="FFFFFF" w:themeFill="background1"/>
            <w:vAlign w:val="center"/>
          </w:tcPr>
          <w:p w:rsidR="004F27D6" w:rsidRPr="00FD51BE" w:rsidRDefault="00FD51BE" w:rsidP="00FD51BE">
            <w:pPr>
              <w:rPr>
                <w:rFonts w:ascii="Times New Roman" w:hAnsi="Times New Roman" w:cs="Times New Roman"/>
                <w:sz w:val="24"/>
                <w:szCs w:val="24"/>
              </w:rPr>
            </w:pPr>
            <w:r w:rsidRPr="00FD51BE">
              <w:rPr>
                <w:rFonts w:ascii="Times New Roman" w:hAnsi="Times New Roman" w:cs="Times New Roman"/>
                <w:sz w:val="24"/>
                <w:szCs w:val="24"/>
              </w:rPr>
              <w:t xml:space="preserve">Województwo </w:t>
            </w:r>
            <w:r w:rsidR="00F32733" w:rsidRPr="00FD51BE">
              <w:rPr>
                <w:rFonts w:ascii="Times New Roman" w:hAnsi="Times New Roman" w:cs="Times New Roman"/>
                <w:sz w:val="24"/>
                <w:szCs w:val="24"/>
              </w:rPr>
              <w:t>2002 – 4,2%, 2002=100% wzrost o 0,6 pkt. proc.</w:t>
            </w:r>
            <w:r w:rsidRPr="00FD51BE">
              <w:rPr>
                <w:rFonts w:ascii="Times New Roman" w:hAnsi="Times New Roman" w:cs="Times New Roman"/>
                <w:sz w:val="24"/>
                <w:szCs w:val="24"/>
              </w:rPr>
              <w:t xml:space="preserve"> </w:t>
            </w:r>
            <w:r w:rsidR="00F32733" w:rsidRPr="00FD51BE">
              <w:rPr>
                <w:rFonts w:ascii="Times New Roman" w:hAnsi="Times New Roman" w:cs="Times New Roman"/>
                <w:sz w:val="24"/>
                <w:szCs w:val="24"/>
              </w:rPr>
              <w:t>Ten sam poziom rdr</w:t>
            </w:r>
            <w:r w:rsidRPr="00FD51BE">
              <w:rPr>
                <w:rFonts w:ascii="Times New Roman" w:hAnsi="Times New Roman" w:cs="Times New Roman"/>
                <w:sz w:val="24"/>
                <w:szCs w:val="24"/>
              </w:rPr>
              <w:t xml:space="preserve"> (4,8%)</w:t>
            </w:r>
            <w:r w:rsidR="00F32733" w:rsidRPr="00FD51BE">
              <w:rPr>
                <w:rFonts w:ascii="Times New Roman" w:hAnsi="Times New Roman" w:cs="Times New Roman"/>
                <w:sz w:val="24"/>
                <w:szCs w:val="24"/>
              </w:rPr>
              <w:t>.</w:t>
            </w:r>
            <w:r w:rsidRPr="00FD51BE">
              <w:rPr>
                <w:rFonts w:ascii="Times New Roman" w:hAnsi="Times New Roman" w:cs="Times New Roman"/>
                <w:sz w:val="24"/>
                <w:szCs w:val="24"/>
              </w:rPr>
              <w:t xml:space="preserve"> Polska 2002 – 4,6%, 2002 =100 % wzrost o 0,8 pkt. proc. Ten sam poziom rdr (5,4%)</w:t>
            </w:r>
            <w:r w:rsidR="004F27D6" w:rsidRPr="00FD51BE">
              <w:rPr>
                <w:rFonts w:ascii="Times New Roman" w:hAnsi="Times New Roman" w:cs="Times New Roman"/>
                <w:sz w:val="24"/>
                <w:szCs w:val="24"/>
              </w:rPr>
              <w:t>.</w:t>
            </w:r>
          </w:p>
        </w:tc>
      </w:tr>
      <w:tr w:rsidR="004F27D6" w:rsidRPr="00C75C71" w:rsidTr="004F27D6">
        <w:tc>
          <w:tcPr>
            <w:tcW w:w="675" w:type="dxa"/>
            <w:shd w:val="clear" w:color="auto" w:fill="FFFFFF" w:themeFill="background1"/>
            <w:vAlign w:val="center"/>
          </w:tcPr>
          <w:p w:rsidR="004F27D6" w:rsidRPr="004F27D6" w:rsidRDefault="004F27D6" w:rsidP="00E12B57">
            <w:pPr>
              <w:pStyle w:val="Akapitzlist"/>
              <w:numPr>
                <w:ilvl w:val="0"/>
                <w:numId w:val="13"/>
              </w:numPr>
              <w:spacing w:before="120" w:after="120"/>
              <w:ind w:left="0" w:firstLine="0"/>
              <w:jc w:val="center"/>
              <w:rPr>
                <w:rFonts w:ascii="Times New Roman" w:hAnsi="Times New Roman" w:cs="Times New Roman"/>
                <w:sz w:val="24"/>
                <w:szCs w:val="24"/>
              </w:rPr>
            </w:pPr>
          </w:p>
        </w:tc>
        <w:tc>
          <w:tcPr>
            <w:tcW w:w="3262" w:type="dxa"/>
            <w:shd w:val="clear" w:color="auto" w:fill="FFFFFF" w:themeFill="background1"/>
            <w:vAlign w:val="center"/>
          </w:tcPr>
          <w:p w:rsidR="004F27D6" w:rsidRPr="004F27D6" w:rsidRDefault="004F27D6" w:rsidP="00992E19">
            <w:pPr>
              <w:rPr>
                <w:rFonts w:ascii="Times New Roman" w:hAnsi="Times New Roman" w:cs="Times New Roman"/>
                <w:sz w:val="24"/>
                <w:szCs w:val="24"/>
              </w:rPr>
            </w:pPr>
            <w:r w:rsidRPr="004F27D6">
              <w:rPr>
                <w:rFonts w:ascii="Times New Roman" w:hAnsi="Times New Roman" w:cs="Times New Roman"/>
                <w:sz w:val="24"/>
                <w:szCs w:val="24"/>
              </w:rPr>
              <w:t>Odsetek kobiet wśród</w:t>
            </w:r>
          </w:p>
          <w:p w:rsidR="004F27D6" w:rsidRPr="004F27D6" w:rsidRDefault="004F27D6" w:rsidP="00992E19">
            <w:pPr>
              <w:rPr>
                <w:rFonts w:ascii="Times New Roman" w:hAnsi="Times New Roman" w:cs="Times New Roman"/>
                <w:sz w:val="24"/>
                <w:szCs w:val="24"/>
              </w:rPr>
            </w:pPr>
            <w:r w:rsidRPr="004F27D6">
              <w:rPr>
                <w:rFonts w:ascii="Times New Roman" w:hAnsi="Times New Roman" w:cs="Times New Roman"/>
                <w:sz w:val="24"/>
                <w:szCs w:val="24"/>
              </w:rPr>
              <w:t>mieszkańców</w:t>
            </w:r>
          </w:p>
        </w:tc>
        <w:tc>
          <w:tcPr>
            <w:tcW w:w="2552" w:type="dxa"/>
            <w:shd w:val="clear" w:color="auto" w:fill="FFFFFF" w:themeFill="background1"/>
          </w:tcPr>
          <w:p w:rsidR="004F27D6" w:rsidRPr="00C345C3" w:rsidRDefault="004F27D6" w:rsidP="00B82D2D">
            <w:pPr>
              <w:spacing w:before="120" w:after="120"/>
              <w:rPr>
                <w:rFonts w:ascii="Times New Roman" w:hAnsi="Times New Roman" w:cs="Times New Roman"/>
                <w:sz w:val="24"/>
                <w:szCs w:val="24"/>
              </w:rPr>
            </w:pPr>
            <w:r w:rsidRPr="00C345C3">
              <w:rPr>
                <w:rFonts w:ascii="Times New Roman" w:hAnsi="Times New Roman" w:cs="Times New Roman"/>
                <w:sz w:val="24"/>
                <w:szCs w:val="24"/>
              </w:rPr>
              <w:t>51,03</w:t>
            </w:r>
            <w:r w:rsidR="00C345C3" w:rsidRPr="00C345C3">
              <w:rPr>
                <w:rFonts w:ascii="Times New Roman" w:hAnsi="Times New Roman" w:cs="Times New Roman"/>
                <w:sz w:val="24"/>
                <w:szCs w:val="24"/>
              </w:rPr>
              <w:t xml:space="preserve"> </w:t>
            </w:r>
            <w:r w:rsidRPr="00C345C3">
              <w:rPr>
                <w:rFonts w:ascii="Times New Roman" w:hAnsi="Times New Roman" w:cs="Times New Roman"/>
                <w:sz w:val="24"/>
                <w:szCs w:val="24"/>
              </w:rPr>
              <w:t xml:space="preserve">% </w:t>
            </w:r>
          </w:p>
        </w:tc>
        <w:tc>
          <w:tcPr>
            <w:tcW w:w="2551" w:type="dxa"/>
            <w:shd w:val="clear" w:color="auto" w:fill="FFFFFF" w:themeFill="background1"/>
          </w:tcPr>
          <w:p w:rsidR="004F27D6" w:rsidRPr="00C345C3" w:rsidRDefault="004F27D6" w:rsidP="00C345C3">
            <w:pPr>
              <w:spacing w:before="120" w:after="120"/>
              <w:rPr>
                <w:rFonts w:ascii="Times New Roman" w:hAnsi="Times New Roman" w:cs="Times New Roman"/>
                <w:sz w:val="24"/>
                <w:szCs w:val="24"/>
              </w:rPr>
            </w:pPr>
            <w:r w:rsidRPr="00C345C3">
              <w:rPr>
                <w:rFonts w:ascii="Times New Roman" w:hAnsi="Times New Roman" w:cs="Times New Roman"/>
                <w:sz w:val="24"/>
                <w:szCs w:val="24"/>
              </w:rPr>
              <w:t>51,0</w:t>
            </w:r>
            <w:r w:rsidR="00C345C3" w:rsidRPr="00C345C3">
              <w:rPr>
                <w:rFonts w:ascii="Times New Roman" w:hAnsi="Times New Roman" w:cs="Times New Roman"/>
                <w:sz w:val="24"/>
                <w:szCs w:val="24"/>
              </w:rPr>
              <w:t xml:space="preserve">2 </w:t>
            </w:r>
            <w:r w:rsidRPr="00C345C3">
              <w:rPr>
                <w:rFonts w:ascii="Times New Roman" w:hAnsi="Times New Roman" w:cs="Times New Roman"/>
                <w:sz w:val="24"/>
                <w:szCs w:val="24"/>
              </w:rPr>
              <w:t xml:space="preserve">% </w:t>
            </w:r>
          </w:p>
        </w:tc>
        <w:tc>
          <w:tcPr>
            <w:tcW w:w="6032" w:type="dxa"/>
            <w:shd w:val="clear" w:color="auto" w:fill="FFFFFF" w:themeFill="background1"/>
            <w:vAlign w:val="center"/>
          </w:tcPr>
          <w:p w:rsidR="004F27D6" w:rsidRPr="00C75C71" w:rsidRDefault="001262D3" w:rsidP="00992E19">
            <w:pPr>
              <w:spacing w:before="120" w:after="120"/>
              <w:rPr>
                <w:rFonts w:ascii="Times New Roman" w:hAnsi="Times New Roman" w:cs="Times New Roman"/>
                <w:sz w:val="24"/>
                <w:szCs w:val="24"/>
                <w:highlight w:val="yellow"/>
              </w:rPr>
            </w:pPr>
            <w:r>
              <w:rPr>
                <w:rFonts w:ascii="Times New Roman" w:hAnsi="Times New Roman" w:cs="Times New Roman"/>
                <w:sz w:val="24"/>
                <w:szCs w:val="24"/>
              </w:rPr>
              <w:t>Brak uwag</w:t>
            </w:r>
            <w:r w:rsidR="004F27D6" w:rsidRPr="001262D3">
              <w:rPr>
                <w:rFonts w:ascii="Times New Roman" w:hAnsi="Times New Roman" w:cs="Times New Roman"/>
                <w:sz w:val="24"/>
                <w:szCs w:val="24"/>
              </w:rPr>
              <w:t>.</w:t>
            </w:r>
          </w:p>
        </w:tc>
      </w:tr>
      <w:tr w:rsidR="004F27D6" w:rsidRPr="00C75C71" w:rsidTr="004F27D6">
        <w:tc>
          <w:tcPr>
            <w:tcW w:w="675" w:type="dxa"/>
            <w:shd w:val="clear" w:color="auto" w:fill="FFFFFF" w:themeFill="background1"/>
            <w:vAlign w:val="center"/>
          </w:tcPr>
          <w:p w:rsidR="004F27D6" w:rsidRPr="004F27D6" w:rsidRDefault="004F27D6" w:rsidP="00E12B57">
            <w:pPr>
              <w:pStyle w:val="Akapitzlist"/>
              <w:numPr>
                <w:ilvl w:val="0"/>
                <w:numId w:val="13"/>
              </w:numPr>
              <w:spacing w:before="120" w:after="120"/>
              <w:ind w:left="0" w:firstLine="0"/>
              <w:jc w:val="center"/>
              <w:rPr>
                <w:rFonts w:ascii="Times New Roman" w:hAnsi="Times New Roman" w:cs="Times New Roman"/>
                <w:sz w:val="24"/>
                <w:szCs w:val="24"/>
              </w:rPr>
            </w:pPr>
          </w:p>
        </w:tc>
        <w:tc>
          <w:tcPr>
            <w:tcW w:w="3262" w:type="dxa"/>
            <w:shd w:val="clear" w:color="auto" w:fill="FFFFFF" w:themeFill="background1"/>
            <w:vAlign w:val="center"/>
          </w:tcPr>
          <w:p w:rsidR="004F27D6" w:rsidRPr="004F27D6" w:rsidRDefault="004F27D6" w:rsidP="00992E19">
            <w:pPr>
              <w:rPr>
                <w:rFonts w:ascii="Times New Roman" w:hAnsi="Times New Roman" w:cs="Times New Roman"/>
                <w:sz w:val="24"/>
                <w:szCs w:val="24"/>
              </w:rPr>
            </w:pPr>
            <w:r w:rsidRPr="004F27D6">
              <w:rPr>
                <w:rFonts w:ascii="Times New Roman" w:hAnsi="Times New Roman" w:cs="Times New Roman"/>
                <w:sz w:val="24"/>
                <w:szCs w:val="24"/>
              </w:rPr>
              <w:t>Współczynnik feminizacji</w:t>
            </w:r>
          </w:p>
        </w:tc>
        <w:tc>
          <w:tcPr>
            <w:tcW w:w="2552" w:type="dxa"/>
            <w:shd w:val="clear" w:color="auto" w:fill="FFFFFF" w:themeFill="background1"/>
          </w:tcPr>
          <w:p w:rsidR="004F27D6" w:rsidRPr="00715488" w:rsidRDefault="004F27D6" w:rsidP="00B82D2D">
            <w:pPr>
              <w:spacing w:before="120" w:after="120"/>
              <w:rPr>
                <w:rFonts w:ascii="Times New Roman" w:hAnsi="Times New Roman" w:cs="Times New Roman"/>
                <w:sz w:val="24"/>
                <w:szCs w:val="24"/>
              </w:rPr>
            </w:pPr>
            <w:r w:rsidRPr="00715488">
              <w:rPr>
                <w:rFonts w:ascii="Times New Roman" w:hAnsi="Times New Roman" w:cs="Times New Roman"/>
                <w:sz w:val="24"/>
                <w:szCs w:val="24"/>
              </w:rPr>
              <w:t>104</w:t>
            </w:r>
          </w:p>
        </w:tc>
        <w:tc>
          <w:tcPr>
            <w:tcW w:w="2551" w:type="dxa"/>
            <w:shd w:val="clear" w:color="auto" w:fill="FFFFFF" w:themeFill="background1"/>
          </w:tcPr>
          <w:p w:rsidR="004F27D6" w:rsidRPr="00715488" w:rsidRDefault="004F27D6" w:rsidP="00B8715F">
            <w:pPr>
              <w:spacing w:before="120" w:after="120"/>
              <w:rPr>
                <w:rFonts w:ascii="Times New Roman" w:hAnsi="Times New Roman" w:cs="Times New Roman"/>
                <w:sz w:val="24"/>
                <w:szCs w:val="24"/>
              </w:rPr>
            </w:pPr>
            <w:r w:rsidRPr="00715488">
              <w:rPr>
                <w:rFonts w:ascii="Times New Roman" w:hAnsi="Times New Roman" w:cs="Times New Roman"/>
                <w:sz w:val="24"/>
                <w:szCs w:val="24"/>
              </w:rPr>
              <w:t>104</w:t>
            </w:r>
          </w:p>
        </w:tc>
        <w:tc>
          <w:tcPr>
            <w:tcW w:w="6032" w:type="dxa"/>
            <w:shd w:val="clear" w:color="auto" w:fill="FFFFFF" w:themeFill="background1"/>
            <w:vAlign w:val="center"/>
          </w:tcPr>
          <w:p w:rsidR="004F27D6" w:rsidRPr="00715488" w:rsidRDefault="004F27D6" w:rsidP="00992E19">
            <w:pPr>
              <w:spacing w:before="120" w:after="120"/>
              <w:rPr>
                <w:rFonts w:ascii="Times New Roman" w:hAnsi="Times New Roman" w:cs="Times New Roman"/>
                <w:sz w:val="24"/>
                <w:szCs w:val="24"/>
              </w:rPr>
            </w:pPr>
            <w:r w:rsidRPr="00715488">
              <w:rPr>
                <w:rFonts w:ascii="Times New Roman" w:hAnsi="Times New Roman" w:cs="Times New Roman"/>
                <w:sz w:val="24"/>
                <w:szCs w:val="24"/>
              </w:rPr>
              <w:t>Dla Polski: 107.</w:t>
            </w:r>
          </w:p>
        </w:tc>
      </w:tr>
      <w:tr w:rsidR="004F27D6" w:rsidRPr="00C75C71" w:rsidTr="004F27D6">
        <w:tc>
          <w:tcPr>
            <w:tcW w:w="675" w:type="dxa"/>
            <w:shd w:val="clear" w:color="auto" w:fill="FFFFFF" w:themeFill="background1"/>
            <w:vAlign w:val="center"/>
          </w:tcPr>
          <w:p w:rsidR="004F27D6" w:rsidRPr="004F27D6" w:rsidRDefault="004F27D6" w:rsidP="00E12B57">
            <w:pPr>
              <w:pStyle w:val="Akapitzlist"/>
              <w:numPr>
                <w:ilvl w:val="0"/>
                <w:numId w:val="13"/>
              </w:numPr>
              <w:spacing w:before="120" w:after="120"/>
              <w:ind w:left="0" w:firstLine="0"/>
              <w:jc w:val="center"/>
              <w:rPr>
                <w:rFonts w:ascii="Times New Roman" w:hAnsi="Times New Roman" w:cs="Times New Roman"/>
                <w:sz w:val="24"/>
                <w:szCs w:val="24"/>
              </w:rPr>
            </w:pPr>
          </w:p>
        </w:tc>
        <w:tc>
          <w:tcPr>
            <w:tcW w:w="3262" w:type="dxa"/>
            <w:shd w:val="clear" w:color="auto" w:fill="FFFFFF" w:themeFill="background1"/>
            <w:vAlign w:val="center"/>
          </w:tcPr>
          <w:p w:rsidR="004F27D6" w:rsidRPr="004F27D6" w:rsidRDefault="004F27D6" w:rsidP="00992E19">
            <w:pPr>
              <w:rPr>
                <w:rFonts w:ascii="Times New Roman" w:hAnsi="Times New Roman" w:cs="Times New Roman"/>
                <w:sz w:val="24"/>
                <w:szCs w:val="24"/>
              </w:rPr>
            </w:pPr>
            <w:r w:rsidRPr="004F27D6">
              <w:rPr>
                <w:rFonts w:ascii="Times New Roman" w:hAnsi="Times New Roman" w:cs="Times New Roman"/>
                <w:sz w:val="24"/>
                <w:szCs w:val="24"/>
              </w:rPr>
              <w:t>Mediana wieku mieszkańców</w:t>
            </w:r>
          </w:p>
        </w:tc>
        <w:tc>
          <w:tcPr>
            <w:tcW w:w="2552" w:type="dxa"/>
            <w:shd w:val="clear" w:color="auto" w:fill="FFFFFF" w:themeFill="background1"/>
          </w:tcPr>
          <w:p w:rsidR="004F27D6" w:rsidRPr="004F27D6" w:rsidRDefault="004F27D6" w:rsidP="00525B20">
            <w:pPr>
              <w:spacing w:before="120" w:after="120"/>
              <w:rPr>
                <w:rFonts w:ascii="Times New Roman" w:hAnsi="Times New Roman" w:cs="Times New Roman"/>
                <w:sz w:val="24"/>
                <w:szCs w:val="24"/>
              </w:rPr>
            </w:pPr>
            <w:r w:rsidRPr="004F27D6">
              <w:rPr>
                <w:rFonts w:ascii="Times New Roman" w:hAnsi="Times New Roman" w:cs="Times New Roman"/>
                <w:sz w:val="24"/>
                <w:szCs w:val="24"/>
              </w:rPr>
              <w:t xml:space="preserve">39,1 </w:t>
            </w:r>
            <w:r w:rsidR="00525B20">
              <w:rPr>
                <w:rFonts w:ascii="Times New Roman" w:hAnsi="Times New Roman" w:cs="Times New Roman"/>
                <w:sz w:val="24"/>
                <w:szCs w:val="24"/>
              </w:rPr>
              <w:t>[</w:t>
            </w:r>
            <w:r w:rsidRPr="004F27D6">
              <w:rPr>
                <w:rFonts w:ascii="Times New Roman" w:hAnsi="Times New Roman" w:cs="Times New Roman"/>
                <w:sz w:val="24"/>
                <w:szCs w:val="24"/>
              </w:rPr>
              <w:t>lat</w:t>
            </w:r>
            <w:r w:rsidR="00525B20">
              <w:rPr>
                <w:rFonts w:ascii="Times New Roman" w:hAnsi="Times New Roman" w:cs="Times New Roman"/>
                <w:sz w:val="24"/>
                <w:szCs w:val="24"/>
              </w:rPr>
              <w:t>]</w:t>
            </w:r>
          </w:p>
        </w:tc>
        <w:tc>
          <w:tcPr>
            <w:tcW w:w="2551" w:type="dxa"/>
            <w:shd w:val="clear" w:color="auto" w:fill="FFFFFF" w:themeFill="background1"/>
          </w:tcPr>
          <w:p w:rsidR="004F27D6" w:rsidRPr="00C75C71" w:rsidRDefault="004F27D6" w:rsidP="00525B20">
            <w:pPr>
              <w:spacing w:before="120" w:after="120"/>
              <w:rPr>
                <w:rFonts w:ascii="Times New Roman" w:hAnsi="Times New Roman" w:cs="Times New Roman"/>
                <w:sz w:val="24"/>
                <w:szCs w:val="24"/>
                <w:highlight w:val="yellow"/>
              </w:rPr>
            </w:pPr>
            <w:r w:rsidRPr="00525B20">
              <w:rPr>
                <w:rFonts w:ascii="Times New Roman" w:hAnsi="Times New Roman" w:cs="Times New Roman"/>
                <w:sz w:val="24"/>
                <w:szCs w:val="24"/>
              </w:rPr>
              <w:t>39,</w:t>
            </w:r>
            <w:r w:rsidR="00525B20" w:rsidRPr="00525B20">
              <w:rPr>
                <w:rFonts w:ascii="Times New Roman" w:hAnsi="Times New Roman" w:cs="Times New Roman"/>
                <w:sz w:val="24"/>
                <w:szCs w:val="24"/>
              </w:rPr>
              <w:t>5</w:t>
            </w:r>
            <w:r w:rsidRPr="00525B20">
              <w:rPr>
                <w:rFonts w:ascii="Times New Roman" w:hAnsi="Times New Roman" w:cs="Times New Roman"/>
                <w:sz w:val="24"/>
                <w:szCs w:val="24"/>
              </w:rPr>
              <w:t xml:space="preserve"> </w:t>
            </w:r>
            <w:r w:rsidR="00525B20">
              <w:rPr>
                <w:rFonts w:ascii="Times New Roman" w:hAnsi="Times New Roman" w:cs="Times New Roman"/>
                <w:sz w:val="24"/>
                <w:szCs w:val="24"/>
              </w:rPr>
              <w:t>[</w:t>
            </w:r>
            <w:r w:rsidRPr="00525B20">
              <w:rPr>
                <w:rFonts w:ascii="Times New Roman" w:hAnsi="Times New Roman" w:cs="Times New Roman"/>
                <w:sz w:val="24"/>
                <w:szCs w:val="24"/>
              </w:rPr>
              <w:t>lat</w:t>
            </w:r>
            <w:r w:rsidR="00525B20">
              <w:rPr>
                <w:rFonts w:ascii="Times New Roman" w:hAnsi="Times New Roman" w:cs="Times New Roman"/>
                <w:sz w:val="24"/>
                <w:szCs w:val="24"/>
              </w:rPr>
              <w:t>]</w:t>
            </w:r>
          </w:p>
        </w:tc>
        <w:tc>
          <w:tcPr>
            <w:tcW w:w="6032" w:type="dxa"/>
            <w:shd w:val="clear" w:color="auto" w:fill="FFFFFF" w:themeFill="background1"/>
            <w:vAlign w:val="center"/>
          </w:tcPr>
          <w:p w:rsidR="004F27D6" w:rsidRPr="00C75C71" w:rsidRDefault="004F27D6" w:rsidP="00992E19">
            <w:pPr>
              <w:rPr>
                <w:rFonts w:ascii="Times New Roman" w:hAnsi="Times New Roman" w:cs="Times New Roman"/>
                <w:sz w:val="24"/>
                <w:szCs w:val="24"/>
                <w:highlight w:val="yellow"/>
              </w:rPr>
            </w:pPr>
            <w:r w:rsidRPr="00525B20">
              <w:rPr>
                <w:rFonts w:ascii="Times New Roman" w:hAnsi="Times New Roman" w:cs="Times New Roman"/>
                <w:sz w:val="24"/>
                <w:szCs w:val="24"/>
              </w:rPr>
              <w:t>Województwo’1</w:t>
            </w:r>
            <w:r w:rsidR="00525B20">
              <w:rPr>
                <w:rFonts w:ascii="Times New Roman" w:hAnsi="Times New Roman" w:cs="Times New Roman"/>
                <w:sz w:val="24"/>
                <w:szCs w:val="24"/>
              </w:rPr>
              <w:t>7</w:t>
            </w:r>
            <w:r w:rsidRPr="00525B20">
              <w:rPr>
                <w:rFonts w:ascii="Times New Roman" w:hAnsi="Times New Roman" w:cs="Times New Roman"/>
                <w:sz w:val="24"/>
                <w:szCs w:val="24"/>
              </w:rPr>
              <w:t xml:space="preserve"> r. </w:t>
            </w:r>
            <w:r w:rsidR="00525B20">
              <w:rPr>
                <w:rFonts w:ascii="Times New Roman" w:hAnsi="Times New Roman" w:cs="Times New Roman"/>
                <w:sz w:val="24"/>
                <w:szCs w:val="24"/>
              </w:rPr>
              <w:t xml:space="preserve">    </w:t>
            </w:r>
            <w:r w:rsidRPr="00525B20">
              <w:rPr>
                <w:rFonts w:ascii="Times New Roman" w:hAnsi="Times New Roman" w:cs="Times New Roman"/>
                <w:sz w:val="24"/>
                <w:szCs w:val="24"/>
              </w:rPr>
              <w:t>K</w:t>
            </w:r>
            <w:r w:rsidR="00525B20">
              <w:rPr>
                <w:rFonts w:ascii="Times New Roman" w:hAnsi="Times New Roman" w:cs="Times New Roman"/>
                <w:sz w:val="24"/>
                <w:szCs w:val="24"/>
              </w:rPr>
              <w:t xml:space="preserve"> – </w:t>
            </w:r>
            <w:r w:rsidRPr="00525B20">
              <w:rPr>
                <w:rFonts w:ascii="Times New Roman" w:hAnsi="Times New Roman" w:cs="Times New Roman"/>
                <w:sz w:val="24"/>
                <w:szCs w:val="24"/>
              </w:rPr>
              <w:t>4</w:t>
            </w:r>
            <w:r w:rsidR="00525B20">
              <w:rPr>
                <w:rFonts w:ascii="Times New Roman" w:hAnsi="Times New Roman" w:cs="Times New Roman"/>
                <w:sz w:val="24"/>
                <w:szCs w:val="24"/>
              </w:rPr>
              <w:t>1</w:t>
            </w:r>
            <w:r w:rsidRPr="00525B20">
              <w:rPr>
                <w:rFonts w:ascii="Times New Roman" w:hAnsi="Times New Roman" w:cs="Times New Roman"/>
                <w:sz w:val="24"/>
                <w:szCs w:val="24"/>
              </w:rPr>
              <w:t>,</w:t>
            </w:r>
            <w:r w:rsidR="00525B20">
              <w:rPr>
                <w:rFonts w:ascii="Times New Roman" w:hAnsi="Times New Roman" w:cs="Times New Roman"/>
                <w:sz w:val="24"/>
                <w:szCs w:val="24"/>
              </w:rPr>
              <w:t xml:space="preserve">0   </w:t>
            </w:r>
            <w:r w:rsidRPr="00525B20">
              <w:rPr>
                <w:rFonts w:ascii="Times New Roman" w:hAnsi="Times New Roman" w:cs="Times New Roman"/>
                <w:sz w:val="24"/>
                <w:szCs w:val="24"/>
              </w:rPr>
              <w:t>M</w:t>
            </w:r>
            <w:r w:rsidR="00525B20">
              <w:rPr>
                <w:rFonts w:ascii="Times New Roman" w:hAnsi="Times New Roman" w:cs="Times New Roman"/>
                <w:sz w:val="24"/>
                <w:szCs w:val="24"/>
              </w:rPr>
              <w:t xml:space="preserve"> – 38,1.</w:t>
            </w:r>
          </w:p>
          <w:p w:rsidR="00525B20" w:rsidRPr="00525B20" w:rsidRDefault="004F27D6" w:rsidP="00992E19">
            <w:pPr>
              <w:rPr>
                <w:rFonts w:ascii="Times New Roman" w:hAnsi="Times New Roman" w:cs="Times New Roman"/>
                <w:sz w:val="24"/>
                <w:szCs w:val="24"/>
              </w:rPr>
            </w:pPr>
            <w:r w:rsidRPr="00525B20">
              <w:rPr>
                <w:rFonts w:ascii="Times New Roman" w:hAnsi="Times New Roman" w:cs="Times New Roman"/>
                <w:sz w:val="24"/>
                <w:szCs w:val="24"/>
              </w:rPr>
              <w:t>Wzrost mediany wieku zarówno w kraju</w:t>
            </w:r>
          </w:p>
          <w:p w:rsidR="004F27D6" w:rsidRPr="00525B20" w:rsidRDefault="004F27D6" w:rsidP="00992E19">
            <w:pPr>
              <w:rPr>
                <w:rFonts w:ascii="Times New Roman" w:hAnsi="Times New Roman" w:cs="Times New Roman"/>
                <w:sz w:val="24"/>
                <w:szCs w:val="24"/>
              </w:rPr>
            </w:pPr>
            <w:r w:rsidRPr="00525B20">
              <w:rPr>
                <w:rFonts w:ascii="Times New Roman" w:hAnsi="Times New Roman" w:cs="Times New Roman"/>
                <w:sz w:val="24"/>
                <w:szCs w:val="24"/>
              </w:rPr>
              <w:t>jak</w:t>
            </w:r>
            <w:r w:rsidR="00525B20" w:rsidRPr="00525B20">
              <w:rPr>
                <w:rFonts w:ascii="Times New Roman" w:hAnsi="Times New Roman" w:cs="Times New Roman"/>
                <w:sz w:val="24"/>
                <w:szCs w:val="24"/>
              </w:rPr>
              <w:t xml:space="preserve"> </w:t>
            </w:r>
            <w:r w:rsidRPr="00525B20">
              <w:rPr>
                <w:rFonts w:ascii="Times New Roman" w:hAnsi="Times New Roman" w:cs="Times New Roman"/>
                <w:sz w:val="24"/>
                <w:szCs w:val="24"/>
              </w:rPr>
              <w:t xml:space="preserve">i w </w:t>
            </w:r>
            <w:r w:rsidR="00525B20" w:rsidRPr="00525B20">
              <w:rPr>
                <w:rFonts w:ascii="Times New Roman" w:hAnsi="Times New Roman" w:cs="Times New Roman"/>
                <w:sz w:val="24"/>
                <w:szCs w:val="24"/>
              </w:rPr>
              <w:t>w</w:t>
            </w:r>
            <w:r w:rsidRPr="00525B20">
              <w:rPr>
                <w:rFonts w:ascii="Times New Roman" w:hAnsi="Times New Roman" w:cs="Times New Roman"/>
                <w:sz w:val="24"/>
                <w:szCs w:val="24"/>
              </w:rPr>
              <w:t>ojewództwie.</w:t>
            </w:r>
          </w:p>
          <w:p w:rsidR="004F27D6" w:rsidRPr="00D14D34" w:rsidRDefault="004F27D6" w:rsidP="00992E19">
            <w:pPr>
              <w:rPr>
                <w:rFonts w:ascii="Times New Roman" w:hAnsi="Times New Roman" w:cs="Times New Roman"/>
                <w:sz w:val="24"/>
                <w:szCs w:val="24"/>
              </w:rPr>
            </w:pPr>
            <w:r w:rsidRPr="00D14D34">
              <w:rPr>
                <w:rFonts w:ascii="Times New Roman" w:hAnsi="Times New Roman" w:cs="Times New Roman"/>
                <w:sz w:val="24"/>
                <w:szCs w:val="24"/>
              </w:rPr>
              <w:t>Polska</w:t>
            </w:r>
            <w:r w:rsidR="00525B20">
              <w:rPr>
                <w:rFonts w:ascii="Times New Roman" w:hAnsi="Times New Roman" w:cs="Times New Roman"/>
                <w:sz w:val="24"/>
                <w:szCs w:val="24"/>
              </w:rPr>
              <w:t xml:space="preserve">  </w:t>
            </w:r>
            <w:r w:rsidRPr="00D14D34">
              <w:rPr>
                <w:rFonts w:ascii="Times New Roman" w:hAnsi="Times New Roman" w:cs="Times New Roman"/>
                <w:sz w:val="24"/>
                <w:szCs w:val="24"/>
              </w:rPr>
              <w:t xml:space="preserve">’90–32,3 </w:t>
            </w:r>
            <w:r w:rsidR="00525B20">
              <w:rPr>
                <w:rFonts w:ascii="Times New Roman" w:hAnsi="Times New Roman" w:cs="Times New Roman"/>
                <w:sz w:val="24"/>
                <w:szCs w:val="24"/>
              </w:rPr>
              <w:t xml:space="preserve">vs. </w:t>
            </w:r>
            <w:r w:rsidRPr="00D14D34">
              <w:rPr>
                <w:rFonts w:ascii="Times New Roman" w:hAnsi="Times New Roman" w:cs="Times New Roman"/>
                <w:sz w:val="24"/>
                <w:szCs w:val="24"/>
              </w:rPr>
              <w:t>’1</w:t>
            </w:r>
            <w:r w:rsidR="00D14D34" w:rsidRPr="00D14D34">
              <w:rPr>
                <w:rFonts w:ascii="Times New Roman" w:hAnsi="Times New Roman" w:cs="Times New Roman"/>
                <w:sz w:val="24"/>
                <w:szCs w:val="24"/>
              </w:rPr>
              <w:t>7</w:t>
            </w:r>
            <w:r w:rsidRPr="00D14D34">
              <w:rPr>
                <w:rFonts w:ascii="Times New Roman" w:hAnsi="Times New Roman" w:cs="Times New Roman"/>
                <w:sz w:val="24"/>
                <w:szCs w:val="24"/>
              </w:rPr>
              <w:t>–</w:t>
            </w:r>
            <w:r w:rsidR="00525B20">
              <w:rPr>
                <w:rFonts w:ascii="Times New Roman" w:hAnsi="Times New Roman" w:cs="Times New Roman"/>
                <w:sz w:val="24"/>
                <w:szCs w:val="24"/>
              </w:rPr>
              <w:t>40,6</w:t>
            </w:r>
            <w:r w:rsidRPr="00D14D34">
              <w:rPr>
                <w:rFonts w:ascii="Times New Roman" w:hAnsi="Times New Roman" w:cs="Times New Roman"/>
                <w:sz w:val="24"/>
                <w:szCs w:val="24"/>
              </w:rPr>
              <w:t>.</w:t>
            </w:r>
          </w:p>
          <w:p w:rsidR="004F27D6" w:rsidRPr="00C75C71" w:rsidRDefault="004F27D6" w:rsidP="00525B20">
            <w:pPr>
              <w:rPr>
                <w:rFonts w:ascii="Times New Roman" w:hAnsi="Times New Roman" w:cs="Times New Roman"/>
                <w:b/>
                <w:sz w:val="24"/>
                <w:szCs w:val="24"/>
                <w:highlight w:val="yellow"/>
              </w:rPr>
            </w:pPr>
            <w:r w:rsidRPr="00525B20">
              <w:rPr>
                <w:rFonts w:ascii="Times New Roman" w:hAnsi="Times New Roman" w:cs="Times New Roman"/>
                <w:sz w:val="24"/>
                <w:szCs w:val="24"/>
              </w:rPr>
              <w:t>Podkarpackie</w:t>
            </w:r>
            <w:r w:rsidR="00525B20">
              <w:rPr>
                <w:rFonts w:ascii="Times New Roman" w:hAnsi="Times New Roman" w:cs="Times New Roman"/>
                <w:sz w:val="24"/>
                <w:szCs w:val="24"/>
              </w:rPr>
              <w:t xml:space="preserve">  </w:t>
            </w:r>
            <w:r w:rsidRPr="00525B20">
              <w:rPr>
                <w:rFonts w:ascii="Times New Roman" w:hAnsi="Times New Roman" w:cs="Times New Roman"/>
                <w:sz w:val="24"/>
                <w:szCs w:val="24"/>
              </w:rPr>
              <w:t>’05–34,6</w:t>
            </w:r>
            <w:r w:rsidR="00525B20">
              <w:rPr>
                <w:rFonts w:ascii="Times New Roman" w:hAnsi="Times New Roman" w:cs="Times New Roman"/>
                <w:sz w:val="24"/>
                <w:szCs w:val="24"/>
              </w:rPr>
              <w:t xml:space="preserve"> vs. </w:t>
            </w:r>
            <w:r w:rsidRPr="00525B20">
              <w:rPr>
                <w:rFonts w:ascii="Times New Roman" w:hAnsi="Times New Roman" w:cs="Times New Roman"/>
                <w:sz w:val="24"/>
                <w:szCs w:val="24"/>
              </w:rPr>
              <w:t>’1</w:t>
            </w:r>
            <w:r w:rsidR="00525B20" w:rsidRPr="00525B20">
              <w:rPr>
                <w:rFonts w:ascii="Times New Roman" w:hAnsi="Times New Roman" w:cs="Times New Roman"/>
                <w:sz w:val="24"/>
                <w:szCs w:val="24"/>
              </w:rPr>
              <w:t>7</w:t>
            </w:r>
            <w:r w:rsidRPr="00525B20">
              <w:rPr>
                <w:rFonts w:ascii="Times New Roman" w:hAnsi="Times New Roman" w:cs="Times New Roman"/>
                <w:sz w:val="24"/>
                <w:szCs w:val="24"/>
              </w:rPr>
              <w:t>–39,</w:t>
            </w:r>
            <w:r w:rsidR="00525B20" w:rsidRPr="00525B20">
              <w:rPr>
                <w:rFonts w:ascii="Times New Roman" w:hAnsi="Times New Roman" w:cs="Times New Roman"/>
                <w:sz w:val="24"/>
                <w:szCs w:val="24"/>
              </w:rPr>
              <w:t>5</w:t>
            </w:r>
            <w:r w:rsidRPr="00525B20">
              <w:rPr>
                <w:rFonts w:ascii="Times New Roman" w:hAnsi="Times New Roman" w:cs="Times New Roman"/>
                <w:sz w:val="24"/>
                <w:szCs w:val="24"/>
              </w:rPr>
              <w:t>.</w:t>
            </w:r>
          </w:p>
        </w:tc>
      </w:tr>
    </w:tbl>
    <w:p w:rsidR="00E42CD3" w:rsidRPr="00C75C71" w:rsidRDefault="00E42CD3">
      <w:pPr>
        <w:rPr>
          <w:rFonts w:ascii="Times New Roman" w:hAnsi="Times New Roman" w:cs="Times New Roman"/>
          <w:color w:val="000000"/>
          <w:szCs w:val="24"/>
          <w:highlight w:val="yellow"/>
        </w:rPr>
      </w:pPr>
      <w:r w:rsidRPr="00C75C71">
        <w:rPr>
          <w:rFonts w:ascii="Times New Roman" w:hAnsi="Times New Roman" w:cs="Times New Roman"/>
          <w:color w:val="000000"/>
          <w:szCs w:val="24"/>
          <w:highlight w:val="yellow"/>
        </w:rPr>
        <w:br w:type="page"/>
      </w:r>
    </w:p>
    <w:p w:rsidR="00EB6302" w:rsidRDefault="00EB6302" w:rsidP="00EB6302">
      <w:pPr>
        <w:autoSpaceDE w:val="0"/>
        <w:autoSpaceDN w:val="0"/>
        <w:adjustRightInd w:val="0"/>
        <w:spacing w:after="0" w:line="240" w:lineRule="auto"/>
        <w:ind w:left="1410" w:hanging="1410"/>
        <w:jc w:val="cente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A64D6">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 xml:space="preserve">Wykres </w:t>
      </w:r>
      <w:r w:rsidR="003676D2" w:rsidRPr="00BA64D6">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w:t>
      </w:r>
      <w:r w:rsidRPr="00BA64D6">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D7838">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A, B </w:t>
      </w:r>
      <w:r w:rsidR="00486D9F" w:rsidRPr="00BA64D6">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Mediana wieku mieszkańców</w:t>
      </w:r>
      <w:r w:rsidR="00F642BB">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tzw. wiek środkowy</w:t>
      </w:r>
    </w:p>
    <w:p w:rsidR="007F3999" w:rsidRPr="00BA64D6" w:rsidRDefault="007F3999" w:rsidP="00EB6302">
      <w:pPr>
        <w:autoSpaceDE w:val="0"/>
        <w:autoSpaceDN w:val="0"/>
        <w:adjustRightInd w:val="0"/>
        <w:spacing w:after="0" w:line="240" w:lineRule="auto"/>
        <w:ind w:left="1410" w:hanging="1410"/>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E1C33">
        <w:rPr>
          <w:noProof/>
          <w:sz w:val="11"/>
          <w:szCs w:val="11"/>
          <w:lang w:eastAsia="pl-PL"/>
        </w:rPr>
        <w:drawing>
          <wp:inline distT="0" distB="0" distL="0" distR="0" wp14:anchorId="022B3A48" wp14:editId="4F679301">
            <wp:extent cx="8894618" cy="1508166"/>
            <wp:effectExtent l="0" t="0" r="0"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B6302" w:rsidRPr="00C75C71" w:rsidRDefault="007F3999" w:rsidP="0024006E">
      <w:pPr>
        <w:spacing w:after="0" w:line="240" w:lineRule="auto"/>
        <w:rPr>
          <w:sz w:val="16"/>
          <w:szCs w:val="16"/>
          <w:highlight w:val="yellow"/>
        </w:rPr>
      </w:pPr>
      <w:r>
        <w:rPr>
          <w:noProof/>
          <w:lang w:eastAsia="pl-PL"/>
        </w:rPr>
        <w:drawing>
          <wp:inline distT="0" distB="0" distL="0" distR="0" wp14:anchorId="537F65B5" wp14:editId="596DA127">
            <wp:extent cx="8876805" cy="1626920"/>
            <wp:effectExtent l="0" t="0" r="0" b="0"/>
            <wp:docPr id="28" name="Wykres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50696" w:rsidRPr="00C75C71" w:rsidRDefault="00550696" w:rsidP="0024006E">
      <w:pPr>
        <w:spacing w:after="0" w:line="240" w:lineRule="auto"/>
        <w:rPr>
          <w:sz w:val="16"/>
          <w:szCs w:val="16"/>
          <w:highlight w:val="yellow"/>
        </w:rPr>
      </w:pPr>
    </w:p>
    <w:tbl>
      <w:tblPr>
        <w:tblStyle w:val="Tabela-Siatka"/>
        <w:tblW w:w="15072" w:type="dxa"/>
        <w:tblLook w:val="04A0" w:firstRow="1" w:lastRow="0" w:firstColumn="1" w:lastColumn="0" w:noHBand="0" w:noVBand="1"/>
      </w:tblPr>
      <w:tblGrid>
        <w:gridCol w:w="675"/>
        <w:gridCol w:w="3262"/>
        <w:gridCol w:w="2552"/>
        <w:gridCol w:w="2551"/>
        <w:gridCol w:w="6032"/>
      </w:tblGrid>
      <w:tr w:rsidR="004F27D6" w:rsidRPr="00C75C71" w:rsidTr="004F27D6">
        <w:tc>
          <w:tcPr>
            <w:tcW w:w="675" w:type="dxa"/>
            <w:shd w:val="clear" w:color="auto" w:fill="FFFFFF" w:themeFill="background1"/>
          </w:tcPr>
          <w:p w:rsidR="004F27D6" w:rsidRPr="004F27D6" w:rsidRDefault="004F27D6" w:rsidP="00656CED">
            <w:pPr>
              <w:pStyle w:val="Akapitzlist"/>
              <w:numPr>
                <w:ilvl w:val="0"/>
                <w:numId w:val="13"/>
              </w:numPr>
              <w:spacing w:before="120" w:after="120"/>
              <w:ind w:left="0" w:firstLine="0"/>
              <w:rPr>
                <w:rFonts w:ascii="Times New Roman" w:hAnsi="Times New Roman" w:cs="Times New Roman"/>
                <w:sz w:val="24"/>
                <w:szCs w:val="24"/>
              </w:rPr>
            </w:pPr>
          </w:p>
        </w:tc>
        <w:tc>
          <w:tcPr>
            <w:tcW w:w="3262" w:type="dxa"/>
            <w:shd w:val="clear" w:color="auto" w:fill="FFFFFF" w:themeFill="background1"/>
            <w:vAlign w:val="center"/>
          </w:tcPr>
          <w:p w:rsidR="004F27D6" w:rsidRPr="004F27D6" w:rsidRDefault="004F27D6" w:rsidP="00992E19">
            <w:pPr>
              <w:rPr>
                <w:rFonts w:ascii="Times New Roman" w:hAnsi="Times New Roman" w:cs="Times New Roman"/>
                <w:sz w:val="24"/>
                <w:szCs w:val="24"/>
              </w:rPr>
            </w:pPr>
            <w:r w:rsidRPr="004F27D6">
              <w:rPr>
                <w:rFonts w:ascii="Times New Roman" w:hAnsi="Times New Roman" w:cs="Times New Roman"/>
                <w:sz w:val="24"/>
                <w:szCs w:val="24"/>
              </w:rPr>
              <w:t>Wskaźnik migracji ludności</w:t>
            </w:r>
          </w:p>
          <w:p w:rsidR="004F27D6" w:rsidRPr="004F27D6" w:rsidRDefault="004F27D6" w:rsidP="00992E19">
            <w:pPr>
              <w:rPr>
                <w:rFonts w:ascii="Times New Roman" w:hAnsi="Times New Roman" w:cs="Times New Roman"/>
                <w:sz w:val="24"/>
                <w:szCs w:val="24"/>
              </w:rPr>
            </w:pPr>
            <w:r w:rsidRPr="004F27D6">
              <w:rPr>
                <w:rFonts w:ascii="Times New Roman" w:hAnsi="Times New Roman" w:cs="Times New Roman"/>
                <w:sz w:val="24"/>
                <w:szCs w:val="24"/>
              </w:rPr>
              <w:t>Saldo migracji (wewnętrznych</w:t>
            </w:r>
          </w:p>
          <w:p w:rsidR="004F27D6" w:rsidRPr="004F27D6" w:rsidRDefault="004F27D6" w:rsidP="00992E19">
            <w:pPr>
              <w:rPr>
                <w:rFonts w:ascii="Times New Roman" w:hAnsi="Times New Roman" w:cs="Times New Roman"/>
                <w:sz w:val="24"/>
                <w:szCs w:val="24"/>
              </w:rPr>
            </w:pPr>
            <w:r w:rsidRPr="004F27D6">
              <w:rPr>
                <w:rFonts w:ascii="Times New Roman" w:hAnsi="Times New Roman" w:cs="Times New Roman"/>
                <w:sz w:val="24"/>
                <w:szCs w:val="24"/>
              </w:rPr>
              <w:t>i zagranicznych)</w:t>
            </w:r>
          </w:p>
        </w:tc>
        <w:tc>
          <w:tcPr>
            <w:tcW w:w="2552" w:type="dxa"/>
            <w:shd w:val="clear" w:color="auto" w:fill="FFFFFF" w:themeFill="background1"/>
            <w:vAlign w:val="center"/>
          </w:tcPr>
          <w:p w:rsidR="004F27D6" w:rsidRPr="007802EB" w:rsidRDefault="004F27D6" w:rsidP="00B82D2D">
            <w:pPr>
              <w:rPr>
                <w:rFonts w:ascii="Times New Roman" w:hAnsi="Times New Roman" w:cs="Times New Roman"/>
                <w:sz w:val="24"/>
                <w:szCs w:val="24"/>
              </w:rPr>
            </w:pPr>
            <w:r w:rsidRPr="007802EB">
              <w:rPr>
                <w:rFonts w:ascii="Times New Roman" w:hAnsi="Times New Roman" w:cs="Times New Roman"/>
                <w:sz w:val="24"/>
                <w:szCs w:val="24"/>
              </w:rPr>
              <w:t>- (minus) 1 639</w:t>
            </w:r>
          </w:p>
        </w:tc>
        <w:tc>
          <w:tcPr>
            <w:tcW w:w="2551" w:type="dxa"/>
            <w:shd w:val="clear" w:color="auto" w:fill="FFFFFF" w:themeFill="background1"/>
            <w:vAlign w:val="center"/>
          </w:tcPr>
          <w:p w:rsidR="004F27D6" w:rsidRPr="007802EB" w:rsidRDefault="004F27D6" w:rsidP="007802EB">
            <w:pPr>
              <w:rPr>
                <w:rFonts w:ascii="Times New Roman" w:hAnsi="Times New Roman" w:cs="Times New Roman"/>
                <w:sz w:val="24"/>
                <w:szCs w:val="24"/>
              </w:rPr>
            </w:pPr>
            <w:r w:rsidRPr="007802EB">
              <w:rPr>
                <w:rFonts w:ascii="Times New Roman" w:hAnsi="Times New Roman" w:cs="Times New Roman"/>
                <w:sz w:val="24"/>
                <w:szCs w:val="24"/>
              </w:rPr>
              <w:t>- (minus) 1 </w:t>
            </w:r>
            <w:r w:rsidR="007802EB" w:rsidRPr="007802EB">
              <w:rPr>
                <w:rFonts w:ascii="Times New Roman" w:hAnsi="Times New Roman" w:cs="Times New Roman"/>
                <w:sz w:val="24"/>
                <w:szCs w:val="24"/>
              </w:rPr>
              <w:t>777</w:t>
            </w:r>
          </w:p>
        </w:tc>
        <w:tc>
          <w:tcPr>
            <w:tcW w:w="6032" w:type="dxa"/>
            <w:shd w:val="clear" w:color="auto" w:fill="FFFFFF" w:themeFill="background1"/>
            <w:vAlign w:val="center"/>
          </w:tcPr>
          <w:p w:rsidR="004F27D6" w:rsidRPr="007802EB" w:rsidRDefault="004F27D6" w:rsidP="00372B56">
            <w:pPr>
              <w:rPr>
                <w:rFonts w:ascii="Times New Roman" w:hAnsi="Times New Roman" w:cs="Times New Roman"/>
                <w:sz w:val="24"/>
                <w:szCs w:val="24"/>
              </w:rPr>
            </w:pPr>
            <w:r w:rsidRPr="007802EB">
              <w:rPr>
                <w:rFonts w:ascii="Times New Roman" w:hAnsi="Times New Roman" w:cs="Times New Roman"/>
                <w:sz w:val="24"/>
                <w:szCs w:val="24"/>
              </w:rPr>
              <w:t>Brak uwag.</w:t>
            </w:r>
          </w:p>
        </w:tc>
      </w:tr>
      <w:tr w:rsidR="004F27D6" w:rsidRPr="00C75C71" w:rsidTr="004F27D6">
        <w:tc>
          <w:tcPr>
            <w:tcW w:w="675" w:type="dxa"/>
            <w:shd w:val="clear" w:color="auto" w:fill="FFFFFF" w:themeFill="background1"/>
          </w:tcPr>
          <w:p w:rsidR="004F27D6" w:rsidRPr="004F27D6" w:rsidRDefault="004F27D6" w:rsidP="00656CED">
            <w:pPr>
              <w:pStyle w:val="Akapitzlist"/>
              <w:numPr>
                <w:ilvl w:val="0"/>
                <w:numId w:val="13"/>
              </w:numPr>
              <w:spacing w:before="120" w:after="120"/>
              <w:ind w:left="0" w:firstLine="0"/>
              <w:rPr>
                <w:rFonts w:ascii="Times New Roman" w:hAnsi="Times New Roman" w:cs="Times New Roman"/>
                <w:sz w:val="24"/>
                <w:szCs w:val="24"/>
              </w:rPr>
            </w:pPr>
          </w:p>
        </w:tc>
        <w:tc>
          <w:tcPr>
            <w:tcW w:w="3262" w:type="dxa"/>
            <w:shd w:val="clear" w:color="auto" w:fill="FFFFFF" w:themeFill="background1"/>
            <w:vAlign w:val="center"/>
          </w:tcPr>
          <w:p w:rsidR="004F27D6" w:rsidRPr="004F27D6" w:rsidRDefault="004F27D6" w:rsidP="00992E19">
            <w:pPr>
              <w:rPr>
                <w:rFonts w:ascii="Times New Roman" w:hAnsi="Times New Roman" w:cs="Times New Roman"/>
                <w:sz w:val="24"/>
                <w:szCs w:val="24"/>
              </w:rPr>
            </w:pPr>
            <w:r w:rsidRPr="004F27D6">
              <w:rPr>
                <w:rFonts w:ascii="Times New Roman" w:hAnsi="Times New Roman" w:cs="Times New Roman"/>
                <w:sz w:val="24"/>
                <w:szCs w:val="24"/>
              </w:rPr>
              <w:t>Produkt krajowy brutto</w:t>
            </w:r>
            <w:r w:rsidR="00A56F5C">
              <w:rPr>
                <w:rFonts w:ascii="Times New Roman" w:hAnsi="Times New Roman" w:cs="Times New Roman"/>
                <w:sz w:val="24"/>
                <w:szCs w:val="24"/>
              </w:rPr>
              <w:t> </w:t>
            </w:r>
            <w:r w:rsidR="00A56F5C">
              <w:rPr>
                <w:rStyle w:val="Odwoanieprzypisudolnego"/>
                <w:rFonts w:ascii="Times New Roman" w:hAnsi="Times New Roman" w:cs="Times New Roman"/>
                <w:sz w:val="24"/>
                <w:szCs w:val="24"/>
              </w:rPr>
              <w:footnoteReference w:id="4"/>
            </w:r>
          </w:p>
        </w:tc>
        <w:tc>
          <w:tcPr>
            <w:tcW w:w="2552" w:type="dxa"/>
            <w:shd w:val="clear" w:color="auto" w:fill="FFFFFF" w:themeFill="background1"/>
            <w:vAlign w:val="center"/>
          </w:tcPr>
          <w:p w:rsidR="004F27D6" w:rsidRPr="00672BC3" w:rsidRDefault="004F27D6" w:rsidP="00904814">
            <w:pPr>
              <w:rPr>
                <w:rFonts w:ascii="Times New Roman" w:hAnsi="Times New Roman" w:cs="Times New Roman"/>
                <w:sz w:val="24"/>
                <w:szCs w:val="24"/>
              </w:rPr>
            </w:pPr>
            <w:r w:rsidRPr="00672BC3">
              <w:rPr>
                <w:rFonts w:ascii="Times New Roman" w:hAnsi="Times New Roman" w:cs="Times New Roman"/>
                <w:sz w:val="24"/>
                <w:szCs w:val="24"/>
              </w:rPr>
              <w:t>2015 – 70 57</w:t>
            </w:r>
            <w:r w:rsidR="00ED7E4F" w:rsidRPr="00672BC3">
              <w:rPr>
                <w:rFonts w:ascii="Times New Roman" w:hAnsi="Times New Roman" w:cs="Times New Roman"/>
                <w:sz w:val="24"/>
                <w:szCs w:val="24"/>
              </w:rPr>
              <w:t>9</w:t>
            </w:r>
            <w:r w:rsidRPr="00672BC3">
              <w:rPr>
                <w:rFonts w:ascii="Times New Roman" w:hAnsi="Times New Roman" w:cs="Times New Roman"/>
                <w:sz w:val="24"/>
                <w:szCs w:val="24"/>
              </w:rPr>
              <w:t xml:space="preserve"> mln. zł</w:t>
            </w:r>
          </w:p>
          <w:p w:rsidR="004F27D6" w:rsidRPr="00672BC3" w:rsidRDefault="004F27D6" w:rsidP="00672BC3">
            <w:pPr>
              <w:rPr>
                <w:rFonts w:ascii="Times New Roman" w:hAnsi="Times New Roman" w:cs="Times New Roman"/>
                <w:sz w:val="24"/>
                <w:szCs w:val="24"/>
              </w:rPr>
            </w:pPr>
            <w:r w:rsidRPr="00672BC3">
              <w:rPr>
                <w:rFonts w:ascii="Times New Roman" w:hAnsi="Times New Roman" w:cs="Times New Roman"/>
                <w:sz w:val="24"/>
                <w:szCs w:val="24"/>
              </w:rPr>
              <w:t>per capita – 33 17</w:t>
            </w:r>
            <w:r w:rsidR="00672BC3" w:rsidRPr="00672BC3">
              <w:rPr>
                <w:rFonts w:ascii="Times New Roman" w:hAnsi="Times New Roman" w:cs="Times New Roman"/>
                <w:sz w:val="24"/>
                <w:szCs w:val="24"/>
              </w:rPr>
              <w:t>7</w:t>
            </w:r>
            <w:r w:rsidRPr="00672BC3">
              <w:rPr>
                <w:rFonts w:ascii="Times New Roman" w:hAnsi="Times New Roman" w:cs="Times New Roman"/>
                <w:sz w:val="24"/>
                <w:szCs w:val="24"/>
              </w:rPr>
              <w:t xml:space="preserve"> zł </w:t>
            </w:r>
          </w:p>
        </w:tc>
        <w:tc>
          <w:tcPr>
            <w:tcW w:w="2551" w:type="dxa"/>
            <w:shd w:val="clear" w:color="auto" w:fill="FFFFFF" w:themeFill="background1"/>
            <w:vAlign w:val="center"/>
          </w:tcPr>
          <w:p w:rsidR="004F27D6" w:rsidRPr="00672BC3" w:rsidRDefault="004F27D6" w:rsidP="00904814">
            <w:pPr>
              <w:rPr>
                <w:rFonts w:ascii="Times New Roman" w:hAnsi="Times New Roman" w:cs="Times New Roman"/>
                <w:sz w:val="24"/>
                <w:szCs w:val="24"/>
              </w:rPr>
            </w:pPr>
            <w:r w:rsidRPr="00672BC3">
              <w:rPr>
                <w:rFonts w:ascii="Times New Roman" w:hAnsi="Times New Roman" w:cs="Times New Roman"/>
                <w:sz w:val="24"/>
                <w:szCs w:val="24"/>
              </w:rPr>
              <w:t>201</w:t>
            </w:r>
            <w:r w:rsidR="00904814" w:rsidRPr="00672BC3">
              <w:rPr>
                <w:rFonts w:ascii="Times New Roman" w:hAnsi="Times New Roman" w:cs="Times New Roman"/>
                <w:sz w:val="24"/>
                <w:szCs w:val="24"/>
              </w:rPr>
              <w:t>6</w:t>
            </w:r>
            <w:r w:rsidRPr="00672BC3">
              <w:rPr>
                <w:rFonts w:ascii="Times New Roman" w:hAnsi="Times New Roman" w:cs="Times New Roman"/>
                <w:sz w:val="24"/>
                <w:szCs w:val="24"/>
              </w:rPr>
              <w:t xml:space="preserve"> – 7</w:t>
            </w:r>
            <w:r w:rsidR="00904814" w:rsidRPr="00672BC3">
              <w:rPr>
                <w:rFonts w:ascii="Times New Roman" w:hAnsi="Times New Roman" w:cs="Times New Roman"/>
                <w:sz w:val="24"/>
                <w:szCs w:val="24"/>
              </w:rPr>
              <w:t>2</w:t>
            </w:r>
            <w:r w:rsidRPr="00672BC3">
              <w:rPr>
                <w:rFonts w:ascii="Times New Roman" w:hAnsi="Times New Roman" w:cs="Times New Roman"/>
                <w:sz w:val="24"/>
                <w:szCs w:val="24"/>
              </w:rPr>
              <w:t> </w:t>
            </w:r>
            <w:r w:rsidR="00904814" w:rsidRPr="00672BC3">
              <w:rPr>
                <w:rFonts w:ascii="Times New Roman" w:hAnsi="Times New Roman" w:cs="Times New Roman"/>
                <w:sz w:val="24"/>
                <w:szCs w:val="24"/>
              </w:rPr>
              <w:t>5</w:t>
            </w:r>
            <w:r w:rsidR="00ED7E4F" w:rsidRPr="00672BC3">
              <w:rPr>
                <w:rFonts w:ascii="Times New Roman" w:hAnsi="Times New Roman" w:cs="Times New Roman"/>
                <w:sz w:val="24"/>
                <w:szCs w:val="24"/>
              </w:rPr>
              <w:t>67</w:t>
            </w:r>
            <w:r w:rsidRPr="00672BC3">
              <w:rPr>
                <w:rFonts w:ascii="Times New Roman" w:hAnsi="Times New Roman" w:cs="Times New Roman"/>
                <w:sz w:val="24"/>
                <w:szCs w:val="24"/>
              </w:rPr>
              <w:t xml:space="preserve"> mln. zł</w:t>
            </w:r>
          </w:p>
          <w:p w:rsidR="004F27D6" w:rsidRPr="00672BC3" w:rsidRDefault="004F27D6" w:rsidP="00672BC3">
            <w:pPr>
              <w:rPr>
                <w:rFonts w:ascii="Times New Roman" w:hAnsi="Times New Roman" w:cs="Times New Roman"/>
                <w:sz w:val="24"/>
                <w:szCs w:val="24"/>
              </w:rPr>
            </w:pPr>
            <w:r w:rsidRPr="00672BC3">
              <w:rPr>
                <w:rFonts w:ascii="Times New Roman" w:hAnsi="Times New Roman" w:cs="Times New Roman"/>
                <w:sz w:val="24"/>
                <w:szCs w:val="24"/>
              </w:rPr>
              <w:t>per capita – 3</w:t>
            </w:r>
            <w:r w:rsidR="00672BC3" w:rsidRPr="00672BC3">
              <w:rPr>
                <w:rFonts w:ascii="Times New Roman" w:hAnsi="Times New Roman" w:cs="Times New Roman"/>
                <w:sz w:val="24"/>
                <w:szCs w:val="24"/>
              </w:rPr>
              <w:t>4</w:t>
            </w:r>
            <w:r w:rsidRPr="00672BC3">
              <w:rPr>
                <w:rFonts w:ascii="Times New Roman" w:hAnsi="Times New Roman" w:cs="Times New Roman"/>
                <w:sz w:val="24"/>
                <w:szCs w:val="24"/>
              </w:rPr>
              <w:t> 1</w:t>
            </w:r>
            <w:r w:rsidR="00672BC3" w:rsidRPr="00672BC3">
              <w:rPr>
                <w:rFonts w:ascii="Times New Roman" w:hAnsi="Times New Roman" w:cs="Times New Roman"/>
                <w:sz w:val="24"/>
                <w:szCs w:val="24"/>
              </w:rPr>
              <w:t>20</w:t>
            </w:r>
            <w:r w:rsidRPr="00672BC3">
              <w:rPr>
                <w:rFonts w:ascii="Times New Roman" w:hAnsi="Times New Roman" w:cs="Times New Roman"/>
                <w:sz w:val="24"/>
                <w:szCs w:val="24"/>
              </w:rPr>
              <w:t xml:space="preserve"> zł </w:t>
            </w:r>
          </w:p>
        </w:tc>
        <w:tc>
          <w:tcPr>
            <w:tcW w:w="6032" w:type="dxa"/>
            <w:shd w:val="clear" w:color="auto" w:fill="FFFFFF" w:themeFill="background1"/>
            <w:vAlign w:val="center"/>
          </w:tcPr>
          <w:p w:rsidR="00844F05" w:rsidRPr="00844F05" w:rsidRDefault="004F27D6" w:rsidP="00904814">
            <w:pPr>
              <w:rPr>
                <w:rFonts w:ascii="Times New Roman" w:hAnsi="Times New Roman" w:cs="Times New Roman"/>
                <w:sz w:val="24"/>
                <w:szCs w:val="24"/>
              </w:rPr>
            </w:pPr>
            <w:r w:rsidRPr="00844F05">
              <w:rPr>
                <w:rFonts w:ascii="Times New Roman" w:hAnsi="Times New Roman" w:cs="Times New Roman"/>
                <w:sz w:val="24"/>
                <w:szCs w:val="24"/>
              </w:rPr>
              <w:t>Wartość bezwzględna 9 lokata,</w:t>
            </w:r>
          </w:p>
          <w:p w:rsidR="004F27D6" w:rsidRPr="00C75C71" w:rsidRDefault="004F27D6" w:rsidP="00844F05">
            <w:pPr>
              <w:rPr>
                <w:rFonts w:ascii="Times New Roman" w:hAnsi="Times New Roman" w:cs="Times New Roman"/>
                <w:sz w:val="24"/>
                <w:szCs w:val="24"/>
                <w:highlight w:val="yellow"/>
              </w:rPr>
            </w:pPr>
            <w:r w:rsidRPr="00672BC3">
              <w:rPr>
                <w:rFonts w:ascii="Times New Roman" w:hAnsi="Times New Roman" w:cs="Times New Roman"/>
                <w:sz w:val="24"/>
                <w:szCs w:val="24"/>
              </w:rPr>
              <w:t>per capita – 15 lokata wśród</w:t>
            </w:r>
            <w:r w:rsidR="00844F05" w:rsidRPr="00672BC3">
              <w:rPr>
                <w:rFonts w:ascii="Times New Roman" w:hAnsi="Times New Roman" w:cs="Times New Roman"/>
                <w:sz w:val="24"/>
                <w:szCs w:val="24"/>
              </w:rPr>
              <w:t xml:space="preserve"> </w:t>
            </w:r>
            <w:r w:rsidRPr="00672BC3">
              <w:rPr>
                <w:rFonts w:ascii="Times New Roman" w:hAnsi="Times New Roman" w:cs="Times New Roman"/>
                <w:sz w:val="24"/>
                <w:szCs w:val="24"/>
              </w:rPr>
              <w:t>województw.</w:t>
            </w:r>
          </w:p>
        </w:tc>
      </w:tr>
      <w:tr w:rsidR="004F27D6" w:rsidRPr="00C75C71" w:rsidTr="004F27D6">
        <w:tc>
          <w:tcPr>
            <w:tcW w:w="675" w:type="dxa"/>
            <w:shd w:val="clear" w:color="auto" w:fill="FFFFFF" w:themeFill="background1"/>
          </w:tcPr>
          <w:p w:rsidR="004F27D6" w:rsidRPr="004F27D6" w:rsidRDefault="004F27D6" w:rsidP="00656CED">
            <w:pPr>
              <w:pStyle w:val="Akapitzlist"/>
              <w:numPr>
                <w:ilvl w:val="0"/>
                <w:numId w:val="13"/>
              </w:numPr>
              <w:spacing w:before="120" w:after="120"/>
              <w:ind w:left="0" w:firstLine="0"/>
              <w:rPr>
                <w:rFonts w:ascii="Times New Roman" w:hAnsi="Times New Roman" w:cs="Times New Roman"/>
                <w:sz w:val="24"/>
                <w:szCs w:val="24"/>
              </w:rPr>
            </w:pPr>
          </w:p>
        </w:tc>
        <w:tc>
          <w:tcPr>
            <w:tcW w:w="3262" w:type="dxa"/>
            <w:shd w:val="clear" w:color="auto" w:fill="FFFFFF" w:themeFill="background1"/>
            <w:vAlign w:val="center"/>
          </w:tcPr>
          <w:p w:rsidR="004F27D6" w:rsidRPr="004F27D6" w:rsidRDefault="004F27D6" w:rsidP="00992E19">
            <w:pPr>
              <w:rPr>
                <w:rFonts w:ascii="Times New Roman" w:hAnsi="Times New Roman" w:cs="Times New Roman"/>
                <w:sz w:val="24"/>
                <w:szCs w:val="24"/>
              </w:rPr>
            </w:pPr>
            <w:r w:rsidRPr="004F27D6">
              <w:rPr>
                <w:rFonts w:ascii="Times New Roman" w:hAnsi="Times New Roman" w:cs="Times New Roman"/>
                <w:sz w:val="24"/>
                <w:szCs w:val="24"/>
              </w:rPr>
              <w:t>Wartość dodana brutto</w:t>
            </w:r>
          </w:p>
          <w:p w:rsidR="004F27D6" w:rsidRPr="004F27D6" w:rsidRDefault="004F27D6" w:rsidP="00543A86">
            <w:pPr>
              <w:rPr>
                <w:rFonts w:ascii="Times New Roman" w:hAnsi="Times New Roman" w:cs="Times New Roman"/>
                <w:sz w:val="24"/>
                <w:szCs w:val="24"/>
              </w:rPr>
            </w:pPr>
            <w:r w:rsidRPr="004F27D6">
              <w:rPr>
                <w:rFonts w:ascii="Times New Roman" w:hAnsi="Times New Roman" w:cs="Times New Roman"/>
                <w:sz w:val="24"/>
                <w:szCs w:val="24"/>
              </w:rPr>
              <w:t>na 1 pracującego</w:t>
            </w:r>
          </w:p>
        </w:tc>
        <w:tc>
          <w:tcPr>
            <w:tcW w:w="2552" w:type="dxa"/>
            <w:shd w:val="clear" w:color="auto" w:fill="FFFFFF" w:themeFill="background1"/>
            <w:vAlign w:val="center"/>
          </w:tcPr>
          <w:p w:rsidR="004F27D6" w:rsidRPr="004F27D6" w:rsidRDefault="004F27D6" w:rsidP="00ED7E4F">
            <w:pPr>
              <w:rPr>
                <w:rFonts w:ascii="Times New Roman" w:hAnsi="Times New Roman" w:cs="Times New Roman"/>
                <w:sz w:val="24"/>
                <w:szCs w:val="24"/>
              </w:rPr>
            </w:pPr>
            <w:r w:rsidRPr="004F27D6">
              <w:rPr>
                <w:rFonts w:ascii="Times New Roman" w:hAnsi="Times New Roman" w:cs="Times New Roman"/>
                <w:sz w:val="24"/>
                <w:szCs w:val="24"/>
              </w:rPr>
              <w:t xml:space="preserve">2015 – </w:t>
            </w:r>
            <w:r w:rsidRPr="00ED7E4F">
              <w:rPr>
                <w:rFonts w:ascii="Times New Roman" w:hAnsi="Times New Roman" w:cs="Times New Roman"/>
                <w:color w:val="000000" w:themeColor="text1"/>
                <w:sz w:val="24"/>
                <w:szCs w:val="24"/>
              </w:rPr>
              <w:t>84 74</w:t>
            </w:r>
            <w:r w:rsidR="00ED7E4F" w:rsidRPr="00ED7E4F">
              <w:rPr>
                <w:rFonts w:ascii="Times New Roman" w:hAnsi="Times New Roman" w:cs="Times New Roman"/>
                <w:color w:val="000000" w:themeColor="text1"/>
                <w:sz w:val="24"/>
                <w:szCs w:val="24"/>
              </w:rPr>
              <w:t>8</w:t>
            </w:r>
            <w:r w:rsidRPr="00ED7E4F">
              <w:rPr>
                <w:rFonts w:ascii="Times New Roman" w:hAnsi="Times New Roman" w:cs="Times New Roman"/>
                <w:color w:val="000000" w:themeColor="text1"/>
                <w:sz w:val="24"/>
                <w:szCs w:val="24"/>
              </w:rPr>
              <w:t xml:space="preserve"> </w:t>
            </w:r>
            <w:r w:rsidRPr="004F27D6">
              <w:rPr>
                <w:rFonts w:ascii="Times New Roman" w:hAnsi="Times New Roman" w:cs="Times New Roman"/>
                <w:sz w:val="24"/>
                <w:szCs w:val="24"/>
              </w:rPr>
              <w:t>zł</w:t>
            </w:r>
          </w:p>
        </w:tc>
        <w:tc>
          <w:tcPr>
            <w:tcW w:w="2551" w:type="dxa"/>
            <w:shd w:val="clear" w:color="auto" w:fill="FFFFFF" w:themeFill="background1"/>
            <w:vAlign w:val="center"/>
          </w:tcPr>
          <w:p w:rsidR="004F27D6" w:rsidRPr="00C75C71" w:rsidRDefault="004F27D6" w:rsidP="00C775F1">
            <w:pPr>
              <w:rPr>
                <w:rFonts w:ascii="Times New Roman" w:hAnsi="Times New Roman" w:cs="Times New Roman"/>
                <w:sz w:val="24"/>
                <w:szCs w:val="24"/>
                <w:highlight w:val="yellow"/>
              </w:rPr>
            </w:pPr>
            <w:r w:rsidRPr="00904814">
              <w:rPr>
                <w:rFonts w:ascii="Times New Roman" w:hAnsi="Times New Roman" w:cs="Times New Roman"/>
                <w:sz w:val="24"/>
                <w:szCs w:val="24"/>
              </w:rPr>
              <w:t>201</w:t>
            </w:r>
            <w:r w:rsidR="00904814" w:rsidRPr="00904814">
              <w:rPr>
                <w:rFonts w:ascii="Times New Roman" w:hAnsi="Times New Roman" w:cs="Times New Roman"/>
                <w:sz w:val="24"/>
                <w:szCs w:val="24"/>
              </w:rPr>
              <w:t>6</w:t>
            </w:r>
            <w:r w:rsidRPr="00904814">
              <w:rPr>
                <w:rFonts w:ascii="Times New Roman" w:hAnsi="Times New Roman" w:cs="Times New Roman"/>
                <w:sz w:val="24"/>
                <w:szCs w:val="24"/>
              </w:rPr>
              <w:t xml:space="preserve"> – </w:t>
            </w:r>
            <w:r w:rsidRPr="00C775F1">
              <w:rPr>
                <w:rFonts w:ascii="Times New Roman" w:hAnsi="Times New Roman" w:cs="Times New Roman"/>
                <w:sz w:val="24"/>
                <w:szCs w:val="24"/>
              </w:rPr>
              <w:t>8</w:t>
            </w:r>
            <w:r w:rsidR="00C775F1" w:rsidRPr="00C775F1">
              <w:rPr>
                <w:rFonts w:ascii="Times New Roman" w:hAnsi="Times New Roman" w:cs="Times New Roman"/>
                <w:sz w:val="24"/>
                <w:szCs w:val="24"/>
              </w:rPr>
              <w:t>5</w:t>
            </w:r>
            <w:r w:rsidRPr="00C775F1">
              <w:rPr>
                <w:rFonts w:ascii="Times New Roman" w:hAnsi="Times New Roman" w:cs="Times New Roman"/>
                <w:sz w:val="24"/>
                <w:szCs w:val="24"/>
              </w:rPr>
              <w:t> </w:t>
            </w:r>
            <w:r w:rsidR="00C775F1" w:rsidRPr="00C775F1">
              <w:rPr>
                <w:rFonts w:ascii="Times New Roman" w:hAnsi="Times New Roman" w:cs="Times New Roman"/>
                <w:sz w:val="24"/>
                <w:szCs w:val="24"/>
              </w:rPr>
              <w:t>093</w:t>
            </w:r>
            <w:r w:rsidRPr="00C775F1">
              <w:rPr>
                <w:rFonts w:ascii="Times New Roman" w:hAnsi="Times New Roman" w:cs="Times New Roman"/>
                <w:sz w:val="24"/>
                <w:szCs w:val="24"/>
              </w:rPr>
              <w:t xml:space="preserve"> zł</w:t>
            </w:r>
          </w:p>
        </w:tc>
        <w:tc>
          <w:tcPr>
            <w:tcW w:w="6032" w:type="dxa"/>
            <w:shd w:val="clear" w:color="auto" w:fill="FFFFFF" w:themeFill="background1"/>
            <w:vAlign w:val="center"/>
          </w:tcPr>
          <w:p w:rsidR="004F27D6" w:rsidRPr="00C75C71" w:rsidRDefault="004F27D6" w:rsidP="009E6EDD">
            <w:pPr>
              <w:rPr>
                <w:rFonts w:ascii="Times New Roman" w:hAnsi="Times New Roman" w:cs="Times New Roman"/>
                <w:sz w:val="24"/>
                <w:szCs w:val="24"/>
                <w:highlight w:val="yellow"/>
              </w:rPr>
            </w:pPr>
            <w:r w:rsidRPr="009E6EDD">
              <w:rPr>
                <w:rFonts w:ascii="Times New Roman" w:hAnsi="Times New Roman" w:cs="Times New Roman"/>
                <w:sz w:val="24"/>
                <w:szCs w:val="24"/>
              </w:rPr>
              <w:t>1</w:t>
            </w:r>
            <w:r w:rsidR="009E6EDD" w:rsidRPr="009E6EDD">
              <w:rPr>
                <w:rFonts w:ascii="Times New Roman" w:hAnsi="Times New Roman" w:cs="Times New Roman"/>
                <w:sz w:val="24"/>
                <w:szCs w:val="24"/>
              </w:rPr>
              <w:t>4</w:t>
            </w:r>
            <w:r w:rsidRPr="009E6EDD">
              <w:rPr>
                <w:rFonts w:ascii="Times New Roman" w:hAnsi="Times New Roman" w:cs="Times New Roman"/>
                <w:sz w:val="24"/>
                <w:szCs w:val="24"/>
              </w:rPr>
              <w:t xml:space="preserve"> lokata wśród województw (74,</w:t>
            </w:r>
            <w:r w:rsidR="009E6EDD" w:rsidRPr="009E6EDD">
              <w:rPr>
                <w:rFonts w:ascii="Times New Roman" w:hAnsi="Times New Roman" w:cs="Times New Roman"/>
                <w:sz w:val="24"/>
                <w:szCs w:val="24"/>
              </w:rPr>
              <w:t xml:space="preserve">7 </w:t>
            </w:r>
            <w:r w:rsidRPr="009E6EDD">
              <w:rPr>
                <w:rFonts w:ascii="Times New Roman" w:hAnsi="Times New Roman" w:cs="Times New Roman"/>
                <w:sz w:val="24"/>
                <w:szCs w:val="24"/>
              </w:rPr>
              <w:t>% WDB dla kraju).</w:t>
            </w:r>
          </w:p>
        </w:tc>
      </w:tr>
      <w:tr w:rsidR="004F27D6" w:rsidRPr="00C75C71" w:rsidTr="004F27D6">
        <w:tc>
          <w:tcPr>
            <w:tcW w:w="675" w:type="dxa"/>
            <w:shd w:val="clear" w:color="auto" w:fill="FFFFFF" w:themeFill="background1"/>
          </w:tcPr>
          <w:p w:rsidR="004F27D6" w:rsidRPr="004F27D6" w:rsidRDefault="004F27D6" w:rsidP="00656CED">
            <w:pPr>
              <w:pStyle w:val="Akapitzlist"/>
              <w:numPr>
                <w:ilvl w:val="0"/>
                <w:numId w:val="13"/>
              </w:numPr>
              <w:spacing w:before="120" w:after="120"/>
              <w:ind w:left="0" w:firstLine="0"/>
              <w:rPr>
                <w:rFonts w:ascii="Times New Roman" w:hAnsi="Times New Roman" w:cs="Times New Roman"/>
                <w:sz w:val="24"/>
                <w:szCs w:val="24"/>
              </w:rPr>
            </w:pPr>
          </w:p>
        </w:tc>
        <w:tc>
          <w:tcPr>
            <w:tcW w:w="3262" w:type="dxa"/>
            <w:shd w:val="clear" w:color="auto" w:fill="FFFFFF" w:themeFill="background1"/>
            <w:vAlign w:val="center"/>
          </w:tcPr>
          <w:p w:rsidR="004F27D6" w:rsidRPr="004F27D6" w:rsidRDefault="004F27D6" w:rsidP="00992E19">
            <w:pPr>
              <w:rPr>
                <w:rFonts w:ascii="Times New Roman" w:hAnsi="Times New Roman" w:cs="Times New Roman"/>
                <w:color w:val="000000"/>
                <w:sz w:val="24"/>
                <w:szCs w:val="24"/>
              </w:rPr>
            </w:pPr>
            <w:r w:rsidRPr="004F27D6">
              <w:rPr>
                <w:rFonts w:ascii="Times New Roman" w:hAnsi="Times New Roman" w:cs="Times New Roman"/>
                <w:color w:val="000000"/>
                <w:sz w:val="24"/>
                <w:szCs w:val="24"/>
              </w:rPr>
              <w:t>Przeciętne miesięczne</w:t>
            </w:r>
          </w:p>
          <w:p w:rsidR="004F27D6" w:rsidRPr="004F27D6" w:rsidRDefault="004F27D6" w:rsidP="00992E19">
            <w:pPr>
              <w:rPr>
                <w:rFonts w:ascii="Times New Roman" w:hAnsi="Times New Roman" w:cs="Times New Roman"/>
                <w:color w:val="000000"/>
                <w:sz w:val="24"/>
                <w:szCs w:val="24"/>
              </w:rPr>
            </w:pPr>
            <w:r w:rsidRPr="004F27D6">
              <w:rPr>
                <w:rFonts w:ascii="Times New Roman" w:hAnsi="Times New Roman" w:cs="Times New Roman"/>
                <w:color w:val="000000"/>
                <w:sz w:val="24"/>
                <w:szCs w:val="24"/>
              </w:rPr>
              <w:t>wynagrodzenie brutto ogółem</w:t>
            </w:r>
          </w:p>
          <w:p w:rsidR="004F27D6" w:rsidRPr="004F27D6" w:rsidRDefault="004F27D6" w:rsidP="00992E19">
            <w:pPr>
              <w:rPr>
                <w:rFonts w:ascii="Times New Roman" w:hAnsi="Times New Roman" w:cs="Times New Roman"/>
                <w:sz w:val="24"/>
                <w:szCs w:val="24"/>
              </w:rPr>
            </w:pPr>
            <w:r w:rsidRPr="004F27D6">
              <w:rPr>
                <w:rFonts w:ascii="Times New Roman" w:hAnsi="Times New Roman" w:cs="Times New Roman"/>
                <w:color w:val="000000"/>
                <w:sz w:val="24"/>
                <w:szCs w:val="24"/>
              </w:rPr>
              <w:t>(zł) w gospodarce narodowej</w:t>
            </w:r>
          </w:p>
        </w:tc>
        <w:tc>
          <w:tcPr>
            <w:tcW w:w="2552" w:type="dxa"/>
            <w:shd w:val="clear" w:color="auto" w:fill="FFFFFF" w:themeFill="background1"/>
            <w:vAlign w:val="center"/>
          </w:tcPr>
          <w:p w:rsidR="004F27D6" w:rsidRPr="00741648" w:rsidRDefault="004F27D6" w:rsidP="00904814">
            <w:pPr>
              <w:rPr>
                <w:rFonts w:ascii="Times New Roman" w:hAnsi="Times New Roman" w:cs="Times New Roman"/>
                <w:sz w:val="24"/>
                <w:szCs w:val="24"/>
              </w:rPr>
            </w:pPr>
            <w:r w:rsidRPr="00741648">
              <w:rPr>
                <w:rFonts w:ascii="Times New Roman" w:hAnsi="Times New Roman" w:cs="Times New Roman"/>
                <w:sz w:val="24"/>
                <w:szCs w:val="24"/>
              </w:rPr>
              <w:t>3 653,67 zł</w:t>
            </w:r>
          </w:p>
        </w:tc>
        <w:tc>
          <w:tcPr>
            <w:tcW w:w="2551" w:type="dxa"/>
            <w:shd w:val="clear" w:color="auto" w:fill="FFFFFF" w:themeFill="background1"/>
            <w:vAlign w:val="center"/>
          </w:tcPr>
          <w:p w:rsidR="004F27D6" w:rsidRPr="00741648" w:rsidRDefault="004F27D6" w:rsidP="00904814">
            <w:pPr>
              <w:rPr>
                <w:rFonts w:ascii="Times New Roman" w:hAnsi="Times New Roman" w:cs="Times New Roman"/>
                <w:sz w:val="24"/>
                <w:szCs w:val="24"/>
              </w:rPr>
            </w:pPr>
            <w:r w:rsidRPr="00741648">
              <w:rPr>
                <w:rFonts w:ascii="Times New Roman" w:hAnsi="Times New Roman" w:cs="Times New Roman"/>
                <w:sz w:val="24"/>
                <w:szCs w:val="24"/>
              </w:rPr>
              <w:t>3 </w:t>
            </w:r>
            <w:r w:rsidR="00741648" w:rsidRPr="00741648">
              <w:rPr>
                <w:rFonts w:ascii="Times New Roman" w:hAnsi="Times New Roman" w:cs="Times New Roman"/>
                <w:sz w:val="24"/>
                <w:szCs w:val="24"/>
              </w:rPr>
              <w:t>837</w:t>
            </w:r>
            <w:r w:rsidRPr="00741648">
              <w:rPr>
                <w:rFonts w:ascii="Times New Roman" w:hAnsi="Times New Roman" w:cs="Times New Roman"/>
                <w:sz w:val="24"/>
                <w:szCs w:val="24"/>
              </w:rPr>
              <w:t>,</w:t>
            </w:r>
            <w:r w:rsidR="00741648" w:rsidRPr="00741648">
              <w:rPr>
                <w:rFonts w:ascii="Times New Roman" w:hAnsi="Times New Roman" w:cs="Times New Roman"/>
                <w:sz w:val="24"/>
                <w:szCs w:val="24"/>
              </w:rPr>
              <w:t>1</w:t>
            </w:r>
            <w:r w:rsidRPr="00741648">
              <w:rPr>
                <w:rFonts w:ascii="Times New Roman" w:hAnsi="Times New Roman" w:cs="Times New Roman"/>
                <w:sz w:val="24"/>
                <w:szCs w:val="24"/>
              </w:rPr>
              <w:t>7 zł</w:t>
            </w:r>
          </w:p>
        </w:tc>
        <w:tc>
          <w:tcPr>
            <w:tcW w:w="6032" w:type="dxa"/>
            <w:shd w:val="clear" w:color="auto" w:fill="FFFFFF" w:themeFill="background1"/>
            <w:vAlign w:val="center"/>
          </w:tcPr>
          <w:p w:rsidR="004F27D6" w:rsidRPr="00741648" w:rsidRDefault="004F27D6" w:rsidP="00904814">
            <w:pPr>
              <w:rPr>
                <w:rFonts w:ascii="Times New Roman" w:hAnsi="Times New Roman" w:cs="Times New Roman"/>
                <w:sz w:val="24"/>
                <w:szCs w:val="24"/>
              </w:rPr>
            </w:pPr>
            <w:r w:rsidRPr="00741648">
              <w:rPr>
                <w:rFonts w:ascii="Times New Roman" w:hAnsi="Times New Roman" w:cs="Times New Roman"/>
                <w:sz w:val="24"/>
                <w:szCs w:val="24"/>
              </w:rPr>
              <w:t>Średnia dla Polski: 4 </w:t>
            </w:r>
            <w:r w:rsidR="00741648" w:rsidRPr="00741648">
              <w:rPr>
                <w:rFonts w:ascii="Times New Roman" w:hAnsi="Times New Roman" w:cs="Times New Roman"/>
                <w:sz w:val="24"/>
                <w:szCs w:val="24"/>
              </w:rPr>
              <w:t>527</w:t>
            </w:r>
            <w:r w:rsidRPr="00741648">
              <w:rPr>
                <w:rFonts w:ascii="Times New Roman" w:hAnsi="Times New Roman" w:cs="Times New Roman"/>
                <w:sz w:val="24"/>
                <w:szCs w:val="24"/>
              </w:rPr>
              <w:t>,</w:t>
            </w:r>
            <w:r w:rsidR="00741648" w:rsidRPr="00741648">
              <w:rPr>
                <w:rFonts w:ascii="Times New Roman" w:hAnsi="Times New Roman" w:cs="Times New Roman"/>
                <w:sz w:val="24"/>
                <w:szCs w:val="24"/>
              </w:rPr>
              <w:t>89</w:t>
            </w:r>
            <w:r w:rsidRPr="00741648">
              <w:rPr>
                <w:rFonts w:ascii="Times New Roman" w:hAnsi="Times New Roman" w:cs="Times New Roman"/>
                <w:sz w:val="24"/>
                <w:szCs w:val="24"/>
              </w:rPr>
              <w:t xml:space="preserve"> zł, 15 lokata wśród</w:t>
            </w:r>
          </w:p>
          <w:p w:rsidR="004F27D6" w:rsidRPr="00C75C71" w:rsidRDefault="004F27D6" w:rsidP="00904814">
            <w:pPr>
              <w:rPr>
                <w:rFonts w:ascii="Times New Roman" w:hAnsi="Times New Roman" w:cs="Times New Roman"/>
                <w:sz w:val="24"/>
                <w:szCs w:val="24"/>
                <w:highlight w:val="yellow"/>
              </w:rPr>
            </w:pPr>
            <w:r w:rsidRPr="00741648">
              <w:rPr>
                <w:rFonts w:ascii="Times New Roman" w:hAnsi="Times New Roman" w:cs="Times New Roman"/>
                <w:sz w:val="24"/>
                <w:szCs w:val="24"/>
              </w:rPr>
              <w:t>województw  (8</w:t>
            </w:r>
            <w:r w:rsidR="00741648" w:rsidRPr="00741648">
              <w:rPr>
                <w:rFonts w:ascii="Times New Roman" w:hAnsi="Times New Roman" w:cs="Times New Roman"/>
                <w:sz w:val="24"/>
                <w:szCs w:val="24"/>
              </w:rPr>
              <w:t>4</w:t>
            </w:r>
            <w:r w:rsidRPr="00741648">
              <w:rPr>
                <w:rFonts w:ascii="Times New Roman" w:hAnsi="Times New Roman" w:cs="Times New Roman"/>
                <w:sz w:val="24"/>
                <w:szCs w:val="24"/>
              </w:rPr>
              <w:t>,</w:t>
            </w:r>
            <w:r w:rsidR="00741648" w:rsidRPr="00741648">
              <w:rPr>
                <w:rFonts w:ascii="Times New Roman" w:hAnsi="Times New Roman" w:cs="Times New Roman"/>
                <w:sz w:val="24"/>
                <w:szCs w:val="24"/>
              </w:rPr>
              <w:t>7</w:t>
            </w:r>
            <w:r w:rsidRPr="00741648">
              <w:rPr>
                <w:rFonts w:ascii="Times New Roman" w:hAnsi="Times New Roman" w:cs="Times New Roman"/>
                <w:sz w:val="24"/>
                <w:szCs w:val="24"/>
              </w:rPr>
              <w:t>% wartości dla kraju).</w:t>
            </w:r>
          </w:p>
        </w:tc>
      </w:tr>
    </w:tbl>
    <w:p w:rsidR="00B92E45" w:rsidRPr="00C75C71" w:rsidRDefault="00B92E45" w:rsidP="00B92E45">
      <w:pPr>
        <w:spacing w:after="0" w:line="360" w:lineRule="auto"/>
        <w:ind w:firstLine="709"/>
        <w:rPr>
          <w:rFonts w:ascii="Times New Roman" w:hAnsi="Times New Roman" w:cs="Times New Roman"/>
          <w:bCs/>
          <w:sz w:val="24"/>
          <w:szCs w:val="24"/>
          <w:highlight w:val="yellow"/>
        </w:rPr>
        <w:sectPr w:rsidR="00B92E45" w:rsidRPr="00C75C71" w:rsidSect="00EF41CF">
          <w:pgSz w:w="16838" w:h="11906" w:orient="landscape"/>
          <w:pgMar w:top="1418" w:right="1418" w:bottom="1418" w:left="1418" w:header="708" w:footer="708" w:gutter="0"/>
          <w:cols w:space="708"/>
          <w:docGrid w:linePitch="360"/>
        </w:sectPr>
      </w:pPr>
    </w:p>
    <w:p w:rsidR="00B92E45" w:rsidRPr="001C4957" w:rsidRDefault="00B92E45" w:rsidP="00B92E45">
      <w:pPr>
        <w:spacing w:after="0" w:line="360" w:lineRule="auto"/>
        <w:ind w:firstLine="709"/>
        <w:jc w:val="both"/>
        <w:rPr>
          <w:rFonts w:ascii="Times New Roman" w:hAnsi="Times New Roman" w:cs="Times New Roman"/>
          <w:bCs/>
          <w:sz w:val="24"/>
          <w:szCs w:val="24"/>
        </w:rPr>
      </w:pPr>
      <w:r w:rsidRPr="001C4957">
        <w:rPr>
          <w:rFonts w:ascii="Times New Roman" w:hAnsi="Times New Roman" w:cs="Times New Roman"/>
          <w:bCs/>
          <w:sz w:val="24"/>
          <w:szCs w:val="24"/>
        </w:rPr>
        <w:lastRenderedPageBreak/>
        <w:t>Analiza sytuacji na rynku pracy</w:t>
      </w:r>
      <w:r w:rsidR="00AE5712" w:rsidRPr="001C4957">
        <w:rPr>
          <w:rFonts w:ascii="Times New Roman" w:hAnsi="Times New Roman" w:cs="Times New Roman"/>
          <w:bCs/>
          <w:sz w:val="24"/>
          <w:szCs w:val="24"/>
        </w:rPr>
        <w:t xml:space="preserve"> w</w:t>
      </w:r>
      <w:r w:rsidR="00E42CD3" w:rsidRPr="001C4957">
        <w:rPr>
          <w:rFonts w:ascii="Times New Roman" w:hAnsi="Times New Roman" w:cs="Times New Roman"/>
          <w:bCs/>
          <w:sz w:val="24"/>
          <w:szCs w:val="24"/>
        </w:rPr>
        <w:t xml:space="preserve"> </w:t>
      </w:r>
      <w:r w:rsidRPr="001C4957">
        <w:rPr>
          <w:rFonts w:ascii="Times New Roman" w:hAnsi="Times New Roman" w:cs="Times New Roman"/>
          <w:bCs/>
          <w:sz w:val="24"/>
          <w:szCs w:val="24"/>
        </w:rPr>
        <w:t>województwie podkarpackim</w:t>
      </w:r>
      <w:r w:rsidR="009E3D27" w:rsidRPr="001C4957">
        <w:rPr>
          <w:rFonts w:ascii="Times New Roman" w:hAnsi="Times New Roman" w:cs="Times New Roman"/>
          <w:bCs/>
          <w:sz w:val="24"/>
          <w:szCs w:val="24"/>
        </w:rPr>
        <w:t xml:space="preserve"> jest realizowana w</w:t>
      </w:r>
      <w:r w:rsidR="004F68E4" w:rsidRPr="001C4957">
        <w:rPr>
          <w:rFonts w:ascii="Times New Roman" w:hAnsi="Times New Roman" w:cs="Times New Roman"/>
          <w:bCs/>
          <w:sz w:val="24"/>
          <w:szCs w:val="24"/>
        </w:rPr>
        <w:t> stosunku</w:t>
      </w:r>
      <w:r w:rsidR="009E3D27" w:rsidRPr="001C4957">
        <w:rPr>
          <w:rFonts w:ascii="Times New Roman" w:hAnsi="Times New Roman" w:cs="Times New Roman"/>
          <w:bCs/>
          <w:sz w:val="24"/>
          <w:szCs w:val="24"/>
        </w:rPr>
        <w:t xml:space="preserve"> do </w:t>
      </w:r>
      <w:r w:rsidR="004F68E4" w:rsidRPr="001C4957">
        <w:rPr>
          <w:rFonts w:ascii="Times New Roman" w:hAnsi="Times New Roman" w:cs="Times New Roman"/>
          <w:bCs/>
          <w:sz w:val="24"/>
          <w:szCs w:val="24"/>
        </w:rPr>
        <w:t>specyfiki</w:t>
      </w:r>
      <w:r w:rsidRPr="001C4957">
        <w:rPr>
          <w:rFonts w:ascii="Times New Roman" w:hAnsi="Times New Roman" w:cs="Times New Roman"/>
          <w:bCs/>
          <w:sz w:val="24"/>
          <w:szCs w:val="24"/>
        </w:rPr>
        <w:t xml:space="preserve"> </w:t>
      </w:r>
      <w:r w:rsidR="004F68E4" w:rsidRPr="001C4957">
        <w:rPr>
          <w:rFonts w:ascii="Times New Roman" w:hAnsi="Times New Roman" w:cs="Times New Roman"/>
          <w:bCs/>
          <w:sz w:val="24"/>
          <w:szCs w:val="24"/>
        </w:rPr>
        <w:t xml:space="preserve">społeczno –gospodarczej </w:t>
      </w:r>
      <w:r w:rsidRPr="001C4957">
        <w:rPr>
          <w:rFonts w:ascii="Times New Roman" w:hAnsi="Times New Roman" w:cs="Times New Roman"/>
          <w:bCs/>
          <w:sz w:val="24"/>
          <w:szCs w:val="24"/>
        </w:rPr>
        <w:t>regionu. Powyższe dane zwracają uwagę przede wszystkim na</w:t>
      </w:r>
      <w:r w:rsidR="008C1EA0" w:rsidRPr="001C4957">
        <w:rPr>
          <w:rFonts w:ascii="Times New Roman" w:hAnsi="Times New Roman" w:cs="Times New Roman"/>
          <w:bCs/>
          <w:sz w:val="24"/>
          <w:szCs w:val="24"/>
        </w:rPr>
        <w:t xml:space="preserve"> </w:t>
      </w:r>
      <w:r w:rsidR="008C1EA0" w:rsidRPr="001C4957">
        <w:rPr>
          <w:rFonts w:ascii="Times New Roman" w:hAnsi="Times New Roman" w:cs="Times New Roman"/>
          <w:bCs/>
          <w:szCs w:val="24"/>
        </w:rPr>
        <w:t>(na podstawie danych</w:t>
      </w:r>
      <w:r w:rsidR="00AE5712" w:rsidRPr="001C4957">
        <w:rPr>
          <w:rFonts w:ascii="Times New Roman" w:hAnsi="Times New Roman" w:cs="Times New Roman"/>
          <w:bCs/>
          <w:szCs w:val="24"/>
        </w:rPr>
        <w:t xml:space="preserve"> z</w:t>
      </w:r>
      <w:r w:rsidR="00E42CD3" w:rsidRPr="001C4957">
        <w:rPr>
          <w:rFonts w:ascii="Times New Roman" w:hAnsi="Times New Roman" w:cs="Times New Roman"/>
          <w:bCs/>
          <w:szCs w:val="24"/>
        </w:rPr>
        <w:t xml:space="preserve"> </w:t>
      </w:r>
      <w:r w:rsidR="008C1EA0" w:rsidRPr="001C4957">
        <w:rPr>
          <w:rFonts w:ascii="Times New Roman" w:hAnsi="Times New Roman" w:cs="Times New Roman"/>
          <w:bCs/>
          <w:szCs w:val="24"/>
        </w:rPr>
        <w:t>Tabeli 1</w:t>
      </w:r>
      <w:r w:rsidR="00501276" w:rsidRPr="001C4957">
        <w:rPr>
          <w:rFonts w:ascii="Times New Roman" w:hAnsi="Times New Roman" w:cs="Times New Roman"/>
          <w:bCs/>
          <w:szCs w:val="24"/>
        </w:rPr>
        <w:t xml:space="preserve"> i wykresu 1, 2</w:t>
      </w:r>
      <w:r w:rsidR="008C1EA0" w:rsidRPr="001C4957">
        <w:rPr>
          <w:rFonts w:ascii="Times New Roman" w:hAnsi="Times New Roman" w:cs="Times New Roman"/>
          <w:bCs/>
          <w:szCs w:val="24"/>
        </w:rPr>
        <w:t>)</w:t>
      </w:r>
      <w:r w:rsidRPr="001C4957">
        <w:rPr>
          <w:rFonts w:ascii="Times New Roman" w:hAnsi="Times New Roman" w:cs="Times New Roman"/>
          <w:bCs/>
          <w:sz w:val="24"/>
          <w:szCs w:val="24"/>
        </w:rPr>
        <w:t xml:space="preserve"> </w:t>
      </w:r>
    </w:p>
    <w:p w:rsidR="00B92E45" w:rsidRPr="001262D3" w:rsidRDefault="00B92E45" w:rsidP="00160DBC">
      <w:pPr>
        <w:pStyle w:val="Akapitzlist"/>
        <w:numPr>
          <w:ilvl w:val="0"/>
          <w:numId w:val="14"/>
        </w:numPr>
        <w:spacing w:after="0" w:line="360" w:lineRule="auto"/>
        <w:jc w:val="both"/>
        <w:rPr>
          <w:rFonts w:ascii="Times New Roman" w:hAnsi="Times New Roman" w:cs="Times New Roman"/>
          <w:bCs/>
          <w:sz w:val="24"/>
          <w:szCs w:val="24"/>
        </w:rPr>
      </w:pPr>
      <w:r w:rsidRPr="001262D3">
        <w:rPr>
          <w:rFonts w:ascii="Times New Roman" w:hAnsi="Times New Roman" w:cs="Times New Roman"/>
          <w:bCs/>
          <w:sz w:val="24"/>
          <w:szCs w:val="24"/>
        </w:rPr>
        <w:t>wiejski charakter województwa (najniższy</w:t>
      </w:r>
      <w:r w:rsidR="00AE5712" w:rsidRPr="001262D3">
        <w:rPr>
          <w:rFonts w:ascii="Times New Roman" w:hAnsi="Times New Roman" w:cs="Times New Roman"/>
          <w:bCs/>
          <w:sz w:val="24"/>
          <w:szCs w:val="24"/>
        </w:rPr>
        <w:t xml:space="preserve"> w</w:t>
      </w:r>
      <w:r w:rsidR="00E42CD3" w:rsidRPr="001262D3">
        <w:rPr>
          <w:rFonts w:ascii="Times New Roman" w:hAnsi="Times New Roman" w:cs="Times New Roman"/>
          <w:bCs/>
          <w:sz w:val="24"/>
          <w:szCs w:val="24"/>
        </w:rPr>
        <w:t xml:space="preserve"> </w:t>
      </w:r>
      <w:r w:rsidRPr="001262D3">
        <w:rPr>
          <w:rFonts w:ascii="Times New Roman" w:hAnsi="Times New Roman" w:cs="Times New Roman"/>
          <w:bCs/>
          <w:sz w:val="24"/>
          <w:szCs w:val="24"/>
        </w:rPr>
        <w:t>Polsce wskaźnik urbanizacji gruntów oraz udział ludności zamieszkałej</w:t>
      </w:r>
      <w:r w:rsidR="00AE5712" w:rsidRPr="001262D3">
        <w:rPr>
          <w:rFonts w:ascii="Times New Roman" w:hAnsi="Times New Roman" w:cs="Times New Roman"/>
          <w:bCs/>
          <w:sz w:val="24"/>
          <w:szCs w:val="24"/>
        </w:rPr>
        <w:t xml:space="preserve"> w</w:t>
      </w:r>
      <w:r w:rsidR="00E42CD3" w:rsidRPr="001262D3">
        <w:rPr>
          <w:rFonts w:ascii="Times New Roman" w:hAnsi="Times New Roman" w:cs="Times New Roman"/>
          <w:bCs/>
          <w:sz w:val="24"/>
          <w:szCs w:val="24"/>
        </w:rPr>
        <w:t xml:space="preserve"> </w:t>
      </w:r>
      <w:r w:rsidRPr="001262D3">
        <w:rPr>
          <w:rFonts w:ascii="Times New Roman" w:hAnsi="Times New Roman" w:cs="Times New Roman"/>
          <w:bCs/>
          <w:sz w:val="24"/>
          <w:szCs w:val="24"/>
        </w:rPr>
        <w:t>miastach);</w:t>
      </w:r>
    </w:p>
    <w:p w:rsidR="00B92E45" w:rsidRPr="001262D3" w:rsidRDefault="00B92E45" w:rsidP="00160DBC">
      <w:pPr>
        <w:pStyle w:val="Akapitzlist"/>
        <w:numPr>
          <w:ilvl w:val="0"/>
          <w:numId w:val="14"/>
        </w:numPr>
        <w:spacing w:after="0" w:line="360" w:lineRule="auto"/>
        <w:jc w:val="both"/>
        <w:rPr>
          <w:rFonts w:ascii="Times New Roman" w:hAnsi="Times New Roman" w:cs="Times New Roman"/>
          <w:bCs/>
          <w:sz w:val="24"/>
          <w:szCs w:val="24"/>
        </w:rPr>
      </w:pPr>
      <w:r w:rsidRPr="001262D3">
        <w:rPr>
          <w:rFonts w:ascii="Times New Roman" w:hAnsi="Times New Roman" w:cs="Times New Roman"/>
          <w:bCs/>
          <w:sz w:val="24"/>
          <w:szCs w:val="24"/>
        </w:rPr>
        <w:t>skupienie ludności na części obszarów województwa oraz występowanie obszarów</w:t>
      </w:r>
      <w:r w:rsidR="00AE5712" w:rsidRPr="001262D3">
        <w:rPr>
          <w:rFonts w:ascii="Times New Roman" w:hAnsi="Times New Roman" w:cs="Times New Roman"/>
          <w:bCs/>
          <w:sz w:val="24"/>
          <w:szCs w:val="24"/>
        </w:rPr>
        <w:t xml:space="preserve"> o </w:t>
      </w:r>
      <w:r w:rsidRPr="001262D3">
        <w:rPr>
          <w:rFonts w:ascii="Times New Roman" w:hAnsi="Times New Roman" w:cs="Times New Roman"/>
          <w:bCs/>
          <w:sz w:val="24"/>
          <w:szCs w:val="24"/>
        </w:rPr>
        <w:t>znacznie zmniejszonej koncentracji ludności;</w:t>
      </w:r>
    </w:p>
    <w:p w:rsidR="00B92E45" w:rsidRPr="00C10ED1" w:rsidRDefault="00B92E45" w:rsidP="00160DBC">
      <w:pPr>
        <w:pStyle w:val="Akapitzlist"/>
        <w:numPr>
          <w:ilvl w:val="0"/>
          <w:numId w:val="14"/>
        </w:numPr>
        <w:spacing w:after="0" w:line="360" w:lineRule="auto"/>
        <w:jc w:val="both"/>
        <w:rPr>
          <w:rFonts w:ascii="Times New Roman" w:hAnsi="Times New Roman" w:cs="Times New Roman"/>
          <w:bCs/>
          <w:sz w:val="24"/>
          <w:szCs w:val="24"/>
        </w:rPr>
      </w:pPr>
      <w:r w:rsidRPr="00C10ED1">
        <w:rPr>
          <w:rFonts w:ascii="Times New Roman" w:hAnsi="Times New Roman" w:cs="Times New Roman"/>
          <w:bCs/>
          <w:sz w:val="24"/>
          <w:szCs w:val="24"/>
        </w:rPr>
        <w:t>młodość demograficzną regionu – wyrażającą się tak</w:t>
      </w:r>
      <w:r w:rsidR="00AE5712" w:rsidRPr="00C10ED1">
        <w:rPr>
          <w:rFonts w:ascii="Times New Roman" w:hAnsi="Times New Roman" w:cs="Times New Roman"/>
          <w:bCs/>
          <w:sz w:val="24"/>
          <w:szCs w:val="24"/>
        </w:rPr>
        <w:t xml:space="preserve"> w</w:t>
      </w:r>
      <w:r w:rsidR="00E42CD3" w:rsidRPr="00C10ED1">
        <w:rPr>
          <w:rFonts w:ascii="Times New Roman" w:hAnsi="Times New Roman" w:cs="Times New Roman"/>
          <w:bCs/>
          <w:sz w:val="24"/>
          <w:szCs w:val="24"/>
        </w:rPr>
        <w:t xml:space="preserve"> </w:t>
      </w:r>
      <w:r w:rsidRPr="00C10ED1">
        <w:rPr>
          <w:rFonts w:ascii="Times New Roman" w:hAnsi="Times New Roman" w:cs="Times New Roman"/>
          <w:bCs/>
          <w:sz w:val="24"/>
          <w:szCs w:val="24"/>
        </w:rPr>
        <w:t>medianie wieku, jak</w:t>
      </w:r>
      <w:r w:rsidR="00AE5712" w:rsidRPr="00C10ED1">
        <w:rPr>
          <w:rFonts w:ascii="Times New Roman" w:hAnsi="Times New Roman" w:cs="Times New Roman"/>
          <w:bCs/>
          <w:sz w:val="24"/>
          <w:szCs w:val="24"/>
        </w:rPr>
        <w:t xml:space="preserve"> i</w:t>
      </w:r>
      <w:r w:rsidR="00620CF7" w:rsidRPr="00C10ED1">
        <w:rPr>
          <w:rFonts w:ascii="Times New Roman" w:hAnsi="Times New Roman" w:cs="Times New Roman"/>
          <w:bCs/>
          <w:sz w:val="24"/>
          <w:szCs w:val="24"/>
        </w:rPr>
        <w:t> </w:t>
      </w:r>
      <w:r w:rsidR="00AE5712" w:rsidRPr="00C10ED1">
        <w:rPr>
          <w:rFonts w:ascii="Times New Roman" w:hAnsi="Times New Roman" w:cs="Times New Roman"/>
          <w:bCs/>
          <w:sz w:val="24"/>
          <w:szCs w:val="24"/>
        </w:rPr>
        <w:t>w</w:t>
      </w:r>
      <w:r w:rsidR="00620CF7" w:rsidRPr="00C10ED1">
        <w:rPr>
          <w:rFonts w:ascii="Times New Roman" w:hAnsi="Times New Roman" w:cs="Times New Roman"/>
          <w:bCs/>
          <w:sz w:val="24"/>
          <w:szCs w:val="24"/>
        </w:rPr>
        <w:t xml:space="preserve"> relatywnie </w:t>
      </w:r>
      <w:r w:rsidRPr="00C10ED1">
        <w:rPr>
          <w:rFonts w:ascii="Times New Roman" w:hAnsi="Times New Roman" w:cs="Times New Roman"/>
          <w:bCs/>
          <w:sz w:val="24"/>
          <w:szCs w:val="24"/>
        </w:rPr>
        <w:t xml:space="preserve">wysokim </w:t>
      </w:r>
      <w:r w:rsidR="002B03E5" w:rsidRPr="00C10ED1">
        <w:rPr>
          <w:rFonts w:ascii="Times New Roman" w:hAnsi="Times New Roman" w:cs="Times New Roman"/>
          <w:bCs/>
          <w:sz w:val="24"/>
          <w:szCs w:val="24"/>
        </w:rPr>
        <w:t xml:space="preserve">w porównaniu do średniej krajowej </w:t>
      </w:r>
      <w:r w:rsidRPr="00C10ED1">
        <w:rPr>
          <w:rFonts w:ascii="Times New Roman" w:hAnsi="Times New Roman" w:cs="Times New Roman"/>
          <w:bCs/>
          <w:sz w:val="24"/>
          <w:szCs w:val="24"/>
        </w:rPr>
        <w:t>wskaźniku przyrostu naturalnego;</w:t>
      </w:r>
    </w:p>
    <w:p w:rsidR="00B92E45" w:rsidRPr="00C10ED1" w:rsidRDefault="00B92E45" w:rsidP="004F68E4">
      <w:pPr>
        <w:pStyle w:val="Akapitzlist"/>
        <w:numPr>
          <w:ilvl w:val="0"/>
          <w:numId w:val="14"/>
        </w:numPr>
        <w:spacing w:after="0" w:line="360" w:lineRule="auto"/>
        <w:jc w:val="both"/>
        <w:rPr>
          <w:rFonts w:ascii="Times New Roman" w:hAnsi="Times New Roman" w:cs="Times New Roman"/>
          <w:bCs/>
          <w:sz w:val="24"/>
          <w:szCs w:val="24"/>
        </w:rPr>
      </w:pPr>
      <w:r w:rsidRPr="00C10ED1">
        <w:rPr>
          <w:rFonts w:ascii="Times New Roman" w:hAnsi="Times New Roman" w:cs="Times New Roman"/>
          <w:bCs/>
          <w:sz w:val="24"/>
          <w:szCs w:val="24"/>
        </w:rPr>
        <w:t xml:space="preserve">niski </w:t>
      </w:r>
      <w:r w:rsidR="002B03E5" w:rsidRPr="00C10ED1">
        <w:rPr>
          <w:rFonts w:ascii="Times New Roman" w:hAnsi="Times New Roman" w:cs="Times New Roman"/>
          <w:bCs/>
          <w:sz w:val="24"/>
          <w:szCs w:val="24"/>
        </w:rPr>
        <w:t xml:space="preserve">w stosunku do pozostałych województw </w:t>
      </w:r>
      <w:r w:rsidRPr="00C10ED1">
        <w:rPr>
          <w:rFonts w:ascii="Times New Roman" w:hAnsi="Times New Roman" w:cs="Times New Roman"/>
          <w:bCs/>
          <w:sz w:val="24"/>
          <w:szCs w:val="24"/>
        </w:rPr>
        <w:t xml:space="preserve">poziom rozwoju gospodarczego </w:t>
      </w:r>
      <w:r w:rsidR="004F68E4" w:rsidRPr="00C10ED1">
        <w:rPr>
          <w:rFonts w:ascii="Times New Roman" w:hAnsi="Times New Roman" w:cs="Times New Roman"/>
          <w:bCs/>
          <w:sz w:val="24"/>
          <w:szCs w:val="24"/>
        </w:rPr>
        <w:t>i </w:t>
      </w:r>
      <w:r w:rsidRPr="00C10ED1">
        <w:rPr>
          <w:rFonts w:ascii="Times New Roman" w:hAnsi="Times New Roman" w:cs="Times New Roman"/>
          <w:bCs/>
          <w:sz w:val="24"/>
          <w:szCs w:val="24"/>
        </w:rPr>
        <w:t>zamożności mieszkańców regionu.</w:t>
      </w:r>
    </w:p>
    <w:p w:rsidR="00B92E45" w:rsidRPr="00FC6624" w:rsidRDefault="00B92E45" w:rsidP="00FC6624">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4" w:name="_Toc446334628"/>
      <w:bookmarkStart w:id="5" w:name="_Toc938717"/>
      <w:r w:rsidRPr="00FC6624">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Wiek </w:t>
      </w:r>
      <w:r w:rsidR="00D17DFD" w:rsidRPr="00FC6624">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FC6624">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produkcyjny </w:t>
      </w:r>
      <w:r w:rsidR="00D17DFD" w:rsidRPr="00FC6624">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FC6624">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ludności</w:t>
      </w:r>
      <w:bookmarkEnd w:id="4"/>
      <w:bookmarkEnd w:id="5"/>
    </w:p>
    <w:p w:rsidR="00B92E45" w:rsidRPr="00543A86" w:rsidRDefault="00B92E45" w:rsidP="00E42CD3">
      <w:pPr>
        <w:autoSpaceDE w:val="0"/>
        <w:autoSpaceDN w:val="0"/>
        <w:adjustRightInd w:val="0"/>
        <w:spacing w:after="0" w:line="240" w:lineRule="auto"/>
        <w:jc w:val="cente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43A86">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Tabela </w:t>
      </w:r>
      <w:r w:rsidR="009E3AFD" w:rsidRPr="00543A86">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w:t>
      </w:r>
      <w:r w:rsidRPr="00543A86">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Zmiany</w:t>
      </w:r>
      <w:r w:rsidR="00AE5712" w:rsidRPr="00543A86">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t>
      </w:r>
      <w:r w:rsidRPr="00543A86">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strukturze ludności wg wieku</w:t>
      </w:r>
      <w:r w:rsidR="00AE5712" w:rsidRPr="00543A86">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t>
      </w:r>
      <w:r w:rsidR="00235A6B" w:rsidRPr="00543A86">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województwie podkarpackim (%)</w:t>
      </w:r>
    </w:p>
    <w:tbl>
      <w:tblPr>
        <w:tblW w:w="9028" w:type="dxa"/>
        <w:jc w:val="center"/>
        <w:tblInd w:w="361" w:type="dxa"/>
        <w:tblBorders>
          <w:top w:val="nil"/>
          <w:left w:val="nil"/>
          <w:bottom w:val="nil"/>
          <w:right w:val="nil"/>
        </w:tblBorders>
        <w:tblLayout w:type="fixed"/>
        <w:tblLook w:val="0000" w:firstRow="0" w:lastRow="0" w:firstColumn="0" w:lastColumn="0" w:noHBand="0" w:noVBand="0"/>
      </w:tblPr>
      <w:tblGrid>
        <w:gridCol w:w="1961"/>
        <w:gridCol w:w="709"/>
        <w:gridCol w:w="638"/>
        <w:gridCol w:w="708"/>
        <w:gridCol w:w="709"/>
        <w:gridCol w:w="709"/>
        <w:gridCol w:w="709"/>
        <w:gridCol w:w="615"/>
        <w:gridCol w:w="1135"/>
        <w:gridCol w:w="1135"/>
      </w:tblGrid>
      <w:tr w:rsidR="00AB5673" w:rsidRPr="00C75C71" w:rsidTr="00AB5673">
        <w:trPr>
          <w:trHeight w:val="912"/>
          <w:jc w:val="center"/>
        </w:trPr>
        <w:tc>
          <w:tcPr>
            <w:tcW w:w="196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Wiek</w:t>
            </w:r>
          </w:p>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ludności</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‘95</w:t>
            </w:r>
          </w:p>
        </w:tc>
        <w:tc>
          <w:tcPr>
            <w:tcW w:w="63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‘05</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‘15</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‘16</w:t>
            </w:r>
          </w:p>
        </w:tc>
        <w:tc>
          <w:tcPr>
            <w:tcW w:w="61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‘17</w:t>
            </w:r>
          </w:p>
        </w:tc>
        <w:tc>
          <w:tcPr>
            <w:tcW w:w="113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wzrost/</w:t>
            </w:r>
          </w:p>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spadek</w:t>
            </w:r>
          </w:p>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1995</w:t>
            </w:r>
            <w:r w:rsidR="001E4AD2" w:rsidRPr="001D06FD">
              <w:rPr>
                <w:rFonts w:ascii="Times New Roman" w:hAnsi="Times New Roman" w:cs="Times New Roman"/>
                <w:color w:val="000000"/>
                <w:sz w:val="16"/>
                <w:szCs w:val="16"/>
              </w:rPr>
              <w:t>=</w:t>
            </w:r>
          </w:p>
          <w:p w:rsidR="00AB5673" w:rsidRPr="001D06FD" w:rsidRDefault="001E4AD2"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=100 %</w:t>
            </w:r>
          </w:p>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highlight w:val="yellow"/>
              </w:rPr>
            </w:pPr>
            <w:r w:rsidRPr="001D06FD">
              <w:rPr>
                <w:rFonts w:ascii="Times New Roman" w:hAnsi="Times New Roman" w:cs="Times New Roman"/>
                <w:color w:val="000000"/>
                <w:sz w:val="16"/>
                <w:szCs w:val="16"/>
              </w:rPr>
              <w:t>(pkt. proc.)</w:t>
            </w:r>
          </w:p>
        </w:tc>
        <w:tc>
          <w:tcPr>
            <w:tcW w:w="113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wzrost/</w:t>
            </w:r>
          </w:p>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spadek</w:t>
            </w:r>
          </w:p>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2016=</w:t>
            </w:r>
          </w:p>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=100</w:t>
            </w:r>
            <w:r w:rsidR="001E4AD2" w:rsidRPr="001D06FD">
              <w:rPr>
                <w:rFonts w:ascii="Times New Roman" w:hAnsi="Times New Roman" w:cs="Times New Roman"/>
                <w:color w:val="000000"/>
                <w:sz w:val="16"/>
                <w:szCs w:val="16"/>
              </w:rPr>
              <w:t xml:space="preserve"> </w:t>
            </w:r>
            <w:r w:rsidRPr="001D06FD">
              <w:rPr>
                <w:rFonts w:ascii="Times New Roman" w:hAnsi="Times New Roman" w:cs="Times New Roman"/>
                <w:color w:val="000000"/>
                <w:sz w:val="16"/>
                <w:szCs w:val="16"/>
              </w:rPr>
              <w:t>%</w:t>
            </w:r>
          </w:p>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(pkt. proc.)</w:t>
            </w:r>
          </w:p>
        </w:tc>
      </w:tr>
      <w:tr w:rsidR="00AB5673" w:rsidRPr="00C75C71" w:rsidTr="00890BCA">
        <w:trPr>
          <w:trHeight w:val="96"/>
          <w:jc w:val="center"/>
        </w:trPr>
        <w:tc>
          <w:tcPr>
            <w:tcW w:w="9028" w:type="dxa"/>
            <w:gridSpan w:val="10"/>
            <w:tcBorders>
              <w:top w:val="single" w:sz="4" w:space="0" w:color="auto"/>
              <w:left w:val="single" w:sz="4" w:space="0" w:color="auto"/>
              <w:bottom w:val="single" w:sz="4" w:space="0" w:color="auto"/>
              <w:right w:val="single" w:sz="4" w:space="0" w:color="auto"/>
            </w:tcBorders>
          </w:tcPr>
          <w:p w:rsidR="00AB5673" w:rsidRPr="001D06FD" w:rsidRDefault="00AB5673" w:rsidP="001D06FD">
            <w:pPr>
              <w:autoSpaceDE w:val="0"/>
              <w:autoSpaceDN w:val="0"/>
              <w:adjustRightInd w:val="0"/>
              <w:spacing w:after="0" w:line="160" w:lineRule="exact"/>
              <w:jc w:val="center"/>
              <w:rPr>
                <w:rFonts w:ascii="Times New Roman" w:hAnsi="Times New Roman" w:cs="Times New Roman"/>
                <w:b/>
                <w:color w:val="000000"/>
                <w:sz w:val="16"/>
                <w:szCs w:val="16"/>
              </w:rPr>
            </w:pPr>
            <w:r w:rsidRPr="001D06FD">
              <w:rPr>
                <w:rFonts w:ascii="Times New Roman" w:hAnsi="Times New Roman" w:cs="Times New Roman"/>
                <w:b/>
                <w:color w:val="000000"/>
                <w:sz w:val="16"/>
                <w:szCs w:val="16"/>
              </w:rPr>
              <w:t>wg metody BAEL</w:t>
            </w:r>
          </w:p>
        </w:tc>
      </w:tr>
      <w:tr w:rsidR="00AB5673" w:rsidRPr="00C75C71" w:rsidTr="00AB5673">
        <w:trPr>
          <w:trHeight w:val="96"/>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rsidR="00AB5673" w:rsidRPr="001D06FD" w:rsidRDefault="00AB5673" w:rsidP="001D06FD">
            <w:pPr>
              <w:autoSpaceDE w:val="0"/>
              <w:autoSpaceDN w:val="0"/>
              <w:adjustRightInd w:val="0"/>
              <w:spacing w:after="0" w:line="160" w:lineRule="exact"/>
              <w:rPr>
                <w:rFonts w:ascii="Times New Roman" w:hAnsi="Times New Roman" w:cs="Times New Roman"/>
                <w:color w:val="000000"/>
                <w:sz w:val="16"/>
                <w:szCs w:val="16"/>
              </w:rPr>
            </w:pPr>
            <w:r w:rsidRPr="001D06FD">
              <w:rPr>
                <w:rFonts w:ascii="Times New Roman" w:hAnsi="Times New Roman" w:cs="Times New Roman"/>
                <w:color w:val="000000"/>
                <w:sz w:val="16"/>
                <w:szCs w:val="16"/>
              </w:rPr>
              <w:t>przedprodukcyjny</w:t>
            </w:r>
            <w:r w:rsidRPr="001D06FD">
              <w:rPr>
                <w:rStyle w:val="Odwoanieprzypisudolnego"/>
                <w:rFonts w:ascii="Times New Roman" w:hAnsi="Times New Roman" w:cs="Times New Roman"/>
                <w:color w:val="000000"/>
                <w:sz w:val="16"/>
                <w:szCs w:val="16"/>
              </w:rPr>
              <w:footnoteReference w:id="5"/>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25,2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21,8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18,1</w:t>
            </w:r>
          </w:p>
        </w:tc>
        <w:tc>
          <w:tcPr>
            <w:tcW w:w="709" w:type="dxa"/>
            <w:tcBorders>
              <w:top w:val="single" w:sz="4" w:space="0" w:color="auto"/>
              <w:left w:val="single" w:sz="4" w:space="0" w:color="auto"/>
              <w:bottom w:val="single" w:sz="4" w:space="0" w:color="auto"/>
              <w:right w:val="single" w:sz="4" w:space="0" w:color="auto"/>
            </w:tcBorders>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16,2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15,2</w:t>
            </w:r>
          </w:p>
        </w:tc>
        <w:tc>
          <w:tcPr>
            <w:tcW w:w="709" w:type="dxa"/>
            <w:tcBorders>
              <w:top w:val="single" w:sz="4" w:space="0" w:color="auto"/>
              <w:left w:val="single" w:sz="4" w:space="0" w:color="auto"/>
              <w:bottom w:val="single" w:sz="4" w:space="0" w:color="auto"/>
              <w:right w:val="single" w:sz="4" w:space="0" w:color="auto"/>
            </w:tcBorders>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15,1</w:t>
            </w:r>
          </w:p>
        </w:tc>
        <w:tc>
          <w:tcPr>
            <w:tcW w:w="615" w:type="dxa"/>
            <w:tcBorders>
              <w:top w:val="single" w:sz="4" w:space="0" w:color="auto"/>
              <w:left w:val="single" w:sz="4" w:space="0" w:color="auto"/>
              <w:bottom w:val="single" w:sz="4" w:space="0" w:color="auto"/>
              <w:right w:val="single" w:sz="4" w:space="0" w:color="auto"/>
            </w:tcBorders>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15,1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- 10,1</w:t>
            </w:r>
          </w:p>
        </w:tc>
        <w:tc>
          <w:tcPr>
            <w:tcW w:w="1135" w:type="dxa"/>
            <w:tcBorders>
              <w:top w:val="single" w:sz="4" w:space="0" w:color="auto"/>
              <w:left w:val="single" w:sz="4" w:space="0" w:color="auto"/>
              <w:bottom w:val="single" w:sz="4" w:space="0" w:color="auto"/>
              <w:right w:val="single" w:sz="4" w:space="0" w:color="auto"/>
            </w:tcBorders>
          </w:tcPr>
          <w:p w:rsidR="00AB5673" w:rsidRPr="001D06FD" w:rsidRDefault="00D318A9"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 xml:space="preserve"> </w:t>
            </w:r>
            <w:r w:rsidR="00AB5673" w:rsidRPr="001D06FD">
              <w:rPr>
                <w:rFonts w:ascii="Times New Roman" w:hAnsi="Times New Roman" w:cs="Times New Roman"/>
                <w:color w:val="000000"/>
                <w:sz w:val="16"/>
                <w:szCs w:val="16"/>
              </w:rPr>
              <w:t>0,0</w:t>
            </w:r>
          </w:p>
        </w:tc>
      </w:tr>
      <w:tr w:rsidR="00AB5673" w:rsidRPr="00C75C71" w:rsidTr="00AB5673">
        <w:trPr>
          <w:trHeight w:val="97"/>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rsidR="00AB5673" w:rsidRPr="001D06FD" w:rsidRDefault="00AB5673" w:rsidP="001D06FD">
            <w:pPr>
              <w:autoSpaceDE w:val="0"/>
              <w:autoSpaceDN w:val="0"/>
              <w:adjustRightInd w:val="0"/>
              <w:spacing w:after="0" w:line="160" w:lineRule="exact"/>
              <w:rPr>
                <w:rFonts w:ascii="Times New Roman" w:hAnsi="Times New Roman" w:cs="Times New Roman"/>
                <w:color w:val="000000"/>
                <w:sz w:val="16"/>
                <w:szCs w:val="16"/>
              </w:rPr>
            </w:pPr>
            <w:r w:rsidRPr="001D06FD">
              <w:rPr>
                <w:rFonts w:ascii="Times New Roman" w:hAnsi="Times New Roman" w:cs="Times New Roman"/>
                <w:color w:val="000000"/>
                <w:sz w:val="16"/>
                <w:szCs w:val="16"/>
              </w:rPr>
              <w:t xml:space="preserve">produkcyjny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61,5</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63,9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67,1</w:t>
            </w:r>
          </w:p>
        </w:tc>
        <w:tc>
          <w:tcPr>
            <w:tcW w:w="709" w:type="dxa"/>
            <w:tcBorders>
              <w:top w:val="single" w:sz="4" w:space="0" w:color="auto"/>
              <w:left w:val="single" w:sz="4" w:space="0" w:color="auto"/>
              <w:bottom w:val="single" w:sz="4" w:space="0" w:color="auto"/>
              <w:right w:val="single" w:sz="4" w:space="0" w:color="auto"/>
            </w:tcBorders>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67,9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66,6</w:t>
            </w:r>
          </w:p>
        </w:tc>
        <w:tc>
          <w:tcPr>
            <w:tcW w:w="709" w:type="dxa"/>
            <w:tcBorders>
              <w:top w:val="single" w:sz="4" w:space="0" w:color="auto"/>
              <w:left w:val="single" w:sz="4" w:space="0" w:color="auto"/>
              <w:bottom w:val="single" w:sz="4" w:space="0" w:color="auto"/>
              <w:right w:val="single" w:sz="4" w:space="0" w:color="auto"/>
            </w:tcBorders>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66,1</w:t>
            </w:r>
          </w:p>
        </w:tc>
        <w:tc>
          <w:tcPr>
            <w:tcW w:w="615" w:type="dxa"/>
            <w:tcBorders>
              <w:top w:val="single" w:sz="4" w:space="0" w:color="auto"/>
              <w:left w:val="single" w:sz="4" w:space="0" w:color="auto"/>
              <w:bottom w:val="single" w:sz="4" w:space="0" w:color="auto"/>
              <w:right w:val="single" w:sz="4" w:space="0" w:color="auto"/>
            </w:tcBorders>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65,6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+ 4,1</w:t>
            </w:r>
          </w:p>
        </w:tc>
        <w:tc>
          <w:tcPr>
            <w:tcW w:w="1135" w:type="dxa"/>
            <w:tcBorders>
              <w:top w:val="single" w:sz="4" w:space="0" w:color="auto"/>
              <w:left w:val="single" w:sz="4" w:space="0" w:color="auto"/>
              <w:bottom w:val="single" w:sz="4" w:space="0" w:color="auto"/>
              <w:right w:val="single" w:sz="4" w:space="0" w:color="auto"/>
            </w:tcBorders>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- 0,5</w:t>
            </w:r>
          </w:p>
        </w:tc>
      </w:tr>
      <w:tr w:rsidR="00AB5673" w:rsidRPr="00C75C71" w:rsidTr="00AB5673">
        <w:trPr>
          <w:trHeight w:val="97"/>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rsidR="00AB5673" w:rsidRPr="001D06FD" w:rsidRDefault="00AB5673" w:rsidP="001D06FD">
            <w:pPr>
              <w:autoSpaceDE w:val="0"/>
              <w:autoSpaceDN w:val="0"/>
              <w:adjustRightInd w:val="0"/>
              <w:spacing w:after="0" w:line="160" w:lineRule="exact"/>
              <w:rPr>
                <w:rFonts w:ascii="Times New Roman" w:hAnsi="Times New Roman" w:cs="Times New Roman"/>
                <w:color w:val="000000"/>
                <w:sz w:val="16"/>
                <w:szCs w:val="16"/>
              </w:rPr>
            </w:pPr>
            <w:r w:rsidRPr="001D06FD">
              <w:rPr>
                <w:rFonts w:ascii="Times New Roman" w:hAnsi="Times New Roman" w:cs="Times New Roman"/>
                <w:color w:val="000000"/>
                <w:sz w:val="16"/>
                <w:szCs w:val="16"/>
              </w:rPr>
              <w:t xml:space="preserve">poprodukcyjny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13,3</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14,3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14,9</w:t>
            </w:r>
          </w:p>
        </w:tc>
        <w:tc>
          <w:tcPr>
            <w:tcW w:w="709" w:type="dxa"/>
            <w:tcBorders>
              <w:top w:val="single" w:sz="4" w:space="0" w:color="auto"/>
              <w:left w:val="single" w:sz="4" w:space="0" w:color="auto"/>
              <w:bottom w:val="single" w:sz="4" w:space="0" w:color="auto"/>
              <w:right w:val="single" w:sz="4" w:space="0" w:color="auto"/>
            </w:tcBorders>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15,9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18,2</w:t>
            </w:r>
          </w:p>
        </w:tc>
        <w:tc>
          <w:tcPr>
            <w:tcW w:w="709" w:type="dxa"/>
            <w:tcBorders>
              <w:top w:val="single" w:sz="4" w:space="0" w:color="auto"/>
              <w:left w:val="single" w:sz="4" w:space="0" w:color="auto"/>
              <w:bottom w:val="single" w:sz="4" w:space="0" w:color="auto"/>
              <w:right w:val="single" w:sz="4" w:space="0" w:color="auto"/>
            </w:tcBorders>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18,8</w:t>
            </w:r>
          </w:p>
        </w:tc>
        <w:tc>
          <w:tcPr>
            <w:tcW w:w="615" w:type="dxa"/>
            <w:tcBorders>
              <w:top w:val="single" w:sz="4" w:space="0" w:color="auto"/>
              <w:left w:val="single" w:sz="4" w:space="0" w:color="auto"/>
              <w:bottom w:val="single" w:sz="4" w:space="0" w:color="auto"/>
              <w:right w:val="single" w:sz="4" w:space="0" w:color="auto"/>
            </w:tcBorders>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19,3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+ 6,0</w:t>
            </w:r>
          </w:p>
        </w:tc>
        <w:tc>
          <w:tcPr>
            <w:tcW w:w="1135" w:type="dxa"/>
            <w:tcBorders>
              <w:top w:val="single" w:sz="4" w:space="0" w:color="auto"/>
              <w:left w:val="single" w:sz="4" w:space="0" w:color="auto"/>
              <w:bottom w:val="single" w:sz="4" w:space="0" w:color="auto"/>
              <w:right w:val="single" w:sz="4" w:space="0" w:color="auto"/>
            </w:tcBorders>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+ 0,5</w:t>
            </w:r>
          </w:p>
        </w:tc>
      </w:tr>
      <w:tr w:rsidR="00AB5673" w:rsidRPr="00C75C71" w:rsidTr="00890BCA">
        <w:trPr>
          <w:trHeight w:val="97"/>
          <w:jc w:val="center"/>
        </w:trPr>
        <w:tc>
          <w:tcPr>
            <w:tcW w:w="9028" w:type="dxa"/>
            <w:gridSpan w:val="10"/>
            <w:tcBorders>
              <w:top w:val="single" w:sz="4" w:space="0" w:color="auto"/>
              <w:left w:val="single" w:sz="4" w:space="0" w:color="auto"/>
              <w:bottom w:val="single" w:sz="4" w:space="0" w:color="auto"/>
              <w:right w:val="single" w:sz="4" w:space="0" w:color="auto"/>
            </w:tcBorders>
          </w:tcPr>
          <w:p w:rsidR="00AB5673" w:rsidRPr="001D06FD" w:rsidRDefault="00AB5673" w:rsidP="001D06FD">
            <w:pPr>
              <w:autoSpaceDE w:val="0"/>
              <w:autoSpaceDN w:val="0"/>
              <w:adjustRightInd w:val="0"/>
              <w:spacing w:after="0" w:line="160" w:lineRule="exact"/>
              <w:jc w:val="center"/>
              <w:rPr>
                <w:rFonts w:ascii="Times New Roman" w:hAnsi="Times New Roman" w:cs="Times New Roman"/>
                <w:b/>
                <w:color w:val="000000"/>
                <w:sz w:val="16"/>
                <w:szCs w:val="16"/>
              </w:rPr>
            </w:pPr>
            <w:r w:rsidRPr="001D06FD">
              <w:rPr>
                <w:rFonts w:ascii="Times New Roman" w:hAnsi="Times New Roman" w:cs="Times New Roman"/>
                <w:b/>
                <w:color w:val="000000"/>
                <w:sz w:val="16"/>
                <w:szCs w:val="16"/>
              </w:rPr>
              <w:t>wg wskaźników demograficznych</w:t>
            </w:r>
          </w:p>
        </w:tc>
      </w:tr>
      <w:tr w:rsidR="00AB5673" w:rsidRPr="00C75C71" w:rsidTr="00AB5673">
        <w:trPr>
          <w:trHeight w:val="97"/>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rsidR="00AB5673" w:rsidRPr="001D06FD" w:rsidRDefault="00AB5673" w:rsidP="001D06FD">
            <w:pPr>
              <w:autoSpaceDE w:val="0"/>
              <w:autoSpaceDN w:val="0"/>
              <w:adjustRightInd w:val="0"/>
              <w:spacing w:after="0" w:line="160" w:lineRule="exact"/>
              <w:rPr>
                <w:rFonts w:ascii="Times New Roman" w:hAnsi="Times New Roman" w:cs="Times New Roman"/>
                <w:color w:val="000000"/>
                <w:sz w:val="16"/>
                <w:szCs w:val="16"/>
              </w:rPr>
            </w:pPr>
            <w:r w:rsidRPr="001D06FD">
              <w:rPr>
                <w:rFonts w:ascii="Times New Roman" w:hAnsi="Times New Roman" w:cs="Times New Roman"/>
                <w:color w:val="000000"/>
                <w:sz w:val="16"/>
                <w:szCs w:val="16"/>
              </w:rPr>
              <w:t>przedprodukcyjny</w:t>
            </w:r>
            <w:r w:rsidRPr="001D06FD">
              <w:rPr>
                <w:rStyle w:val="Odwoanieprzypisudolnego"/>
                <w:rFonts w:ascii="Times New Roman" w:hAnsi="Times New Roman" w:cs="Times New Roman"/>
                <w:color w:val="000000"/>
                <w:sz w:val="16"/>
                <w:szCs w:val="16"/>
              </w:rPr>
              <w:footnoteReference w:id="6"/>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30,5</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27,5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23,1</w:t>
            </w:r>
          </w:p>
        </w:tc>
        <w:tc>
          <w:tcPr>
            <w:tcW w:w="709" w:type="dxa"/>
            <w:tcBorders>
              <w:top w:val="single" w:sz="4" w:space="0" w:color="auto"/>
              <w:left w:val="single" w:sz="4" w:space="0" w:color="auto"/>
              <w:bottom w:val="single" w:sz="4" w:space="0" w:color="auto"/>
              <w:right w:val="single" w:sz="4" w:space="0" w:color="auto"/>
            </w:tcBorders>
            <w:vAlign w:val="center"/>
          </w:tcPr>
          <w:p w:rsidR="00AB5673" w:rsidRPr="001D06FD" w:rsidRDefault="00B65C28"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20</w:t>
            </w:r>
            <w:r w:rsidR="00AB5673" w:rsidRPr="001D06FD">
              <w:rPr>
                <w:rFonts w:ascii="Times New Roman" w:hAnsi="Times New Roman" w:cs="Times New Roman"/>
                <w:color w:val="000000"/>
                <w:sz w:val="16"/>
                <w:szCs w:val="16"/>
              </w:rPr>
              <w:t>,</w:t>
            </w:r>
            <w:r w:rsidRPr="001D06FD">
              <w:rPr>
                <w:rFonts w:ascii="Times New Roman" w:hAnsi="Times New Roman" w:cs="Times New Roman"/>
                <w:color w:val="000000"/>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18,5</w:t>
            </w:r>
          </w:p>
        </w:tc>
        <w:tc>
          <w:tcPr>
            <w:tcW w:w="709" w:type="dxa"/>
            <w:tcBorders>
              <w:top w:val="single" w:sz="4" w:space="0" w:color="auto"/>
              <w:left w:val="single" w:sz="4" w:space="0" w:color="auto"/>
              <w:bottom w:val="single" w:sz="4" w:space="0" w:color="auto"/>
              <w:right w:val="single" w:sz="4" w:space="0" w:color="auto"/>
            </w:tcBorders>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18,4</w:t>
            </w:r>
          </w:p>
        </w:tc>
        <w:tc>
          <w:tcPr>
            <w:tcW w:w="615" w:type="dxa"/>
            <w:tcBorders>
              <w:top w:val="single" w:sz="4" w:space="0" w:color="auto"/>
              <w:left w:val="single" w:sz="4" w:space="0" w:color="auto"/>
              <w:bottom w:val="single" w:sz="4" w:space="0" w:color="auto"/>
              <w:right w:val="single" w:sz="4" w:space="0" w:color="auto"/>
            </w:tcBorders>
            <w:vAlign w:val="center"/>
          </w:tcPr>
          <w:p w:rsidR="00AB5673" w:rsidRPr="001D06FD" w:rsidRDefault="00B65C28"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18,3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 xml:space="preserve">- </w:t>
            </w:r>
            <w:r w:rsidR="00B65C28" w:rsidRPr="001D06FD">
              <w:rPr>
                <w:rFonts w:ascii="Times New Roman" w:hAnsi="Times New Roman" w:cs="Times New Roman"/>
                <w:color w:val="000000"/>
                <w:sz w:val="16"/>
                <w:szCs w:val="16"/>
              </w:rPr>
              <w:t>12</w:t>
            </w:r>
            <w:r w:rsidRPr="001D06FD">
              <w:rPr>
                <w:rFonts w:ascii="Times New Roman" w:hAnsi="Times New Roman" w:cs="Times New Roman"/>
                <w:color w:val="000000"/>
                <w:sz w:val="16"/>
                <w:szCs w:val="16"/>
              </w:rPr>
              <w:t>,</w:t>
            </w:r>
            <w:r w:rsidR="00B65C28" w:rsidRPr="001D06FD">
              <w:rPr>
                <w:rFonts w:ascii="Times New Roman" w:hAnsi="Times New Roman" w:cs="Times New Roman"/>
                <w:color w:val="000000"/>
                <w:sz w:val="16"/>
                <w:szCs w:val="16"/>
              </w:rPr>
              <w:t>2</w:t>
            </w:r>
          </w:p>
        </w:tc>
        <w:tc>
          <w:tcPr>
            <w:tcW w:w="1135" w:type="dxa"/>
            <w:tcBorders>
              <w:top w:val="single" w:sz="4" w:space="0" w:color="auto"/>
              <w:left w:val="single" w:sz="4" w:space="0" w:color="auto"/>
              <w:bottom w:val="single" w:sz="4" w:space="0" w:color="auto"/>
              <w:right w:val="single" w:sz="4" w:space="0" w:color="auto"/>
            </w:tcBorders>
          </w:tcPr>
          <w:p w:rsidR="00AB5673" w:rsidRPr="001D06FD" w:rsidRDefault="00D318A9"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- 0,1</w:t>
            </w:r>
          </w:p>
        </w:tc>
      </w:tr>
      <w:tr w:rsidR="00AB5673" w:rsidRPr="00C75C71" w:rsidTr="00AB5673">
        <w:trPr>
          <w:trHeight w:val="97"/>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rsidR="00AB5673" w:rsidRPr="001D06FD" w:rsidRDefault="00AB5673" w:rsidP="001D06FD">
            <w:pPr>
              <w:autoSpaceDE w:val="0"/>
              <w:autoSpaceDN w:val="0"/>
              <w:adjustRightInd w:val="0"/>
              <w:spacing w:after="0" w:line="160" w:lineRule="exact"/>
              <w:rPr>
                <w:rFonts w:ascii="Times New Roman" w:hAnsi="Times New Roman" w:cs="Times New Roman"/>
                <w:color w:val="000000"/>
                <w:sz w:val="16"/>
                <w:szCs w:val="16"/>
              </w:rPr>
            </w:pPr>
            <w:r w:rsidRPr="001D06FD">
              <w:rPr>
                <w:rFonts w:ascii="Times New Roman" w:hAnsi="Times New Roman" w:cs="Times New Roman"/>
                <w:color w:val="000000"/>
                <w:sz w:val="16"/>
                <w:szCs w:val="16"/>
              </w:rPr>
              <w:t xml:space="preserve">produkcyjny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56,2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58,2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62,0</w:t>
            </w:r>
          </w:p>
        </w:tc>
        <w:tc>
          <w:tcPr>
            <w:tcW w:w="709" w:type="dxa"/>
            <w:tcBorders>
              <w:top w:val="single" w:sz="4" w:space="0" w:color="auto"/>
              <w:left w:val="single" w:sz="4" w:space="0" w:color="auto"/>
              <w:bottom w:val="single" w:sz="4" w:space="0" w:color="auto"/>
              <w:right w:val="single" w:sz="4" w:space="0" w:color="auto"/>
            </w:tcBorders>
            <w:vAlign w:val="center"/>
          </w:tcPr>
          <w:p w:rsidR="00AB5673" w:rsidRPr="001D06FD" w:rsidRDefault="00B65C28"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63,9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63,2</w:t>
            </w:r>
          </w:p>
        </w:tc>
        <w:tc>
          <w:tcPr>
            <w:tcW w:w="709" w:type="dxa"/>
            <w:tcBorders>
              <w:top w:val="single" w:sz="4" w:space="0" w:color="auto"/>
              <w:left w:val="single" w:sz="4" w:space="0" w:color="auto"/>
              <w:bottom w:val="single" w:sz="4" w:space="0" w:color="auto"/>
              <w:right w:val="single" w:sz="4" w:space="0" w:color="auto"/>
            </w:tcBorders>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62,9</w:t>
            </w:r>
          </w:p>
        </w:tc>
        <w:tc>
          <w:tcPr>
            <w:tcW w:w="615" w:type="dxa"/>
            <w:tcBorders>
              <w:top w:val="single" w:sz="4" w:space="0" w:color="auto"/>
              <w:left w:val="single" w:sz="4" w:space="0" w:color="auto"/>
              <w:bottom w:val="single" w:sz="4" w:space="0" w:color="auto"/>
              <w:right w:val="single" w:sz="4" w:space="0" w:color="auto"/>
            </w:tcBorders>
            <w:vAlign w:val="center"/>
          </w:tcPr>
          <w:p w:rsidR="00AB5673" w:rsidRPr="001D06FD" w:rsidRDefault="00B65C28"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62,4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B5673" w:rsidRPr="001D06FD" w:rsidRDefault="00B65C28"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w:t>
            </w:r>
            <w:r w:rsidR="00AB5673" w:rsidRPr="001D06FD">
              <w:rPr>
                <w:rFonts w:ascii="Times New Roman" w:hAnsi="Times New Roman" w:cs="Times New Roman"/>
                <w:color w:val="000000"/>
                <w:sz w:val="16"/>
                <w:szCs w:val="16"/>
              </w:rPr>
              <w:t xml:space="preserve"> </w:t>
            </w:r>
            <w:r w:rsidRPr="001D06FD">
              <w:rPr>
                <w:rFonts w:ascii="Times New Roman" w:hAnsi="Times New Roman" w:cs="Times New Roman"/>
                <w:color w:val="000000"/>
                <w:sz w:val="16"/>
                <w:szCs w:val="16"/>
              </w:rPr>
              <w:t>6</w:t>
            </w:r>
            <w:r w:rsidR="00AB5673" w:rsidRPr="001D06FD">
              <w:rPr>
                <w:rFonts w:ascii="Times New Roman" w:hAnsi="Times New Roman" w:cs="Times New Roman"/>
                <w:color w:val="000000"/>
                <w:sz w:val="16"/>
                <w:szCs w:val="16"/>
              </w:rPr>
              <w:t>,</w:t>
            </w:r>
            <w:r w:rsidRPr="001D06FD">
              <w:rPr>
                <w:rFonts w:ascii="Times New Roman" w:hAnsi="Times New Roman" w:cs="Times New Roman"/>
                <w:color w:val="000000"/>
                <w:sz w:val="16"/>
                <w:szCs w:val="16"/>
              </w:rPr>
              <w:t>2</w:t>
            </w:r>
          </w:p>
        </w:tc>
        <w:tc>
          <w:tcPr>
            <w:tcW w:w="1135" w:type="dxa"/>
            <w:tcBorders>
              <w:top w:val="single" w:sz="4" w:space="0" w:color="auto"/>
              <w:left w:val="single" w:sz="4" w:space="0" w:color="auto"/>
              <w:bottom w:val="single" w:sz="4" w:space="0" w:color="auto"/>
              <w:right w:val="single" w:sz="4" w:space="0" w:color="auto"/>
            </w:tcBorders>
          </w:tcPr>
          <w:p w:rsidR="00AB5673" w:rsidRPr="001D06FD" w:rsidRDefault="00D318A9"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- 0,5</w:t>
            </w:r>
          </w:p>
        </w:tc>
      </w:tr>
      <w:tr w:rsidR="00AB5673" w:rsidRPr="00C75C71" w:rsidTr="00AB5673">
        <w:trPr>
          <w:trHeight w:val="97"/>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rsidR="00AB5673" w:rsidRPr="001D06FD" w:rsidRDefault="00AB5673" w:rsidP="001D06FD">
            <w:pPr>
              <w:autoSpaceDE w:val="0"/>
              <w:autoSpaceDN w:val="0"/>
              <w:adjustRightInd w:val="0"/>
              <w:spacing w:after="0" w:line="160" w:lineRule="exact"/>
              <w:rPr>
                <w:rFonts w:ascii="Times New Roman" w:hAnsi="Times New Roman" w:cs="Times New Roman"/>
                <w:color w:val="000000"/>
                <w:sz w:val="16"/>
                <w:szCs w:val="16"/>
              </w:rPr>
            </w:pPr>
            <w:r w:rsidRPr="001D06FD">
              <w:rPr>
                <w:rFonts w:ascii="Times New Roman" w:hAnsi="Times New Roman" w:cs="Times New Roman"/>
                <w:color w:val="000000"/>
                <w:sz w:val="16"/>
                <w:szCs w:val="16"/>
              </w:rPr>
              <w:t>poprodukcyjny</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13,3</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14,3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14,9</w:t>
            </w:r>
          </w:p>
        </w:tc>
        <w:tc>
          <w:tcPr>
            <w:tcW w:w="709" w:type="dxa"/>
            <w:tcBorders>
              <w:top w:val="single" w:sz="4" w:space="0" w:color="auto"/>
              <w:left w:val="single" w:sz="4" w:space="0" w:color="auto"/>
              <w:bottom w:val="single" w:sz="4" w:space="0" w:color="auto"/>
              <w:right w:val="single" w:sz="4" w:space="0" w:color="auto"/>
            </w:tcBorders>
            <w:vAlign w:val="center"/>
          </w:tcPr>
          <w:p w:rsidR="00AB5673" w:rsidRPr="001D06FD" w:rsidRDefault="00B65C28"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15</w:t>
            </w:r>
            <w:r w:rsidR="00AB5673" w:rsidRPr="001D06FD">
              <w:rPr>
                <w:rFonts w:ascii="Times New Roman" w:hAnsi="Times New Roman" w:cs="Times New Roman"/>
                <w:color w:val="000000"/>
                <w:sz w:val="16"/>
                <w:szCs w:val="16"/>
              </w:rPr>
              <w:t>,</w:t>
            </w:r>
            <w:r w:rsidRPr="001D06FD">
              <w:rPr>
                <w:rFonts w:ascii="Times New Roman" w:hAnsi="Times New Roman" w:cs="Times New Roman"/>
                <w:color w:val="000000"/>
                <w:sz w:val="16"/>
                <w:szCs w:val="16"/>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18,2</w:t>
            </w:r>
          </w:p>
        </w:tc>
        <w:tc>
          <w:tcPr>
            <w:tcW w:w="709" w:type="dxa"/>
            <w:tcBorders>
              <w:top w:val="single" w:sz="4" w:space="0" w:color="auto"/>
              <w:left w:val="single" w:sz="4" w:space="0" w:color="auto"/>
              <w:bottom w:val="single" w:sz="4" w:space="0" w:color="auto"/>
              <w:right w:val="single" w:sz="4" w:space="0" w:color="auto"/>
            </w:tcBorders>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18,8</w:t>
            </w:r>
          </w:p>
        </w:tc>
        <w:tc>
          <w:tcPr>
            <w:tcW w:w="615" w:type="dxa"/>
            <w:tcBorders>
              <w:top w:val="single" w:sz="4" w:space="0" w:color="auto"/>
              <w:left w:val="single" w:sz="4" w:space="0" w:color="auto"/>
              <w:bottom w:val="single" w:sz="4" w:space="0" w:color="auto"/>
              <w:right w:val="single" w:sz="4" w:space="0" w:color="auto"/>
            </w:tcBorders>
            <w:vAlign w:val="center"/>
          </w:tcPr>
          <w:p w:rsidR="00AB5673" w:rsidRPr="001D06FD" w:rsidRDefault="00B65C28"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19,3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B5673" w:rsidRPr="001D06FD" w:rsidRDefault="00AB5673"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 xml:space="preserve">+ </w:t>
            </w:r>
            <w:r w:rsidR="00B65C28" w:rsidRPr="001D06FD">
              <w:rPr>
                <w:rFonts w:ascii="Times New Roman" w:hAnsi="Times New Roman" w:cs="Times New Roman"/>
                <w:color w:val="000000"/>
                <w:sz w:val="16"/>
                <w:szCs w:val="16"/>
              </w:rPr>
              <w:t>6</w:t>
            </w:r>
            <w:r w:rsidRPr="001D06FD">
              <w:rPr>
                <w:rFonts w:ascii="Times New Roman" w:hAnsi="Times New Roman" w:cs="Times New Roman"/>
                <w:color w:val="000000"/>
                <w:sz w:val="16"/>
                <w:szCs w:val="16"/>
              </w:rPr>
              <w:t>,</w:t>
            </w:r>
            <w:r w:rsidR="00B65C28" w:rsidRPr="001D06FD">
              <w:rPr>
                <w:rFonts w:ascii="Times New Roman" w:hAnsi="Times New Roman" w:cs="Times New Roman"/>
                <w:color w:val="000000"/>
                <w:sz w:val="16"/>
                <w:szCs w:val="16"/>
              </w:rPr>
              <w:t>0</w:t>
            </w:r>
          </w:p>
        </w:tc>
        <w:tc>
          <w:tcPr>
            <w:tcW w:w="1135" w:type="dxa"/>
            <w:tcBorders>
              <w:top w:val="single" w:sz="4" w:space="0" w:color="auto"/>
              <w:left w:val="single" w:sz="4" w:space="0" w:color="auto"/>
              <w:bottom w:val="single" w:sz="4" w:space="0" w:color="auto"/>
              <w:right w:val="single" w:sz="4" w:space="0" w:color="auto"/>
            </w:tcBorders>
          </w:tcPr>
          <w:p w:rsidR="00AB5673" w:rsidRPr="001D06FD" w:rsidRDefault="00D318A9" w:rsidP="001D06FD">
            <w:pPr>
              <w:autoSpaceDE w:val="0"/>
              <w:autoSpaceDN w:val="0"/>
              <w:adjustRightInd w:val="0"/>
              <w:spacing w:after="0" w:line="160" w:lineRule="exact"/>
              <w:jc w:val="center"/>
              <w:rPr>
                <w:rFonts w:ascii="Times New Roman" w:hAnsi="Times New Roman" w:cs="Times New Roman"/>
                <w:color w:val="000000"/>
                <w:sz w:val="16"/>
                <w:szCs w:val="16"/>
              </w:rPr>
            </w:pPr>
            <w:r w:rsidRPr="001D06FD">
              <w:rPr>
                <w:rFonts w:ascii="Times New Roman" w:hAnsi="Times New Roman" w:cs="Times New Roman"/>
                <w:color w:val="000000"/>
                <w:sz w:val="16"/>
                <w:szCs w:val="16"/>
              </w:rPr>
              <w:t>+ 0,5</w:t>
            </w:r>
          </w:p>
        </w:tc>
      </w:tr>
    </w:tbl>
    <w:p w:rsidR="000D62AE" w:rsidRPr="00C75C71" w:rsidRDefault="000D62AE" w:rsidP="000D62AE">
      <w:pPr>
        <w:autoSpaceDE w:val="0"/>
        <w:autoSpaceDN w:val="0"/>
        <w:adjustRightInd w:val="0"/>
        <w:spacing w:after="0" w:line="240" w:lineRule="auto"/>
        <w:rPr>
          <w:rFonts w:ascii="Times New Roman" w:hAnsi="Times New Roman" w:cs="Times New Roman"/>
          <w:color w:val="000000"/>
          <w:sz w:val="16"/>
          <w:szCs w:val="16"/>
          <w:highlight w:val="yellow"/>
        </w:rPr>
      </w:pPr>
    </w:p>
    <w:p w:rsidR="00B92E45" w:rsidRPr="00D318A9" w:rsidRDefault="00A00CB7" w:rsidP="001D06FD">
      <w:pPr>
        <w:autoSpaceDE w:val="0"/>
        <w:autoSpaceDN w:val="0"/>
        <w:adjustRightInd w:val="0"/>
        <w:spacing w:after="0" w:line="240" w:lineRule="auto"/>
        <w:ind w:left="1410" w:hanging="1410"/>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noProof/>
          <w:lang w:eastAsia="pl-PL"/>
        </w:rPr>
        <w:drawing>
          <wp:anchor distT="0" distB="0" distL="114300" distR="114300" simplePos="0" relativeHeight="251799552" behindDoc="1" locked="0" layoutInCell="1" allowOverlap="1" wp14:anchorId="5DCC2B2F" wp14:editId="7CA197FE">
            <wp:simplePos x="0" y="0"/>
            <wp:positionH relativeFrom="column">
              <wp:posOffset>-57785</wp:posOffset>
            </wp:positionH>
            <wp:positionV relativeFrom="paragraph">
              <wp:posOffset>136525</wp:posOffset>
            </wp:positionV>
            <wp:extent cx="5925185" cy="1258570"/>
            <wp:effectExtent l="0" t="0" r="0" b="0"/>
            <wp:wrapThrough wrapText="bothSides">
              <wp:wrapPolygon edited="0">
                <wp:start x="0" y="0"/>
                <wp:lineTo x="0" y="10789"/>
                <wp:lineTo x="139" y="18309"/>
                <wp:lineTo x="903" y="20597"/>
                <wp:lineTo x="1597" y="21251"/>
                <wp:lineTo x="21389" y="21251"/>
                <wp:lineTo x="21528" y="19617"/>
                <wp:lineTo x="2361" y="16020"/>
                <wp:lineTo x="9653" y="11443"/>
                <wp:lineTo x="9653" y="10789"/>
                <wp:lineTo x="19237" y="9154"/>
                <wp:lineTo x="19237" y="7847"/>
                <wp:lineTo x="10764" y="5558"/>
                <wp:lineTo x="21181" y="3596"/>
                <wp:lineTo x="21112" y="2289"/>
                <wp:lineTo x="1458" y="0"/>
                <wp:lineTo x="0" y="0"/>
              </wp:wrapPolygon>
            </wp:wrapThrough>
            <wp:docPr id="674" name="Wykres 6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B92E45" w:rsidRPr="00D318A9">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w:t>
      </w:r>
      <w:r w:rsidR="003D6600" w:rsidRPr="00D318A9">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3</w:t>
      </w:r>
      <w:r w:rsidR="00B92E45" w:rsidRPr="00D318A9">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D7838">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A, B  </w:t>
      </w:r>
      <w:r w:rsidR="004613A4" w:rsidRPr="00D318A9">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Zmiany w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strukturze </w:t>
      </w:r>
      <w:r w:rsidR="004613A4" w:rsidRPr="00D318A9">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ludności </w:t>
      </w:r>
      <w:r w:rsidR="00AE5712" w:rsidRPr="00D318A9">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 </w:t>
      </w:r>
      <w:r w:rsidR="00B92E45" w:rsidRPr="00D318A9">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województwie podkarpackim</w:t>
      </w:r>
    </w:p>
    <w:p w:rsidR="000D62AE" w:rsidRPr="00C75C71" w:rsidRDefault="000D62AE" w:rsidP="000D62AE">
      <w:pPr>
        <w:autoSpaceDE w:val="0"/>
        <w:autoSpaceDN w:val="0"/>
        <w:adjustRightInd w:val="0"/>
        <w:spacing w:after="0" w:line="240" w:lineRule="auto"/>
        <w:ind w:left="1410" w:hanging="1410"/>
        <w:jc w:val="center"/>
        <w:rPr>
          <w:rFonts w:ascii="Times New Roman" w:hAnsi="Times New Roman" w:cs="Times New Roman"/>
          <w:szCs w:val="24"/>
          <w:highlight w:val="yellow"/>
        </w:rPr>
      </w:pPr>
    </w:p>
    <w:p w:rsidR="000D62AE" w:rsidRPr="00C75C71" w:rsidRDefault="000D62AE" w:rsidP="000D62AE">
      <w:pPr>
        <w:autoSpaceDE w:val="0"/>
        <w:autoSpaceDN w:val="0"/>
        <w:adjustRightInd w:val="0"/>
        <w:spacing w:after="0" w:line="240" w:lineRule="auto"/>
        <w:ind w:left="1410" w:hanging="1410"/>
        <w:jc w:val="center"/>
        <w:rPr>
          <w:rFonts w:ascii="Times New Roman" w:hAnsi="Times New Roman" w:cs="Times New Roman"/>
          <w:szCs w:val="24"/>
          <w:highlight w:val="yellow"/>
        </w:rPr>
      </w:pPr>
    </w:p>
    <w:p w:rsidR="000D62AE" w:rsidRPr="00C75C71" w:rsidRDefault="000D62AE" w:rsidP="000D62AE">
      <w:pPr>
        <w:autoSpaceDE w:val="0"/>
        <w:autoSpaceDN w:val="0"/>
        <w:adjustRightInd w:val="0"/>
        <w:spacing w:after="0" w:line="240" w:lineRule="auto"/>
        <w:ind w:left="1410" w:hanging="1410"/>
        <w:jc w:val="center"/>
        <w:rPr>
          <w:rFonts w:ascii="Times New Roman" w:hAnsi="Times New Roman" w:cs="Times New Roman"/>
          <w:szCs w:val="24"/>
          <w:highlight w:val="yellow"/>
        </w:rPr>
      </w:pPr>
    </w:p>
    <w:p w:rsidR="000D62AE" w:rsidRPr="00C75C71" w:rsidRDefault="000D62AE" w:rsidP="000D62AE">
      <w:pPr>
        <w:autoSpaceDE w:val="0"/>
        <w:autoSpaceDN w:val="0"/>
        <w:adjustRightInd w:val="0"/>
        <w:spacing w:after="0" w:line="240" w:lineRule="auto"/>
        <w:ind w:left="1410" w:hanging="1410"/>
        <w:jc w:val="center"/>
        <w:rPr>
          <w:rFonts w:ascii="Times New Roman" w:hAnsi="Times New Roman" w:cs="Times New Roman"/>
          <w:szCs w:val="24"/>
          <w:highlight w:val="yellow"/>
        </w:rPr>
      </w:pPr>
    </w:p>
    <w:p w:rsidR="000D62AE" w:rsidRPr="00C75C71" w:rsidRDefault="000D62AE" w:rsidP="000D62AE">
      <w:pPr>
        <w:autoSpaceDE w:val="0"/>
        <w:autoSpaceDN w:val="0"/>
        <w:adjustRightInd w:val="0"/>
        <w:spacing w:after="0" w:line="240" w:lineRule="auto"/>
        <w:ind w:left="1410" w:hanging="1410"/>
        <w:jc w:val="center"/>
        <w:rPr>
          <w:rFonts w:ascii="Times New Roman" w:hAnsi="Times New Roman" w:cs="Times New Roman"/>
          <w:szCs w:val="24"/>
          <w:highlight w:val="yellow"/>
        </w:rPr>
      </w:pPr>
    </w:p>
    <w:p w:rsidR="000D62AE" w:rsidRPr="00C75C71" w:rsidRDefault="001D06FD" w:rsidP="000D62AE">
      <w:pPr>
        <w:autoSpaceDE w:val="0"/>
        <w:autoSpaceDN w:val="0"/>
        <w:adjustRightInd w:val="0"/>
        <w:spacing w:after="0" w:line="240" w:lineRule="auto"/>
        <w:ind w:left="1410" w:hanging="1410"/>
        <w:jc w:val="center"/>
        <w:rPr>
          <w:rFonts w:ascii="Times New Roman" w:hAnsi="Times New Roman" w:cs="Times New Roman"/>
          <w:szCs w:val="24"/>
          <w:highlight w:val="yellow"/>
        </w:rPr>
      </w:pPr>
      <w:r>
        <w:rPr>
          <w:noProof/>
          <w:lang w:eastAsia="pl-PL"/>
        </w:rPr>
        <w:drawing>
          <wp:anchor distT="0" distB="0" distL="114300" distR="114300" simplePos="0" relativeHeight="251800576" behindDoc="1" locked="0" layoutInCell="1" allowOverlap="1" wp14:anchorId="5E50D705" wp14:editId="5E55BC4C">
            <wp:simplePos x="0" y="0"/>
            <wp:positionH relativeFrom="column">
              <wp:posOffset>-15875</wp:posOffset>
            </wp:positionH>
            <wp:positionV relativeFrom="paragraph">
              <wp:posOffset>51435</wp:posOffset>
            </wp:positionV>
            <wp:extent cx="5836285" cy="1389380"/>
            <wp:effectExtent l="0" t="0" r="0" b="1270"/>
            <wp:wrapThrough wrapText="bothSides">
              <wp:wrapPolygon edited="0">
                <wp:start x="71" y="0"/>
                <wp:lineTo x="0" y="5035"/>
                <wp:lineTo x="0" y="20731"/>
                <wp:lineTo x="6698" y="21324"/>
                <wp:lineTo x="17132" y="21324"/>
                <wp:lineTo x="17344" y="21027"/>
                <wp:lineTo x="19318" y="19547"/>
                <wp:lineTo x="19389" y="18954"/>
                <wp:lineTo x="15793" y="14512"/>
                <wp:lineTo x="20869" y="12439"/>
                <wp:lineTo x="20799" y="9773"/>
                <wp:lineTo x="21151" y="9477"/>
                <wp:lineTo x="21081" y="5035"/>
                <wp:lineTo x="10787" y="5035"/>
                <wp:lineTo x="10787" y="2073"/>
                <wp:lineTo x="9518" y="1185"/>
                <wp:lineTo x="1058" y="0"/>
                <wp:lineTo x="71" y="0"/>
              </wp:wrapPolygon>
            </wp:wrapThrough>
            <wp:docPr id="675" name="Wykres 6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0D62AE" w:rsidRPr="00C75C71" w:rsidRDefault="000D62AE" w:rsidP="000D62AE">
      <w:pPr>
        <w:autoSpaceDE w:val="0"/>
        <w:autoSpaceDN w:val="0"/>
        <w:adjustRightInd w:val="0"/>
        <w:spacing w:after="0" w:line="240" w:lineRule="auto"/>
        <w:ind w:left="1410" w:hanging="1410"/>
        <w:jc w:val="center"/>
        <w:rPr>
          <w:rFonts w:ascii="Times New Roman" w:hAnsi="Times New Roman" w:cs="Times New Roman"/>
          <w:szCs w:val="24"/>
          <w:highlight w:val="yellow"/>
        </w:rPr>
      </w:pPr>
    </w:p>
    <w:p w:rsidR="000D62AE" w:rsidRPr="00C75C71" w:rsidRDefault="000D62AE" w:rsidP="000D62AE">
      <w:pPr>
        <w:autoSpaceDE w:val="0"/>
        <w:autoSpaceDN w:val="0"/>
        <w:adjustRightInd w:val="0"/>
        <w:spacing w:after="0" w:line="240" w:lineRule="auto"/>
        <w:ind w:left="1410" w:hanging="1410"/>
        <w:jc w:val="center"/>
        <w:rPr>
          <w:rFonts w:ascii="Times New Roman" w:hAnsi="Times New Roman" w:cs="Times New Roman"/>
          <w:szCs w:val="24"/>
          <w:highlight w:val="yellow"/>
        </w:rPr>
      </w:pPr>
    </w:p>
    <w:p w:rsidR="000D62AE" w:rsidRPr="00C75C71" w:rsidRDefault="000D62AE" w:rsidP="000D62AE">
      <w:pPr>
        <w:autoSpaceDE w:val="0"/>
        <w:autoSpaceDN w:val="0"/>
        <w:adjustRightInd w:val="0"/>
        <w:spacing w:after="0" w:line="240" w:lineRule="auto"/>
        <w:ind w:left="1410" w:hanging="1410"/>
        <w:jc w:val="center"/>
        <w:rPr>
          <w:rFonts w:ascii="Times New Roman" w:hAnsi="Times New Roman" w:cs="Times New Roman"/>
          <w:szCs w:val="24"/>
          <w:highlight w:val="yellow"/>
        </w:rPr>
      </w:pPr>
    </w:p>
    <w:p w:rsidR="000D62AE" w:rsidRPr="00C75C71" w:rsidRDefault="000D62AE">
      <w:pPr>
        <w:rPr>
          <w:rFonts w:ascii="Times New Roman" w:hAnsi="Times New Roman" w:cs="Times New Roman"/>
          <w:color w:val="000000"/>
          <w:szCs w:val="24"/>
          <w:highlight w:val="yellow"/>
        </w:rPr>
      </w:pPr>
      <w:r w:rsidRPr="00C75C71">
        <w:rPr>
          <w:highlight w:val="yellow"/>
        </w:rPr>
        <w:br w:type="page"/>
      </w:r>
    </w:p>
    <w:p w:rsidR="00894482" w:rsidRPr="003866E9" w:rsidRDefault="00B92E45" w:rsidP="005C72B7">
      <w:pPr>
        <w:pStyle w:val="Default"/>
        <w:ind w:left="1410" w:hanging="1410"/>
        <w:jc w:val="both"/>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866E9">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 xml:space="preserve">Tabela </w:t>
      </w:r>
      <w:r w:rsidR="00220855" w:rsidRPr="003866E9">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3</w:t>
      </w:r>
      <w:r w:rsidRPr="003866E9">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04718E" w:rsidRPr="003866E9">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2E5FA6" w:rsidRPr="003866E9">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3866E9">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Wskaźnik obciążenia demograficznego</w:t>
      </w:r>
      <w:r w:rsidR="00AE5712" w:rsidRPr="003866E9">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t>
      </w:r>
      <w:r w:rsidRPr="003866E9">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latach </w:t>
      </w:r>
      <w:r w:rsidR="00894482" w:rsidRPr="003866E9">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3866E9">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02–</w:t>
      </w:r>
      <w:r w:rsidR="00894482" w:rsidRPr="003866E9">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3866E9">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sidR="003866E9" w:rsidRPr="003866E9">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7</w:t>
      </w:r>
      <w:r w:rsidRPr="003866E9">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(ludność</w:t>
      </w:r>
      <w:r w:rsidR="00AE5712" w:rsidRPr="003866E9">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t>
      </w:r>
      <w:r w:rsidRPr="003866E9">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wieku</w:t>
      </w:r>
    </w:p>
    <w:p w:rsidR="00B92E45" w:rsidRPr="003866E9" w:rsidRDefault="00E42CD3" w:rsidP="005C72B7">
      <w:pPr>
        <w:pStyle w:val="Default"/>
        <w:ind w:left="1410" w:hanging="1410"/>
        <w:jc w:val="both"/>
        <w:rPr>
          <w:b/>
          <w:caps/>
          <w:sz w:val="16"/>
          <w:szCs w:val="16"/>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866E9">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894482" w:rsidRPr="003866E9">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04718E" w:rsidRPr="003866E9">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894482" w:rsidRPr="003866E9">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107D62" w:rsidRPr="003866E9">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B91AAC" w:rsidRPr="003866E9">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w:t>
      </w:r>
      <w:r w:rsidR="00B92E45" w:rsidRPr="003866E9">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ieprodukcyjnym</w:t>
      </w:r>
      <w:r w:rsidR="00B91AAC" w:rsidRPr="003866E9">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3866E9">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B91AAC" w:rsidRPr="003866E9">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przed- i poprodukcyjnym</w:t>
      </w:r>
      <w:r w:rsidR="00B92E45" w:rsidRPr="003866E9">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na 100 osób</w:t>
      </w:r>
      <w:r w:rsidR="00AE5712" w:rsidRPr="003866E9">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t>
      </w:r>
      <w:r w:rsidR="00235A6B" w:rsidRPr="003866E9">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wieku produkcyjnym)</w:t>
      </w:r>
      <w:r w:rsidR="00923D55" w:rsidRPr="003866E9">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00B92E45" w:rsidRPr="003866E9">
        <w:rPr>
          <w:b/>
          <w:caps/>
          <w:sz w:val="16"/>
          <w:szCs w:val="16"/>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footnoteReference w:id="7"/>
      </w:r>
    </w:p>
    <w:tbl>
      <w:tblPr>
        <w:tblW w:w="9682" w:type="dxa"/>
        <w:jc w:val="center"/>
        <w:tblLook w:val="04A0" w:firstRow="1" w:lastRow="0" w:firstColumn="1" w:lastColumn="0" w:noHBand="0" w:noVBand="1"/>
      </w:tblPr>
      <w:tblGrid>
        <w:gridCol w:w="1186"/>
        <w:gridCol w:w="531"/>
        <w:gridCol w:w="531"/>
        <w:gridCol w:w="531"/>
        <w:gridCol w:w="531"/>
        <w:gridCol w:w="531"/>
        <w:gridCol w:w="531"/>
        <w:gridCol w:w="531"/>
        <w:gridCol w:w="531"/>
        <w:gridCol w:w="531"/>
        <w:gridCol w:w="531"/>
        <w:gridCol w:w="531"/>
        <w:gridCol w:w="531"/>
        <w:gridCol w:w="531"/>
        <w:gridCol w:w="531"/>
        <w:gridCol w:w="531"/>
        <w:gridCol w:w="531"/>
      </w:tblGrid>
      <w:tr w:rsidR="00CD508A" w:rsidRPr="00890BCA" w:rsidTr="00CD508A">
        <w:trPr>
          <w:trHeight w:val="365"/>
          <w:jc w:val="center"/>
        </w:trPr>
        <w:tc>
          <w:tcPr>
            <w:tcW w:w="118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CD508A" w:rsidRPr="00890BCA" w:rsidRDefault="00CD508A" w:rsidP="00890BCA">
            <w:pPr>
              <w:spacing w:after="0" w:line="240" w:lineRule="auto"/>
              <w:jc w:val="center"/>
              <w:rPr>
                <w:rFonts w:ascii="Times New Roman" w:hAnsi="Times New Roman" w:cs="Times New Roman"/>
                <w:b/>
                <w:sz w:val="16"/>
                <w:szCs w:val="16"/>
              </w:rPr>
            </w:pPr>
            <w:r w:rsidRPr="00890BCA">
              <w:rPr>
                <w:rFonts w:ascii="Times New Roman" w:hAnsi="Times New Roman" w:cs="Times New Roman"/>
                <w:b/>
                <w:sz w:val="16"/>
                <w:szCs w:val="16"/>
              </w:rPr>
              <w:t>kategoria</w:t>
            </w:r>
          </w:p>
        </w:tc>
        <w:tc>
          <w:tcPr>
            <w:tcW w:w="53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CD508A" w:rsidRPr="00890BCA" w:rsidRDefault="00CD508A" w:rsidP="00890BCA">
            <w:pPr>
              <w:spacing w:after="0" w:line="240" w:lineRule="auto"/>
              <w:jc w:val="center"/>
              <w:rPr>
                <w:rFonts w:ascii="Times New Roman" w:hAnsi="Times New Roman" w:cs="Times New Roman"/>
                <w:b/>
                <w:sz w:val="16"/>
                <w:szCs w:val="16"/>
              </w:rPr>
            </w:pPr>
            <w:r w:rsidRPr="00890BCA">
              <w:rPr>
                <w:rFonts w:ascii="Times New Roman" w:hAnsi="Times New Roman" w:cs="Times New Roman"/>
                <w:b/>
                <w:sz w:val="16"/>
                <w:szCs w:val="16"/>
              </w:rPr>
              <w:t>‘02</w:t>
            </w:r>
          </w:p>
        </w:tc>
        <w:tc>
          <w:tcPr>
            <w:tcW w:w="53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CD508A" w:rsidRPr="00890BCA" w:rsidRDefault="00CD508A" w:rsidP="00890BCA">
            <w:pPr>
              <w:spacing w:after="0" w:line="240" w:lineRule="auto"/>
              <w:jc w:val="center"/>
              <w:rPr>
                <w:rFonts w:ascii="Times New Roman" w:hAnsi="Times New Roman" w:cs="Times New Roman"/>
                <w:b/>
                <w:sz w:val="16"/>
                <w:szCs w:val="16"/>
              </w:rPr>
            </w:pPr>
            <w:r w:rsidRPr="00890BCA">
              <w:rPr>
                <w:rFonts w:ascii="Times New Roman" w:hAnsi="Times New Roman" w:cs="Times New Roman"/>
                <w:b/>
                <w:sz w:val="16"/>
                <w:szCs w:val="16"/>
              </w:rPr>
              <w:t>‘03</w:t>
            </w:r>
          </w:p>
        </w:tc>
        <w:tc>
          <w:tcPr>
            <w:tcW w:w="53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CD508A" w:rsidRPr="00890BCA" w:rsidRDefault="00CD508A" w:rsidP="00890BCA">
            <w:pPr>
              <w:spacing w:after="0" w:line="240" w:lineRule="auto"/>
              <w:jc w:val="center"/>
              <w:rPr>
                <w:rFonts w:ascii="Times New Roman" w:hAnsi="Times New Roman" w:cs="Times New Roman"/>
                <w:b/>
                <w:sz w:val="16"/>
                <w:szCs w:val="16"/>
              </w:rPr>
            </w:pPr>
            <w:r w:rsidRPr="00890BCA">
              <w:rPr>
                <w:rFonts w:ascii="Times New Roman" w:hAnsi="Times New Roman" w:cs="Times New Roman"/>
                <w:b/>
                <w:sz w:val="16"/>
                <w:szCs w:val="16"/>
              </w:rPr>
              <w:t>‘04</w:t>
            </w:r>
          </w:p>
        </w:tc>
        <w:tc>
          <w:tcPr>
            <w:tcW w:w="53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CD508A" w:rsidRPr="00890BCA" w:rsidRDefault="00CD508A" w:rsidP="00890BCA">
            <w:pPr>
              <w:spacing w:after="0" w:line="240" w:lineRule="auto"/>
              <w:jc w:val="center"/>
              <w:rPr>
                <w:rFonts w:ascii="Times New Roman" w:hAnsi="Times New Roman" w:cs="Times New Roman"/>
                <w:b/>
                <w:sz w:val="16"/>
                <w:szCs w:val="16"/>
              </w:rPr>
            </w:pPr>
            <w:r w:rsidRPr="00890BCA">
              <w:rPr>
                <w:rFonts w:ascii="Times New Roman" w:hAnsi="Times New Roman" w:cs="Times New Roman"/>
                <w:b/>
                <w:sz w:val="16"/>
                <w:szCs w:val="16"/>
              </w:rPr>
              <w:t>‘05</w:t>
            </w:r>
          </w:p>
        </w:tc>
        <w:tc>
          <w:tcPr>
            <w:tcW w:w="53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CD508A" w:rsidRPr="00890BCA" w:rsidRDefault="00CD508A" w:rsidP="00890BCA">
            <w:pPr>
              <w:spacing w:after="0" w:line="240" w:lineRule="auto"/>
              <w:jc w:val="center"/>
              <w:rPr>
                <w:rFonts w:ascii="Times New Roman" w:hAnsi="Times New Roman" w:cs="Times New Roman"/>
                <w:b/>
                <w:sz w:val="16"/>
                <w:szCs w:val="16"/>
              </w:rPr>
            </w:pPr>
            <w:r w:rsidRPr="00890BCA">
              <w:rPr>
                <w:rFonts w:ascii="Times New Roman" w:hAnsi="Times New Roman" w:cs="Times New Roman"/>
                <w:b/>
                <w:sz w:val="16"/>
                <w:szCs w:val="16"/>
              </w:rPr>
              <w:t>‘06</w:t>
            </w:r>
          </w:p>
        </w:tc>
        <w:tc>
          <w:tcPr>
            <w:tcW w:w="53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CD508A" w:rsidRPr="00890BCA" w:rsidRDefault="00CD508A" w:rsidP="00890BCA">
            <w:pPr>
              <w:spacing w:after="0" w:line="240" w:lineRule="auto"/>
              <w:jc w:val="center"/>
              <w:rPr>
                <w:rFonts w:ascii="Times New Roman" w:hAnsi="Times New Roman" w:cs="Times New Roman"/>
                <w:b/>
                <w:sz w:val="16"/>
                <w:szCs w:val="16"/>
              </w:rPr>
            </w:pPr>
            <w:r w:rsidRPr="00890BCA">
              <w:rPr>
                <w:rFonts w:ascii="Times New Roman" w:hAnsi="Times New Roman" w:cs="Times New Roman"/>
                <w:b/>
                <w:sz w:val="16"/>
                <w:szCs w:val="16"/>
              </w:rPr>
              <w:t>‘07</w:t>
            </w:r>
          </w:p>
        </w:tc>
        <w:tc>
          <w:tcPr>
            <w:tcW w:w="53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CD508A" w:rsidRPr="00890BCA" w:rsidRDefault="00CD508A" w:rsidP="00890BCA">
            <w:pPr>
              <w:spacing w:after="0" w:line="240" w:lineRule="auto"/>
              <w:jc w:val="center"/>
              <w:rPr>
                <w:rFonts w:ascii="Times New Roman" w:hAnsi="Times New Roman" w:cs="Times New Roman"/>
                <w:b/>
                <w:sz w:val="16"/>
                <w:szCs w:val="16"/>
              </w:rPr>
            </w:pPr>
            <w:r w:rsidRPr="00890BCA">
              <w:rPr>
                <w:rFonts w:ascii="Times New Roman" w:hAnsi="Times New Roman" w:cs="Times New Roman"/>
                <w:b/>
                <w:sz w:val="16"/>
                <w:szCs w:val="16"/>
              </w:rPr>
              <w:t>‘08</w:t>
            </w:r>
          </w:p>
        </w:tc>
        <w:tc>
          <w:tcPr>
            <w:tcW w:w="53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CD508A" w:rsidRPr="00890BCA" w:rsidRDefault="00CD508A" w:rsidP="00890BCA">
            <w:pPr>
              <w:spacing w:after="0" w:line="240" w:lineRule="auto"/>
              <w:jc w:val="center"/>
              <w:rPr>
                <w:rFonts w:ascii="Times New Roman" w:hAnsi="Times New Roman" w:cs="Times New Roman"/>
                <w:b/>
                <w:sz w:val="16"/>
                <w:szCs w:val="16"/>
              </w:rPr>
            </w:pPr>
            <w:r w:rsidRPr="00890BCA">
              <w:rPr>
                <w:rFonts w:ascii="Times New Roman" w:hAnsi="Times New Roman" w:cs="Times New Roman"/>
                <w:b/>
                <w:sz w:val="16"/>
                <w:szCs w:val="16"/>
              </w:rPr>
              <w:t>‘09</w:t>
            </w:r>
          </w:p>
        </w:tc>
        <w:tc>
          <w:tcPr>
            <w:tcW w:w="53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CD508A" w:rsidRPr="00890BCA" w:rsidRDefault="00CD508A" w:rsidP="00890BCA">
            <w:pPr>
              <w:spacing w:after="0" w:line="240" w:lineRule="auto"/>
              <w:jc w:val="center"/>
              <w:rPr>
                <w:rFonts w:ascii="Times New Roman" w:hAnsi="Times New Roman" w:cs="Times New Roman"/>
                <w:b/>
                <w:sz w:val="16"/>
                <w:szCs w:val="16"/>
              </w:rPr>
            </w:pPr>
            <w:r w:rsidRPr="00890BCA">
              <w:rPr>
                <w:rFonts w:ascii="Times New Roman" w:hAnsi="Times New Roman" w:cs="Times New Roman"/>
                <w:b/>
                <w:sz w:val="16"/>
                <w:szCs w:val="16"/>
              </w:rPr>
              <w:t>‘10</w:t>
            </w:r>
          </w:p>
        </w:tc>
        <w:tc>
          <w:tcPr>
            <w:tcW w:w="53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CD508A" w:rsidRPr="00890BCA" w:rsidRDefault="00CD508A" w:rsidP="00890BCA">
            <w:pPr>
              <w:spacing w:after="0" w:line="240" w:lineRule="auto"/>
              <w:jc w:val="center"/>
              <w:rPr>
                <w:rFonts w:ascii="Times New Roman" w:hAnsi="Times New Roman" w:cs="Times New Roman"/>
                <w:b/>
                <w:sz w:val="16"/>
                <w:szCs w:val="16"/>
              </w:rPr>
            </w:pPr>
            <w:r w:rsidRPr="00890BCA">
              <w:rPr>
                <w:rFonts w:ascii="Times New Roman" w:hAnsi="Times New Roman" w:cs="Times New Roman"/>
                <w:b/>
                <w:sz w:val="16"/>
                <w:szCs w:val="16"/>
              </w:rPr>
              <w:t>‘11</w:t>
            </w:r>
          </w:p>
        </w:tc>
        <w:tc>
          <w:tcPr>
            <w:tcW w:w="53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CD508A" w:rsidRPr="00890BCA" w:rsidRDefault="00CD508A" w:rsidP="00890BCA">
            <w:pPr>
              <w:spacing w:after="0" w:line="240" w:lineRule="auto"/>
              <w:jc w:val="center"/>
              <w:rPr>
                <w:rFonts w:ascii="Times New Roman" w:hAnsi="Times New Roman" w:cs="Times New Roman"/>
                <w:b/>
                <w:sz w:val="16"/>
                <w:szCs w:val="16"/>
              </w:rPr>
            </w:pPr>
            <w:r w:rsidRPr="00890BCA">
              <w:rPr>
                <w:rFonts w:ascii="Times New Roman" w:hAnsi="Times New Roman" w:cs="Times New Roman"/>
                <w:b/>
                <w:sz w:val="16"/>
                <w:szCs w:val="16"/>
              </w:rPr>
              <w:t>‘12</w:t>
            </w:r>
          </w:p>
        </w:tc>
        <w:tc>
          <w:tcPr>
            <w:tcW w:w="53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CD508A" w:rsidRPr="00890BCA" w:rsidRDefault="00CD508A" w:rsidP="00890BCA">
            <w:pPr>
              <w:spacing w:after="0" w:line="240" w:lineRule="auto"/>
              <w:jc w:val="center"/>
              <w:rPr>
                <w:rFonts w:ascii="Times New Roman" w:hAnsi="Times New Roman" w:cs="Times New Roman"/>
                <w:b/>
                <w:sz w:val="16"/>
                <w:szCs w:val="16"/>
              </w:rPr>
            </w:pPr>
            <w:r w:rsidRPr="00890BCA">
              <w:rPr>
                <w:rFonts w:ascii="Times New Roman" w:hAnsi="Times New Roman" w:cs="Times New Roman"/>
                <w:b/>
                <w:sz w:val="16"/>
                <w:szCs w:val="16"/>
              </w:rPr>
              <w:t>‘13</w:t>
            </w:r>
          </w:p>
        </w:tc>
        <w:tc>
          <w:tcPr>
            <w:tcW w:w="53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CD508A" w:rsidRPr="00890BCA" w:rsidRDefault="00CD508A" w:rsidP="00890BCA">
            <w:pPr>
              <w:spacing w:after="0" w:line="240" w:lineRule="auto"/>
              <w:jc w:val="center"/>
              <w:rPr>
                <w:rFonts w:ascii="Times New Roman" w:hAnsi="Times New Roman" w:cs="Times New Roman"/>
                <w:b/>
                <w:sz w:val="16"/>
                <w:szCs w:val="16"/>
              </w:rPr>
            </w:pPr>
            <w:r w:rsidRPr="00890BCA">
              <w:rPr>
                <w:rFonts w:ascii="Times New Roman" w:hAnsi="Times New Roman" w:cs="Times New Roman"/>
                <w:b/>
                <w:sz w:val="16"/>
                <w:szCs w:val="16"/>
              </w:rPr>
              <w:t>‘14</w:t>
            </w:r>
          </w:p>
        </w:tc>
        <w:tc>
          <w:tcPr>
            <w:tcW w:w="53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CD508A" w:rsidRPr="00890BCA" w:rsidRDefault="00CD508A" w:rsidP="00890BCA">
            <w:pPr>
              <w:spacing w:after="0" w:line="240" w:lineRule="auto"/>
              <w:jc w:val="center"/>
              <w:rPr>
                <w:rFonts w:ascii="Times New Roman" w:hAnsi="Times New Roman" w:cs="Times New Roman"/>
                <w:b/>
                <w:sz w:val="16"/>
                <w:szCs w:val="16"/>
              </w:rPr>
            </w:pPr>
            <w:r w:rsidRPr="00890BCA">
              <w:rPr>
                <w:rFonts w:ascii="Times New Roman" w:hAnsi="Times New Roman" w:cs="Times New Roman"/>
                <w:b/>
                <w:sz w:val="16"/>
                <w:szCs w:val="16"/>
              </w:rPr>
              <w:t>‘15</w:t>
            </w:r>
          </w:p>
        </w:tc>
        <w:tc>
          <w:tcPr>
            <w:tcW w:w="53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CD508A" w:rsidRPr="00890BCA" w:rsidRDefault="00CD508A" w:rsidP="00890BCA">
            <w:pPr>
              <w:spacing w:after="0" w:line="240" w:lineRule="auto"/>
              <w:jc w:val="center"/>
              <w:rPr>
                <w:rFonts w:ascii="Times New Roman" w:hAnsi="Times New Roman" w:cs="Times New Roman"/>
                <w:b/>
                <w:sz w:val="16"/>
                <w:szCs w:val="16"/>
              </w:rPr>
            </w:pPr>
            <w:r w:rsidRPr="00890BCA">
              <w:rPr>
                <w:rFonts w:ascii="Times New Roman" w:hAnsi="Times New Roman" w:cs="Times New Roman"/>
                <w:b/>
                <w:sz w:val="16"/>
                <w:szCs w:val="16"/>
              </w:rPr>
              <w:t>‘16</w:t>
            </w:r>
          </w:p>
        </w:tc>
        <w:tc>
          <w:tcPr>
            <w:tcW w:w="53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CD508A" w:rsidRPr="00890BCA" w:rsidRDefault="00CD508A" w:rsidP="00890BCA">
            <w:pPr>
              <w:spacing w:after="0" w:line="240" w:lineRule="auto"/>
              <w:jc w:val="center"/>
              <w:rPr>
                <w:rFonts w:ascii="Times New Roman" w:hAnsi="Times New Roman" w:cs="Times New Roman"/>
                <w:b/>
                <w:sz w:val="16"/>
                <w:szCs w:val="16"/>
              </w:rPr>
            </w:pPr>
            <w:r w:rsidRPr="00890BCA">
              <w:rPr>
                <w:rFonts w:ascii="Times New Roman" w:hAnsi="Times New Roman" w:cs="Times New Roman"/>
                <w:b/>
                <w:sz w:val="16"/>
                <w:szCs w:val="16"/>
              </w:rPr>
              <w:t>‘17</w:t>
            </w:r>
          </w:p>
        </w:tc>
      </w:tr>
      <w:tr w:rsidR="00CD508A" w:rsidRPr="000B5F3B" w:rsidTr="00CD508A">
        <w:trPr>
          <w:trHeight w:val="37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b/>
                <w:sz w:val="18"/>
                <w:szCs w:val="18"/>
              </w:rPr>
            </w:pPr>
            <w:r w:rsidRPr="000B5F3B">
              <w:rPr>
                <w:rFonts w:ascii="Times New Roman" w:hAnsi="Times New Roman" w:cs="Times New Roman"/>
                <w:b/>
                <w:sz w:val="18"/>
                <w:szCs w:val="18"/>
              </w:rPr>
              <w:t>Polska</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sz w:val="18"/>
                <w:szCs w:val="18"/>
              </w:rPr>
            </w:pPr>
            <w:r w:rsidRPr="000B5F3B">
              <w:rPr>
                <w:rFonts w:ascii="Times New Roman" w:hAnsi="Times New Roman" w:cs="Times New Roman"/>
                <w:b/>
                <w:sz w:val="18"/>
                <w:szCs w:val="18"/>
              </w:rPr>
              <w:t>60,7</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sz w:val="18"/>
                <w:szCs w:val="18"/>
              </w:rPr>
            </w:pPr>
            <w:r w:rsidRPr="000B5F3B">
              <w:rPr>
                <w:rFonts w:ascii="Times New Roman" w:hAnsi="Times New Roman" w:cs="Times New Roman"/>
                <w:b/>
                <w:sz w:val="18"/>
                <w:szCs w:val="18"/>
              </w:rPr>
              <w:t>58,9</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sz w:val="18"/>
                <w:szCs w:val="18"/>
              </w:rPr>
            </w:pPr>
            <w:r w:rsidRPr="000B5F3B">
              <w:rPr>
                <w:rFonts w:ascii="Times New Roman" w:hAnsi="Times New Roman" w:cs="Times New Roman"/>
                <w:b/>
                <w:sz w:val="18"/>
                <w:szCs w:val="18"/>
              </w:rPr>
              <w:t>57,5</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sz w:val="18"/>
                <w:szCs w:val="18"/>
              </w:rPr>
            </w:pPr>
            <w:r w:rsidRPr="000B5F3B">
              <w:rPr>
                <w:rFonts w:ascii="Times New Roman" w:hAnsi="Times New Roman" w:cs="Times New Roman"/>
                <w:b/>
                <w:sz w:val="18"/>
                <w:szCs w:val="18"/>
              </w:rPr>
              <w:t>56,3</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sz w:val="18"/>
                <w:szCs w:val="18"/>
              </w:rPr>
            </w:pPr>
            <w:r w:rsidRPr="000B5F3B">
              <w:rPr>
                <w:rFonts w:ascii="Times New Roman" w:hAnsi="Times New Roman" w:cs="Times New Roman"/>
                <w:b/>
                <w:sz w:val="18"/>
                <w:szCs w:val="18"/>
              </w:rPr>
              <w:t>55,7</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sz w:val="18"/>
                <w:szCs w:val="18"/>
              </w:rPr>
            </w:pPr>
            <w:r w:rsidRPr="000B5F3B">
              <w:rPr>
                <w:rFonts w:ascii="Times New Roman" w:hAnsi="Times New Roman" w:cs="Times New Roman"/>
                <w:b/>
                <w:sz w:val="18"/>
                <w:szCs w:val="18"/>
              </w:rPr>
              <w:t>55,3</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sz w:val="18"/>
                <w:szCs w:val="18"/>
              </w:rPr>
            </w:pPr>
            <w:r w:rsidRPr="000B5F3B">
              <w:rPr>
                <w:rFonts w:ascii="Times New Roman" w:hAnsi="Times New Roman" w:cs="Times New Roman"/>
                <w:b/>
                <w:sz w:val="18"/>
                <w:szCs w:val="18"/>
              </w:rPr>
              <w:t>55,1</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sz w:val="18"/>
                <w:szCs w:val="18"/>
              </w:rPr>
            </w:pPr>
            <w:r w:rsidRPr="000B5F3B">
              <w:rPr>
                <w:rFonts w:ascii="Times New Roman" w:hAnsi="Times New Roman" w:cs="Times New Roman"/>
                <w:b/>
                <w:sz w:val="18"/>
                <w:szCs w:val="18"/>
              </w:rPr>
              <w:t>55,0</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sz w:val="18"/>
                <w:szCs w:val="18"/>
              </w:rPr>
            </w:pPr>
            <w:r w:rsidRPr="000B5F3B">
              <w:rPr>
                <w:rFonts w:ascii="Times New Roman" w:hAnsi="Times New Roman" w:cs="Times New Roman"/>
                <w:sz w:val="18"/>
                <w:szCs w:val="18"/>
              </w:rPr>
              <w:t>55,2</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sz w:val="18"/>
                <w:szCs w:val="18"/>
              </w:rPr>
            </w:pPr>
            <w:r w:rsidRPr="000B5F3B">
              <w:rPr>
                <w:rFonts w:ascii="Times New Roman" w:hAnsi="Times New Roman" w:cs="Times New Roman"/>
                <w:sz w:val="18"/>
                <w:szCs w:val="18"/>
              </w:rPr>
              <w:t>55,8</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sz w:val="18"/>
                <w:szCs w:val="18"/>
              </w:rPr>
            </w:pPr>
            <w:r w:rsidRPr="000B5F3B">
              <w:rPr>
                <w:rFonts w:ascii="Times New Roman" w:hAnsi="Times New Roman" w:cs="Times New Roman"/>
                <w:sz w:val="18"/>
                <w:szCs w:val="18"/>
              </w:rPr>
              <w:t>56,6</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sz w:val="18"/>
                <w:szCs w:val="18"/>
              </w:rPr>
            </w:pPr>
            <w:r w:rsidRPr="000B5F3B">
              <w:rPr>
                <w:rFonts w:ascii="Times New Roman" w:hAnsi="Times New Roman" w:cs="Times New Roman"/>
                <w:sz w:val="18"/>
                <w:szCs w:val="18"/>
              </w:rPr>
              <w:t>57,6</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sz w:val="18"/>
                <w:szCs w:val="18"/>
              </w:rPr>
            </w:pPr>
            <w:r w:rsidRPr="000B5F3B">
              <w:rPr>
                <w:rFonts w:ascii="Times New Roman" w:hAnsi="Times New Roman" w:cs="Times New Roman"/>
                <w:sz w:val="18"/>
                <w:szCs w:val="18"/>
              </w:rPr>
              <w:t>58,8</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sz w:val="18"/>
                <w:szCs w:val="18"/>
              </w:rPr>
            </w:pPr>
            <w:r w:rsidRPr="000B5F3B">
              <w:rPr>
                <w:rFonts w:ascii="Times New Roman" w:hAnsi="Times New Roman" w:cs="Times New Roman"/>
                <w:sz w:val="18"/>
                <w:szCs w:val="18"/>
              </w:rPr>
              <w:t>60,1</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center"/>
              <w:rPr>
                <w:rFonts w:ascii="Times New Roman" w:hAnsi="Times New Roman" w:cs="Times New Roman"/>
                <w:sz w:val="18"/>
                <w:szCs w:val="18"/>
              </w:rPr>
            </w:pPr>
            <w:r w:rsidRPr="000B5F3B">
              <w:rPr>
                <w:rFonts w:ascii="Times New Roman" w:hAnsi="Times New Roman" w:cs="Times New Roman"/>
                <w:sz w:val="18"/>
                <w:szCs w:val="18"/>
              </w:rPr>
              <w:t>61,7</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677027" w:rsidP="00890BC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63,4</w:t>
            </w:r>
          </w:p>
        </w:tc>
      </w:tr>
      <w:tr w:rsidR="00CD508A" w:rsidRPr="000B5F3B" w:rsidTr="0035257C">
        <w:trPr>
          <w:trHeight w:val="365"/>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i/>
                <w:sz w:val="16"/>
                <w:szCs w:val="16"/>
              </w:rPr>
            </w:pPr>
            <w:r w:rsidRPr="000B5F3B">
              <w:rPr>
                <w:rFonts w:ascii="Times New Roman" w:hAnsi="Times New Roman" w:cs="Times New Roman"/>
                <w:i/>
                <w:sz w:val="16"/>
                <w:szCs w:val="16"/>
              </w:rPr>
              <w:t>miasta</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54,7</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53,3</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52,3</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51,6</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51,5</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i/>
                <w:sz w:val="16"/>
                <w:szCs w:val="16"/>
              </w:rPr>
            </w:pPr>
            <w:r w:rsidRPr="000B5F3B">
              <w:rPr>
                <w:rFonts w:ascii="Times New Roman" w:hAnsi="Times New Roman" w:cs="Times New Roman"/>
                <w:i/>
                <w:sz w:val="16"/>
                <w:szCs w:val="16"/>
              </w:rPr>
              <w:t>51,6</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i/>
                <w:sz w:val="16"/>
                <w:szCs w:val="16"/>
              </w:rPr>
            </w:pPr>
            <w:r w:rsidRPr="000B5F3B">
              <w:rPr>
                <w:rFonts w:ascii="Times New Roman" w:hAnsi="Times New Roman" w:cs="Times New Roman"/>
                <w:i/>
                <w:sz w:val="16"/>
                <w:szCs w:val="16"/>
              </w:rPr>
              <w:t>51,9</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i/>
                <w:sz w:val="16"/>
                <w:szCs w:val="16"/>
              </w:rPr>
            </w:pPr>
            <w:r w:rsidRPr="000B5F3B">
              <w:rPr>
                <w:rFonts w:ascii="Times New Roman" w:hAnsi="Times New Roman" w:cs="Times New Roman"/>
                <w:i/>
                <w:sz w:val="16"/>
                <w:szCs w:val="16"/>
              </w:rPr>
              <w:t>52,5</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i/>
                <w:sz w:val="16"/>
                <w:szCs w:val="16"/>
              </w:rPr>
            </w:pPr>
            <w:r w:rsidRPr="000B5F3B">
              <w:rPr>
                <w:rFonts w:ascii="Times New Roman" w:hAnsi="Times New Roman" w:cs="Times New Roman"/>
                <w:i/>
                <w:sz w:val="16"/>
                <w:szCs w:val="16"/>
              </w:rPr>
              <w:t>53,1</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i/>
                <w:sz w:val="16"/>
                <w:szCs w:val="16"/>
              </w:rPr>
            </w:pPr>
            <w:r w:rsidRPr="000B5F3B">
              <w:rPr>
                <w:rFonts w:ascii="Times New Roman" w:hAnsi="Times New Roman" w:cs="Times New Roman"/>
                <w:i/>
                <w:sz w:val="16"/>
                <w:szCs w:val="16"/>
              </w:rPr>
              <w:t>54,3</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i/>
                <w:sz w:val="16"/>
                <w:szCs w:val="16"/>
              </w:rPr>
            </w:pPr>
            <w:r w:rsidRPr="000B5F3B">
              <w:rPr>
                <w:rFonts w:ascii="Times New Roman" w:hAnsi="Times New Roman" w:cs="Times New Roman"/>
                <w:i/>
                <w:sz w:val="16"/>
                <w:szCs w:val="16"/>
              </w:rPr>
              <w:t>55,8</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i/>
                <w:sz w:val="16"/>
                <w:szCs w:val="16"/>
              </w:rPr>
            </w:pPr>
            <w:r w:rsidRPr="000B5F3B">
              <w:rPr>
                <w:rFonts w:ascii="Times New Roman" w:hAnsi="Times New Roman" w:cs="Times New Roman"/>
                <w:i/>
                <w:sz w:val="16"/>
                <w:szCs w:val="16"/>
              </w:rPr>
              <w:t>57,5</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i/>
                <w:sz w:val="16"/>
                <w:szCs w:val="16"/>
              </w:rPr>
            </w:pPr>
            <w:r w:rsidRPr="000B5F3B">
              <w:rPr>
                <w:rFonts w:ascii="Times New Roman" w:hAnsi="Times New Roman" w:cs="Times New Roman"/>
                <w:i/>
                <w:sz w:val="16"/>
                <w:szCs w:val="16"/>
              </w:rPr>
              <w:t>59,4</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i/>
                <w:sz w:val="16"/>
                <w:szCs w:val="16"/>
              </w:rPr>
            </w:pPr>
            <w:r w:rsidRPr="000B5F3B">
              <w:rPr>
                <w:rFonts w:ascii="Times New Roman" w:hAnsi="Times New Roman" w:cs="Times New Roman"/>
                <w:i/>
                <w:sz w:val="16"/>
                <w:szCs w:val="16"/>
              </w:rPr>
              <w:t>61,3</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center"/>
              <w:rPr>
                <w:rFonts w:ascii="Times New Roman" w:hAnsi="Times New Roman" w:cs="Times New Roman"/>
                <w:i/>
                <w:sz w:val="16"/>
                <w:szCs w:val="16"/>
              </w:rPr>
            </w:pPr>
            <w:r w:rsidRPr="000B5F3B">
              <w:rPr>
                <w:rFonts w:ascii="Times New Roman" w:hAnsi="Times New Roman" w:cs="Times New Roman"/>
                <w:i/>
                <w:sz w:val="16"/>
                <w:szCs w:val="16"/>
              </w:rPr>
              <w:t>63,5</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CD508A" w:rsidRPr="0035257C" w:rsidRDefault="0035257C" w:rsidP="00890BCA">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65,8</w:t>
            </w:r>
          </w:p>
        </w:tc>
      </w:tr>
      <w:tr w:rsidR="00CD508A" w:rsidRPr="000B5F3B" w:rsidTr="0035257C">
        <w:trPr>
          <w:trHeight w:val="365"/>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i/>
                <w:sz w:val="16"/>
                <w:szCs w:val="16"/>
              </w:rPr>
            </w:pPr>
            <w:r w:rsidRPr="000B5F3B">
              <w:rPr>
                <w:rFonts w:ascii="Times New Roman" w:hAnsi="Times New Roman" w:cs="Times New Roman"/>
                <w:i/>
                <w:sz w:val="16"/>
                <w:szCs w:val="16"/>
              </w:rPr>
              <w:t>wieś</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71,3</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68,8</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66,5</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64,5</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62,9</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61,5</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60,3</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59,1</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58,5</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58,1</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57,8</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57,8</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i/>
                <w:sz w:val="16"/>
                <w:szCs w:val="16"/>
              </w:rPr>
            </w:pPr>
            <w:r w:rsidRPr="000B5F3B">
              <w:rPr>
                <w:rFonts w:ascii="Times New Roman" w:hAnsi="Times New Roman" w:cs="Times New Roman"/>
                <w:i/>
                <w:sz w:val="16"/>
                <w:szCs w:val="16"/>
              </w:rPr>
              <w:t>58,0</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i/>
                <w:sz w:val="16"/>
                <w:szCs w:val="16"/>
              </w:rPr>
            </w:pPr>
            <w:r w:rsidRPr="000B5F3B">
              <w:rPr>
                <w:rFonts w:ascii="Times New Roman" w:hAnsi="Times New Roman" w:cs="Times New Roman"/>
                <w:i/>
                <w:sz w:val="16"/>
                <w:szCs w:val="16"/>
              </w:rPr>
              <w:t>58,3</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center"/>
              <w:rPr>
                <w:rFonts w:ascii="Times New Roman" w:hAnsi="Times New Roman" w:cs="Times New Roman"/>
                <w:i/>
                <w:sz w:val="16"/>
                <w:szCs w:val="16"/>
              </w:rPr>
            </w:pPr>
            <w:r w:rsidRPr="000B5F3B">
              <w:rPr>
                <w:rFonts w:ascii="Times New Roman" w:hAnsi="Times New Roman" w:cs="Times New Roman"/>
                <w:i/>
                <w:sz w:val="16"/>
                <w:szCs w:val="16"/>
              </w:rPr>
              <w:t>59,0</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CD508A" w:rsidRPr="0035257C" w:rsidRDefault="0035257C" w:rsidP="00890BCA">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59,9</w:t>
            </w:r>
          </w:p>
        </w:tc>
      </w:tr>
      <w:tr w:rsidR="00CD508A" w:rsidRPr="000B5F3B" w:rsidTr="00CD508A">
        <w:trPr>
          <w:trHeight w:val="365"/>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b/>
                <w:sz w:val="18"/>
                <w:szCs w:val="18"/>
              </w:rPr>
            </w:pPr>
            <w:r w:rsidRPr="000B5F3B">
              <w:rPr>
                <w:rFonts w:ascii="Times New Roman" w:hAnsi="Times New Roman" w:cs="Times New Roman"/>
                <w:b/>
                <w:sz w:val="18"/>
                <w:szCs w:val="18"/>
              </w:rPr>
              <w:t>Podkarpacie</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sz w:val="18"/>
                <w:szCs w:val="18"/>
              </w:rPr>
            </w:pPr>
            <w:r w:rsidRPr="000B5F3B">
              <w:rPr>
                <w:rFonts w:ascii="Times New Roman" w:hAnsi="Times New Roman" w:cs="Times New Roman"/>
                <w:b/>
                <w:sz w:val="18"/>
                <w:szCs w:val="18"/>
              </w:rPr>
              <w:t>67,1</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sz w:val="18"/>
                <w:szCs w:val="18"/>
              </w:rPr>
            </w:pPr>
            <w:r w:rsidRPr="000B5F3B">
              <w:rPr>
                <w:rFonts w:ascii="Times New Roman" w:hAnsi="Times New Roman" w:cs="Times New Roman"/>
                <w:b/>
                <w:sz w:val="18"/>
                <w:szCs w:val="18"/>
              </w:rPr>
              <w:t>64,7</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sz w:val="18"/>
                <w:szCs w:val="18"/>
              </w:rPr>
            </w:pPr>
            <w:r w:rsidRPr="000B5F3B">
              <w:rPr>
                <w:rFonts w:ascii="Times New Roman" w:hAnsi="Times New Roman" w:cs="Times New Roman"/>
                <w:b/>
                <w:sz w:val="18"/>
                <w:szCs w:val="18"/>
              </w:rPr>
              <w:t>62,9</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sz w:val="18"/>
                <w:szCs w:val="18"/>
              </w:rPr>
            </w:pPr>
            <w:r w:rsidRPr="000B5F3B">
              <w:rPr>
                <w:rFonts w:ascii="Times New Roman" w:hAnsi="Times New Roman" w:cs="Times New Roman"/>
                <w:b/>
                <w:sz w:val="18"/>
                <w:szCs w:val="18"/>
              </w:rPr>
              <w:t>61,2</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sz w:val="18"/>
                <w:szCs w:val="18"/>
              </w:rPr>
            </w:pPr>
            <w:r w:rsidRPr="000B5F3B">
              <w:rPr>
                <w:rFonts w:ascii="Times New Roman" w:hAnsi="Times New Roman" w:cs="Times New Roman"/>
                <w:b/>
                <w:sz w:val="18"/>
                <w:szCs w:val="18"/>
              </w:rPr>
              <w:t>59,8</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sz w:val="18"/>
                <w:szCs w:val="18"/>
              </w:rPr>
            </w:pPr>
            <w:r w:rsidRPr="000B5F3B">
              <w:rPr>
                <w:rFonts w:ascii="Times New Roman" w:hAnsi="Times New Roman" w:cs="Times New Roman"/>
                <w:b/>
                <w:sz w:val="18"/>
                <w:szCs w:val="18"/>
              </w:rPr>
              <w:t>58,5</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sz w:val="18"/>
                <w:szCs w:val="18"/>
              </w:rPr>
            </w:pPr>
            <w:r w:rsidRPr="000B5F3B">
              <w:rPr>
                <w:rFonts w:ascii="Times New Roman" w:hAnsi="Times New Roman" w:cs="Times New Roman"/>
                <w:b/>
                <w:sz w:val="18"/>
                <w:szCs w:val="18"/>
              </w:rPr>
              <w:t>57,5</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sz w:val="18"/>
                <w:szCs w:val="18"/>
              </w:rPr>
            </w:pPr>
            <w:r w:rsidRPr="000B5F3B">
              <w:rPr>
                <w:rFonts w:ascii="Times New Roman" w:hAnsi="Times New Roman" w:cs="Times New Roman"/>
                <w:b/>
                <w:sz w:val="18"/>
                <w:szCs w:val="18"/>
              </w:rPr>
              <w:t>56,7</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sz w:val="18"/>
                <w:szCs w:val="18"/>
              </w:rPr>
            </w:pPr>
            <w:r w:rsidRPr="000B5F3B">
              <w:rPr>
                <w:rFonts w:ascii="Times New Roman" w:hAnsi="Times New Roman" w:cs="Times New Roman"/>
                <w:b/>
                <w:sz w:val="18"/>
                <w:szCs w:val="18"/>
              </w:rPr>
              <w:t>56,6</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sz w:val="18"/>
                <w:szCs w:val="18"/>
              </w:rPr>
            </w:pPr>
            <w:r w:rsidRPr="000B5F3B">
              <w:rPr>
                <w:rFonts w:ascii="Times New Roman" w:hAnsi="Times New Roman" w:cs="Times New Roman"/>
                <w:b/>
                <w:sz w:val="18"/>
                <w:szCs w:val="18"/>
              </w:rPr>
              <w:t>56,5</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sz w:val="18"/>
                <w:szCs w:val="18"/>
              </w:rPr>
            </w:pPr>
            <w:r w:rsidRPr="000B5F3B">
              <w:rPr>
                <w:rFonts w:ascii="Times New Roman" w:hAnsi="Times New Roman" w:cs="Times New Roman"/>
                <w:sz w:val="18"/>
                <w:szCs w:val="18"/>
              </w:rPr>
              <w:t>56,7</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sz w:val="18"/>
                <w:szCs w:val="18"/>
              </w:rPr>
            </w:pPr>
            <w:r w:rsidRPr="000B5F3B">
              <w:rPr>
                <w:rFonts w:ascii="Times New Roman" w:hAnsi="Times New Roman" w:cs="Times New Roman"/>
                <w:sz w:val="18"/>
                <w:szCs w:val="18"/>
              </w:rPr>
              <w:t>57,1</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sz w:val="18"/>
                <w:szCs w:val="18"/>
              </w:rPr>
            </w:pPr>
            <w:r w:rsidRPr="000B5F3B">
              <w:rPr>
                <w:rFonts w:ascii="Times New Roman" w:hAnsi="Times New Roman" w:cs="Times New Roman"/>
                <w:sz w:val="18"/>
                <w:szCs w:val="18"/>
              </w:rPr>
              <w:t>57,6</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sz w:val="18"/>
                <w:szCs w:val="18"/>
              </w:rPr>
            </w:pPr>
            <w:r w:rsidRPr="000B5F3B">
              <w:rPr>
                <w:rFonts w:ascii="Times New Roman" w:hAnsi="Times New Roman" w:cs="Times New Roman"/>
                <w:sz w:val="18"/>
                <w:szCs w:val="18"/>
              </w:rPr>
              <w:t>58,1</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center"/>
              <w:rPr>
                <w:rFonts w:ascii="Times New Roman" w:hAnsi="Times New Roman" w:cs="Times New Roman"/>
                <w:sz w:val="18"/>
                <w:szCs w:val="18"/>
              </w:rPr>
            </w:pPr>
            <w:r w:rsidRPr="000B5F3B">
              <w:rPr>
                <w:rFonts w:ascii="Times New Roman" w:hAnsi="Times New Roman" w:cs="Times New Roman"/>
                <w:sz w:val="18"/>
                <w:szCs w:val="18"/>
              </w:rPr>
              <w:t>59,1</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677027" w:rsidP="00890BC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60,2</w:t>
            </w:r>
          </w:p>
        </w:tc>
      </w:tr>
      <w:tr w:rsidR="00CD508A" w:rsidRPr="000B5F3B" w:rsidTr="0035257C">
        <w:trPr>
          <w:trHeight w:val="365"/>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i/>
                <w:sz w:val="16"/>
                <w:szCs w:val="16"/>
              </w:rPr>
            </w:pPr>
            <w:r w:rsidRPr="000B5F3B">
              <w:rPr>
                <w:rFonts w:ascii="Times New Roman" w:hAnsi="Times New Roman" w:cs="Times New Roman"/>
                <w:i/>
                <w:sz w:val="16"/>
                <w:szCs w:val="16"/>
              </w:rPr>
              <w:t>miasta</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56,9</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54,7</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53,4</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52,2</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51,4</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50,9</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50,7</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i/>
                <w:sz w:val="16"/>
                <w:szCs w:val="16"/>
              </w:rPr>
            </w:pPr>
            <w:r w:rsidRPr="000B5F3B">
              <w:rPr>
                <w:rFonts w:ascii="Times New Roman" w:hAnsi="Times New Roman" w:cs="Times New Roman"/>
                <w:i/>
                <w:sz w:val="16"/>
                <w:szCs w:val="16"/>
              </w:rPr>
              <w:t>50,8</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i/>
                <w:sz w:val="16"/>
                <w:szCs w:val="16"/>
              </w:rPr>
            </w:pPr>
            <w:r w:rsidRPr="000B5F3B">
              <w:rPr>
                <w:rFonts w:ascii="Times New Roman" w:hAnsi="Times New Roman" w:cs="Times New Roman"/>
                <w:i/>
                <w:sz w:val="16"/>
                <w:szCs w:val="16"/>
              </w:rPr>
              <w:t>51,2</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i/>
                <w:sz w:val="16"/>
                <w:szCs w:val="16"/>
              </w:rPr>
            </w:pPr>
            <w:r w:rsidRPr="000B5F3B">
              <w:rPr>
                <w:rFonts w:ascii="Times New Roman" w:hAnsi="Times New Roman" w:cs="Times New Roman"/>
                <w:i/>
                <w:sz w:val="16"/>
                <w:szCs w:val="16"/>
              </w:rPr>
              <w:t>52,1</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i/>
                <w:sz w:val="16"/>
                <w:szCs w:val="16"/>
              </w:rPr>
            </w:pPr>
            <w:r w:rsidRPr="000B5F3B">
              <w:rPr>
                <w:rFonts w:ascii="Times New Roman" w:hAnsi="Times New Roman" w:cs="Times New Roman"/>
                <w:i/>
                <w:sz w:val="16"/>
                <w:szCs w:val="16"/>
              </w:rPr>
              <w:t>53,4</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i/>
                <w:sz w:val="16"/>
                <w:szCs w:val="16"/>
              </w:rPr>
            </w:pPr>
            <w:r w:rsidRPr="000B5F3B">
              <w:rPr>
                <w:rFonts w:ascii="Times New Roman" w:hAnsi="Times New Roman" w:cs="Times New Roman"/>
                <w:i/>
                <w:sz w:val="16"/>
                <w:szCs w:val="16"/>
              </w:rPr>
              <w:t>55,0</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i/>
                <w:sz w:val="16"/>
                <w:szCs w:val="16"/>
              </w:rPr>
            </w:pPr>
            <w:r w:rsidRPr="000B5F3B">
              <w:rPr>
                <w:rFonts w:ascii="Times New Roman" w:hAnsi="Times New Roman" w:cs="Times New Roman"/>
                <w:i/>
                <w:sz w:val="16"/>
                <w:szCs w:val="16"/>
              </w:rPr>
              <w:t>56,6</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i/>
                <w:sz w:val="16"/>
                <w:szCs w:val="16"/>
              </w:rPr>
            </w:pPr>
            <w:r w:rsidRPr="000B5F3B">
              <w:rPr>
                <w:rFonts w:ascii="Times New Roman" w:hAnsi="Times New Roman" w:cs="Times New Roman"/>
                <w:i/>
                <w:sz w:val="16"/>
                <w:szCs w:val="16"/>
              </w:rPr>
              <w:t>58,2</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center"/>
              <w:rPr>
                <w:rFonts w:ascii="Times New Roman" w:hAnsi="Times New Roman" w:cs="Times New Roman"/>
                <w:i/>
                <w:sz w:val="16"/>
                <w:szCs w:val="16"/>
              </w:rPr>
            </w:pPr>
            <w:r w:rsidRPr="000B5F3B">
              <w:rPr>
                <w:rFonts w:ascii="Times New Roman" w:hAnsi="Times New Roman" w:cs="Times New Roman"/>
                <w:i/>
                <w:sz w:val="16"/>
                <w:szCs w:val="16"/>
              </w:rPr>
              <w:t>60,3</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CD508A" w:rsidRPr="0035257C" w:rsidRDefault="00BC6CB5" w:rsidP="00890BCA">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62,4</w:t>
            </w:r>
          </w:p>
        </w:tc>
      </w:tr>
      <w:tr w:rsidR="00CD508A" w:rsidRPr="000B5F3B" w:rsidTr="0035257C">
        <w:trPr>
          <w:trHeight w:val="37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0B5F3B" w:rsidRDefault="00CD508A" w:rsidP="00890BCA">
            <w:pPr>
              <w:spacing w:after="0" w:line="240" w:lineRule="auto"/>
              <w:jc w:val="both"/>
              <w:rPr>
                <w:rFonts w:ascii="Times New Roman" w:hAnsi="Times New Roman" w:cs="Times New Roman"/>
                <w:i/>
                <w:sz w:val="16"/>
                <w:szCs w:val="16"/>
              </w:rPr>
            </w:pPr>
            <w:r w:rsidRPr="000B5F3B">
              <w:rPr>
                <w:rFonts w:ascii="Times New Roman" w:hAnsi="Times New Roman" w:cs="Times New Roman"/>
                <w:i/>
                <w:sz w:val="16"/>
                <w:szCs w:val="16"/>
              </w:rPr>
              <w:t>wieś</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74,8</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72,4</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70,0</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67,9</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66,1</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64,2</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62,5</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61,0</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60,6</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59,8</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59,1</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58,5</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58,3</w:t>
            </w:r>
          </w:p>
        </w:tc>
        <w:tc>
          <w:tcPr>
            <w:tcW w:w="5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508A" w:rsidRPr="000B5F3B" w:rsidRDefault="00CD508A" w:rsidP="00890BCA">
            <w:pPr>
              <w:spacing w:after="0" w:line="240" w:lineRule="auto"/>
              <w:jc w:val="both"/>
              <w:rPr>
                <w:rFonts w:ascii="Times New Roman" w:hAnsi="Times New Roman" w:cs="Times New Roman"/>
                <w:b/>
                <w:i/>
                <w:sz w:val="16"/>
                <w:szCs w:val="16"/>
              </w:rPr>
            </w:pPr>
            <w:r w:rsidRPr="000B5F3B">
              <w:rPr>
                <w:rFonts w:ascii="Times New Roman" w:hAnsi="Times New Roman" w:cs="Times New Roman"/>
                <w:b/>
                <w:i/>
                <w:sz w:val="16"/>
                <w:szCs w:val="16"/>
              </w:rPr>
              <w:t>58,1</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08A" w:rsidRPr="00BC6CB5" w:rsidRDefault="00CD508A" w:rsidP="00890BCA">
            <w:pPr>
              <w:spacing w:after="0" w:line="240" w:lineRule="auto"/>
              <w:jc w:val="center"/>
              <w:rPr>
                <w:rFonts w:ascii="Times New Roman" w:hAnsi="Times New Roman" w:cs="Times New Roman"/>
                <w:i/>
                <w:sz w:val="16"/>
                <w:szCs w:val="16"/>
              </w:rPr>
            </w:pPr>
            <w:r w:rsidRPr="00BC6CB5">
              <w:rPr>
                <w:rFonts w:ascii="Times New Roman" w:hAnsi="Times New Roman" w:cs="Times New Roman"/>
                <w:i/>
                <w:sz w:val="16"/>
                <w:szCs w:val="16"/>
              </w:rPr>
              <w:t>58,2</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CD508A" w:rsidRPr="00BC6CB5" w:rsidRDefault="00BC6CB5" w:rsidP="00890BCA">
            <w:pPr>
              <w:spacing w:after="0" w:line="240" w:lineRule="auto"/>
              <w:jc w:val="center"/>
              <w:rPr>
                <w:rFonts w:ascii="Times New Roman" w:hAnsi="Times New Roman" w:cs="Times New Roman"/>
                <w:i/>
                <w:sz w:val="16"/>
                <w:szCs w:val="16"/>
              </w:rPr>
            </w:pPr>
            <w:r w:rsidRPr="00BC6CB5">
              <w:rPr>
                <w:rFonts w:ascii="Times New Roman" w:hAnsi="Times New Roman" w:cs="Times New Roman"/>
                <w:i/>
                <w:sz w:val="16"/>
                <w:szCs w:val="16"/>
              </w:rPr>
              <w:t>58,7</w:t>
            </w:r>
          </w:p>
        </w:tc>
      </w:tr>
    </w:tbl>
    <w:p w:rsidR="002806AF" w:rsidRDefault="002806AF" w:rsidP="0012708B">
      <w:pPr>
        <w:pStyle w:val="Tekstpodstawowywcity"/>
        <w:spacing w:after="0" w:line="240" w:lineRule="auto"/>
        <w:ind w:left="0"/>
        <w:jc w:val="both"/>
        <w:rPr>
          <w:rFonts w:ascii="Times New Roman" w:hAnsi="Times New Roman" w:cs="Times New Roman"/>
          <w:sz w:val="16"/>
          <w:szCs w:val="16"/>
        </w:rPr>
      </w:pPr>
      <w:r w:rsidRPr="003866E9">
        <w:rPr>
          <w:rFonts w:ascii="Times New Roman" w:hAnsi="Times New Roman" w:cs="Times New Roman"/>
          <w:sz w:val="16"/>
          <w:szCs w:val="16"/>
        </w:rPr>
        <w:t>Kolorem niebieskim oznaczono sekwencje spadkowe.</w:t>
      </w:r>
      <w:r w:rsidR="00E7048D" w:rsidRPr="003866E9">
        <w:rPr>
          <w:rFonts w:ascii="Times New Roman" w:hAnsi="Times New Roman" w:cs="Times New Roman"/>
          <w:sz w:val="16"/>
          <w:szCs w:val="16"/>
        </w:rPr>
        <w:t xml:space="preserve"> Kolor biały oznacza wzrost w stos. do ostatniego roku z lat spadkowych.</w:t>
      </w:r>
    </w:p>
    <w:p w:rsidR="00AD7838" w:rsidRDefault="00AD7838" w:rsidP="0012708B">
      <w:pPr>
        <w:pStyle w:val="Tekstpodstawowywcity"/>
        <w:spacing w:after="0" w:line="240" w:lineRule="auto"/>
        <w:ind w:left="0"/>
        <w:jc w:val="both"/>
        <w:rPr>
          <w:rFonts w:ascii="Times New Roman" w:hAnsi="Times New Roman" w:cs="Times New Roman"/>
          <w:sz w:val="16"/>
          <w:szCs w:val="16"/>
        </w:rPr>
      </w:pPr>
    </w:p>
    <w:p w:rsidR="00AD7838" w:rsidRDefault="00AD7838" w:rsidP="0012708B">
      <w:pPr>
        <w:pStyle w:val="Tekstpodstawowywcity"/>
        <w:spacing w:after="0" w:line="240" w:lineRule="auto"/>
        <w:ind w:left="0"/>
        <w:jc w:val="both"/>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21077">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4.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A, B  wskaźniki</w:t>
      </w:r>
      <w:r w:rsidR="004A7993">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i</w:t>
      </w:r>
      <w:r w:rsidR="004A7993">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przeliczenia wynikające z  ludności wg ekonomicznych grup wieku</w:t>
      </w:r>
    </w:p>
    <w:p w:rsidR="0012708B" w:rsidRPr="00C75C71" w:rsidRDefault="005619CC" w:rsidP="00AD7838">
      <w:pPr>
        <w:pStyle w:val="Tekstpodstawowywcity"/>
        <w:spacing w:after="0" w:line="240" w:lineRule="auto"/>
        <w:ind w:left="0"/>
        <w:jc w:val="both"/>
        <w:rPr>
          <w:rFonts w:ascii="Times New Roman" w:hAnsi="Times New Roman" w:cs="Times New Roman"/>
          <w:color w:val="000000"/>
          <w:szCs w:val="24"/>
          <w:highlight w:val="yellow"/>
        </w:rPr>
      </w:pPr>
      <w:r>
        <w:rPr>
          <w:noProof/>
          <w:lang w:eastAsia="pl-PL"/>
        </w:rPr>
        <w:drawing>
          <wp:anchor distT="0" distB="0" distL="114300" distR="114300" simplePos="0" relativeHeight="251802624" behindDoc="1" locked="0" layoutInCell="1" allowOverlap="1" wp14:anchorId="1A259584" wp14:editId="2EE59DA1">
            <wp:simplePos x="0" y="0"/>
            <wp:positionH relativeFrom="column">
              <wp:posOffset>-277495</wp:posOffset>
            </wp:positionH>
            <wp:positionV relativeFrom="paragraph">
              <wp:posOffset>5080</wp:posOffset>
            </wp:positionV>
            <wp:extent cx="6317615" cy="1685925"/>
            <wp:effectExtent l="0" t="0" r="0" b="0"/>
            <wp:wrapThrough wrapText="bothSides">
              <wp:wrapPolygon edited="0">
                <wp:start x="65" y="0"/>
                <wp:lineTo x="195" y="19769"/>
                <wp:lineTo x="326" y="21234"/>
                <wp:lineTo x="21103" y="21234"/>
                <wp:lineTo x="21298" y="20502"/>
                <wp:lineTo x="2996" y="19769"/>
                <wp:lineTo x="15501" y="16597"/>
                <wp:lineTo x="16544" y="15864"/>
                <wp:lineTo x="20061" y="12936"/>
                <wp:lineTo x="20061" y="11959"/>
                <wp:lineTo x="21038" y="11471"/>
                <wp:lineTo x="20777" y="10495"/>
                <wp:lineTo x="2866" y="8054"/>
                <wp:lineTo x="18953" y="6346"/>
                <wp:lineTo x="18953" y="5125"/>
                <wp:lineTo x="716" y="4149"/>
                <wp:lineTo x="20256" y="3661"/>
                <wp:lineTo x="20256" y="1953"/>
                <wp:lineTo x="716" y="0"/>
                <wp:lineTo x="65" y="0"/>
              </wp:wrapPolygon>
            </wp:wrapThrough>
            <wp:docPr id="677" name="Wykres 67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5619CC" w:rsidRDefault="00E42CD3" w:rsidP="00E42CD3">
      <w:pPr>
        <w:autoSpaceDE w:val="0"/>
        <w:autoSpaceDN w:val="0"/>
        <w:adjustRightInd w:val="0"/>
        <w:spacing w:after="0" w:line="240" w:lineRule="auto"/>
        <w:ind w:left="1410" w:hanging="1410"/>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21077">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5619CC" w:rsidRDefault="005619CC" w:rsidP="00E42CD3">
      <w:pPr>
        <w:autoSpaceDE w:val="0"/>
        <w:autoSpaceDN w:val="0"/>
        <w:adjustRightInd w:val="0"/>
        <w:spacing w:after="0" w:line="240" w:lineRule="auto"/>
        <w:ind w:left="1410" w:hanging="1410"/>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5619CC" w:rsidRDefault="005619CC" w:rsidP="00E42CD3">
      <w:pPr>
        <w:autoSpaceDE w:val="0"/>
        <w:autoSpaceDN w:val="0"/>
        <w:adjustRightInd w:val="0"/>
        <w:spacing w:after="0" w:line="240" w:lineRule="auto"/>
        <w:ind w:left="1410" w:hanging="1410"/>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619CC" w:rsidRDefault="005619CC" w:rsidP="00E42CD3">
      <w:pPr>
        <w:autoSpaceDE w:val="0"/>
        <w:autoSpaceDN w:val="0"/>
        <w:adjustRightInd w:val="0"/>
        <w:spacing w:after="0" w:line="240" w:lineRule="auto"/>
        <w:ind w:left="1410" w:hanging="1410"/>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619CC" w:rsidRDefault="005619CC" w:rsidP="00E42CD3">
      <w:pPr>
        <w:autoSpaceDE w:val="0"/>
        <w:autoSpaceDN w:val="0"/>
        <w:adjustRightInd w:val="0"/>
        <w:spacing w:after="0" w:line="240" w:lineRule="auto"/>
        <w:ind w:left="1410" w:hanging="1410"/>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619CC" w:rsidRDefault="005619CC" w:rsidP="00E42CD3">
      <w:pPr>
        <w:autoSpaceDE w:val="0"/>
        <w:autoSpaceDN w:val="0"/>
        <w:adjustRightInd w:val="0"/>
        <w:spacing w:after="0" w:line="240" w:lineRule="auto"/>
        <w:ind w:left="1410" w:hanging="1410"/>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BB491A" w:rsidRDefault="00BB491A" w:rsidP="00BB491A">
      <w:pPr>
        <w:pStyle w:val="Tekstpodstawowywcity"/>
        <w:spacing w:after="0" w:line="240" w:lineRule="auto"/>
        <w:ind w:left="0"/>
        <w:jc w:val="both"/>
        <w:rPr>
          <w:rFonts w:ascii="Times New Roman" w:hAnsi="Times New Roman" w:cs="Times New Roman"/>
          <w:sz w:val="16"/>
          <w:szCs w:val="16"/>
        </w:rPr>
      </w:pPr>
    </w:p>
    <w:p w:rsidR="00AD7838" w:rsidRDefault="0012708B" w:rsidP="00321077">
      <w:pPr>
        <w:autoSpaceDE w:val="0"/>
        <w:autoSpaceDN w:val="0"/>
        <w:adjustRightInd w:val="0"/>
        <w:spacing w:after="0" w:line="240" w:lineRule="auto"/>
        <w:ind w:left="1410" w:hanging="1410"/>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21077">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w:t>
      </w:r>
      <w:r w:rsidR="003D6600" w:rsidRPr="00321077">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4</w:t>
      </w:r>
      <w:r w:rsidRPr="00321077">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D7838">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w:t>
      </w:r>
      <w:r w:rsidR="00CC5402" w:rsidRPr="00321077">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37FB7" w:rsidRPr="00321077">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Udział osób starszych (</w:t>
      </w:r>
      <w:r w:rsidR="00501276" w:rsidRPr="00321077">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 </w:t>
      </w:r>
      <w:r w:rsidR="00637FB7" w:rsidRPr="00321077">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wieku po</w:t>
      </w:r>
      <w:r w:rsidR="00913A0E">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_</w:t>
      </w:r>
      <w:r w:rsidR="00637FB7" w:rsidRPr="00321077">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produkcyjn</w:t>
      </w:r>
      <w:r w:rsidR="00501276" w:rsidRPr="00321077">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ym</w:t>
      </w:r>
      <w:r w:rsidR="00637FB7" w:rsidRPr="00321077">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AD7838">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37FB7" w:rsidRPr="00913A0E">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do osób w wieku</w:t>
      </w:r>
    </w:p>
    <w:p w:rsidR="0012708B" w:rsidRPr="00913A0E" w:rsidRDefault="00AD7838" w:rsidP="00321077">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noProof/>
          <w:lang w:eastAsia="pl-PL"/>
        </w:rPr>
        <w:drawing>
          <wp:anchor distT="0" distB="0" distL="114300" distR="114300" simplePos="0" relativeHeight="251801600" behindDoc="1" locked="0" layoutInCell="1" allowOverlap="1" wp14:anchorId="39DCF790" wp14:editId="6D12337D">
            <wp:simplePos x="0" y="0"/>
            <wp:positionH relativeFrom="column">
              <wp:posOffset>-187960</wp:posOffset>
            </wp:positionH>
            <wp:positionV relativeFrom="paragraph">
              <wp:posOffset>172720</wp:posOffset>
            </wp:positionV>
            <wp:extent cx="6257925" cy="1751330"/>
            <wp:effectExtent l="0" t="0" r="0" b="1270"/>
            <wp:wrapThrough wrapText="bothSides">
              <wp:wrapPolygon edited="0">
                <wp:start x="0" y="0"/>
                <wp:lineTo x="66" y="19266"/>
                <wp:lineTo x="329" y="21381"/>
                <wp:lineTo x="21370" y="21381"/>
                <wp:lineTo x="21501" y="20676"/>
                <wp:lineTo x="10784" y="19031"/>
                <wp:lineTo x="19792" y="18091"/>
                <wp:lineTo x="19792" y="17152"/>
                <wp:lineTo x="12099" y="15272"/>
                <wp:lineTo x="13545" y="15272"/>
                <wp:lineTo x="17753" y="12453"/>
                <wp:lineTo x="17819" y="11513"/>
                <wp:lineTo x="21436" y="7753"/>
                <wp:lineTo x="21238" y="6814"/>
                <wp:lineTo x="20318" y="3994"/>
                <wp:lineTo x="21501" y="2819"/>
                <wp:lineTo x="21304" y="470"/>
                <wp:lineTo x="658" y="0"/>
                <wp:lineTo x="0" y="0"/>
              </wp:wrapPolygon>
            </wp:wrapThrough>
            <wp:docPr id="676" name="Wykres 6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A7993">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37FB7" w:rsidRPr="00913A0E">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przed</w:t>
      </w:r>
      <w:r w:rsidR="00913A0E" w:rsidRPr="00913A0E">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_</w:t>
      </w:r>
      <w:r w:rsidR="00637FB7" w:rsidRPr="00913A0E">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produkcyjnym i produkcyjnym</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00ED2627" w:rsidRPr="00913A0E">
        <w:rPr>
          <w:rStyle w:val="Odwoanieprzypisudolnego"/>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footnoteReference w:id="8"/>
      </w:r>
    </w:p>
    <w:p w:rsidR="00321077" w:rsidRPr="00C75C71" w:rsidRDefault="00321077" w:rsidP="003D6600">
      <w:pPr>
        <w:autoSpaceDE w:val="0"/>
        <w:autoSpaceDN w:val="0"/>
        <w:adjustRightInd w:val="0"/>
        <w:spacing w:after="0" w:line="240" w:lineRule="auto"/>
        <w:ind w:left="1410" w:hanging="1410"/>
        <w:jc w:val="center"/>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2708B" w:rsidRPr="00C75C71" w:rsidRDefault="0012708B" w:rsidP="006B66D1">
      <w:pPr>
        <w:pStyle w:val="Tekstpodstawowywcity"/>
        <w:pBdr>
          <w:bottom w:val="single" w:sz="4" w:space="1" w:color="auto"/>
        </w:pBdr>
        <w:spacing w:after="0" w:line="240" w:lineRule="auto"/>
        <w:ind w:left="0"/>
        <w:jc w:val="both"/>
        <w:rPr>
          <w:rFonts w:ascii="Times New Roman" w:hAnsi="Times New Roman" w:cs="Times New Roman"/>
          <w:sz w:val="24"/>
          <w:szCs w:val="24"/>
          <w:highlight w:val="yellow"/>
        </w:rPr>
      </w:pPr>
    </w:p>
    <w:p w:rsidR="0012708B" w:rsidRPr="00C75C71" w:rsidRDefault="0012708B" w:rsidP="006B66D1">
      <w:pPr>
        <w:pStyle w:val="Tekstpodstawowywcity"/>
        <w:pBdr>
          <w:bottom w:val="single" w:sz="4" w:space="1" w:color="auto"/>
        </w:pBdr>
        <w:spacing w:after="0" w:line="240" w:lineRule="auto"/>
        <w:ind w:left="0"/>
        <w:jc w:val="both"/>
        <w:rPr>
          <w:rFonts w:ascii="Times New Roman" w:hAnsi="Times New Roman" w:cs="Times New Roman"/>
          <w:sz w:val="24"/>
          <w:szCs w:val="24"/>
          <w:highlight w:val="yellow"/>
        </w:rPr>
      </w:pPr>
    </w:p>
    <w:p w:rsidR="00BB491A" w:rsidRPr="001C15EE" w:rsidRDefault="00BB491A" w:rsidP="006B66D1">
      <w:pPr>
        <w:pStyle w:val="Tekstpodstawowywcity"/>
        <w:pBdr>
          <w:bottom w:val="single" w:sz="4" w:space="1" w:color="auto"/>
        </w:pBdr>
        <w:spacing w:after="0" w:line="240" w:lineRule="auto"/>
        <w:ind w:left="0"/>
        <w:jc w:val="both"/>
        <w:rPr>
          <w:rFonts w:ascii="Times New Roman" w:hAnsi="Times New Roman" w:cs="Times New Roman"/>
          <w:sz w:val="16"/>
          <w:szCs w:val="16"/>
          <w:highlight w:val="yellow"/>
        </w:rPr>
      </w:pPr>
    </w:p>
    <w:p w:rsidR="00242C45" w:rsidRPr="00D5788D" w:rsidRDefault="008C1EA0" w:rsidP="006B66D1">
      <w:pPr>
        <w:pStyle w:val="Tekstpodstawowywcity"/>
        <w:pBdr>
          <w:bottom w:val="single" w:sz="4" w:space="1" w:color="auto"/>
        </w:pBdr>
        <w:spacing w:after="0" w:line="240" w:lineRule="auto"/>
        <w:ind w:left="0"/>
        <w:jc w:val="both"/>
        <w:rPr>
          <w:rFonts w:ascii="Times New Roman" w:hAnsi="Times New Roman" w:cs="Times New Roman"/>
          <w:sz w:val="24"/>
          <w:szCs w:val="24"/>
        </w:rPr>
      </w:pPr>
      <w:r w:rsidRPr="00D5788D">
        <w:rPr>
          <w:rFonts w:ascii="Times New Roman" w:hAnsi="Times New Roman" w:cs="Times New Roman"/>
          <w:sz w:val="24"/>
          <w:szCs w:val="24"/>
        </w:rPr>
        <w:t>Wnioski</w:t>
      </w:r>
      <w:r w:rsidR="00242C45" w:rsidRPr="00D5788D">
        <w:rPr>
          <w:rFonts w:ascii="Times New Roman" w:hAnsi="Times New Roman" w:cs="Times New Roman"/>
          <w:sz w:val="24"/>
          <w:szCs w:val="24"/>
        </w:rPr>
        <w:t>:</w:t>
      </w:r>
    </w:p>
    <w:p w:rsidR="008C1EA0" w:rsidRPr="003866E9" w:rsidRDefault="008C1EA0" w:rsidP="008C1EA0">
      <w:pPr>
        <w:pStyle w:val="Tekstpodstawowywcity"/>
        <w:spacing w:after="0" w:line="360" w:lineRule="auto"/>
        <w:ind w:left="0"/>
        <w:jc w:val="both"/>
        <w:rPr>
          <w:rFonts w:ascii="Times New Roman" w:hAnsi="Times New Roman" w:cs="Times New Roman"/>
          <w:sz w:val="18"/>
          <w:szCs w:val="18"/>
        </w:rPr>
      </w:pPr>
      <w:r w:rsidRPr="003866E9">
        <w:rPr>
          <w:rFonts w:ascii="Times New Roman" w:hAnsi="Times New Roman" w:cs="Times New Roman"/>
          <w:sz w:val="18"/>
          <w:szCs w:val="18"/>
        </w:rPr>
        <w:t>(na podstawie danych</w:t>
      </w:r>
      <w:r w:rsidR="00AE5712" w:rsidRPr="003866E9">
        <w:rPr>
          <w:rFonts w:ascii="Times New Roman" w:hAnsi="Times New Roman" w:cs="Times New Roman"/>
          <w:sz w:val="18"/>
          <w:szCs w:val="18"/>
        </w:rPr>
        <w:t xml:space="preserve"> z </w:t>
      </w:r>
      <w:r w:rsidR="00AF49A3" w:rsidRPr="003866E9">
        <w:rPr>
          <w:rFonts w:ascii="Times New Roman" w:hAnsi="Times New Roman" w:cs="Times New Roman"/>
          <w:sz w:val="18"/>
          <w:szCs w:val="18"/>
        </w:rPr>
        <w:t>t</w:t>
      </w:r>
      <w:r w:rsidRPr="003866E9">
        <w:rPr>
          <w:rFonts w:ascii="Times New Roman" w:hAnsi="Times New Roman" w:cs="Times New Roman"/>
          <w:sz w:val="18"/>
          <w:szCs w:val="18"/>
        </w:rPr>
        <w:t>abeli 2</w:t>
      </w:r>
      <w:r w:rsidR="00242C45" w:rsidRPr="003866E9">
        <w:rPr>
          <w:rFonts w:ascii="Times New Roman" w:hAnsi="Times New Roman" w:cs="Times New Roman"/>
          <w:sz w:val="18"/>
          <w:szCs w:val="18"/>
        </w:rPr>
        <w:t>,</w:t>
      </w:r>
      <w:r w:rsidRPr="003866E9">
        <w:rPr>
          <w:rFonts w:ascii="Times New Roman" w:hAnsi="Times New Roman" w:cs="Times New Roman"/>
          <w:sz w:val="18"/>
          <w:szCs w:val="18"/>
        </w:rPr>
        <w:t xml:space="preserve">3 </w:t>
      </w:r>
      <w:r w:rsidR="00AF49A3" w:rsidRPr="003866E9">
        <w:rPr>
          <w:rFonts w:ascii="Times New Roman" w:hAnsi="Times New Roman" w:cs="Times New Roman"/>
          <w:sz w:val="18"/>
          <w:szCs w:val="18"/>
        </w:rPr>
        <w:t>i</w:t>
      </w:r>
      <w:r w:rsidRPr="003866E9">
        <w:rPr>
          <w:rFonts w:ascii="Times New Roman" w:hAnsi="Times New Roman" w:cs="Times New Roman"/>
          <w:sz w:val="18"/>
          <w:szCs w:val="18"/>
        </w:rPr>
        <w:t xml:space="preserve"> </w:t>
      </w:r>
      <w:r w:rsidR="00AF49A3" w:rsidRPr="003866E9">
        <w:rPr>
          <w:rFonts w:ascii="Times New Roman" w:hAnsi="Times New Roman" w:cs="Times New Roman"/>
          <w:sz w:val="18"/>
          <w:szCs w:val="18"/>
        </w:rPr>
        <w:t>w</w:t>
      </w:r>
      <w:r w:rsidRPr="003866E9">
        <w:rPr>
          <w:rFonts w:ascii="Times New Roman" w:hAnsi="Times New Roman" w:cs="Times New Roman"/>
          <w:sz w:val="18"/>
          <w:szCs w:val="18"/>
        </w:rPr>
        <w:t xml:space="preserve">ykresu </w:t>
      </w:r>
      <w:r w:rsidR="00857674" w:rsidRPr="003866E9">
        <w:rPr>
          <w:rFonts w:ascii="Times New Roman" w:hAnsi="Times New Roman" w:cs="Times New Roman"/>
          <w:sz w:val="18"/>
          <w:szCs w:val="18"/>
        </w:rPr>
        <w:t>3</w:t>
      </w:r>
      <w:r w:rsidR="00AD7838">
        <w:rPr>
          <w:rFonts w:ascii="Times New Roman" w:hAnsi="Times New Roman" w:cs="Times New Roman"/>
          <w:sz w:val="18"/>
          <w:szCs w:val="18"/>
        </w:rPr>
        <w:t xml:space="preserve"> A,B  i  </w:t>
      </w:r>
      <w:r w:rsidR="00857674" w:rsidRPr="003866E9">
        <w:rPr>
          <w:rFonts w:ascii="Times New Roman" w:hAnsi="Times New Roman" w:cs="Times New Roman"/>
          <w:sz w:val="18"/>
          <w:szCs w:val="18"/>
        </w:rPr>
        <w:t>4</w:t>
      </w:r>
      <w:r w:rsidR="00AD7838">
        <w:rPr>
          <w:rFonts w:ascii="Times New Roman" w:hAnsi="Times New Roman" w:cs="Times New Roman"/>
          <w:sz w:val="18"/>
          <w:szCs w:val="18"/>
        </w:rPr>
        <w:t xml:space="preserve"> A,B</w:t>
      </w:r>
      <w:r w:rsidRPr="003866E9">
        <w:rPr>
          <w:rFonts w:ascii="Times New Roman" w:hAnsi="Times New Roman" w:cs="Times New Roman"/>
          <w:sz w:val="18"/>
          <w:szCs w:val="18"/>
        </w:rPr>
        <w:t>)</w:t>
      </w:r>
    </w:p>
    <w:p w:rsidR="00C741CE" w:rsidRPr="00AD7838" w:rsidRDefault="00C741CE" w:rsidP="008C1EA0">
      <w:pPr>
        <w:pStyle w:val="Tekstpodstawowywcity"/>
        <w:spacing w:after="0" w:line="360" w:lineRule="auto"/>
        <w:ind w:left="0"/>
        <w:jc w:val="both"/>
        <w:rPr>
          <w:rFonts w:ascii="Times New Roman" w:hAnsi="Times New Roman" w:cs="Times New Roman"/>
          <w:strike/>
          <w:sz w:val="16"/>
          <w:szCs w:val="16"/>
          <w:highlight w:val="yellow"/>
          <w:vertAlign w:val="subscript"/>
        </w:rPr>
      </w:pPr>
    </w:p>
    <w:p w:rsidR="00BB491A" w:rsidRPr="00BB491A" w:rsidRDefault="008C1EA0" w:rsidP="00BB491A">
      <w:pPr>
        <w:pStyle w:val="Akapitzlist"/>
        <w:numPr>
          <w:ilvl w:val="0"/>
          <w:numId w:val="17"/>
        </w:numPr>
        <w:spacing w:after="0" w:line="360" w:lineRule="auto"/>
        <w:jc w:val="both"/>
        <w:rPr>
          <w:rFonts w:ascii="Times New Roman" w:hAnsi="Times New Roman" w:cs="Times New Roman"/>
          <w:sz w:val="24"/>
          <w:szCs w:val="24"/>
        </w:rPr>
      </w:pPr>
      <w:r w:rsidRPr="00BB491A">
        <w:rPr>
          <w:rFonts w:ascii="Times New Roman" w:hAnsi="Times New Roman" w:cs="Times New Roman"/>
          <w:sz w:val="24"/>
          <w:szCs w:val="24"/>
        </w:rPr>
        <w:t>Maleje odsetek ludności</w:t>
      </w:r>
      <w:r w:rsidR="00AE5712" w:rsidRPr="00BB491A">
        <w:rPr>
          <w:rFonts w:ascii="Times New Roman" w:hAnsi="Times New Roman" w:cs="Times New Roman"/>
          <w:sz w:val="24"/>
          <w:szCs w:val="24"/>
        </w:rPr>
        <w:t xml:space="preserve"> w </w:t>
      </w:r>
      <w:r w:rsidRPr="00BB491A">
        <w:rPr>
          <w:rFonts w:ascii="Times New Roman" w:hAnsi="Times New Roman" w:cs="Times New Roman"/>
          <w:sz w:val="24"/>
          <w:szCs w:val="24"/>
        </w:rPr>
        <w:t>wieku przedprodukcyjnym (z 30,5</w:t>
      </w:r>
      <w:r w:rsidR="000B5F3B" w:rsidRPr="00BB491A">
        <w:rPr>
          <w:rFonts w:ascii="Times New Roman" w:hAnsi="Times New Roman" w:cs="Times New Roman"/>
          <w:sz w:val="24"/>
          <w:szCs w:val="24"/>
        </w:rPr>
        <w:t xml:space="preserve"> </w:t>
      </w:r>
      <w:r w:rsidRPr="00BB491A">
        <w:rPr>
          <w:rFonts w:ascii="Times New Roman" w:hAnsi="Times New Roman" w:cs="Times New Roman"/>
          <w:sz w:val="24"/>
          <w:szCs w:val="24"/>
        </w:rPr>
        <w:t>%</w:t>
      </w:r>
      <w:r w:rsidR="00AE5712" w:rsidRPr="00BB491A">
        <w:rPr>
          <w:rFonts w:ascii="Times New Roman" w:hAnsi="Times New Roman" w:cs="Times New Roman"/>
          <w:sz w:val="24"/>
          <w:szCs w:val="24"/>
        </w:rPr>
        <w:t xml:space="preserve"> w </w:t>
      </w:r>
      <w:r w:rsidRPr="00BB491A">
        <w:rPr>
          <w:rFonts w:ascii="Times New Roman" w:hAnsi="Times New Roman" w:cs="Times New Roman"/>
          <w:sz w:val="24"/>
          <w:szCs w:val="24"/>
        </w:rPr>
        <w:t>1995</w:t>
      </w:r>
      <w:r w:rsidR="00AE5712" w:rsidRPr="00BB491A">
        <w:rPr>
          <w:rFonts w:ascii="Times New Roman" w:hAnsi="Times New Roman" w:cs="Times New Roman"/>
          <w:sz w:val="24"/>
          <w:szCs w:val="24"/>
        </w:rPr>
        <w:t> r.</w:t>
      </w:r>
      <w:r w:rsidRPr="00BB491A">
        <w:rPr>
          <w:rFonts w:ascii="Times New Roman" w:hAnsi="Times New Roman" w:cs="Times New Roman"/>
          <w:sz w:val="24"/>
          <w:szCs w:val="24"/>
        </w:rPr>
        <w:t xml:space="preserve"> do 18,</w:t>
      </w:r>
      <w:r w:rsidR="000B5F3B" w:rsidRPr="00BB491A">
        <w:rPr>
          <w:rFonts w:ascii="Times New Roman" w:hAnsi="Times New Roman" w:cs="Times New Roman"/>
          <w:sz w:val="24"/>
          <w:szCs w:val="24"/>
        </w:rPr>
        <w:t>3 </w:t>
      </w:r>
      <w:r w:rsidRPr="00BB491A">
        <w:rPr>
          <w:rFonts w:ascii="Times New Roman" w:hAnsi="Times New Roman" w:cs="Times New Roman"/>
          <w:sz w:val="24"/>
          <w:szCs w:val="24"/>
        </w:rPr>
        <w:t>%</w:t>
      </w:r>
      <w:r w:rsidR="00AE5712" w:rsidRPr="00BB491A">
        <w:rPr>
          <w:rFonts w:ascii="Times New Roman" w:hAnsi="Times New Roman" w:cs="Times New Roman"/>
          <w:sz w:val="24"/>
          <w:szCs w:val="24"/>
        </w:rPr>
        <w:t xml:space="preserve"> w </w:t>
      </w:r>
      <w:r w:rsidR="00AF49A3" w:rsidRPr="00BB491A">
        <w:rPr>
          <w:rFonts w:ascii="Times New Roman" w:hAnsi="Times New Roman" w:cs="Times New Roman"/>
          <w:sz w:val="24"/>
          <w:szCs w:val="24"/>
        </w:rPr>
        <w:t>201</w:t>
      </w:r>
      <w:r w:rsidR="000B5F3B" w:rsidRPr="00BB491A">
        <w:rPr>
          <w:rFonts w:ascii="Times New Roman" w:hAnsi="Times New Roman" w:cs="Times New Roman"/>
          <w:sz w:val="24"/>
          <w:szCs w:val="24"/>
        </w:rPr>
        <w:t>7</w:t>
      </w:r>
      <w:r w:rsidR="00AE5712" w:rsidRPr="00BB491A">
        <w:rPr>
          <w:rFonts w:ascii="Times New Roman" w:hAnsi="Times New Roman" w:cs="Times New Roman"/>
          <w:sz w:val="24"/>
          <w:szCs w:val="24"/>
        </w:rPr>
        <w:t> r</w:t>
      </w:r>
      <w:r w:rsidR="008042C2" w:rsidRPr="00BB491A">
        <w:rPr>
          <w:rFonts w:ascii="Times New Roman" w:hAnsi="Times New Roman" w:cs="Times New Roman"/>
          <w:sz w:val="24"/>
          <w:szCs w:val="24"/>
        </w:rPr>
        <w:t>oku</w:t>
      </w:r>
      <w:r w:rsidRPr="00BB491A">
        <w:rPr>
          <w:rFonts w:ascii="Times New Roman" w:hAnsi="Times New Roman" w:cs="Times New Roman"/>
          <w:sz w:val="24"/>
          <w:szCs w:val="24"/>
        </w:rPr>
        <w:t>).</w:t>
      </w:r>
      <w:r w:rsidR="00BB491A" w:rsidRPr="00BB491A">
        <w:rPr>
          <w:rFonts w:ascii="Times New Roman" w:hAnsi="Times New Roman" w:cs="Times New Roman"/>
          <w:sz w:val="24"/>
          <w:szCs w:val="24"/>
        </w:rPr>
        <w:br w:type="page"/>
      </w:r>
    </w:p>
    <w:p w:rsidR="008C1EA0" w:rsidRPr="000B5F3B" w:rsidRDefault="008042C2" w:rsidP="00160DBC">
      <w:pPr>
        <w:pStyle w:val="Akapitzlist"/>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w:t>
      </w:r>
      <w:r w:rsidR="008E2047" w:rsidRPr="000B5F3B">
        <w:rPr>
          <w:rFonts w:ascii="Times New Roman" w:hAnsi="Times New Roman" w:cs="Times New Roman"/>
          <w:sz w:val="24"/>
          <w:szCs w:val="24"/>
        </w:rPr>
        <w:t xml:space="preserve">graniczenie </w:t>
      </w:r>
      <w:r w:rsidR="008C1EA0" w:rsidRPr="000B5F3B">
        <w:rPr>
          <w:rFonts w:ascii="Times New Roman" w:hAnsi="Times New Roman" w:cs="Times New Roman"/>
          <w:sz w:val="24"/>
          <w:szCs w:val="24"/>
        </w:rPr>
        <w:t>wzrostu liczby ludności</w:t>
      </w:r>
      <w:r w:rsidR="00AE5712" w:rsidRPr="000B5F3B">
        <w:rPr>
          <w:rFonts w:ascii="Times New Roman" w:hAnsi="Times New Roman" w:cs="Times New Roman"/>
          <w:sz w:val="24"/>
          <w:szCs w:val="24"/>
        </w:rPr>
        <w:t xml:space="preserve"> w </w:t>
      </w:r>
      <w:r w:rsidR="008C1EA0" w:rsidRPr="000B5F3B">
        <w:rPr>
          <w:rFonts w:ascii="Times New Roman" w:hAnsi="Times New Roman" w:cs="Times New Roman"/>
          <w:sz w:val="24"/>
          <w:szCs w:val="24"/>
        </w:rPr>
        <w:t xml:space="preserve">wieku </w:t>
      </w:r>
      <w:r w:rsidR="008E2047" w:rsidRPr="000B5F3B">
        <w:rPr>
          <w:rFonts w:ascii="Times New Roman" w:hAnsi="Times New Roman" w:cs="Times New Roman"/>
          <w:sz w:val="24"/>
          <w:szCs w:val="24"/>
        </w:rPr>
        <w:t>przedprodukcyjnym</w:t>
      </w:r>
      <w:r>
        <w:rPr>
          <w:rFonts w:ascii="Times New Roman" w:hAnsi="Times New Roman" w:cs="Times New Roman"/>
          <w:sz w:val="24"/>
          <w:szCs w:val="24"/>
        </w:rPr>
        <w:t xml:space="preserve">, pomimo dodatniego salda migracji w tej kategorii ekonomicznej od 2014 roku, </w:t>
      </w:r>
      <w:r w:rsidR="006A7CF1" w:rsidRPr="000B5F3B">
        <w:rPr>
          <w:rFonts w:ascii="Times New Roman" w:hAnsi="Times New Roman" w:cs="Times New Roman"/>
          <w:sz w:val="24"/>
          <w:szCs w:val="24"/>
        </w:rPr>
        <w:t xml:space="preserve">współwystępuje </w:t>
      </w:r>
      <w:r w:rsidR="008C1EA0" w:rsidRPr="000B5F3B">
        <w:rPr>
          <w:rFonts w:ascii="Times New Roman" w:hAnsi="Times New Roman" w:cs="Times New Roman"/>
          <w:sz w:val="24"/>
          <w:szCs w:val="24"/>
        </w:rPr>
        <w:t>ze wzrostem liczby ludności</w:t>
      </w:r>
      <w:r w:rsidR="00AE5712" w:rsidRPr="000B5F3B">
        <w:rPr>
          <w:rFonts w:ascii="Times New Roman" w:hAnsi="Times New Roman" w:cs="Times New Roman"/>
          <w:sz w:val="24"/>
          <w:szCs w:val="24"/>
        </w:rPr>
        <w:t xml:space="preserve"> w </w:t>
      </w:r>
      <w:r w:rsidR="008C1EA0" w:rsidRPr="000B5F3B">
        <w:rPr>
          <w:rFonts w:ascii="Times New Roman" w:hAnsi="Times New Roman" w:cs="Times New Roman"/>
          <w:sz w:val="24"/>
          <w:szCs w:val="24"/>
        </w:rPr>
        <w:t>wieku poprodukcyjnym.</w:t>
      </w:r>
    </w:p>
    <w:p w:rsidR="002D4EF1" w:rsidRPr="000B5F3B" w:rsidRDefault="0037146B" w:rsidP="00160DBC">
      <w:pPr>
        <w:pStyle w:val="Akapitzlist"/>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Wzrasta wskaźnik obciążenia demograficznego. P</w:t>
      </w:r>
      <w:r w:rsidRPr="000B5F3B">
        <w:rPr>
          <w:rFonts w:ascii="Times New Roman" w:hAnsi="Times New Roman" w:cs="Times New Roman"/>
          <w:sz w:val="24"/>
          <w:szCs w:val="24"/>
        </w:rPr>
        <w:t xml:space="preserve">o </w:t>
      </w:r>
      <w:r>
        <w:rPr>
          <w:rFonts w:ascii="Times New Roman" w:hAnsi="Times New Roman" w:cs="Times New Roman"/>
          <w:sz w:val="24"/>
          <w:szCs w:val="24"/>
        </w:rPr>
        <w:t xml:space="preserve">spadku jego wartości </w:t>
      </w:r>
      <w:r w:rsidRPr="000B5F3B">
        <w:rPr>
          <w:rFonts w:ascii="Times New Roman" w:hAnsi="Times New Roman" w:cs="Times New Roman"/>
          <w:sz w:val="24"/>
          <w:szCs w:val="24"/>
        </w:rPr>
        <w:t>w regionie do 2011 r.</w:t>
      </w:r>
      <w:r>
        <w:rPr>
          <w:rFonts w:ascii="Times New Roman" w:hAnsi="Times New Roman" w:cs="Times New Roman"/>
          <w:sz w:val="24"/>
          <w:szCs w:val="24"/>
        </w:rPr>
        <w:t xml:space="preserve"> następuje od 2012 roku  p</w:t>
      </w:r>
      <w:r w:rsidR="002D4EF1" w:rsidRPr="000B5F3B">
        <w:rPr>
          <w:rFonts w:ascii="Times New Roman" w:hAnsi="Times New Roman" w:cs="Times New Roman"/>
          <w:sz w:val="24"/>
          <w:szCs w:val="24"/>
        </w:rPr>
        <w:t>onown</w:t>
      </w:r>
      <w:r>
        <w:rPr>
          <w:rFonts w:ascii="Times New Roman" w:hAnsi="Times New Roman" w:cs="Times New Roman"/>
          <w:sz w:val="24"/>
          <w:szCs w:val="24"/>
        </w:rPr>
        <w:t xml:space="preserve">y wzrost. Wskaźnik obciążenia demograficznego oznacza iloraz </w:t>
      </w:r>
      <w:r w:rsidR="002D4EF1" w:rsidRPr="000B5F3B">
        <w:rPr>
          <w:rFonts w:ascii="Times New Roman" w:hAnsi="Times New Roman" w:cs="Times New Roman"/>
          <w:sz w:val="24"/>
          <w:szCs w:val="24"/>
        </w:rPr>
        <w:t xml:space="preserve">ludności w wieku nieprodukcyjnym </w:t>
      </w:r>
      <w:r w:rsidR="008042C2">
        <w:rPr>
          <w:rFonts w:ascii="Times New Roman" w:hAnsi="Times New Roman" w:cs="Times New Roman"/>
          <w:sz w:val="24"/>
          <w:szCs w:val="24"/>
        </w:rPr>
        <w:t xml:space="preserve">(tj. przed- i poprodukcyjnym), która jest </w:t>
      </w:r>
      <w:r>
        <w:rPr>
          <w:rFonts w:ascii="Times New Roman" w:hAnsi="Times New Roman" w:cs="Times New Roman"/>
          <w:sz w:val="24"/>
          <w:szCs w:val="24"/>
        </w:rPr>
        <w:t>porównywana</w:t>
      </w:r>
      <w:r w:rsidR="008042C2">
        <w:rPr>
          <w:rFonts w:ascii="Times New Roman" w:hAnsi="Times New Roman" w:cs="Times New Roman"/>
          <w:sz w:val="24"/>
          <w:szCs w:val="24"/>
        </w:rPr>
        <w:t xml:space="preserve"> do osób będących w </w:t>
      </w:r>
      <w:r w:rsidR="002D4EF1" w:rsidRPr="000B5F3B">
        <w:rPr>
          <w:rFonts w:ascii="Times New Roman" w:hAnsi="Times New Roman" w:cs="Times New Roman"/>
          <w:sz w:val="24"/>
          <w:szCs w:val="24"/>
        </w:rPr>
        <w:t>wieku produkcyjnym</w:t>
      </w:r>
      <w:r>
        <w:rPr>
          <w:rFonts w:ascii="Times New Roman" w:hAnsi="Times New Roman" w:cs="Times New Roman"/>
          <w:sz w:val="24"/>
          <w:szCs w:val="24"/>
        </w:rPr>
        <w:t> </w:t>
      </w:r>
      <w:r w:rsidR="002D4EF1" w:rsidRPr="000B5F3B">
        <w:rPr>
          <w:rStyle w:val="Odwoanieprzypisudolnego"/>
          <w:rFonts w:ascii="Times New Roman" w:hAnsi="Times New Roman" w:cs="Times New Roman"/>
          <w:sz w:val="24"/>
          <w:szCs w:val="24"/>
        </w:rPr>
        <w:footnoteReference w:id="9"/>
      </w:r>
      <w:r w:rsidR="002D4EF1" w:rsidRPr="000B5F3B">
        <w:rPr>
          <w:rFonts w:ascii="Times New Roman" w:hAnsi="Times New Roman" w:cs="Times New Roman"/>
          <w:sz w:val="24"/>
          <w:szCs w:val="24"/>
        </w:rPr>
        <w:t>.</w:t>
      </w:r>
      <w:r>
        <w:rPr>
          <w:rFonts w:ascii="Times New Roman" w:hAnsi="Times New Roman" w:cs="Times New Roman"/>
          <w:sz w:val="24"/>
          <w:szCs w:val="24"/>
        </w:rPr>
        <w:t xml:space="preserve"> </w:t>
      </w:r>
    </w:p>
    <w:p w:rsidR="00163F52" w:rsidRDefault="00163F52" w:rsidP="00163F52">
      <w:pPr>
        <w:spacing w:after="0" w:line="240" w:lineRule="auto"/>
        <w:rPr>
          <w:rFonts w:ascii="Times New Roman" w:hAnsi="Times New Roman" w:cs="Times New Roman"/>
          <w:sz w:val="16"/>
          <w:szCs w:val="16"/>
          <w:highlight w:val="yellow"/>
        </w:rPr>
      </w:pPr>
      <w:bookmarkStart w:id="6" w:name="_Toc446334629"/>
    </w:p>
    <w:p w:rsidR="00163F52" w:rsidRPr="00C75C71" w:rsidRDefault="00163F52" w:rsidP="00163F52">
      <w:pPr>
        <w:spacing w:after="0" w:line="240" w:lineRule="auto"/>
        <w:rPr>
          <w:rFonts w:ascii="Times New Roman" w:hAnsi="Times New Roman" w:cs="Times New Roman"/>
          <w:sz w:val="16"/>
          <w:szCs w:val="16"/>
          <w:highlight w:val="yellow"/>
        </w:rPr>
      </w:pPr>
    </w:p>
    <w:p w:rsidR="00B92E45" w:rsidRPr="00BB491A" w:rsidRDefault="00B92E45" w:rsidP="00BB491A">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7" w:name="_Toc938718"/>
      <w:r w:rsidRPr="00BB491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Stan</w:t>
      </w:r>
      <w:r w:rsidR="004434E2" w:rsidRPr="00BB491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BB491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434E2" w:rsidRPr="00BB491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BB491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rozwoju </w:t>
      </w:r>
      <w:r w:rsidR="004434E2" w:rsidRPr="00BB491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BB491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przedsiębiorczości</w:t>
      </w:r>
      <w:r w:rsidR="00330F97" w:rsidRPr="00BB491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Pr="00BB491A">
        <w:rPr>
          <w:rFonts w:ascii="Times New Roman" w:hAnsi="Times New Roman" w:cs="Times New Roman"/>
          <w:caps/>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footnoteReference w:id="10"/>
      </w:r>
      <w:bookmarkEnd w:id="6"/>
      <w:bookmarkEnd w:id="7"/>
    </w:p>
    <w:p w:rsidR="008613FC" w:rsidRDefault="008613FC" w:rsidP="00B92E45">
      <w:pPr>
        <w:pStyle w:val="Bezodstpw"/>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B92E45" w:rsidRPr="00C10ED1" w:rsidRDefault="00107D62" w:rsidP="00B92E45">
      <w:pPr>
        <w:pStyle w:val="Bezodstpw"/>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10ED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B92E45" w:rsidRPr="00C10ED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Tabela </w:t>
      </w:r>
      <w:r w:rsidR="00220855" w:rsidRPr="00C10ED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4</w:t>
      </w:r>
      <w:r w:rsidR="00B92E45" w:rsidRPr="00C10ED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5C72B7" w:rsidRPr="00C10ED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00B92E45" w:rsidRPr="00C10ED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Podmioty gospodarki narodowej</w:t>
      </w:r>
      <w:r w:rsidR="00AE5712" w:rsidRPr="00C10ED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t>
      </w:r>
      <w:r w:rsidR="00B92E45" w:rsidRPr="00C10ED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województwach</w:t>
      </w:r>
    </w:p>
    <w:tbl>
      <w:tblPr>
        <w:tblStyle w:val="Tabela-Siatka"/>
        <w:tblW w:w="0" w:type="auto"/>
        <w:jc w:val="center"/>
        <w:tblLook w:val="04A0" w:firstRow="1" w:lastRow="0" w:firstColumn="1" w:lastColumn="0" w:noHBand="0" w:noVBand="1"/>
      </w:tblPr>
      <w:tblGrid>
        <w:gridCol w:w="2693"/>
        <w:gridCol w:w="2410"/>
        <w:gridCol w:w="2199"/>
      </w:tblGrid>
      <w:tr w:rsidR="001F504A" w:rsidRPr="00C75C71" w:rsidTr="001863F2">
        <w:trPr>
          <w:trHeight w:val="285"/>
          <w:jc w:val="center"/>
        </w:trPr>
        <w:tc>
          <w:tcPr>
            <w:tcW w:w="2693" w:type="dxa"/>
            <w:tcBorders>
              <w:right w:val="single" w:sz="4" w:space="0" w:color="auto"/>
            </w:tcBorders>
            <w:shd w:val="clear" w:color="auto" w:fill="E5DFEC" w:themeFill="accent4" w:themeFillTint="33"/>
            <w:noWrap/>
            <w:vAlign w:val="center"/>
            <w:hideMark/>
          </w:tcPr>
          <w:p w:rsidR="001863F2" w:rsidRPr="00CB036B" w:rsidRDefault="00CB036B" w:rsidP="00CB036B">
            <w:pPr>
              <w:pStyle w:val="Bezodstpw"/>
              <w:jc w:val="center"/>
              <w:rPr>
                <w:rFonts w:ascii="Times New Roman" w:hAnsi="Times New Roman" w:cs="Times New Roman"/>
                <w:b/>
                <w:sz w:val="16"/>
                <w:szCs w:val="16"/>
              </w:rPr>
            </w:pPr>
            <w:r w:rsidRPr="00CB036B">
              <w:rPr>
                <w:rFonts w:ascii="Times New Roman" w:hAnsi="Times New Roman" w:cs="Times New Roman"/>
                <w:b/>
                <w:sz w:val="16"/>
                <w:szCs w:val="16"/>
              </w:rPr>
              <w:t>WOJEWÓDZTWA</w:t>
            </w:r>
          </w:p>
        </w:tc>
        <w:tc>
          <w:tcPr>
            <w:tcW w:w="241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1863F2" w:rsidRPr="00C10ED1" w:rsidRDefault="00CB036B" w:rsidP="007F7507">
            <w:pPr>
              <w:pStyle w:val="Bezodstpw"/>
              <w:jc w:val="center"/>
              <w:rPr>
                <w:rFonts w:ascii="Times New Roman" w:hAnsi="Times New Roman" w:cs="Times New Roman"/>
                <w:b/>
                <w:sz w:val="20"/>
                <w:szCs w:val="20"/>
              </w:rPr>
            </w:pPr>
            <w:r>
              <w:rPr>
                <w:rFonts w:ascii="Times New Roman" w:hAnsi="Times New Roman" w:cs="Times New Roman"/>
                <w:b/>
                <w:sz w:val="20"/>
                <w:szCs w:val="20"/>
              </w:rPr>
              <w:t>l</w:t>
            </w:r>
            <w:r w:rsidR="001863F2" w:rsidRPr="00C10ED1">
              <w:rPr>
                <w:rFonts w:ascii="Times New Roman" w:hAnsi="Times New Roman" w:cs="Times New Roman"/>
                <w:b/>
                <w:sz w:val="20"/>
                <w:szCs w:val="20"/>
              </w:rPr>
              <w:t>iczba podmiotów</w:t>
            </w:r>
          </w:p>
          <w:p w:rsidR="001863F2" w:rsidRPr="00C75C71" w:rsidRDefault="001863F2" w:rsidP="00C10ED1">
            <w:pPr>
              <w:pStyle w:val="Bezodstpw"/>
              <w:jc w:val="center"/>
              <w:rPr>
                <w:rFonts w:ascii="Times New Roman" w:hAnsi="Times New Roman" w:cs="Times New Roman"/>
                <w:b/>
                <w:sz w:val="20"/>
                <w:szCs w:val="20"/>
                <w:highlight w:val="yellow"/>
              </w:rPr>
            </w:pPr>
            <w:r w:rsidRPr="00C10ED1">
              <w:rPr>
                <w:rFonts w:ascii="Times New Roman" w:hAnsi="Times New Roman" w:cs="Times New Roman"/>
                <w:b/>
                <w:sz w:val="20"/>
                <w:szCs w:val="20"/>
              </w:rPr>
              <w:t>na dzień 31 XII ‘1</w:t>
            </w:r>
            <w:r w:rsidR="00C10ED1" w:rsidRPr="00C10ED1">
              <w:rPr>
                <w:rFonts w:ascii="Times New Roman" w:hAnsi="Times New Roman" w:cs="Times New Roman"/>
                <w:b/>
                <w:sz w:val="20"/>
                <w:szCs w:val="20"/>
              </w:rPr>
              <w:t>7</w:t>
            </w:r>
          </w:p>
        </w:tc>
        <w:tc>
          <w:tcPr>
            <w:tcW w:w="219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863F2" w:rsidRPr="00C10ED1" w:rsidRDefault="001863F2" w:rsidP="001863F2">
            <w:pPr>
              <w:pStyle w:val="Bezodstpw"/>
              <w:jc w:val="center"/>
              <w:rPr>
                <w:rFonts w:ascii="Times New Roman" w:hAnsi="Times New Roman" w:cs="Times New Roman"/>
                <w:b/>
                <w:sz w:val="20"/>
                <w:szCs w:val="20"/>
              </w:rPr>
            </w:pPr>
            <w:r w:rsidRPr="00C10ED1">
              <w:rPr>
                <w:rFonts w:ascii="Times New Roman" w:hAnsi="Times New Roman" w:cs="Times New Roman"/>
                <w:b/>
                <w:sz w:val="20"/>
                <w:szCs w:val="20"/>
              </w:rPr>
              <w:t>liczba podmiotów</w:t>
            </w:r>
          </w:p>
          <w:p w:rsidR="001863F2" w:rsidRPr="00C75C71" w:rsidRDefault="001863F2" w:rsidP="00C10ED1">
            <w:pPr>
              <w:pStyle w:val="Bezodstpw"/>
              <w:jc w:val="center"/>
              <w:rPr>
                <w:rFonts w:ascii="Times New Roman" w:hAnsi="Times New Roman" w:cs="Times New Roman"/>
                <w:b/>
                <w:sz w:val="20"/>
                <w:szCs w:val="20"/>
                <w:highlight w:val="yellow"/>
              </w:rPr>
            </w:pPr>
            <w:r w:rsidRPr="00C10ED1">
              <w:rPr>
                <w:rFonts w:ascii="Times New Roman" w:hAnsi="Times New Roman" w:cs="Times New Roman"/>
                <w:b/>
                <w:sz w:val="20"/>
                <w:szCs w:val="20"/>
              </w:rPr>
              <w:t>na dzień 31 XII ‘1</w:t>
            </w:r>
            <w:r w:rsidR="00C10ED1" w:rsidRPr="00C10ED1">
              <w:rPr>
                <w:rFonts w:ascii="Times New Roman" w:hAnsi="Times New Roman" w:cs="Times New Roman"/>
                <w:b/>
                <w:sz w:val="20"/>
                <w:szCs w:val="20"/>
              </w:rPr>
              <w:t>8</w:t>
            </w:r>
          </w:p>
        </w:tc>
      </w:tr>
      <w:tr w:rsidR="00C10ED1" w:rsidRPr="00C75C71" w:rsidTr="00E30334">
        <w:trPr>
          <w:trHeight w:val="109"/>
          <w:jc w:val="center"/>
        </w:trPr>
        <w:tc>
          <w:tcPr>
            <w:tcW w:w="2693" w:type="dxa"/>
            <w:tcBorders>
              <w:right w:val="single" w:sz="4" w:space="0" w:color="auto"/>
            </w:tcBorders>
            <w:shd w:val="clear" w:color="auto" w:fill="FFFFFF" w:themeFill="background1"/>
            <w:noWrap/>
            <w:hideMark/>
          </w:tcPr>
          <w:p w:rsidR="00C10ED1" w:rsidRPr="00C10ED1" w:rsidRDefault="00EC0277" w:rsidP="00EC0277">
            <w:pPr>
              <w:pStyle w:val="Bezodstpw"/>
              <w:spacing w:line="200" w:lineRule="exact"/>
              <w:jc w:val="both"/>
              <w:rPr>
                <w:rFonts w:ascii="Times New Roman" w:hAnsi="Times New Roman" w:cs="Times New Roman"/>
                <w:sz w:val="16"/>
                <w:szCs w:val="16"/>
              </w:rPr>
            </w:pPr>
            <w:r w:rsidRPr="00C10ED1">
              <w:rPr>
                <w:rFonts w:ascii="Times New Roman" w:hAnsi="Times New Roman" w:cs="Times New Roman"/>
                <w:sz w:val="16"/>
                <w:szCs w:val="16"/>
              </w:rPr>
              <w:t>M</w:t>
            </w:r>
            <w:r>
              <w:rPr>
                <w:rFonts w:ascii="Times New Roman" w:hAnsi="Times New Roman" w:cs="Times New Roman"/>
                <w:sz w:val="16"/>
                <w:szCs w:val="16"/>
              </w:rPr>
              <w:t>AZOWIECKIE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10ED1" w:rsidRPr="00C10ED1" w:rsidRDefault="00C10ED1" w:rsidP="00F32733">
            <w:pPr>
              <w:pStyle w:val="Bezodstpw"/>
              <w:spacing w:line="200" w:lineRule="exact"/>
              <w:jc w:val="center"/>
              <w:rPr>
                <w:rFonts w:ascii="Times New Roman" w:hAnsi="Times New Roman" w:cs="Times New Roman"/>
                <w:sz w:val="16"/>
                <w:szCs w:val="16"/>
              </w:rPr>
            </w:pPr>
            <w:r w:rsidRPr="00C10ED1">
              <w:rPr>
                <w:rFonts w:ascii="Times New Roman" w:hAnsi="Times New Roman" w:cs="Times New Roman"/>
                <w:sz w:val="16"/>
                <w:szCs w:val="16"/>
              </w:rPr>
              <w:t>809 369</w:t>
            </w: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C10ED1" w:rsidRPr="00E30334" w:rsidRDefault="00776D51" w:rsidP="00055C65">
            <w:pPr>
              <w:pStyle w:val="Bezodstpw"/>
              <w:spacing w:line="200" w:lineRule="exact"/>
              <w:jc w:val="center"/>
              <w:rPr>
                <w:rFonts w:ascii="Times New Roman" w:hAnsi="Times New Roman" w:cs="Times New Roman"/>
                <w:sz w:val="16"/>
                <w:szCs w:val="16"/>
              </w:rPr>
            </w:pPr>
            <w:r w:rsidRPr="00E30334">
              <w:rPr>
                <w:rFonts w:ascii="Times New Roman" w:hAnsi="Times New Roman" w:cs="Times New Roman"/>
                <w:sz w:val="16"/>
                <w:szCs w:val="16"/>
              </w:rPr>
              <w:t>816 423</w:t>
            </w:r>
          </w:p>
        </w:tc>
      </w:tr>
      <w:tr w:rsidR="00C10ED1" w:rsidRPr="00C75C71" w:rsidTr="00E30334">
        <w:trPr>
          <w:trHeight w:val="144"/>
          <w:jc w:val="center"/>
        </w:trPr>
        <w:tc>
          <w:tcPr>
            <w:tcW w:w="2693" w:type="dxa"/>
            <w:tcBorders>
              <w:right w:val="single" w:sz="4" w:space="0" w:color="auto"/>
            </w:tcBorders>
            <w:shd w:val="clear" w:color="auto" w:fill="FFFFFF" w:themeFill="background1"/>
            <w:noWrap/>
            <w:hideMark/>
          </w:tcPr>
          <w:p w:rsidR="00C10ED1" w:rsidRPr="00C10ED1" w:rsidRDefault="00EC0277" w:rsidP="00EC0277">
            <w:pPr>
              <w:pStyle w:val="Bezodstpw"/>
              <w:spacing w:line="200" w:lineRule="exact"/>
              <w:jc w:val="both"/>
              <w:rPr>
                <w:rFonts w:ascii="Times New Roman" w:hAnsi="Times New Roman" w:cs="Times New Roman"/>
                <w:sz w:val="16"/>
                <w:szCs w:val="16"/>
              </w:rPr>
            </w:pPr>
            <w:r w:rsidRPr="00C10ED1">
              <w:rPr>
                <w:rFonts w:ascii="Times New Roman" w:hAnsi="Times New Roman" w:cs="Times New Roman"/>
                <w:sz w:val="16"/>
                <w:szCs w:val="16"/>
              </w:rPr>
              <w:t>Ś</w:t>
            </w:r>
            <w:r>
              <w:rPr>
                <w:rFonts w:ascii="Times New Roman" w:hAnsi="Times New Roman" w:cs="Times New Roman"/>
                <w:sz w:val="16"/>
                <w:szCs w:val="16"/>
              </w:rPr>
              <w:t>LĄSKIE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10ED1" w:rsidRPr="00C10ED1" w:rsidRDefault="00C10ED1" w:rsidP="00F32733">
            <w:pPr>
              <w:pStyle w:val="Bezodstpw"/>
              <w:spacing w:line="200" w:lineRule="exact"/>
              <w:jc w:val="center"/>
              <w:rPr>
                <w:rFonts w:ascii="Times New Roman" w:hAnsi="Times New Roman" w:cs="Times New Roman"/>
                <w:sz w:val="16"/>
                <w:szCs w:val="16"/>
              </w:rPr>
            </w:pPr>
            <w:r w:rsidRPr="00C10ED1">
              <w:rPr>
                <w:rFonts w:ascii="Times New Roman" w:hAnsi="Times New Roman" w:cs="Times New Roman"/>
                <w:sz w:val="16"/>
                <w:szCs w:val="16"/>
              </w:rPr>
              <w:t>469 927</w:t>
            </w: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C10ED1" w:rsidRPr="00E30334" w:rsidRDefault="00776D51" w:rsidP="00055C65">
            <w:pPr>
              <w:pStyle w:val="Bezodstpw"/>
              <w:spacing w:line="200" w:lineRule="exact"/>
              <w:jc w:val="center"/>
              <w:rPr>
                <w:rFonts w:ascii="Times New Roman" w:hAnsi="Times New Roman" w:cs="Times New Roman"/>
                <w:sz w:val="16"/>
                <w:szCs w:val="16"/>
              </w:rPr>
            </w:pPr>
            <w:r w:rsidRPr="00E30334">
              <w:rPr>
                <w:rFonts w:ascii="Times New Roman" w:hAnsi="Times New Roman" w:cs="Times New Roman"/>
                <w:sz w:val="16"/>
                <w:szCs w:val="16"/>
              </w:rPr>
              <w:t>472 498</w:t>
            </w:r>
          </w:p>
        </w:tc>
      </w:tr>
      <w:tr w:rsidR="00C10ED1" w:rsidRPr="00C75C71" w:rsidTr="00E30334">
        <w:trPr>
          <w:trHeight w:val="62"/>
          <w:jc w:val="center"/>
        </w:trPr>
        <w:tc>
          <w:tcPr>
            <w:tcW w:w="2693" w:type="dxa"/>
            <w:tcBorders>
              <w:right w:val="single" w:sz="4" w:space="0" w:color="auto"/>
            </w:tcBorders>
            <w:shd w:val="clear" w:color="auto" w:fill="FFFFFF" w:themeFill="background1"/>
            <w:noWrap/>
            <w:hideMark/>
          </w:tcPr>
          <w:p w:rsidR="00C10ED1" w:rsidRPr="00C10ED1" w:rsidRDefault="00EC0277" w:rsidP="00EC0277">
            <w:pPr>
              <w:pStyle w:val="Bezodstpw"/>
              <w:spacing w:line="200" w:lineRule="exact"/>
              <w:jc w:val="both"/>
              <w:rPr>
                <w:rFonts w:ascii="Times New Roman" w:hAnsi="Times New Roman" w:cs="Times New Roman"/>
                <w:sz w:val="16"/>
                <w:szCs w:val="16"/>
              </w:rPr>
            </w:pPr>
            <w:r w:rsidRPr="00C10ED1">
              <w:rPr>
                <w:rFonts w:ascii="Times New Roman" w:hAnsi="Times New Roman" w:cs="Times New Roman"/>
                <w:sz w:val="16"/>
                <w:szCs w:val="16"/>
              </w:rPr>
              <w:t>W</w:t>
            </w:r>
            <w:r>
              <w:rPr>
                <w:rFonts w:ascii="Times New Roman" w:hAnsi="Times New Roman" w:cs="Times New Roman"/>
                <w:sz w:val="16"/>
                <w:szCs w:val="16"/>
              </w:rPr>
              <w:t>IELKOPOLSKIE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10ED1" w:rsidRPr="00C10ED1" w:rsidRDefault="00C10ED1" w:rsidP="00F32733">
            <w:pPr>
              <w:pStyle w:val="Bezodstpw"/>
              <w:spacing w:line="200" w:lineRule="exact"/>
              <w:jc w:val="center"/>
              <w:rPr>
                <w:rFonts w:ascii="Times New Roman" w:hAnsi="Times New Roman" w:cs="Times New Roman"/>
                <w:sz w:val="16"/>
                <w:szCs w:val="16"/>
              </w:rPr>
            </w:pPr>
            <w:r w:rsidRPr="00C10ED1">
              <w:rPr>
                <w:rFonts w:ascii="Times New Roman" w:hAnsi="Times New Roman" w:cs="Times New Roman"/>
                <w:sz w:val="16"/>
                <w:szCs w:val="16"/>
              </w:rPr>
              <w:t>422 094</w:t>
            </w: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C10ED1" w:rsidRPr="00E30334" w:rsidRDefault="00776D51" w:rsidP="00055C65">
            <w:pPr>
              <w:pStyle w:val="Bezodstpw"/>
              <w:spacing w:line="200" w:lineRule="exact"/>
              <w:jc w:val="center"/>
              <w:rPr>
                <w:rFonts w:ascii="Times New Roman" w:hAnsi="Times New Roman" w:cs="Times New Roman"/>
                <w:sz w:val="16"/>
                <w:szCs w:val="16"/>
              </w:rPr>
            </w:pPr>
            <w:r w:rsidRPr="00E30334">
              <w:rPr>
                <w:rFonts w:ascii="Times New Roman" w:hAnsi="Times New Roman" w:cs="Times New Roman"/>
                <w:sz w:val="16"/>
                <w:szCs w:val="16"/>
              </w:rPr>
              <w:t>429 658</w:t>
            </w:r>
          </w:p>
        </w:tc>
      </w:tr>
      <w:tr w:rsidR="00C10ED1" w:rsidRPr="00C75C71" w:rsidTr="00E30334">
        <w:trPr>
          <w:trHeight w:val="149"/>
          <w:jc w:val="center"/>
        </w:trPr>
        <w:tc>
          <w:tcPr>
            <w:tcW w:w="2693" w:type="dxa"/>
            <w:tcBorders>
              <w:right w:val="single" w:sz="4" w:space="0" w:color="auto"/>
            </w:tcBorders>
            <w:shd w:val="clear" w:color="auto" w:fill="FFFFFF" w:themeFill="background1"/>
            <w:noWrap/>
            <w:hideMark/>
          </w:tcPr>
          <w:p w:rsidR="00C10ED1" w:rsidRPr="00C10ED1" w:rsidRDefault="00EC0277" w:rsidP="00EC0277">
            <w:pPr>
              <w:pStyle w:val="Bezodstpw"/>
              <w:spacing w:line="200" w:lineRule="exact"/>
              <w:jc w:val="both"/>
              <w:rPr>
                <w:rFonts w:ascii="Times New Roman" w:hAnsi="Times New Roman" w:cs="Times New Roman"/>
                <w:sz w:val="16"/>
                <w:szCs w:val="16"/>
              </w:rPr>
            </w:pPr>
            <w:r w:rsidRPr="00C10ED1">
              <w:rPr>
                <w:rFonts w:ascii="Times New Roman" w:hAnsi="Times New Roman" w:cs="Times New Roman"/>
                <w:sz w:val="16"/>
                <w:szCs w:val="16"/>
              </w:rPr>
              <w:t>M</w:t>
            </w:r>
            <w:r>
              <w:rPr>
                <w:rFonts w:ascii="Times New Roman" w:hAnsi="Times New Roman" w:cs="Times New Roman"/>
                <w:sz w:val="16"/>
                <w:szCs w:val="16"/>
              </w:rPr>
              <w:t>AŁOPOLSKIE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10ED1" w:rsidRPr="00C10ED1" w:rsidRDefault="00C10ED1" w:rsidP="00F32733">
            <w:pPr>
              <w:pStyle w:val="Bezodstpw"/>
              <w:spacing w:line="200" w:lineRule="exact"/>
              <w:jc w:val="center"/>
              <w:rPr>
                <w:rFonts w:ascii="Times New Roman" w:hAnsi="Times New Roman" w:cs="Times New Roman"/>
                <w:sz w:val="16"/>
                <w:szCs w:val="16"/>
              </w:rPr>
            </w:pPr>
            <w:r w:rsidRPr="00C10ED1">
              <w:rPr>
                <w:rFonts w:ascii="Times New Roman" w:hAnsi="Times New Roman" w:cs="Times New Roman"/>
                <w:sz w:val="16"/>
                <w:szCs w:val="16"/>
              </w:rPr>
              <w:t>380 020</w:t>
            </w: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C10ED1" w:rsidRPr="00E30334" w:rsidRDefault="00776D51" w:rsidP="00055C65">
            <w:pPr>
              <w:pStyle w:val="Bezodstpw"/>
              <w:spacing w:line="200" w:lineRule="exact"/>
              <w:jc w:val="center"/>
              <w:rPr>
                <w:rFonts w:ascii="Times New Roman" w:hAnsi="Times New Roman" w:cs="Times New Roman"/>
                <w:sz w:val="16"/>
                <w:szCs w:val="16"/>
              </w:rPr>
            </w:pPr>
            <w:r w:rsidRPr="00E30334">
              <w:rPr>
                <w:rFonts w:ascii="Times New Roman" w:hAnsi="Times New Roman" w:cs="Times New Roman"/>
                <w:sz w:val="16"/>
                <w:szCs w:val="16"/>
              </w:rPr>
              <w:t>391 539</w:t>
            </w:r>
          </w:p>
        </w:tc>
      </w:tr>
      <w:tr w:rsidR="00C10ED1" w:rsidRPr="00C75C71" w:rsidTr="00E30334">
        <w:trPr>
          <w:trHeight w:val="209"/>
          <w:jc w:val="center"/>
        </w:trPr>
        <w:tc>
          <w:tcPr>
            <w:tcW w:w="2693" w:type="dxa"/>
            <w:tcBorders>
              <w:right w:val="single" w:sz="4" w:space="0" w:color="auto"/>
            </w:tcBorders>
            <w:shd w:val="clear" w:color="auto" w:fill="FFFFFF" w:themeFill="background1"/>
            <w:noWrap/>
            <w:hideMark/>
          </w:tcPr>
          <w:p w:rsidR="00C10ED1" w:rsidRPr="00C10ED1" w:rsidRDefault="00EC0277" w:rsidP="00EC0277">
            <w:pPr>
              <w:pStyle w:val="Bezodstpw"/>
              <w:spacing w:line="200" w:lineRule="exact"/>
              <w:jc w:val="both"/>
              <w:rPr>
                <w:rFonts w:ascii="Times New Roman" w:hAnsi="Times New Roman" w:cs="Times New Roman"/>
                <w:sz w:val="16"/>
                <w:szCs w:val="16"/>
              </w:rPr>
            </w:pPr>
            <w:r w:rsidRPr="00C10ED1">
              <w:rPr>
                <w:rFonts w:ascii="Times New Roman" w:hAnsi="Times New Roman" w:cs="Times New Roman"/>
                <w:sz w:val="16"/>
                <w:szCs w:val="16"/>
              </w:rPr>
              <w:t>D</w:t>
            </w:r>
            <w:r>
              <w:rPr>
                <w:rFonts w:ascii="Times New Roman" w:hAnsi="Times New Roman" w:cs="Times New Roman"/>
                <w:sz w:val="16"/>
                <w:szCs w:val="16"/>
              </w:rPr>
              <w:t>OLNOŚLĄSKIE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10ED1" w:rsidRPr="00C10ED1" w:rsidRDefault="00C10ED1" w:rsidP="00F32733">
            <w:pPr>
              <w:pStyle w:val="Bezodstpw"/>
              <w:spacing w:line="200" w:lineRule="exact"/>
              <w:jc w:val="center"/>
              <w:rPr>
                <w:rFonts w:ascii="Times New Roman" w:hAnsi="Times New Roman" w:cs="Times New Roman"/>
                <w:sz w:val="16"/>
                <w:szCs w:val="16"/>
              </w:rPr>
            </w:pPr>
            <w:r w:rsidRPr="00C10ED1">
              <w:rPr>
                <w:rFonts w:ascii="Times New Roman" w:hAnsi="Times New Roman" w:cs="Times New Roman"/>
                <w:sz w:val="16"/>
                <w:szCs w:val="16"/>
              </w:rPr>
              <w:t>368 811</w:t>
            </w: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C10ED1" w:rsidRPr="00E30334" w:rsidRDefault="00776D51" w:rsidP="00055C65">
            <w:pPr>
              <w:pStyle w:val="Bezodstpw"/>
              <w:spacing w:line="200" w:lineRule="exact"/>
              <w:jc w:val="center"/>
              <w:rPr>
                <w:rFonts w:ascii="Times New Roman" w:hAnsi="Times New Roman" w:cs="Times New Roman"/>
                <w:sz w:val="16"/>
                <w:szCs w:val="16"/>
              </w:rPr>
            </w:pPr>
            <w:r w:rsidRPr="00E30334">
              <w:rPr>
                <w:rFonts w:ascii="Times New Roman" w:hAnsi="Times New Roman" w:cs="Times New Roman"/>
                <w:sz w:val="16"/>
                <w:szCs w:val="16"/>
              </w:rPr>
              <w:t>375 294</w:t>
            </w:r>
          </w:p>
        </w:tc>
      </w:tr>
      <w:tr w:rsidR="00C10ED1" w:rsidRPr="00C75C71" w:rsidTr="00E30334">
        <w:trPr>
          <w:trHeight w:val="142"/>
          <w:jc w:val="center"/>
        </w:trPr>
        <w:tc>
          <w:tcPr>
            <w:tcW w:w="2693" w:type="dxa"/>
            <w:tcBorders>
              <w:right w:val="single" w:sz="4" w:space="0" w:color="auto"/>
            </w:tcBorders>
            <w:shd w:val="clear" w:color="auto" w:fill="FFFFFF" w:themeFill="background1"/>
            <w:noWrap/>
            <w:hideMark/>
          </w:tcPr>
          <w:p w:rsidR="00C10ED1" w:rsidRPr="00C10ED1" w:rsidRDefault="00EC0277" w:rsidP="00EC0277">
            <w:pPr>
              <w:pStyle w:val="Bezodstpw"/>
              <w:spacing w:line="200" w:lineRule="exact"/>
              <w:jc w:val="both"/>
              <w:rPr>
                <w:rFonts w:ascii="Times New Roman" w:hAnsi="Times New Roman" w:cs="Times New Roman"/>
                <w:sz w:val="16"/>
                <w:szCs w:val="16"/>
              </w:rPr>
            </w:pPr>
            <w:r w:rsidRPr="00C10ED1">
              <w:rPr>
                <w:rFonts w:ascii="Times New Roman" w:hAnsi="Times New Roman" w:cs="Times New Roman"/>
                <w:sz w:val="16"/>
                <w:szCs w:val="16"/>
              </w:rPr>
              <w:t>P</w:t>
            </w:r>
            <w:r>
              <w:rPr>
                <w:rFonts w:ascii="Times New Roman" w:hAnsi="Times New Roman" w:cs="Times New Roman"/>
                <w:sz w:val="16"/>
                <w:szCs w:val="16"/>
              </w:rPr>
              <w:t>OMORSKIE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10ED1" w:rsidRPr="00C10ED1" w:rsidRDefault="00C10ED1" w:rsidP="00F32733">
            <w:pPr>
              <w:pStyle w:val="Bezodstpw"/>
              <w:spacing w:line="200" w:lineRule="exact"/>
              <w:jc w:val="center"/>
              <w:rPr>
                <w:rFonts w:ascii="Times New Roman" w:hAnsi="Times New Roman" w:cs="Times New Roman"/>
                <w:sz w:val="16"/>
                <w:szCs w:val="16"/>
              </w:rPr>
            </w:pPr>
            <w:r w:rsidRPr="00C10ED1">
              <w:rPr>
                <w:rFonts w:ascii="Times New Roman" w:hAnsi="Times New Roman" w:cs="Times New Roman"/>
                <w:sz w:val="16"/>
                <w:szCs w:val="16"/>
              </w:rPr>
              <w:t>293 704</w:t>
            </w: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C10ED1" w:rsidRPr="00E30334" w:rsidRDefault="00776D51" w:rsidP="00055C65">
            <w:pPr>
              <w:pStyle w:val="Bezodstpw"/>
              <w:spacing w:line="200" w:lineRule="exact"/>
              <w:jc w:val="center"/>
              <w:rPr>
                <w:rFonts w:ascii="Times New Roman" w:hAnsi="Times New Roman" w:cs="Times New Roman"/>
                <w:sz w:val="16"/>
                <w:szCs w:val="16"/>
              </w:rPr>
            </w:pPr>
            <w:r w:rsidRPr="00E30334">
              <w:rPr>
                <w:rFonts w:ascii="Times New Roman" w:hAnsi="Times New Roman" w:cs="Times New Roman"/>
                <w:sz w:val="16"/>
                <w:szCs w:val="16"/>
              </w:rPr>
              <w:t>296 630</w:t>
            </w:r>
          </w:p>
        </w:tc>
      </w:tr>
      <w:tr w:rsidR="00C10ED1" w:rsidRPr="00C75C71" w:rsidTr="00E30334">
        <w:trPr>
          <w:trHeight w:val="73"/>
          <w:jc w:val="center"/>
        </w:trPr>
        <w:tc>
          <w:tcPr>
            <w:tcW w:w="2693" w:type="dxa"/>
            <w:tcBorders>
              <w:right w:val="single" w:sz="4" w:space="0" w:color="auto"/>
            </w:tcBorders>
            <w:shd w:val="clear" w:color="auto" w:fill="FFFFFF" w:themeFill="background1"/>
            <w:noWrap/>
            <w:hideMark/>
          </w:tcPr>
          <w:p w:rsidR="00C10ED1" w:rsidRPr="00C10ED1" w:rsidRDefault="00EC0277" w:rsidP="00EC0277">
            <w:pPr>
              <w:pStyle w:val="Bezodstpw"/>
              <w:spacing w:line="200" w:lineRule="exact"/>
              <w:jc w:val="both"/>
              <w:rPr>
                <w:rFonts w:ascii="Times New Roman" w:hAnsi="Times New Roman" w:cs="Times New Roman"/>
                <w:sz w:val="16"/>
                <w:szCs w:val="16"/>
              </w:rPr>
            </w:pPr>
            <w:r w:rsidRPr="00C10ED1">
              <w:rPr>
                <w:rFonts w:ascii="Times New Roman" w:hAnsi="Times New Roman" w:cs="Times New Roman"/>
                <w:sz w:val="16"/>
                <w:szCs w:val="16"/>
              </w:rPr>
              <w:t>Ł</w:t>
            </w:r>
            <w:r>
              <w:rPr>
                <w:rFonts w:ascii="Times New Roman" w:hAnsi="Times New Roman" w:cs="Times New Roman"/>
                <w:sz w:val="16"/>
                <w:szCs w:val="16"/>
              </w:rPr>
              <w:t>ÓDZKIE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10ED1" w:rsidRPr="00C10ED1" w:rsidRDefault="00C10ED1" w:rsidP="00F32733">
            <w:pPr>
              <w:pStyle w:val="Bezodstpw"/>
              <w:spacing w:line="200" w:lineRule="exact"/>
              <w:jc w:val="center"/>
              <w:rPr>
                <w:rFonts w:ascii="Times New Roman" w:hAnsi="Times New Roman" w:cs="Times New Roman"/>
                <w:sz w:val="16"/>
                <w:szCs w:val="16"/>
              </w:rPr>
            </w:pPr>
            <w:r w:rsidRPr="00C10ED1">
              <w:rPr>
                <w:rFonts w:ascii="Times New Roman" w:hAnsi="Times New Roman" w:cs="Times New Roman"/>
                <w:sz w:val="16"/>
                <w:szCs w:val="16"/>
              </w:rPr>
              <w:t>245 855</w:t>
            </w: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C10ED1" w:rsidRPr="00E30334" w:rsidRDefault="00776D51" w:rsidP="00055C65">
            <w:pPr>
              <w:pStyle w:val="Bezodstpw"/>
              <w:spacing w:line="200" w:lineRule="exact"/>
              <w:jc w:val="center"/>
              <w:rPr>
                <w:rFonts w:ascii="Times New Roman" w:hAnsi="Times New Roman" w:cs="Times New Roman"/>
                <w:sz w:val="16"/>
                <w:szCs w:val="16"/>
              </w:rPr>
            </w:pPr>
            <w:r w:rsidRPr="00E30334">
              <w:rPr>
                <w:rFonts w:ascii="Times New Roman" w:hAnsi="Times New Roman" w:cs="Times New Roman"/>
                <w:sz w:val="16"/>
                <w:szCs w:val="16"/>
              </w:rPr>
              <w:t>247 502</w:t>
            </w:r>
          </w:p>
        </w:tc>
      </w:tr>
      <w:tr w:rsidR="00C10ED1" w:rsidRPr="00C75C71" w:rsidTr="00E30334">
        <w:trPr>
          <w:trHeight w:val="134"/>
          <w:jc w:val="center"/>
        </w:trPr>
        <w:tc>
          <w:tcPr>
            <w:tcW w:w="2693" w:type="dxa"/>
            <w:tcBorders>
              <w:right w:val="single" w:sz="4" w:space="0" w:color="auto"/>
            </w:tcBorders>
            <w:shd w:val="clear" w:color="auto" w:fill="FFFFFF" w:themeFill="background1"/>
            <w:noWrap/>
            <w:hideMark/>
          </w:tcPr>
          <w:p w:rsidR="00C10ED1" w:rsidRPr="00C10ED1" w:rsidRDefault="00EC0277" w:rsidP="00EC0277">
            <w:pPr>
              <w:pStyle w:val="Bezodstpw"/>
              <w:spacing w:line="200" w:lineRule="exact"/>
              <w:jc w:val="both"/>
              <w:rPr>
                <w:rFonts w:ascii="Times New Roman" w:hAnsi="Times New Roman" w:cs="Times New Roman"/>
                <w:sz w:val="16"/>
                <w:szCs w:val="16"/>
              </w:rPr>
            </w:pPr>
            <w:r w:rsidRPr="00C10ED1">
              <w:rPr>
                <w:rFonts w:ascii="Times New Roman" w:hAnsi="Times New Roman" w:cs="Times New Roman"/>
                <w:sz w:val="16"/>
                <w:szCs w:val="16"/>
              </w:rPr>
              <w:t>Z</w:t>
            </w:r>
            <w:r>
              <w:rPr>
                <w:rFonts w:ascii="Times New Roman" w:hAnsi="Times New Roman" w:cs="Times New Roman"/>
                <w:sz w:val="16"/>
                <w:szCs w:val="16"/>
              </w:rPr>
              <w:t>ACHODNIOPOMORSKIE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10ED1" w:rsidRPr="00C10ED1" w:rsidRDefault="00C10ED1" w:rsidP="00F32733">
            <w:pPr>
              <w:pStyle w:val="Bezodstpw"/>
              <w:spacing w:line="200" w:lineRule="exact"/>
              <w:jc w:val="center"/>
              <w:rPr>
                <w:rFonts w:ascii="Times New Roman" w:hAnsi="Times New Roman" w:cs="Times New Roman"/>
                <w:sz w:val="16"/>
                <w:szCs w:val="16"/>
              </w:rPr>
            </w:pPr>
            <w:r w:rsidRPr="00C10ED1">
              <w:rPr>
                <w:rFonts w:ascii="Times New Roman" w:hAnsi="Times New Roman" w:cs="Times New Roman"/>
                <w:sz w:val="16"/>
                <w:szCs w:val="16"/>
              </w:rPr>
              <w:t>223 130</w:t>
            </w: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C10ED1" w:rsidRPr="00E30334" w:rsidRDefault="0054652E" w:rsidP="00055C65">
            <w:pPr>
              <w:pStyle w:val="Bezodstpw"/>
              <w:spacing w:line="200" w:lineRule="exact"/>
              <w:jc w:val="center"/>
              <w:rPr>
                <w:rFonts w:ascii="Times New Roman" w:hAnsi="Times New Roman" w:cs="Times New Roman"/>
                <w:sz w:val="16"/>
                <w:szCs w:val="16"/>
              </w:rPr>
            </w:pPr>
            <w:r w:rsidRPr="00E30334">
              <w:rPr>
                <w:rFonts w:ascii="Times New Roman" w:hAnsi="Times New Roman" w:cs="Times New Roman"/>
                <w:sz w:val="16"/>
                <w:szCs w:val="16"/>
              </w:rPr>
              <w:t>223 953</w:t>
            </w:r>
          </w:p>
        </w:tc>
      </w:tr>
      <w:tr w:rsidR="00C10ED1" w:rsidRPr="00C75C71" w:rsidTr="007C2EE4">
        <w:trPr>
          <w:trHeight w:val="79"/>
          <w:jc w:val="center"/>
        </w:trPr>
        <w:tc>
          <w:tcPr>
            <w:tcW w:w="2693" w:type="dxa"/>
            <w:tcBorders>
              <w:right w:val="single" w:sz="4" w:space="0" w:color="auto"/>
            </w:tcBorders>
            <w:shd w:val="clear" w:color="auto" w:fill="FFFFFF" w:themeFill="background1"/>
            <w:noWrap/>
            <w:hideMark/>
          </w:tcPr>
          <w:p w:rsidR="00C10ED1" w:rsidRPr="00C10ED1" w:rsidRDefault="00274157" w:rsidP="00274157">
            <w:pPr>
              <w:pStyle w:val="Bezodstpw"/>
              <w:spacing w:line="200" w:lineRule="exact"/>
              <w:jc w:val="both"/>
              <w:rPr>
                <w:rFonts w:ascii="Times New Roman" w:hAnsi="Times New Roman" w:cs="Times New Roman"/>
                <w:sz w:val="16"/>
                <w:szCs w:val="16"/>
              </w:rPr>
            </w:pPr>
            <w:r>
              <w:rPr>
                <w:rFonts w:ascii="Times New Roman" w:hAnsi="Times New Roman" w:cs="Times New Roman"/>
                <w:sz w:val="16"/>
                <w:szCs w:val="16"/>
              </w:rPr>
              <w:t>KUJAWSKO</w:t>
            </w:r>
            <w:r w:rsidR="00C10ED1" w:rsidRPr="00C10ED1">
              <w:rPr>
                <w:rFonts w:ascii="Times New Roman" w:hAnsi="Times New Roman" w:cs="Times New Roman"/>
                <w:sz w:val="16"/>
                <w:szCs w:val="16"/>
              </w:rPr>
              <w:t>-</w:t>
            </w:r>
            <w:r>
              <w:rPr>
                <w:rFonts w:ascii="Times New Roman" w:hAnsi="Times New Roman" w:cs="Times New Roman"/>
                <w:sz w:val="16"/>
                <w:szCs w:val="16"/>
              </w:rPr>
              <w:t>POMORSKIE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10ED1" w:rsidRPr="00C10ED1" w:rsidRDefault="00C10ED1" w:rsidP="00F32733">
            <w:pPr>
              <w:pStyle w:val="Bezodstpw"/>
              <w:spacing w:line="200" w:lineRule="exact"/>
              <w:jc w:val="center"/>
              <w:rPr>
                <w:rFonts w:ascii="Times New Roman" w:hAnsi="Times New Roman" w:cs="Times New Roman"/>
                <w:sz w:val="16"/>
                <w:szCs w:val="16"/>
              </w:rPr>
            </w:pPr>
            <w:r w:rsidRPr="00C10ED1">
              <w:rPr>
                <w:rFonts w:ascii="Times New Roman" w:hAnsi="Times New Roman" w:cs="Times New Roman"/>
                <w:sz w:val="16"/>
                <w:szCs w:val="16"/>
              </w:rPr>
              <w:t>195 717</w:t>
            </w:r>
          </w:p>
        </w:tc>
        <w:tc>
          <w:tcPr>
            <w:tcW w:w="2199" w:type="dxa"/>
            <w:tcBorders>
              <w:top w:val="single" w:sz="4" w:space="0" w:color="auto"/>
              <w:left w:val="single" w:sz="4" w:space="0" w:color="auto"/>
              <w:bottom w:val="single" w:sz="4" w:space="0" w:color="auto"/>
              <w:right w:val="single" w:sz="4" w:space="0" w:color="auto"/>
            </w:tcBorders>
          </w:tcPr>
          <w:p w:rsidR="00C10ED1" w:rsidRPr="009731BC" w:rsidRDefault="009731BC" w:rsidP="00055C65">
            <w:pPr>
              <w:pStyle w:val="Bezodstpw"/>
              <w:spacing w:line="200" w:lineRule="exact"/>
              <w:jc w:val="center"/>
              <w:rPr>
                <w:rFonts w:ascii="Times New Roman" w:hAnsi="Times New Roman" w:cs="Times New Roman"/>
                <w:sz w:val="16"/>
                <w:szCs w:val="16"/>
              </w:rPr>
            </w:pPr>
            <w:r w:rsidRPr="009731BC">
              <w:rPr>
                <w:rFonts w:ascii="Times New Roman" w:hAnsi="Times New Roman" w:cs="Times New Roman"/>
                <w:sz w:val="16"/>
                <w:szCs w:val="16"/>
              </w:rPr>
              <w:t>197 657</w:t>
            </w:r>
          </w:p>
        </w:tc>
      </w:tr>
      <w:tr w:rsidR="00C10ED1" w:rsidRPr="00C75C71" w:rsidTr="007C2EE4">
        <w:trPr>
          <w:trHeight w:val="153"/>
          <w:jc w:val="center"/>
        </w:trPr>
        <w:tc>
          <w:tcPr>
            <w:tcW w:w="2693" w:type="dxa"/>
            <w:tcBorders>
              <w:right w:val="single" w:sz="4" w:space="0" w:color="auto"/>
            </w:tcBorders>
            <w:shd w:val="clear" w:color="auto" w:fill="FFFFFF" w:themeFill="background1"/>
            <w:noWrap/>
            <w:hideMark/>
          </w:tcPr>
          <w:p w:rsidR="00C10ED1" w:rsidRPr="00C10ED1" w:rsidRDefault="00EC0277" w:rsidP="00274157">
            <w:pPr>
              <w:pStyle w:val="Bezodstpw"/>
              <w:spacing w:line="200" w:lineRule="exact"/>
              <w:jc w:val="both"/>
              <w:rPr>
                <w:rFonts w:ascii="Times New Roman" w:hAnsi="Times New Roman" w:cs="Times New Roman"/>
                <w:sz w:val="16"/>
                <w:szCs w:val="16"/>
              </w:rPr>
            </w:pPr>
            <w:r w:rsidRPr="00C10ED1">
              <w:rPr>
                <w:rFonts w:ascii="Times New Roman" w:hAnsi="Times New Roman" w:cs="Times New Roman"/>
                <w:sz w:val="16"/>
                <w:szCs w:val="16"/>
              </w:rPr>
              <w:t>L</w:t>
            </w:r>
            <w:r w:rsidR="00274157">
              <w:rPr>
                <w:rFonts w:ascii="Times New Roman" w:hAnsi="Times New Roman" w:cs="Times New Roman"/>
                <w:sz w:val="16"/>
                <w:szCs w:val="16"/>
              </w:rPr>
              <w:t>UBELSKIE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10ED1" w:rsidRPr="00C10ED1" w:rsidRDefault="00C10ED1" w:rsidP="00F32733">
            <w:pPr>
              <w:pStyle w:val="Bezodstpw"/>
              <w:spacing w:line="200" w:lineRule="exact"/>
              <w:jc w:val="center"/>
              <w:rPr>
                <w:rFonts w:ascii="Times New Roman" w:hAnsi="Times New Roman" w:cs="Times New Roman"/>
                <w:sz w:val="16"/>
                <w:szCs w:val="16"/>
              </w:rPr>
            </w:pPr>
            <w:r w:rsidRPr="00C10ED1">
              <w:rPr>
                <w:rFonts w:ascii="Times New Roman" w:hAnsi="Times New Roman" w:cs="Times New Roman"/>
                <w:sz w:val="16"/>
                <w:szCs w:val="16"/>
              </w:rPr>
              <w:t>177 365</w:t>
            </w:r>
          </w:p>
        </w:tc>
        <w:tc>
          <w:tcPr>
            <w:tcW w:w="2199" w:type="dxa"/>
            <w:tcBorders>
              <w:top w:val="single" w:sz="4" w:space="0" w:color="auto"/>
              <w:left w:val="single" w:sz="4" w:space="0" w:color="auto"/>
              <w:bottom w:val="single" w:sz="4" w:space="0" w:color="auto"/>
              <w:right w:val="single" w:sz="4" w:space="0" w:color="auto"/>
            </w:tcBorders>
          </w:tcPr>
          <w:p w:rsidR="00C10ED1" w:rsidRPr="009731BC" w:rsidRDefault="009731BC" w:rsidP="00055C65">
            <w:pPr>
              <w:pStyle w:val="Bezodstpw"/>
              <w:spacing w:line="200" w:lineRule="exact"/>
              <w:jc w:val="center"/>
              <w:rPr>
                <w:rFonts w:ascii="Times New Roman" w:hAnsi="Times New Roman" w:cs="Times New Roman"/>
                <w:sz w:val="16"/>
                <w:szCs w:val="16"/>
              </w:rPr>
            </w:pPr>
            <w:r w:rsidRPr="009731BC">
              <w:rPr>
                <w:rFonts w:ascii="Times New Roman" w:hAnsi="Times New Roman" w:cs="Times New Roman"/>
                <w:sz w:val="16"/>
                <w:szCs w:val="16"/>
              </w:rPr>
              <w:t>180 805</w:t>
            </w:r>
          </w:p>
        </w:tc>
      </w:tr>
      <w:tr w:rsidR="00C10ED1" w:rsidRPr="00C75C71" w:rsidTr="0085612C">
        <w:trPr>
          <w:trHeight w:val="228"/>
          <w:jc w:val="center"/>
        </w:trPr>
        <w:tc>
          <w:tcPr>
            <w:tcW w:w="2693" w:type="dxa"/>
            <w:tcBorders>
              <w:right w:val="single" w:sz="4" w:space="0" w:color="auto"/>
            </w:tcBorders>
            <w:shd w:val="clear" w:color="auto" w:fill="E5DFEC" w:themeFill="accent4" w:themeFillTint="33"/>
            <w:noWrap/>
            <w:hideMark/>
          </w:tcPr>
          <w:p w:rsidR="00C10ED1" w:rsidRPr="00B07EAA" w:rsidRDefault="00EC0277" w:rsidP="00274157">
            <w:pPr>
              <w:pStyle w:val="Bezodstpw"/>
              <w:spacing w:line="200" w:lineRule="exact"/>
              <w:jc w:val="both"/>
              <w:rPr>
                <w:rFonts w:ascii="Times New Roman" w:hAnsi="Times New Roman" w:cs="Times New Roman"/>
                <w:b/>
                <w:sz w:val="16"/>
                <w:szCs w:val="16"/>
              </w:rPr>
            </w:pPr>
            <w:r w:rsidRPr="00B07EAA">
              <w:rPr>
                <w:rFonts w:ascii="Times New Roman" w:hAnsi="Times New Roman" w:cs="Times New Roman"/>
                <w:b/>
                <w:sz w:val="16"/>
                <w:szCs w:val="16"/>
              </w:rPr>
              <w:t>P</w:t>
            </w:r>
            <w:r w:rsidR="00274157">
              <w:rPr>
                <w:rFonts w:ascii="Times New Roman" w:hAnsi="Times New Roman" w:cs="Times New Roman"/>
                <w:b/>
                <w:sz w:val="16"/>
                <w:szCs w:val="16"/>
              </w:rPr>
              <w:t>ODKARPACKIE</w:t>
            </w:r>
            <w:r>
              <w:rPr>
                <w:rFonts w:ascii="Times New Roman" w:hAnsi="Times New Roman" w:cs="Times New Roman"/>
                <w:b/>
                <w:sz w:val="16"/>
                <w:szCs w:val="16"/>
              </w:rPr>
              <w:t xml:space="preserve"> (L</w:t>
            </w:r>
            <w:r w:rsidR="00274157">
              <w:rPr>
                <w:rFonts w:ascii="Times New Roman" w:hAnsi="Times New Roman" w:cs="Times New Roman"/>
                <w:b/>
                <w:sz w:val="16"/>
                <w:szCs w:val="16"/>
              </w:rPr>
              <w:t xml:space="preserve">OKATA </w:t>
            </w:r>
            <w:r>
              <w:rPr>
                <w:rFonts w:ascii="Times New Roman" w:hAnsi="Times New Roman" w:cs="Times New Roman"/>
                <w:b/>
                <w:sz w:val="16"/>
                <w:szCs w:val="16"/>
              </w:rPr>
              <w:t>11)</w:t>
            </w:r>
          </w:p>
        </w:tc>
        <w:tc>
          <w:tcPr>
            <w:tcW w:w="241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C10ED1" w:rsidRPr="00B07EAA" w:rsidRDefault="00C10ED1" w:rsidP="00F32733">
            <w:pPr>
              <w:pStyle w:val="Bezodstpw"/>
              <w:spacing w:line="200" w:lineRule="exact"/>
              <w:jc w:val="center"/>
              <w:rPr>
                <w:rFonts w:ascii="Times New Roman" w:hAnsi="Times New Roman" w:cs="Times New Roman"/>
                <w:b/>
                <w:sz w:val="16"/>
                <w:szCs w:val="16"/>
              </w:rPr>
            </w:pPr>
            <w:r w:rsidRPr="00B07EAA">
              <w:rPr>
                <w:rFonts w:ascii="Times New Roman" w:hAnsi="Times New Roman" w:cs="Times New Roman"/>
                <w:b/>
                <w:sz w:val="16"/>
                <w:szCs w:val="16"/>
              </w:rPr>
              <w:t>171 070</w:t>
            </w:r>
          </w:p>
        </w:tc>
        <w:tc>
          <w:tcPr>
            <w:tcW w:w="219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C10ED1" w:rsidRPr="00B07EAA" w:rsidRDefault="009731BC" w:rsidP="00055C65">
            <w:pPr>
              <w:pStyle w:val="Bezodstpw"/>
              <w:spacing w:line="200" w:lineRule="exact"/>
              <w:jc w:val="center"/>
              <w:rPr>
                <w:rFonts w:ascii="Times New Roman" w:hAnsi="Times New Roman" w:cs="Times New Roman"/>
                <w:b/>
                <w:sz w:val="16"/>
                <w:szCs w:val="16"/>
              </w:rPr>
            </w:pPr>
            <w:r w:rsidRPr="00B07EAA">
              <w:rPr>
                <w:rFonts w:ascii="Times New Roman" w:hAnsi="Times New Roman" w:cs="Times New Roman"/>
                <w:b/>
                <w:sz w:val="16"/>
                <w:szCs w:val="16"/>
              </w:rPr>
              <w:t>174 830</w:t>
            </w:r>
          </w:p>
        </w:tc>
      </w:tr>
      <w:tr w:rsidR="00C10ED1" w:rsidRPr="00C75C71" w:rsidTr="007C2EE4">
        <w:trPr>
          <w:trHeight w:val="131"/>
          <w:jc w:val="center"/>
        </w:trPr>
        <w:tc>
          <w:tcPr>
            <w:tcW w:w="2693" w:type="dxa"/>
            <w:tcBorders>
              <w:right w:val="single" w:sz="4" w:space="0" w:color="auto"/>
            </w:tcBorders>
            <w:shd w:val="clear" w:color="auto" w:fill="FFFFFF" w:themeFill="background1"/>
            <w:noWrap/>
            <w:hideMark/>
          </w:tcPr>
          <w:p w:rsidR="00C10ED1" w:rsidRPr="00C10ED1" w:rsidRDefault="00EC0277" w:rsidP="00274157">
            <w:pPr>
              <w:pStyle w:val="Bezodstpw"/>
              <w:spacing w:line="200" w:lineRule="exact"/>
              <w:jc w:val="both"/>
              <w:rPr>
                <w:rFonts w:ascii="Times New Roman" w:hAnsi="Times New Roman" w:cs="Times New Roman"/>
                <w:sz w:val="16"/>
                <w:szCs w:val="16"/>
              </w:rPr>
            </w:pPr>
            <w:r w:rsidRPr="00C10ED1">
              <w:rPr>
                <w:rFonts w:ascii="Times New Roman" w:hAnsi="Times New Roman" w:cs="Times New Roman"/>
                <w:sz w:val="16"/>
                <w:szCs w:val="16"/>
              </w:rPr>
              <w:t>W</w:t>
            </w:r>
            <w:r w:rsidR="00274157">
              <w:rPr>
                <w:rFonts w:ascii="Times New Roman" w:hAnsi="Times New Roman" w:cs="Times New Roman"/>
                <w:sz w:val="16"/>
                <w:szCs w:val="16"/>
              </w:rPr>
              <w:t>ARMIŃSKO</w:t>
            </w:r>
            <w:r w:rsidR="00C10ED1" w:rsidRPr="00C10ED1">
              <w:rPr>
                <w:rFonts w:ascii="Times New Roman" w:hAnsi="Times New Roman" w:cs="Times New Roman"/>
                <w:sz w:val="16"/>
                <w:szCs w:val="16"/>
              </w:rPr>
              <w:t>-</w:t>
            </w:r>
            <w:r w:rsidR="00274157">
              <w:rPr>
                <w:rFonts w:ascii="Times New Roman" w:hAnsi="Times New Roman" w:cs="Times New Roman"/>
                <w:sz w:val="16"/>
                <w:szCs w:val="16"/>
              </w:rPr>
              <w:t>MAZURSKIE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10ED1" w:rsidRPr="00C10ED1" w:rsidRDefault="00C10ED1" w:rsidP="00F32733">
            <w:pPr>
              <w:pStyle w:val="Bezodstpw"/>
              <w:spacing w:line="200" w:lineRule="exact"/>
              <w:jc w:val="center"/>
              <w:rPr>
                <w:rFonts w:ascii="Times New Roman" w:hAnsi="Times New Roman" w:cs="Times New Roman"/>
                <w:sz w:val="16"/>
                <w:szCs w:val="16"/>
              </w:rPr>
            </w:pPr>
            <w:r w:rsidRPr="00C10ED1">
              <w:rPr>
                <w:rFonts w:ascii="Times New Roman" w:hAnsi="Times New Roman" w:cs="Times New Roman"/>
                <w:sz w:val="16"/>
                <w:szCs w:val="16"/>
              </w:rPr>
              <w:t>125 377</w:t>
            </w:r>
          </w:p>
        </w:tc>
        <w:tc>
          <w:tcPr>
            <w:tcW w:w="2199" w:type="dxa"/>
            <w:tcBorders>
              <w:top w:val="single" w:sz="4" w:space="0" w:color="auto"/>
              <w:left w:val="single" w:sz="4" w:space="0" w:color="auto"/>
              <w:bottom w:val="single" w:sz="4" w:space="0" w:color="auto"/>
              <w:right w:val="single" w:sz="4" w:space="0" w:color="auto"/>
            </w:tcBorders>
          </w:tcPr>
          <w:p w:rsidR="00C10ED1" w:rsidRPr="00C75C71" w:rsidRDefault="00CE0F39" w:rsidP="00055C65">
            <w:pPr>
              <w:pStyle w:val="Bezodstpw"/>
              <w:spacing w:line="200" w:lineRule="exact"/>
              <w:jc w:val="center"/>
              <w:rPr>
                <w:rFonts w:ascii="Times New Roman" w:hAnsi="Times New Roman" w:cs="Times New Roman"/>
                <w:sz w:val="16"/>
                <w:szCs w:val="16"/>
                <w:highlight w:val="yellow"/>
              </w:rPr>
            </w:pPr>
            <w:r w:rsidRPr="00577124">
              <w:rPr>
                <w:rFonts w:ascii="Times New Roman" w:hAnsi="Times New Roman" w:cs="Times New Roman"/>
                <w:sz w:val="16"/>
                <w:szCs w:val="16"/>
              </w:rPr>
              <w:t>127 120</w:t>
            </w:r>
          </w:p>
        </w:tc>
      </w:tr>
      <w:tr w:rsidR="00C10ED1" w:rsidRPr="00C75C71" w:rsidTr="007C2EE4">
        <w:trPr>
          <w:trHeight w:val="63"/>
          <w:jc w:val="center"/>
        </w:trPr>
        <w:tc>
          <w:tcPr>
            <w:tcW w:w="2693" w:type="dxa"/>
            <w:tcBorders>
              <w:right w:val="single" w:sz="4" w:space="0" w:color="auto"/>
            </w:tcBorders>
            <w:shd w:val="clear" w:color="auto" w:fill="FFFFFF" w:themeFill="background1"/>
            <w:noWrap/>
            <w:hideMark/>
          </w:tcPr>
          <w:p w:rsidR="00C10ED1" w:rsidRPr="00C10ED1" w:rsidRDefault="00EC0277" w:rsidP="00274157">
            <w:pPr>
              <w:pStyle w:val="Bezodstpw"/>
              <w:spacing w:line="200" w:lineRule="exact"/>
              <w:jc w:val="both"/>
              <w:rPr>
                <w:rFonts w:ascii="Times New Roman" w:hAnsi="Times New Roman" w:cs="Times New Roman"/>
                <w:sz w:val="16"/>
                <w:szCs w:val="16"/>
              </w:rPr>
            </w:pPr>
            <w:r w:rsidRPr="00C10ED1">
              <w:rPr>
                <w:rFonts w:ascii="Times New Roman" w:hAnsi="Times New Roman" w:cs="Times New Roman"/>
                <w:sz w:val="16"/>
                <w:szCs w:val="16"/>
              </w:rPr>
              <w:t>L</w:t>
            </w:r>
            <w:r w:rsidR="00274157">
              <w:rPr>
                <w:rFonts w:ascii="Times New Roman" w:hAnsi="Times New Roman" w:cs="Times New Roman"/>
                <w:sz w:val="16"/>
                <w:szCs w:val="16"/>
              </w:rPr>
              <w:t>UBUSKIE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10ED1" w:rsidRPr="00C10ED1" w:rsidRDefault="00C10ED1" w:rsidP="00F32733">
            <w:pPr>
              <w:pStyle w:val="Bezodstpw"/>
              <w:spacing w:line="200" w:lineRule="exact"/>
              <w:jc w:val="center"/>
              <w:rPr>
                <w:rFonts w:ascii="Times New Roman" w:hAnsi="Times New Roman" w:cs="Times New Roman"/>
                <w:sz w:val="16"/>
                <w:szCs w:val="16"/>
              </w:rPr>
            </w:pPr>
            <w:r w:rsidRPr="00C10ED1">
              <w:rPr>
                <w:rFonts w:ascii="Times New Roman" w:hAnsi="Times New Roman" w:cs="Times New Roman"/>
                <w:sz w:val="16"/>
                <w:szCs w:val="16"/>
              </w:rPr>
              <w:t>112 910</w:t>
            </w:r>
          </w:p>
        </w:tc>
        <w:tc>
          <w:tcPr>
            <w:tcW w:w="2199" w:type="dxa"/>
            <w:tcBorders>
              <w:top w:val="single" w:sz="4" w:space="0" w:color="auto"/>
              <w:left w:val="single" w:sz="4" w:space="0" w:color="auto"/>
              <w:bottom w:val="single" w:sz="4" w:space="0" w:color="auto"/>
              <w:right w:val="single" w:sz="4" w:space="0" w:color="auto"/>
            </w:tcBorders>
          </w:tcPr>
          <w:p w:rsidR="00C10ED1" w:rsidRPr="00C75C71" w:rsidRDefault="00577124" w:rsidP="00055C65">
            <w:pPr>
              <w:pStyle w:val="Bezodstpw"/>
              <w:spacing w:line="200" w:lineRule="exact"/>
              <w:jc w:val="center"/>
              <w:rPr>
                <w:rFonts w:ascii="Times New Roman" w:hAnsi="Times New Roman" w:cs="Times New Roman"/>
                <w:sz w:val="16"/>
                <w:szCs w:val="16"/>
                <w:highlight w:val="yellow"/>
              </w:rPr>
            </w:pPr>
            <w:r w:rsidRPr="00577124">
              <w:rPr>
                <w:rFonts w:ascii="Times New Roman" w:hAnsi="Times New Roman" w:cs="Times New Roman"/>
                <w:sz w:val="16"/>
                <w:szCs w:val="16"/>
              </w:rPr>
              <w:t>113 277</w:t>
            </w:r>
          </w:p>
        </w:tc>
      </w:tr>
      <w:tr w:rsidR="00C10ED1" w:rsidRPr="00C75C71" w:rsidTr="007C2EE4">
        <w:trPr>
          <w:trHeight w:val="137"/>
          <w:jc w:val="center"/>
        </w:trPr>
        <w:tc>
          <w:tcPr>
            <w:tcW w:w="2693" w:type="dxa"/>
            <w:tcBorders>
              <w:right w:val="single" w:sz="4" w:space="0" w:color="auto"/>
            </w:tcBorders>
            <w:shd w:val="clear" w:color="auto" w:fill="FFFFFF" w:themeFill="background1"/>
            <w:noWrap/>
            <w:hideMark/>
          </w:tcPr>
          <w:p w:rsidR="00C10ED1" w:rsidRPr="00C10ED1" w:rsidRDefault="00EC0277" w:rsidP="00274157">
            <w:pPr>
              <w:pStyle w:val="Bezodstpw"/>
              <w:spacing w:line="200" w:lineRule="exact"/>
              <w:jc w:val="both"/>
              <w:rPr>
                <w:rFonts w:ascii="Times New Roman" w:hAnsi="Times New Roman" w:cs="Times New Roman"/>
                <w:sz w:val="16"/>
                <w:szCs w:val="16"/>
              </w:rPr>
            </w:pPr>
            <w:r w:rsidRPr="00C10ED1">
              <w:rPr>
                <w:rFonts w:ascii="Times New Roman" w:hAnsi="Times New Roman" w:cs="Times New Roman"/>
                <w:sz w:val="16"/>
                <w:szCs w:val="16"/>
              </w:rPr>
              <w:t>Ś</w:t>
            </w:r>
            <w:r w:rsidR="00274157">
              <w:rPr>
                <w:rFonts w:ascii="Times New Roman" w:hAnsi="Times New Roman" w:cs="Times New Roman"/>
                <w:sz w:val="16"/>
                <w:szCs w:val="16"/>
              </w:rPr>
              <w:t>WIĘTOKRZYSKIE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10ED1" w:rsidRPr="00C10ED1" w:rsidRDefault="00C10ED1" w:rsidP="00F32733">
            <w:pPr>
              <w:pStyle w:val="Bezodstpw"/>
              <w:spacing w:line="200" w:lineRule="exact"/>
              <w:jc w:val="center"/>
              <w:rPr>
                <w:rFonts w:ascii="Times New Roman" w:hAnsi="Times New Roman" w:cs="Times New Roman"/>
                <w:sz w:val="16"/>
                <w:szCs w:val="16"/>
              </w:rPr>
            </w:pPr>
            <w:r w:rsidRPr="00C10ED1">
              <w:rPr>
                <w:rFonts w:ascii="Times New Roman" w:hAnsi="Times New Roman" w:cs="Times New Roman"/>
                <w:sz w:val="16"/>
                <w:szCs w:val="16"/>
              </w:rPr>
              <w:t>112 296</w:t>
            </w:r>
          </w:p>
        </w:tc>
        <w:tc>
          <w:tcPr>
            <w:tcW w:w="2199" w:type="dxa"/>
            <w:tcBorders>
              <w:top w:val="single" w:sz="4" w:space="0" w:color="auto"/>
              <w:left w:val="single" w:sz="4" w:space="0" w:color="auto"/>
              <w:bottom w:val="single" w:sz="4" w:space="0" w:color="auto"/>
              <w:right w:val="single" w:sz="4" w:space="0" w:color="auto"/>
            </w:tcBorders>
          </w:tcPr>
          <w:p w:rsidR="00C10ED1" w:rsidRPr="00190F41" w:rsidRDefault="00577124" w:rsidP="00055C65">
            <w:pPr>
              <w:pStyle w:val="Bezodstpw"/>
              <w:spacing w:line="200" w:lineRule="exact"/>
              <w:jc w:val="center"/>
              <w:rPr>
                <w:rFonts w:ascii="Times New Roman" w:hAnsi="Times New Roman" w:cs="Times New Roman"/>
                <w:sz w:val="16"/>
                <w:szCs w:val="16"/>
              </w:rPr>
            </w:pPr>
            <w:r w:rsidRPr="00190F41">
              <w:rPr>
                <w:rFonts w:ascii="Times New Roman" w:hAnsi="Times New Roman" w:cs="Times New Roman"/>
                <w:sz w:val="16"/>
                <w:szCs w:val="16"/>
              </w:rPr>
              <w:t>113 717</w:t>
            </w:r>
          </w:p>
        </w:tc>
      </w:tr>
      <w:tr w:rsidR="00C10ED1" w:rsidRPr="00C75C71" w:rsidTr="007C2EE4">
        <w:trPr>
          <w:trHeight w:val="69"/>
          <w:jc w:val="center"/>
        </w:trPr>
        <w:tc>
          <w:tcPr>
            <w:tcW w:w="2693" w:type="dxa"/>
            <w:tcBorders>
              <w:right w:val="single" w:sz="4" w:space="0" w:color="auto"/>
            </w:tcBorders>
            <w:shd w:val="clear" w:color="auto" w:fill="FFFFFF" w:themeFill="background1"/>
            <w:noWrap/>
            <w:hideMark/>
          </w:tcPr>
          <w:p w:rsidR="00C10ED1" w:rsidRPr="00C10ED1" w:rsidRDefault="00EC0277" w:rsidP="00274157">
            <w:pPr>
              <w:pStyle w:val="Bezodstpw"/>
              <w:spacing w:line="200" w:lineRule="exact"/>
              <w:jc w:val="both"/>
              <w:rPr>
                <w:rFonts w:ascii="Times New Roman" w:hAnsi="Times New Roman" w:cs="Times New Roman"/>
                <w:sz w:val="16"/>
                <w:szCs w:val="16"/>
              </w:rPr>
            </w:pPr>
            <w:r w:rsidRPr="00C10ED1">
              <w:rPr>
                <w:rFonts w:ascii="Times New Roman" w:hAnsi="Times New Roman" w:cs="Times New Roman"/>
                <w:sz w:val="16"/>
                <w:szCs w:val="16"/>
              </w:rPr>
              <w:t>O</w:t>
            </w:r>
            <w:r w:rsidR="00274157">
              <w:rPr>
                <w:rFonts w:ascii="Times New Roman" w:hAnsi="Times New Roman" w:cs="Times New Roman"/>
                <w:sz w:val="16"/>
                <w:szCs w:val="16"/>
              </w:rPr>
              <w:t>POLSKIE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10ED1" w:rsidRPr="00C10ED1" w:rsidRDefault="00C10ED1" w:rsidP="00F32733">
            <w:pPr>
              <w:pStyle w:val="Bezodstpw"/>
              <w:spacing w:line="200" w:lineRule="exact"/>
              <w:jc w:val="center"/>
              <w:rPr>
                <w:rFonts w:ascii="Times New Roman" w:hAnsi="Times New Roman" w:cs="Times New Roman"/>
                <w:sz w:val="16"/>
                <w:szCs w:val="16"/>
              </w:rPr>
            </w:pPr>
            <w:r w:rsidRPr="00C10ED1">
              <w:rPr>
                <w:rFonts w:ascii="Times New Roman" w:hAnsi="Times New Roman" w:cs="Times New Roman"/>
                <w:sz w:val="16"/>
                <w:szCs w:val="16"/>
              </w:rPr>
              <w:t>100 590</w:t>
            </w:r>
          </w:p>
        </w:tc>
        <w:tc>
          <w:tcPr>
            <w:tcW w:w="2199" w:type="dxa"/>
            <w:tcBorders>
              <w:top w:val="single" w:sz="4" w:space="0" w:color="auto"/>
              <w:left w:val="single" w:sz="4" w:space="0" w:color="auto"/>
              <w:bottom w:val="single" w:sz="4" w:space="0" w:color="auto"/>
              <w:right w:val="single" w:sz="4" w:space="0" w:color="auto"/>
            </w:tcBorders>
          </w:tcPr>
          <w:p w:rsidR="00C10ED1" w:rsidRPr="00190F41" w:rsidRDefault="00577124" w:rsidP="00055C65">
            <w:pPr>
              <w:pStyle w:val="Bezodstpw"/>
              <w:spacing w:line="200" w:lineRule="exact"/>
              <w:jc w:val="center"/>
              <w:rPr>
                <w:rFonts w:ascii="Times New Roman" w:hAnsi="Times New Roman" w:cs="Times New Roman"/>
                <w:sz w:val="16"/>
                <w:szCs w:val="16"/>
              </w:rPr>
            </w:pPr>
            <w:r w:rsidRPr="00190F41">
              <w:rPr>
                <w:rFonts w:ascii="Times New Roman" w:hAnsi="Times New Roman" w:cs="Times New Roman"/>
                <w:sz w:val="16"/>
                <w:szCs w:val="16"/>
              </w:rPr>
              <w:t>100 931</w:t>
            </w:r>
          </w:p>
        </w:tc>
      </w:tr>
      <w:tr w:rsidR="00C10ED1" w:rsidRPr="00C75C71" w:rsidTr="007C2EE4">
        <w:trPr>
          <w:trHeight w:val="143"/>
          <w:jc w:val="center"/>
        </w:trPr>
        <w:tc>
          <w:tcPr>
            <w:tcW w:w="2693" w:type="dxa"/>
            <w:tcBorders>
              <w:right w:val="single" w:sz="4" w:space="0" w:color="auto"/>
            </w:tcBorders>
            <w:shd w:val="clear" w:color="auto" w:fill="FFFFFF" w:themeFill="background1"/>
            <w:noWrap/>
            <w:hideMark/>
          </w:tcPr>
          <w:p w:rsidR="00C10ED1" w:rsidRPr="00C10ED1" w:rsidRDefault="00EC0277" w:rsidP="00274157">
            <w:pPr>
              <w:pStyle w:val="Bezodstpw"/>
              <w:spacing w:line="200" w:lineRule="exact"/>
              <w:jc w:val="both"/>
              <w:rPr>
                <w:rFonts w:ascii="Times New Roman" w:hAnsi="Times New Roman" w:cs="Times New Roman"/>
                <w:sz w:val="16"/>
                <w:szCs w:val="16"/>
              </w:rPr>
            </w:pPr>
            <w:r w:rsidRPr="00C10ED1">
              <w:rPr>
                <w:rFonts w:ascii="Times New Roman" w:hAnsi="Times New Roman" w:cs="Times New Roman"/>
                <w:sz w:val="16"/>
                <w:szCs w:val="16"/>
              </w:rPr>
              <w:t>P</w:t>
            </w:r>
            <w:r w:rsidR="00274157">
              <w:rPr>
                <w:rFonts w:ascii="Times New Roman" w:hAnsi="Times New Roman" w:cs="Times New Roman"/>
                <w:sz w:val="16"/>
                <w:szCs w:val="16"/>
              </w:rPr>
              <w:t>ODLASKIE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10ED1" w:rsidRPr="00C10ED1" w:rsidRDefault="00C10ED1" w:rsidP="00F32733">
            <w:pPr>
              <w:pStyle w:val="Bezodstpw"/>
              <w:spacing w:line="200" w:lineRule="exact"/>
              <w:jc w:val="center"/>
              <w:rPr>
                <w:rFonts w:ascii="Times New Roman" w:hAnsi="Times New Roman" w:cs="Times New Roman"/>
                <w:sz w:val="16"/>
                <w:szCs w:val="16"/>
              </w:rPr>
            </w:pPr>
            <w:r w:rsidRPr="00C10ED1">
              <w:rPr>
                <w:rFonts w:ascii="Times New Roman" w:hAnsi="Times New Roman" w:cs="Times New Roman"/>
                <w:sz w:val="16"/>
                <w:szCs w:val="16"/>
              </w:rPr>
              <w:t>101 202</w:t>
            </w:r>
          </w:p>
        </w:tc>
        <w:tc>
          <w:tcPr>
            <w:tcW w:w="2199" w:type="dxa"/>
            <w:tcBorders>
              <w:top w:val="single" w:sz="4" w:space="0" w:color="auto"/>
              <w:left w:val="single" w:sz="4" w:space="0" w:color="auto"/>
              <w:bottom w:val="single" w:sz="4" w:space="0" w:color="auto"/>
              <w:right w:val="single" w:sz="4" w:space="0" w:color="auto"/>
            </w:tcBorders>
          </w:tcPr>
          <w:p w:rsidR="00C10ED1" w:rsidRPr="00190F41" w:rsidRDefault="00577124" w:rsidP="00055C65">
            <w:pPr>
              <w:pStyle w:val="Bezodstpw"/>
              <w:spacing w:line="200" w:lineRule="exact"/>
              <w:jc w:val="center"/>
              <w:rPr>
                <w:rFonts w:ascii="Times New Roman" w:hAnsi="Times New Roman" w:cs="Times New Roman"/>
                <w:sz w:val="16"/>
                <w:szCs w:val="16"/>
              </w:rPr>
            </w:pPr>
            <w:r w:rsidRPr="00190F41">
              <w:rPr>
                <w:rFonts w:ascii="Times New Roman" w:hAnsi="Times New Roman" w:cs="Times New Roman"/>
                <w:sz w:val="16"/>
                <w:szCs w:val="16"/>
              </w:rPr>
              <w:t>103 040</w:t>
            </w:r>
          </w:p>
        </w:tc>
      </w:tr>
    </w:tbl>
    <w:p w:rsidR="008613FC" w:rsidRDefault="008613FC" w:rsidP="00B92E45">
      <w:pPr>
        <w:pStyle w:val="Bezodstpw"/>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B92E45" w:rsidRPr="00190F41" w:rsidRDefault="00AD7838" w:rsidP="00B92E45">
      <w:pPr>
        <w:pStyle w:val="Bezodstpw"/>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B92E45" w:rsidRPr="00190F4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Tabela </w:t>
      </w:r>
      <w:r w:rsidR="00220855" w:rsidRPr="00190F4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5</w:t>
      </w:r>
      <w:r w:rsidR="00B92E45" w:rsidRPr="00190F4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B92E45" w:rsidRPr="00190F4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Wskaźnik </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B92E45" w:rsidRPr="00190F4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przedsiębiorczości</w:t>
      </w:r>
      <w:r w:rsidR="00AE5712" w:rsidRPr="00190F4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t>
      </w:r>
      <w:r w:rsidR="00B92E45" w:rsidRPr="00190F4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województwach</w:t>
      </w:r>
      <w:r w:rsidR="007B4819" w:rsidRPr="00190F4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B92E45" w:rsidRPr="00190F4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3</w:t>
      </w:r>
      <w:r w:rsidR="00055C65" w:rsidRPr="00190F4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sidR="00817F67" w:rsidRPr="00190F4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055C65" w:rsidRPr="00190F4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XII</w:t>
      </w:r>
      <w:r w:rsidR="00817F67" w:rsidRPr="00190F4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B92E45" w:rsidRPr="00190F4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sidR="00190F41" w:rsidRPr="00190F4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7</w:t>
      </w:r>
      <w:r w:rsidR="00AE5712" w:rsidRPr="00190F4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r.</w:t>
      </w:r>
    </w:p>
    <w:tbl>
      <w:tblPr>
        <w:tblStyle w:val="Tabela-Siatka"/>
        <w:tblW w:w="3009" w:type="pct"/>
        <w:jc w:val="center"/>
        <w:tblLayout w:type="fixed"/>
        <w:tblLook w:val="04A0" w:firstRow="1" w:lastRow="0" w:firstColumn="1" w:lastColumn="0" w:noHBand="0" w:noVBand="1"/>
      </w:tblPr>
      <w:tblGrid>
        <w:gridCol w:w="2327"/>
        <w:gridCol w:w="3261"/>
      </w:tblGrid>
      <w:tr w:rsidR="00631BF7" w:rsidRPr="00C75C71" w:rsidTr="00631BF7">
        <w:trPr>
          <w:trHeight w:val="1232"/>
          <w:jc w:val="center"/>
        </w:trPr>
        <w:tc>
          <w:tcPr>
            <w:tcW w:w="2082" w:type="pct"/>
            <w:shd w:val="clear" w:color="auto" w:fill="E5DFEC" w:themeFill="accent4" w:themeFillTint="33"/>
            <w:noWrap/>
            <w:vAlign w:val="center"/>
            <w:hideMark/>
          </w:tcPr>
          <w:p w:rsidR="00631BF7" w:rsidRPr="00190F41" w:rsidRDefault="00631BF7" w:rsidP="009E3AFD">
            <w:pPr>
              <w:pStyle w:val="Bezodstpw"/>
              <w:jc w:val="center"/>
              <w:rPr>
                <w:rFonts w:ascii="Times New Roman" w:hAnsi="Times New Roman" w:cs="Times New Roman"/>
                <w:b/>
                <w:sz w:val="20"/>
                <w:szCs w:val="20"/>
              </w:rPr>
            </w:pPr>
            <w:r w:rsidRPr="00190F41">
              <w:rPr>
                <w:rFonts w:ascii="Times New Roman" w:hAnsi="Times New Roman" w:cs="Times New Roman"/>
                <w:b/>
                <w:sz w:val="20"/>
                <w:szCs w:val="20"/>
              </w:rPr>
              <w:t>województwa</w:t>
            </w:r>
          </w:p>
        </w:tc>
        <w:tc>
          <w:tcPr>
            <w:tcW w:w="2918" w:type="pct"/>
            <w:shd w:val="clear" w:color="auto" w:fill="E5DFEC" w:themeFill="accent4" w:themeFillTint="33"/>
            <w:vAlign w:val="center"/>
          </w:tcPr>
          <w:p w:rsidR="00631BF7" w:rsidRPr="00190F41" w:rsidRDefault="00631BF7" w:rsidP="009E3AFD">
            <w:pPr>
              <w:pStyle w:val="Bezodstpw"/>
              <w:jc w:val="center"/>
              <w:rPr>
                <w:rFonts w:ascii="Times New Roman" w:hAnsi="Times New Roman" w:cs="Times New Roman"/>
                <w:b/>
                <w:caps/>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90F41">
              <w:rPr>
                <w:rFonts w:ascii="Times New Roman" w:hAnsi="Times New Roman" w:cs="Times New Roman"/>
                <w:b/>
                <w:caps/>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wskaźnik przedsiębiorczości</w:t>
            </w:r>
          </w:p>
          <w:p w:rsidR="00631BF7" w:rsidRPr="00190F41" w:rsidRDefault="00631BF7" w:rsidP="00797F16">
            <w:pPr>
              <w:pStyle w:val="Bezodstpw"/>
              <w:pBdr>
                <w:top w:val="single" w:sz="4" w:space="1" w:color="auto"/>
              </w:pBdr>
              <w:jc w:val="center"/>
              <w:rPr>
                <w:rFonts w:ascii="Times New Roman" w:hAnsi="Times New Roman" w:cs="Times New Roman"/>
                <w:b/>
                <w:sz w:val="18"/>
                <w:szCs w:val="18"/>
              </w:rPr>
            </w:pPr>
            <w:r w:rsidRPr="00190F41">
              <w:rPr>
                <w:rFonts w:ascii="Times New Roman" w:hAnsi="Times New Roman" w:cs="Times New Roman"/>
                <w:b/>
                <w:sz w:val="18"/>
                <w:szCs w:val="18"/>
              </w:rPr>
              <w:t>(liczba podmiotów gospodarczych przypadająca na 1000</w:t>
            </w:r>
          </w:p>
          <w:p w:rsidR="00631BF7" w:rsidRPr="00190F41" w:rsidRDefault="00631BF7" w:rsidP="00797F16">
            <w:pPr>
              <w:pStyle w:val="Bezodstpw"/>
              <w:pBdr>
                <w:top w:val="single" w:sz="4" w:space="1" w:color="auto"/>
              </w:pBdr>
              <w:jc w:val="center"/>
              <w:rPr>
                <w:rFonts w:ascii="Times New Roman" w:hAnsi="Times New Roman" w:cs="Times New Roman"/>
                <w:b/>
                <w:sz w:val="20"/>
                <w:szCs w:val="20"/>
              </w:rPr>
            </w:pPr>
            <w:r w:rsidRPr="00190F41">
              <w:rPr>
                <w:rFonts w:ascii="Times New Roman" w:hAnsi="Times New Roman" w:cs="Times New Roman"/>
                <w:b/>
                <w:sz w:val="18"/>
                <w:szCs w:val="18"/>
              </w:rPr>
              <w:t>mieszkańców)</w:t>
            </w:r>
          </w:p>
        </w:tc>
      </w:tr>
      <w:tr w:rsidR="00631BF7" w:rsidRPr="00C75C71" w:rsidTr="00631BF7">
        <w:trPr>
          <w:trHeight w:val="47"/>
          <w:jc w:val="center"/>
        </w:trPr>
        <w:tc>
          <w:tcPr>
            <w:tcW w:w="2082" w:type="pct"/>
            <w:shd w:val="clear" w:color="auto" w:fill="E5DFEC" w:themeFill="accent4" w:themeFillTint="33"/>
            <w:noWrap/>
            <w:vAlign w:val="bottom"/>
          </w:tcPr>
          <w:p w:rsidR="00631BF7" w:rsidRPr="00631BF7" w:rsidRDefault="00631BF7">
            <w:pPr>
              <w:rPr>
                <w:rFonts w:ascii="Times New Roman" w:hAnsi="Times New Roman" w:cs="Times New Roman"/>
                <w:b/>
                <w:sz w:val="16"/>
                <w:szCs w:val="16"/>
              </w:rPr>
            </w:pPr>
            <w:r w:rsidRPr="00631BF7">
              <w:rPr>
                <w:rFonts w:ascii="Times New Roman" w:hAnsi="Times New Roman" w:cs="Times New Roman"/>
                <w:b/>
                <w:sz w:val="16"/>
                <w:szCs w:val="16"/>
              </w:rPr>
              <w:t>Polska</w:t>
            </w:r>
          </w:p>
        </w:tc>
        <w:tc>
          <w:tcPr>
            <w:tcW w:w="2918" w:type="pct"/>
            <w:shd w:val="clear" w:color="auto" w:fill="E5DFEC" w:themeFill="accent4" w:themeFillTint="33"/>
            <w:vAlign w:val="center"/>
          </w:tcPr>
          <w:p w:rsidR="00631BF7" w:rsidRPr="00CD1517" w:rsidRDefault="00631BF7" w:rsidP="00CD1517">
            <w:pPr>
              <w:jc w:val="center"/>
              <w:rPr>
                <w:rFonts w:ascii="Times New Roman" w:hAnsi="Times New Roman" w:cs="Times New Roman"/>
                <w:b/>
                <w:sz w:val="16"/>
                <w:szCs w:val="16"/>
              </w:rPr>
            </w:pPr>
            <w:r w:rsidRPr="00CD1517">
              <w:rPr>
                <w:rFonts w:ascii="Times New Roman" w:hAnsi="Times New Roman" w:cs="Times New Roman"/>
                <w:b/>
                <w:sz w:val="16"/>
                <w:szCs w:val="16"/>
              </w:rPr>
              <w:t>11</w:t>
            </w:r>
            <w:r w:rsidR="00CD1517" w:rsidRPr="00CD1517">
              <w:rPr>
                <w:rFonts w:ascii="Times New Roman" w:hAnsi="Times New Roman" w:cs="Times New Roman"/>
                <w:b/>
                <w:sz w:val="16"/>
                <w:szCs w:val="16"/>
              </w:rPr>
              <w:t>2</w:t>
            </w:r>
          </w:p>
        </w:tc>
      </w:tr>
      <w:tr w:rsidR="00631BF7" w:rsidRPr="00C75C71" w:rsidTr="00631BF7">
        <w:trPr>
          <w:trHeight w:val="47"/>
          <w:jc w:val="center"/>
        </w:trPr>
        <w:tc>
          <w:tcPr>
            <w:tcW w:w="2082" w:type="pct"/>
            <w:shd w:val="clear" w:color="auto" w:fill="FFFFFF" w:themeFill="background1"/>
            <w:noWrap/>
            <w:vAlign w:val="bottom"/>
          </w:tcPr>
          <w:p w:rsidR="00631BF7" w:rsidRPr="00631BF7" w:rsidRDefault="00631BF7">
            <w:pPr>
              <w:rPr>
                <w:rFonts w:ascii="Times New Roman" w:hAnsi="Times New Roman" w:cs="Times New Roman"/>
                <w:sz w:val="16"/>
                <w:szCs w:val="16"/>
              </w:rPr>
            </w:pPr>
            <w:r w:rsidRPr="00631BF7">
              <w:rPr>
                <w:rFonts w:ascii="Times New Roman" w:hAnsi="Times New Roman" w:cs="Times New Roman"/>
                <w:sz w:val="16"/>
                <w:szCs w:val="16"/>
              </w:rPr>
              <w:t>DOLNOŚLĄSKIE</w:t>
            </w:r>
          </w:p>
        </w:tc>
        <w:tc>
          <w:tcPr>
            <w:tcW w:w="2918" w:type="pct"/>
            <w:shd w:val="clear" w:color="auto" w:fill="FFFFFF" w:themeFill="background1"/>
            <w:vAlign w:val="center"/>
          </w:tcPr>
          <w:p w:rsidR="00631BF7" w:rsidRPr="00CD1517" w:rsidRDefault="00CD1517" w:rsidP="00CD1517">
            <w:pPr>
              <w:jc w:val="center"/>
              <w:rPr>
                <w:rFonts w:ascii="Times New Roman" w:hAnsi="Times New Roman" w:cs="Times New Roman"/>
                <w:sz w:val="16"/>
                <w:szCs w:val="16"/>
              </w:rPr>
            </w:pPr>
            <w:r>
              <w:rPr>
                <w:rFonts w:ascii="Times New Roman" w:hAnsi="Times New Roman" w:cs="Times New Roman"/>
                <w:sz w:val="16"/>
                <w:szCs w:val="16"/>
              </w:rPr>
              <w:t>127</w:t>
            </w:r>
          </w:p>
        </w:tc>
      </w:tr>
      <w:tr w:rsidR="00631BF7" w:rsidRPr="00C75C71" w:rsidTr="00631BF7">
        <w:trPr>
          <w:trHeight w:val="134"/>
          <w:jc w:val="center"/>
        </w:trPr>
        <w:tc>
          <w:tcPr>
            <w:tcW w:w="2082" w:type="pct"/>
            <w:shd w:val="clear" w:color="auto" w:fill="FFFFFF" w:themeFill="background1"/>
            <w:noWrap/>
            <w:vAlign w:val="bottom"/>
          </w:tcPr>
          <w:p w:rsidR="00631BF7" w:rsidRPr="00631BF7" w:rsidRDefault="00631BF7">
            <w:pPr>
              <w:rPr>
                <w:rFonts w:ascii="Times New Roman" w:hAnsi="Times New Roman" w:cs="Times New Roman"/>
                <w:sz w:val="16"/>
                <w:szCs w:val="16"/>
              </w:rPr>
            </w:pPr>
            <w:r w:rsidRPr="00631BF7">
              <w:rPr>
                <w:rFonts w:ascii="Times New Roman" w:hAnsi="Times New Roman" w:cs="Times New Roman"/>
                <w:sz w:val="16"/>
                <w:szCs w:val="16"/>
              </w:rPr>
              <w:t>KUJAWSKO-POMORSKIE</w:t>
            </w:r>
          </w:p>
        </w:tc>
        <w:tc>
          <w:tcPr>
            <w:tcW w:w="2918" w:type="pct"/>
            <w:shd w:val="clear" w:color="auto" w:fill="FFFFFF" w:themeFill="background1"/>
            <w:vAlign w:val="center"/>
          </w:tcPr>
          <w:p w:rsidR="00631BF7" w:rsidRPr="00CD1517" w:rsidRDefault="00CD1517" w:rsidP="00CD1517">
            <w:pPr>
              <w:jc w:val="center"/>
              <w:rPr>
                <w:rFonts w:ascii="Times New Roman" w:hAnsi="Times New Roman" w:cs="Times New Roman"/>
                <w:sz w:val="16"/>
                <w:szCs w:val="16"/>
              </w:rPr>
            </w:pPr>
            <w:r w:rsidRPr="00CD1517">
              <w:rPr>
                <w:rFonts w:ascii="Times New Roman" w:hAnsi="Times New Roman" w:cs="Times New Roman"/>
                <w:sz w:val="16"/>
                <w:szCs w:val="16"/>
              </w:rPr>
              <w:t>94</w:t>
            </w:r>
          </w:p>
        </w:tc>
      </w:tr>
      <w:tr w:rsidR="00631BF7" w:rsidRPr="00C75C71" w:rsidTr="00631BF7">
        <w:trPr>
          <w:trHeight w:val="193"/>
          <w:jc w:val="center"/>
        </w:trPr>
        <w:tc>
          <w:tcPr>
            <w:tcW w:w="2082" w:type="pct"/>
            <w:shd w:val="clear" w:color="auto" w:fill="FFFFFF" w:themeFill="background1"/>
            <w:noWrap/>
            <w:vAlign w:val="bottom"/>
          </w:tcPr>
          <w:p w:rsidR="00631BF7" w:rsidRPr="00631BF7" w:rsidRDefault="00631BF7">
            <w:pPr>
              <w:rPr>
                <w:rFonts w:ascii="Times New Roman" w:hAnsi="Times New Roman" w:cs="Times New Roman"/>
                <w:sz w:val="16"/>
                <w:szCs w:val="16"/>
              </w:rPr>
            </w:pPr>
            <w:r w:rsidRPr="00631BF7">
              <w:rPr>
                <w:rFonts w:ascii="Times New Roman" w:hAnsi="Times New Roman" w:cs="Times New Roman"/>
                <w:sz w:val="16"/>
                <w:szCs w:val="16"/>
              </w:rPr>
              <w:t>LUBELSKIE</w:t>
            </w:r>
          </w:p>
        </w:tc>
        <w:tc>
          <w:tcPr>
            <w:tcW w:w="2918" w:type="pct"/>
            <w:shd w:val="clear" w:color="auto" w:fill="FFFFFF" w:themeFill="background1"/>
            <w:vAlign w:val="center"/>
          </w:tcPr>
          <w:p w:rsidR="00631BF7" w:rsidRPr="00CD1517" w:rsidRDefault="00CD1517" w:rsidP="00CD1517">
            <w:pPr>
              <w:jc w:val="center"/>
              <w:rPr>
                <w:rFonts w:ascii="Times New Roman" w:hAnsi="Times New Roman" w:cs="Times New Roman"/>
                <w:sz w:val="16"/>
                <w:szCs w:val="16"/>
              </w:rPr>
            </w:pPr>
            <w:r w:rsidRPr="00CD1517">
              <w:rPr>
                <w:rFonts w:ascii="Times New Roman" w:hAnsi="Times New Roman" w:cs="Times New Roman"/>
                <w:sz w:val="16"/>
                <w:szCs w:val="16"/>
              </w:rPr>
              <w:t>83</w:t>
            </w:r>
          </w:p>
        </w:tc>
      </w:tr>
      <w:tr w:rsidR="00631BF7" w:rsidRPr="00C75C71" w:rsidTr="00631BF7">
        <w:trPr>
          <w:trHeight w:val="167"/>
          <w:jc w:val="center"/>
        </w:trPr>
        <w:tc>
          <w:tcPr>
            <w:tcW w:w="2082" w:type="pct"/>
            <w:shd w:val="clear" w:color="auto" w:fill="FFFFFF" w:themeFill="background1"/>
            <w:noWrap/>
            <w:vAlign w:val="bottom"/>
          </w:tcPr>
          <w:p w:rsidR="00631BF7" w:rsidRPr="00631BF7" w:rsidRDefault="00631BF7">
            <w:pPr>
              <w:rPr>
                <w:rFonts w:ascii="Times New Roman" w:hAnsi="Times New Roman" w:cs="Times New Roman"/>
                <w:sz w:val="16"/>
                <w:szCs w:val="16"/>
              </w:rPr>
            </w:pPr>
            <w:r w:rsidRPr="00631BF7">
              <w:rPr>
                <w:rFonts w:ascii="Times New Roman" w:hAnsi="Times New Roman" w:cs="Times New Roman"/>
                <w:sz w:val="16"/>
                <w:szCs w:val="16"/>
              </w:rPr>
              <w:t>LUBUSKIE</w:t>
            </w:r>
          </w:p>
        </w:tc>
        <w:tc>
          <w:tcPr>
            <w:tcW w:w="2918" w:type="pct"/>
            <w:shd w:val="clear" w:color="auto" w:fill="FFFFFF" w:themeFill="background1"/>
            <w:vAlign w:val="center"/>
          </w:tcPr>
          <w:p w:rsidR="00631BF7" w:rsidRPr="00CD1517" w:rsidRDefault="00CD1517" w:rsidP="00CD1517">
            <w:pPr>
              <w:jc w:val="center"/>
              <w:rPr>
                <w:rFonts w:ascii="Times New Roman" w:hAnsi="Times New Roman" w:cs="Times New Roman"/>
                <w:sz w:val="16"/>
                <w:szCs w:val="16"/>
              </w:rPr>
            </w:pPr>
            <w:r w:rsidRPr="00CD1517">
              <w:rPr>
                <w:rFonts w:ascii="Times New Roman" w:hAnsi="Times New Roman" w:cs="Times New Roman"/>
                <w:sz w:val="16"/>
                <w:szCs w:val="16"/>
              </w:rPr>
              <w:t>111</w:t>
            </w:r>
          </w:p>
        </w:tc>
      </w:tr>
      <w:tr w:rsidR="00631BF7" w:rsidRPr="00C75C71" w:rsidTr="00631BF7">
        <w:trPr>
          <w:trHeight w:val="86"/>
          <w:jc w:val="center"/>
        </w:trPr>
        <w:tc>
          <w:tcPr>
            <w:tcW w:w="2082" w:type="pct"/>
            <w:shd w:val="clear" w:color="auto" w:fill="FFFFFF" w:themeFill="background1"/>
            <w:noWrap/>
            <w:vAlign w:val="bottom"/>
          </w:tcPr>
          <w:p w:rsidR="00631BF7" w:rsidRPr="00631BF7" w:rsidRDefault="00631BF7">
            <w:pPr>
              <w:rPr>
                <w:rFonts w:ascii="Times New Roman" w:hAnsi="Times New Roman" w:cs="Times New Roman"/>
                <w:sz w:val="16"/>
                <w:szCs w:val="16"/>
              </w:rPr>
            </w:pPr>
            <w:r w:rsidRPr="00631BF7">
              <w:rPr>
                <w:rFonts w:ascii="Times New Roman" w:hAnsi="Times New Roman" w:cs="Times New Roman"/>
                <w:sz w:val="16"/>
                <w:szCs w:val="16"/>
              </w:rPr>
              <w:t>ŁÓDZKIE</w:t>
            </w:r>
          </w:p>
        </w:tc>
        <w:tc>
          <w:tcPr>
            <w:tcW w:w="2918" w:type="pct"/>
            <w:shd w:val="clear" w:color="auto" w:fill="FFFFFF" w:themeFill="background1"/>
            <w:vAlign w:val="center"/>
          </w:tcPr>
          <w:p w:rsidR="00631BF7" w:rsidRPr="00CD1517" w:rsidRDefault="00CD1517" w:rsidP="00CD1517">
            <w:pPr>
              <w:jc w:val="center"/>
              <w:rPr>
                <w:rFonts w:ascii="Times New Roman" w:hAnsi="Times New Roman" w:cs="Times New Roman"/>
                <w:sz w:val="16"/>
                <w:szCs w:val="16"/>
              </w:rPr>
            </w:pPr>
            <w:r w:rsidRPr="00CD1517">
              <w:rPr>
                <w:rFonts w:ascii="Times New Roman" w:hAnsi="Times New Roman" w:cs="Times New Roman"/>
                <w:sz w:val="16"/>
                <w:szCs w:val="16"/>
              </w:rPr>
              <w:t>99</w:t>
            </w:r>
          </w:p>
        </w:tc>
      </w:tr>
      <w:tr w:rsidR="00631BF7" w:rsidRPr="00C75C71" w:rsidTr="00631BF7">
        <w:trPr>
          <w:trHeight w:val="145"/>
          <w:jc w:val="center"/>
        </w:trPr>
        <w:tc>
          <w:tcPr>
            <w:tcW w:w="2082" w:type="pct"/>
            <w:shd w:val="clear" w:color="auto" w:fill="FFFFFF" w:themeFill="background1"/>
            <w:noWrap/>
            <w:vAlign w:val="bottom"/>
          </w:tcPr>
          <w:p w:rsidR="00631BF7" w:rsidRPr="00631BF7" w:rsidRDefault="00631BF7">
            <w:pPr>
              <w:rPr>
                <w:rFonts w:ascii="Times New Roman" w:hAnsi="Times New Roman" w:cs="Times New Roman"/>
                <w:sz w:val="16"/>
                <w:szCs w:val="16"/>
              </w:rPr>
            </w:pPr>
            <w:r w:rsidRPr="00631BF7">
              <w:rPr>
                <w:rFonts w:ascii="Times New Roman" w:hAnsi="Times New Roman" w:cs="Times New Roman"/>
                <w:sz w:val="16"/>
                <w:szCs w:val="16"/>
              </w:rPr>
              <w:t>MAŁOPOLSKIE</w:t>
            </w:r>
          </w:p>
        </w:tc>
        <w:tc>
          <w:tcPr>
            <w:tcW w:w="2918" w:type="pct"/>
            <w:shd w:val="clear" w:color="auto" w:fill="FFFFFF" w:themeFill="background1"/>
            <w:vAlign w:val="center"/>
          </w:tcPr>
          <w:p w:rsidR="00631BF7" w:rsidRPr="00CD1517" w:rsidRDefault="00CD1517" w:rsidP="00CD1517">
            <w:pPr>
              <w:jc w:val="center"/>
              <w:rPr>
                <w:rFonts w:ascii="Times New Roman" w:hAnsi="Times New Roman" w:cs="Times New Roman"/>
                <w:sz w:val="16"/>
                <w:szCs w:val="16"/>
              </w:rPr>
            </w:pPr>
            <w:r w:rsidRPr="00CD1517">
              <w:rPr>
                <w:rFonts w:ascii="Times New Roman" w:hAnsi="Times New Roman" w:cs="Times New Roman"/>
                <w:sz w:val="16"/>
                <w:szCs w:val="16"/>
              </w:rPr>
              <w:t>112</w:t>
            </w:r>
          </w:p>
        </w:tc>
      </w:tr>
      <w:tr w:rsidR="00631BF7" w:rsidRPr="00C75C71" w:rsidTr="00631BF7">
        <w:trPr>
          <w:trHeight w:val="219"/>
          <w:jc w:val="center"/>
        </w:trPr>
        <w:tc>
          <w:tcPr>
            <w:tcW w:w="2082" w:type="pct"/>
            <w:shd w:val="clear" w:color="auto" w:fill="FFFFFF" w:themeFill="background1"/>
            <w:noWrap/>
            <w:vAlign w:val="bottom"/>
          </w:tcPr>
          <w:p w:rsidR="00631BF7" w:rsidRPr="00631BF7" w:rsidRDefault="00631BF7">
            <w:pPr>
              <w:rPr>
                <w:rFonts w:ascii="Times New Roman" w:hAnsi="Times New Roman" w:cs="Times New Roman"/>
                <w:sz w:val="16"/>
                <w:szCs w:val="16"/>
              </w:rPr>
            </w:pPr>
            <w:r w:rsidRPr="00631BF7">
              <w:rPr>
                <w:rFonts w:ascii="Times New Roman" w:hAnsi="Times New Roman" w:cs="Times New Roman"/>
                <w:sz w:val="16"/>
                <w:szCs w:val="16"/>
              </w:rPr>
              <w:t>MAZOWIECKIE</w:t>
            </w:r>
          </w:p>
        </w:tc>
        <w:tc>
          <w:tcPr>
            <w:tcW w:w="2918" w:type="pct"/>
            <w:shd w:val="clear" w:color="auto" w:fill="FFFFFF" w:themeFill="background1"/>
            <w:vAlign w:val="center"/>
          </w:tcPr>
          <w:p w:rsidR="00631BF7" w:rsidRPr="00CD1517" w:rsidRDefault="00CD1517" w:rsidP="00CD1517">
            <w:pPr>
              <w:jc w:val="center"/>
              <w:rPr>
                <w:rFonts w:ascii="Times New Roman" w:hAnsi="Times New Roman" w:cs="Times New Roman"/>
                <w:sz w:val="16"/>
                <w:szCs w:val="16"/>
              </w:rPr>
            </w:pPr>
            <w:r w:rsidRPr="00CD1517">
              <w:rPr>
                <w:rFonts w:ascii="Times New Roman" w:hAnsi="Times New Roman" w:cs="Times New Roman"/>
                <w:sz w:val="16"/>
                <w:szCs w:val="16"/>
              </w:rPr>
              <w:t>150</w:t>
            </w:r>
          </w:p>
        </w:tc>
      </w:tr>
      <w:tr w:rsidR="00631BF7" w:rsidRPr="00C75C71" w:rsidTr="00631BF7">
        <w:trPr>
          <w:trHeight w:val="138"/>
          <w:jc w:val="center"/>
        </w:trPr>
        <w:tc>
          <w:tcPr>
            <w:tcW w:w="2082" w:type="pct"/>
            <w:shd w:val="clear" w:color="auto" w:fill="FFFFFF" w:themeFill="background1"/>
            <w:noWrap/>
            <w:vAlign w:val="bottom"/>
          </w:tcPr>
          <w:p w:rsidR="00631BF7" w:rsidRPr="00631BF7" w:rsidRDefault="00631BF7">
            <w:pPr>
              <w:rPr>
                <w:rFonts w:ascii="Times New Roman" w:hAnsi="Times New Roman" w:cs="Times New Roman"/>
                <w:sz w:val="16"/>
                <w:szCs w:val="16"/>
              </w:rPr>
            </w:pPr>
            <w:r w:rsidRPr="00631BF7">
              <w:rPr>
                <w:rFonts w:ascii="Times New Roman" w:hAnsi="Times New Roman" w:cs="Times New Roman"/>
                <w:sz w:val="16"/>
                <w:szCs w:val="16"/>
              </w:rPr>
              <w:t>OPOLSKIE</w:t>
            </w:r>
          </w:p>
        </w:tc>
        <w:tc>
          <w:tcPr>
            <w:tcW w:w="2918" w:type="pct"/>
            <w:shd w:val="clear" w:color="auto" w:fill="FFFFFF" w:themeFill="background1"/>
            <w:vAlign w:val="center"/>
          </w:tcPr>
          <w:p w:rsidR="00631BF7" w:rsidRPr="00CD1517" w:rsidRDefault="00CD1517">
            <w:pPr>
              <w:jc w:val="center"/>
              <w:rPr>
                <w:rFonts w:ascii="Times New Roman" w:hAnsi="Times New Roman" w:cs="Times New Roman"/>
                <w:sz w:val="16"/>
                <w:szCs w:val="16"/>
              </w:rPr>
            </w:pPr>
            <w:r w:rsidRPr="00CD1517">
              <w:rPr>
                <w:rFonts w:ascii="Times New Roman" w:hAnsi="Times New Roman" w:cs="Times New Roman"/>
                <w:sz w:val="16"/>
                <w:szCs w:val="16"/>
              </w:rPr>
              <w:t>102</w:t>
            </w:r>
          </w:p>
        </w:tc>
      </w:tr>
      <w:tr w:rsidR="00631BF7" w:rsidRPr="00C75C71" w:rsidTr="00631BF7">
        <w:trPr>
          <w:trHeight w:val="197"/>
          <w:jc w:val="center"/>
        </w:trPr>
        <w:tc>
          <w:tcPr>
            <w:tcW w:w="2082" w:type="pct"/>
            <w:shd w:val="clear" w:color="auto" w:fill="E5DFEC" w:themeFill="accent4" w:themeFillTint="33"/>
            <w:noWrap/>
            <w:vAlign w:val="bottom"/>
          </w:tcPr>
          <w:p w:rsidR="00631BF7" w:rsidRPr="00631BF7" w:rsidRDefault="00631BF7">
            <w:pPr>
              <w:rPr>
                <w:rFonts w:ascii="Times New Roman" w:hAnsi="Times New Roman" w:cs="Times New Roman"/>
                <w:b/>
                <w:sz w:val="16"/>
                <w:szCs w:val="16"/>
              </w:rPr>
            </w:pPr>
            <w:r w:rsidRPr="00631BF7">
              <w:rPr>
                <w:rFonts w:ascii="Times New Roman" w:hAnsi="Times New Roman" w:cs="Times New Roman"/>
                <w:b/>
                <w:sz w:val="16"/>
                <w:szCs w:val="16"/>
              </w:rPr>
              <w:t>PODKARPACKIE</w:t>
            </w:r>
          </w:p>
        </w:tc>
        <w:tc>
          <w:tcPr>
            <w:tcW w:w="2918" w:type="pct"/>
            <w:shd w:val="clear" w:color="auto" w:fill="E5DFEC" w:themeFill="accent4" w:themeFillTint="33"/>
            <w:vAlign w:val="center"/>
          </w:tcPr>
          <w:p w:rsidR="00631BF7" w:rsidRPr="00CD1517" w:rsidRDefault="00CD1517">
            <w:pPr>
              <w:jc w:val="center"/>
              <w:rPr>
                <w:rFonts w:ascii="Times New Roman" w:hAnsi="Times New Roman" w:cs="Times New Roman"/>
                <w:sz w:val="16"/>
                <w:szCs w:val="16"/>
              </w:rPr>
            </w:pPr>
            <w:r w:rsidRPr="00CD1517">
              <w:rPr>
                <w:rFonts w:ascii="Times New Roman" w:hAnsi="Times New Roman" w:cs="Times New Roman"/>
                <w:sz w:val="16"/>
                <w:szCs w:val="16"/>
              </w:rPr>
              <w:t>80</w:t>
            </w:r>
          </w:p>
        </w:tc>
      </w:tr>
      <w:tr w:rsidR="00631BF7" w:rsidRPr="00C75C71" w:rsidTr="00631BF7">
        <w:trPr>
          <w:trHeight w:val="116"/>
          <w:jc w:val="center"/>
        </w:trPr>
        <w:tc>
          <w:tcPr>
            <w:tcW w:w="2082" w:type="pct"/>
            <w:shd w:val="clear" w:color="auto" w:fill="FFFFFF" w:themeFill="background1"/>
            <w:noWrap/>
            <w:vAlign w:val="bottom"/>
          </w:tcPr>
          <w:p w:rsidR="00631BF7" w:rsidRPr="00631BF7" w:rsidRDefault="00631BF7">
            <w:pPr>
              <w:rPr>
                <w:rFonts w:ascii="Times New Roman" w:hAnsi="Times New Roman" w:cs="Times New Roman"/>
                <w:sz w:val="16"/>
                <w:szCs w:val="16"/>
              </w:rPr>
            </w:pPr>
            <w:r w:rsidRPr="00631BF7">
              <w:rPr>
                <w:rFonts w:ascii="Times New Roman" w:hAnsi="Times New Roman" w:cs="Times New Roman"/>
                <w:sz w:val="16"/>
                <w:szCs w:val="16"/>
              </w:rPr>
              <w:t>PODLASKIE</w:t>
            </w:r>
          </w:p>
        </w:tc>
        <w:tc>
          <w:tcPr>
            <w:tcW w:w="2918" w:type="pct"/>
            <w:shd w:val="clear" w:color="auto" w:fill="FFFFFF" w:themeFill="background1"/>
            <w:vAlign w:val="center"/>
          </w:tcPr>
          <w:p w:rsidR="00631BF7" w:rsidRPr="00CD1517" w:rsidRDefault="00CD1517">
            <w:pPr>
              <w:jc w:val="center"/>
              <w:rPr>
                <w:rFonts w:ascii="Times New Roman" w:hAnsi="Times New Roman" w:cs="Times New Roman"/>
                <w:sz w:val="16"/>
                <w:szCs w:val="16"/>
              </w:rPr>
            </w:pPr>
            <w:r w:rsidRPr="00CD1517">
              <w:rPr>
                <w:rFonts w:ascii="Times New Roman" w:hAnsi="Times New Roman" w:cs="Times New Roman"/>
                <w:sz w:val="16"/>
                <w:szCs w:val="16"/>
              </w:rPr>
              <w:t>85</w:t>
            </w:r>
          </w:p>
        </w:tc>
      </w:tr>
      <w:tr w:rsidR="00631BF7" w:rsidRPr="00C75C71" w:rsidTr="00631BF7">
        <w:trPr>
          <w:trHeight w:val="47"/>
          <w:jc w:val="center"/>
        </w:trPr>
        <w:tc>
          <w:tcPr>
            <w:tcW w:w="2082" w:type="pct"/>
            <w:shd w:val="clear" w:color="auto" w:fill="FFFFFF" w:themeFill="background1"/>
            <w:noWrap/>
            <w:vAlign w:val="bottom"/>
          </w:tcPr>
          <w:p w:rsidR="00631BF7" w:rsidRPr="00631BF7" w:rsidRDefault="00631BF7">
            <w:pPr>
              <w:rPr>
                <w:rFonts w:ascii="Times New Roman" w:hAnsi="Times New Roman" w:cs="Times New Roman"/>
                <w:sz w:val="16"/>
                <w:szCs w:val="16"/>
              </w:rPr>
            </w:pPr>
            <w:r w:rsidRPr="00631BF7">
              <w:rPr>
                <w:rFonts w:ascii="Times New Roman" w:hAnsi="Times New Roman" w:cs="Times New Roman"/>
                <w:sz w:val="16"/>
                <w:szCs w:val="16"/>
              </w:rPr>
              <w:t>POMORSKIE</w:t>
            </w:r>
          </w:p>
        </w:tc>
        <w:tc>
          <w:tcPr>
            <w:tcW w:w="2918" w:type="pct"/>
            <w:shd w:val="clear" w:color="auto" w:fill="FFFFFF" w:themeFill="background1"/>
            <w:vAlign w:val="center"/>
          </w:tcPr>
          <w:p w:rsidR="00631BF7" w:rsidRPr="00CD1517" w:rsidRDefault="00CD1517">
            <w:pPr>
              <w:jc w:val="center"/>
              <w:rPr>
                <w:rFonts w:ascii="Times New Roman" w:hAnsi="Times New Roman" w:cs="Times New Roman"/>
                <w:sz w:val="16"/>
                <w:szCs w:val="16"/>
              </w:rPr>
            </w:pPr>
            <w:r w:rsidRPr="00CD1517">
              <w:rPr>
                <w:rFonts w:ascii="Times New Roman" w:hAnsi="Times New Roman" w:cs="Times New Roman"/>
                <w:sz w:val="16"/>
                <w:szCs w:val="16"/>
              </w:rPr>
              <w:t>126</w:t>
            </w:r>
          </w:p>
        </w:tc>
      </w:tr>
      <w:tr w:rsidR="00631BF7" w:rsidRPr="00C75C71" w:rsidTr="00631BF7">
        <w:trPr>
          <w:trHeight w:val="121"/>
          <w:jc w:val="center"/>
        </w:trPr>
        <w:tc>
          <w:tcPr>
            <w:tcW w:w="2082" w:type="pct"/>
            <w:shd w:val="clear" w:color="auto" w:fill="FFFFFF" w:themeFill="background1"/>
            <w:noWrap/>
            <w:vAlign w:val="bottom"/>
          </w:tcPr>
          <w:p w:rsidR="00631BF7" w:rsidRPr="00631BF7" w:rsidRDefault="00631BF7">
            <w:pPr>
              <w:rPr>
                <w:rFonts w:ascii="Times New Roman" w:hAnsi="Times New Roman" w:cs="Times New Roman"/>
                <w:sz w:val="16"/>
                <w:szCs w:val="16"/>
              </w:rPr>
            </w:pPr>
            <w:r w:rsidRPr="00631BF7">
              <w:rPr>
                <w:rFonts w:ascii="Times New Roman" w:hAnsi="Times New Roman" w:cs="Times New Roman"/>
                <w:sz w:val="16"/>
                <w:szCs w:val="16"/>
              </w:rPr>
              <w:t>ŚLĄSKIE</w:t>
            </w:r>
          </w:p>
        </w:tc>
        <w:tc>
          <w:tcPr>
            <w:tcW w:w="2918" w:type="pct"/>
            <w:shd w:val="clear" w:color="auto" w:fill="FFFFFF" w:themeFill="background1"/>
            <w:vAlign w:val="center"/>
          </w:tcPr>
          <w:p w:rsidR="00631BF7" w:rsidRPr="00CD1517" w:rsidRDefault="00CD1517">
            <w:pPr>
              <w:jc w:val="center"/>
              <w:rPr>
                <w:rFonts w:ascii="Times New Roman" w:hAnsi="Times New Roman" w:cs="Times New Roman"/>
                <w:sz w:val="16"/>
                <w:szCs w:val="16"/>
              </w:rPr>
            </w:pPr>
            <w:r w:rsidRPr="00CD1517">
              <w:rPr>
                <w:rFonts w:ascii="Times New Roman" w:hAnsi="Times New Roman" w:cs="Times New Roman"/>
                <w:sz w:val="16"/>
                <w:szCs w:val="16"/>
              </w:rPr>
              <w:t>103</w:t>
            </w:r>
          </w:p>
        </w:tc>
      </w:tr>
      <w:tr w:rsidR="00631BF7" w:rsidRPr="00C75C71" w:rsidTr="00631BF7">
        <w:trPr>
          <w:trHeight w:val="47"/>
          <w:jc w:val="center"/>
        </w:trPr>
        <w:tc>
          <w:tcPr>
            <w:tcW w:w="2082" w:type="pct"/>
            <w:shd w:val="clear" w:color="auto" w:fill="FFFFFF" w:themeFill="background1"/>
            <w:noWrap/>
            <w:vAlign w:val="bottom"/>
          </w:tcPr>
          <w:p w:rsidR="00631BF7" w:rsidRPr="00631BF7" w:rsidRDefault="00631BF7">
            <w:pPr>
              <w:rPr>
                <w:rFonts w:ascii="Times New Roman" w:hAnsi="Times New Roman" w:cs="Times New Roman"/>
                <w:sz w:val="16"/>
                <w:szCs w:val="16"/>
              </w:rPr>
            </w:pPr>
            <w:r w:rsidRPr="00631BF7">
              <w:rPr>
                <w:rFonts w:ascii="Times New Roman" w:hAnsi="Times New Roman" w:cs="Times New Roman"/>
                <w:sz w:val="16"/>
                <w:szCs w:val="16"/>
              </w:rPr>
              <w:lastRenderedPageBreak/>
              <w:t>ŚWIĘTOKRZYSKIE</w:t>
            </w:r>
          </w:p>
        </w:tc>
        <w:tc>
          <w:tcPr>
            <w:tcW w:w="2918" w:type="pct"/>
            <w:shd w:val="clear" w:color="auto" w:fill="FFFFFF" w:themeFill="background1"/>
            <w:vAlign w:val="center"/>
          </w:tcPr>
          <w:p w:rsidR="00631BF7" w:rsidRPr="00CD1517" w:rsidRDefault="00CD1517">
            <w:pPr>
              <w:jc w:val="center"/>
              <w:rPr>
                <w:rFonts w:ascii="Times New Roman" w:hAnsi="Times New Roman" w:cs="Times New Roman"/>
                <w:sz w:val="16"/>
                <w:szCs w:val="16"/>
              </w:rPr>
            </w:pPr>
            <w:r w:rsidRPr="00CD1517">
              <w:rPr>
                <w:rFonts w:ascii="Times New Roman" w:hAnsi="Times New Roman" w:cs="Times New Roman"/>
                <w:sz w:val="16"/>
                <w:szCs w:val="16"/>
              </w:rPr>
              <w:t>90</w:t>
            </w:r>
          </w:p>
        </w:tc>
      </w:tr>
      <w:tr w:rsidR="00631BF7" w:rsidRPr="00C75C71" w:rsidTr="00631BF7">
        <w:trPr>
          <w:trHeight w:val="113"/>
          <w:jc w:val="center"/>
        </w:trPr>
        <w:tc>
          <w:tcPr>
            <w:tcW w:w="2082" w:type="pct"/>
            <w:shd w:val="clear" w:color="auto" w:fill="FFFFFF" w:themeFill="background1"/>
            <w:noWrap/>
            <w:vAlign w:val="bottom"/>
          </w:tcPr>
          <w:p w:rsidR="00631BF7" w:rsidRPr="00631BF7" w:rsidRDefault="00631BF7">
            <w:pPr>
              <w:rPr>
                <w:rFonts w:ascii="Times New Roman" w:hAnsi="Times New Roman" w:cs="Times New Roman"/>
                <w:sz w:val="16"/>
                <w:szCs w:val="16"/>
              </w:rPr>
            </w:pPr>
            <w:r w:rsidRPr="00631BF7">
              <w:rPr>
                <w:rFonts w:ascii="Times New Roman" w:hAnsi="Times New Roman" w:cs="Times New Roman"/>
                <w:sz w:val="16"/>
                <w:szCs w:val="16"/>
              </w:rPr>
              <w:t>WARMIŃSKO-MAZURSKIE</w:t>
            </w:r>
          </w:p>
        </w:tc>
        <w:tc>
          <w:tcPr>
            <w:tcW w:w="2918" w:type="pct"/>
            <w:shd w:val="clear" w:color="auto" w:fill="FFFFFF" w:themeFill="background1"/>
            <w:vAlign w:val="center"/>
          </w:tcPr>
          <w:p w:rsidR="00631BF7" w:rsidRPr="00CD1517" w:rsidRDefault="00CD1517">
            <w:pPr>
              <w:jc w:val="center"/>
              <w:rPr>
                <w:rFonts w:ascii="Times New Roman" w:hAnsi="Times New Roman" w:cs="Times New Roman"/>
                <w:sz w:val="16"/>
                <w:szCs w:val="16"/>
              </w:rPr>
            </w:pPr>
            <w:r w:rsidRPr="00CD1517">
              <w:rPr>
                <w:rFonts w:ascii="Times New Roman" w:hAnsi="Times New Roman" w:cs="Times New Roman"/>
                <w:sz w:val="16"/>
                <w:szCs w:val="16"/>
              </w:rPr>
              <w:t>87</w:t>
            </w:r>
          </w:p>
        </w:tc>
      </w:tr>
      <w:tr w:rsidR="00631BF7" w:rsidRPr="00C75C71" w:rsidTr="00631BF7">
        <w:trPr>
          <w:trHeight w:val="47"/>
          <w:jc w:val="center"/>
        </w:trPr>
        <w:tc>
          <w:tcPr>
            <w:tcW w:w="2082" w:type="pct"/>
            <w:shd w:val="clear" w:color="auto" w:fill="FFFFFF" w:themeFill="background1"/>
            <w:noWrap/>
            <w:vAlign w:val="bottom"/>
          </w:tcPr>
          <w:p w:rsidR="00631BF7" w:rsidRPr="00631BF7" w:rsidRDefault="00631BF7">
            <w:pPr>
              <w:rPr>
                <w:rFonts w:ascii="Times New Roman" w:hAnsi="Times New Roman" w:cs="Times New Roman"/>
                <w:sz w:val="16"/>
                <w:szCs w:val="16"/>
              </w:rPr>
            </w:pPr>
            <w:r w:rsidRPr="00631BF7">
              <w:rPr>
                <w:rFonts w:ascii="Times New Roman" w:hAnsi="Times New Roman" w:cs="Times New Roman"/>
                <w:sz w:val="16"/>
                <w:szCs w:val="16"/>
              </w:rPr>
              <w:t>WIELKOPOLSKIE</w:t>
            </w:r>
          </w:p>
        </w:tc>
        <w:tc>
          <w:tcPr>
            <w:tcW w:w="2918" w:type="pct"/>
            <w:shd w:val="clear" w:color="auto" w:fill="FFFFFF" w:themeFill="background1"/>
            <w:vAlign w:val="center"/>
          </w:tcPr>
          <w:p w:rsidR="00631BF7" w:rsidRPr="00CD1517" w:rsidRDefault="00CD1517" w:rsidP="00CD1517">
            <w:pPr>
              <w:jc w:val="center"/>
              <w:rPr>
                <w:rFonts w:ascii="Times New Roman" w:hAnsi="Times New Roman" w:cs="Times New Roman"/>
                <w:sz w:val="16"/>
                <w:szCs w:val="16"/>
              </w:rPr>
            </w:pPr>
            <w:r w:rsidRPr="00CD1517">
              <w:rPr>
                <w:rFonts w:ascii="Times New Roman" w:hAnsi="Times New Roman" w:cs="Times New Roman"/>
                <w:sz w:val="16"/>
                <w:szCs w:val="16"/>
              </w:rPr>
              <w:t>121</w:t>
            </w:r>
          </w:p>
        </w:tc>
      </w:tr>
      <w:tr w:rsidR="00631BF7" w:rsidRPr="00C75C71" w:rsidTr="00631BF7">
        <w:trPr>
          <w:trHeight w:val="105"/>
          <w:jc w:val="center"/>
        </w:trPr>
        <w:tc>
          <w:tcPr>
            <w:tcW w:w="2082" w:type="pct"/>
            <w:shd w:val="clear" w:color="auto" w:fill="FFFFFF" w:themeFill="background1"/>
            <w:noWrap/>
            <w:vAlign w:val="bottom"/>
          </w:tcPr>
          <w:p w:rsidR="00631BF7" w:rsidRPr="00631BF7" w:rsidRDefault="00631BF7">
            <w:pPr>
              <w:rPr>
                <w:rFonts w:ascii="Times New Roman" w:hAnsi="Times New Roman" w:cs="Times New Roman"/>
                <w:sz w:val="16"/>
                <w:szCs w:val="16"/>
              </w:rPr>
            </w:pPr>
            <w:r w:rsidRPr="00631BF7">
              <w:rPr>
                <w:rFonts w:ascii="Times New Roman" w:hAnsi="Times New Roman" w:cs="Times New Roman"/>
                <w:sz w:val="16"/>
                <w:szCs w:val="16"/>
              </w:rPr>
              <w:t>ZACHODNIOPOMORSKIE</w:t>
            </w:r>
          </w:p>
        </w:tc>
        <w:tc>
          <w:tcPr>
            <w:tcW w:w="2918" w:type="pct"/>
            <w:shd w:val="clear" w:color="auto" w:fill="FFFFFF" w:themeFill="background1"/>
            <w:vAlign w:val="center"/>
          </w:tcPr>
          <w:p w:rsidR="00631BF7" w:rsidRPr="00CD1517" w:rsidRDefault="00CD1517">
            <w:pPr>
              <w:jc w:val="center"/>
              <w:rPr>
                <w:rFonts w:ascii="Times New Roman" w:hAnsi="Times New Roman" w:cs="Times New Roman"/>
                <w:sz w:val="16"/>
                <w:szCs w:val="16"/>
              </w:rPr>
            </w:pPr>
            <w:r w:rsidRPr="00CD1517">
              <w:rPr>
                <w:rFonts w:ascii="Times New Roman" w:hAnsi="Times New Roman" w:cs="Times New Roman"/>
                <w:sz w:val="16"/>
                <w:szCs w:val="16"/>
              </w:rPr>
              <w:t>131</w:t>
            </w:r>
          </w:p>
        </w:tc>
      </w:tr>
    </w:tbl>
    <w:p w:rsidR="006B6982" w:rsidRPr="00C75C71" w:rsidRDefault="006B6982" w:rsidP="006B6982">
      <w:pPr>
        <w:pStyle w:val="Bezodstpw"/>
        <w:rPr>
          <w:rFonts w:ascii="Times New Roman" w:hAnsi="Times New Roman" w:cs="Times New Roman"/>
          <w:color w:val="000000"/>
          <w:sz w:val="14"/>
          <w:szCs w:val="14"/>
          <w:highlight w:val="yellow"/>
        </w:rPr>
      </w:pPr>
    </w:p>
    <w:p w:rsidR="00AD7838" w:rsidRDefault="00AD7838" w:rsidP="00AD7838">
      <w:pPr>
        <w:pStyle w:val="Bezodstpw"/>
        <w:rPr>
          <w:rFonts w:ascii="Times New Roman" w:hAnsi="Times New Roman" w:cs="Times New Roman"/>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220855" w:rsidRPr="00631BF7">
        <w:rPr>
          <w:rFonts w:ascii="Times New Roman" w:hAnsi="Times New Roman" w:cs="Times New Roman"/>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w:t>
      </w:r>
      <w:r w:rsidR="0085612C" w:rsidRPr="00631BF7">
        <w:rPr>
          <w:rFonts w:ascii="Times New Roman" w:hAnsi="Times New Roman" w:cs="Times New Roman"/>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5</w:t>
      </w:r>
      <w:r w:rsidR="00220855" w:rsidRPr="00631BF7">
        <w:rPr>
          <w:rFonts w:ascii="Times New Roman" w:hAnsi="Times New Roman" w:cs="Times New Roman"/>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207F62">
        <w:rPr>
          <w:rFonts w:ascii="Times New Roman" w:hAnsi="Times New Roman" w:cs="Times New Roman"/>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A, B   </w:t>
      </w:r>
      <w:r w:rsidR="00220855" w:rsidRPr="00631BF7">
        <w:rPr>
          <w:rFonts w:ascii="Times New Roman" w:hAnsi="Times New Roman" w:cs="Times New Roman"/>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Wskaźnik przedsiębiorczości</w:t>
      </w:r>
    </w:p>
    <w:p w:rsidR="004D4FC2" w:rsidRPr="00C75C71" w:rsidRDefault="00EC0277" w:rsidP="00AD7838">
      <w:pPr>
        <w:pStyle w:val="Bezodstpw"/>
        <w:jc w:val="center"/>
        <w:rPr>
          <w:rFonts w:asciiTheme="majorHAnsi" w:hAnsiTheme="majorHAnsi"/>
          <w:sz w:val="16"/>
          <w:szCs w:val="16"/>
          <w:highlight w:val="yellow"/>
        </w:rPr>
      </w:pPr>
      <w:r>
        <w:rPr>
          <w:noProof/>
          <w:lang w:eastAsia="pl-PL"/>
        </w:rPr>
        <w:drawing>
          <wp:anchor distT="0" distB="0" distL="114300" distR="114300" simplePos="0" relativeHeight="251803648" behindDoc="1" locked="0" layoutInCell="1" allowOverlap="1" wp14:anchorId="6E4E3CFE" wp14:editId="4A86BC68">
            <wp:simplePos x="0" y="0"/>
            <wp:positionH relativeFrom="column">
              <wp:posOffset>635</wp:posOffset>
            </wp:positionH>
            <wp:positionV relativeFrom="paragraph">
              <wp:posOffset>175895</wp:posOffset>
            </wp:positionV>
            <wp:extent cx="5759450" cy="1810385"/>
            <wp:effectExtent l="0" t="0" r="0" b="0"/>
            <wp:wrapThrough wrapText="bothSides">
              <wp:wrapPolygon edited="0">
                <wp:start x="19219" y="0"/>
                <wp:lineTo x="214" y="455"/>
                <wp:lineTo x="286" y="15910"/>
                <wp:lineTo x="714" y="20001"/>
                <wp:lineTo x="786" y="20456"/>
                <wp:lineTo x="21362" y="20456"/>
                <wp:lineTo x="21505" y="19320"/>
                <wp:lineTo x="1000" y="18638"/>
                <wp:lineTo x="16789" y="16365"/>
                <wp:lineTo x="16789" y="15001"/>
                <wp:lineTo x="2501" y="15001"/>
                <wp:lineTo x="2501" y="11364"/>
                <wp:lineTo x="15932" y="7955"/>
                <wp:lineTo x="21362" y="7501"/>
                <wp:lineTo x="21219" y="4546"/>
                <wp:lineTo x="4215" y="4091"/>
                <wp:lineTo x="21362" y="1136"/>
                <wp:lineTo x="21362" y="0"/>
                <wp:lineTo x="19219" y="0"/>
              </wp:wrapPolygon>
            </wp:wrapThrough>
            <wp:docPr id="678" name="Wykres 6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207F62">
        <w:rPr>
          <w:rFonts w:ascii="Times New Roman" w:hAnsi="Times New Roman" w:cs="Times New Roman"/>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D7838">
        <w:rPr>
          <w:rFonts w:ascii="Times New Roman" w:hAnsi="Times New Roman" w:cs="Times New Roman"/>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4F586F" w:rsidRPr="00631BF7">
        <w:rPr>
          <w:rFonts w:ascii="Times New Roman" w:hAnsi="Times New Roman" w:cs="Times New Roman"/>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liczba podmiotów gospodarczych</w:t>
      </w:r>
      <w:r w:rsidR="00AD7838">
        <w:rPr>
          <w:rFonts w:ascii="Times New Roman" w:hAnsi="Times New Roman" w:cs="Times New Roman"/>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F586F" w:rsidRPr="00631BF7">
        <w:rPr>
          <w:rFonts w:ascii="Times New Roman" w:hAnsi="Times New Roman" w:cs="Times New Roman"/>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na 1000 mieszkańców)</w:t>
      </w:r>
    </w:p>
    <w:p w:rsidR="004D4FC2" w:rsidRPr="00C75C71" w:rsidRDefault="004D4FC2" w:rsidP="004D4FC2">
      <w:pPr>
        <w:pStyle w:val="Bezodstpw"/>
        <w:jc w:val="center"/>
        <w:rPr>
          <w:rFonts w:asciiTheme="majorHAnsi" w:hAnsiTheme="majorHAnsi"/>
          <w:sz w:val="16"/>
          <w:szCs w:val="16"/>
          <w:highlight w:val="yellow"/>
        </w:rPr>
      </w:pPr>
    </w:p>
    <w:p w:rsidR="004D4FC2" w:rsidRPr="00C75C71" w:rsidRDefault="004D4FC2" w:rsidP="004D4FC2">
      <w:pPr>
        <w:pStyle w:val="Bezodstpw"/>
        <w:jc w:val="center"/>
        <w:rPr>
          <w:rFonts w:asciiTheme="majorHAnsi" w:hAnsiTheme="majorHAnsi"/>
          <w:sz w:val="16"/>
          <w:szCs w:val="16"/>
          <w:highlight w:val="yellow"/>
        </w:rPr>
      </w:pPr>
    </w:p>
    <w:p w:rsidR="004D4FC2" w:rsidRPr="00C75C71" w:rsidRDefault="004D4FC2" w:rsidP="004D4FC2">
      <w:pPr>
        <w:pStyle w:val="Bezodstpw"/>
        <w:jc w:val="center"/>
        <w:rPr>
          <w:rFonts w:asciiTheme="majorHAnsi" w:hAnsiTheme="majorHAnsi"/>
          <w:sz w:val="16"/>
          <w:szCs w:val="16"/>
          <w:highlight w:val="yellow"/>
        </w:rPr>
      </w:pPr>
    </w:p>
    <w:p w:rsidR="004D4FC2" w:rsidRPr="00C75C71" w:rsidRDefault="004D4FC2" w:rsidP="004D4FC2">
      <w:pPr>
        <w:pStyle w:val="Bezodstpw"/>
        <w:jc w:val="center"/>
        <w:rPr>
          <w:rFonts w:asciiTheme="majorHAnsi" w:hAnsiTheme="majorHAnsi"/>
          <w:sz w:val="16"/>
          <w:szCs w:val="16"/>
          <w:highlight w:val="yellow"/>
        </w:rPr>
      </w:pPr>
    </w:p>
    <w:p w:rsidR="004D4FC2" w:rsidRPr="00C75C71" w:rsidRDefault="004D4FC2" w:rsidP="004D4FC2">
      <w:pPr>
        <w:pStyle w:val="Bezodstpw"/>
        <w:jc w:val="center"/>
        <w:rPr>
          <w:rFonts w:asciiTheme="majorHAnsi" w:hAnsiTheme="majorHAnsi"/>
          <w:sz w:val="16"/>
          <w:szCs w:val="16"/>
          <w:highlight w:val="yellow"/>
        </w:rPr>
      </w:pPr>
    </w:p>
    <w:p w:rsidR="004D4FC2" w:rsidRPr="00C75C71" w:rsidRDefault="004D4FC2" w:rsidP="004D4FC2">
      <w:pPr>
        <w:pStyle w:val="Bezodstpw"/>
        <w:jc w:val="center"/>
        <w:rPr>
          <w:rFonts w:ascii="Times New Roman" w:hAnsi="Times New Roman" w:cs="Times New Roman"/>
          <w:color w:val="000000"/>
          <w:sz w:val="18"/>
          <w:szCs w:val="18"/>
          <w:highlight w:val="yellow"/>
        </w:rPr>
      </w:pPr>
    </w:p>
    <w:p w:rsidR="0068079A" w:rsidRPr="00C75C71" w:rsidRDefault="0068079A" w:rsidP="004D4FC2">
      <w:pPr>
        <w:pStyle w:val="Bezodstpw"/>
        <w:jc w:val="center"/>
        <w:rPr>
          <w:rFonts w:ascii="Times New Roman" w:hAnsi="Times New Roman" w:cs="Times New Roman"/>
          <w:color w:val="000000"/>
          <w:sz w:val="18"/>
          <w:szCs w:val="18"/>
          <w:highlight w:val="yellow"/>
        </w:rPr>
      </w:pPr>
    </w:p>
    <w:p w:rsidR="0068079A" w:rsidRPr="00C75C71" w:rsidRDefault="0068079A" w:rsidP="004D4FC2">
      <w:pPr>
        <w:pStyle w:val="Bezodstpw"/>
        <w:rPr>
          <w:rFonts w:ascii="Times New Roman" w:hAnsi="Times New Roman" w:cs="Times New Roman"/>
          <w:color w:val="000000"/>
          <w:sz w:val="16"/>
          <w:szCs w:val="16"/>
          <w:highlight w:val="yellow"/>
        </w:rPr>
      </w:pPr>
    </w:p>
    <w:p w:rsidR="00B92E45" w:rsidRPr="00C75C71" w:rsidRDefault="00B92E45" w:rsidP="004D4FC2">
      <w:pPr>
        <w:pStyle w:val="Bezodstpw"/>
        <w:rPr>
          <w:rFonts w:ascii="Times New Roman" w:hAnsi="Times New Roman" w:cs="Times New Roman"/>
          <w:color w:val="000000"/>
          <w:sz w:val="16"/>
          <w:szCs w:val="16"/>
          <w:highlight w:val="yellow"/>
        </w:rPr>
      </w:pPr>
    </w:p>
    <w:p w:rsidR="000E2F02" w:rsidRDefault="00EC0277" w:rsidP="004D4FC2">
      <w:pPr>
        <w:pStyle w:val="Tekstpodstawowywcity"/>
        <w:spacing w:after="0" w:line="240" w:lineRule="auto"/>
        <w:ind w:left="0"/>
        <w:rPr>
          <w:rFonts w:ascii="Times New Roman" w:hAnsi="Times New Roman" w:cs="Times New Roman"/>
          <w:sz w:val="16"/>
          <w:szCs w:val="16"/>
          <w:highlight w:val="yellow"/>
        </w:rPr>
      </w:pPr>
      <w:r>
        <w:rPr>
          <w:noProof/>
          <w:lang w:eastAsia="pl-PL"/>
        </w:rPr>
        <w:drawing>
          <wp:inline distT="0" distB="0" distL="0" distR="0" wp14:anchorId="2DF6BD6C" wp14:editId="6DCD9154">
            <wp:extent cx="5807033" cy="2125683"/>
            <wp:effectExtent l="0" t="0" r="0" b="8255"/>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42C45" w:rsidRPr="008613FC" w:rsidRDefault="00242C45" w:rsidP="00817F67">
      <w:pPr>
        <w:pStyle w:val="Tekstpodstawowywcity"/>
        <w:pBdr>
          <w:bottom w:val="single" w:sz="4" w:space="1" w:color="auto"/>
        </w:pBdr>
        <w:spacing w:after="0" w:line="240" w:lineRule="auto"/>
        <w:ind w:left="0"/>
        <w:jc w:val="both"/>
        <w:rPr>
          <w:rFonts w:ascii="Times New Roman" w:hAnsi="Times New Roman" w:cs="Times New Roman"/>
          <w:sz w:val="24"/>
          <w:szCs w:val="24"/>
        </w:rPr>
      </w:pPr>
      <w:r w:rsidRPr="008613FC">
        <w:rPr>
          <w:rFonts w:ascii="Times New Roman" w:hAnsi="Times New Roman" w:cs="Times New Roman"/>
          <w:sz w:val="24"/>
          <w:szCs w:val="24"/>
        </w:rPr>
        <w:t>Wnioski:</w:t>
      </w:r>
    </w:p>
    <w:p w:rsidR="00242C45" w:rsidRPr="00631BF7" w:rsidRDefault="00242C45" w:rsidP="00242C45">
      <w:pPr>
        <w:pStyle w:val="Tekstpodstawowywcity"/>
        <w:spacing w:after="0" w:line="360" w:lineRule="auto"/>
        <w:ind w:left="0"/>
        <w:jc w:val="both"/>
        <w:rPr>
          <w:rFonts w:ascii="Times New Roman" w:hAnsi="Times New Roman" w:cs="Times New Roman"/>
          <w:sz w:val="18"/>
          <w:szCs w:val="18"/>
        </w:rPr>
      </w:pPr>
      <w:r w:rsidRPr="00631BF7">
        <w:rPr>
          <w:rFonts w:ascii="Times New Roman" w:hAnsi="Times New Roman" w:cs="Times New Roman"/>
          <w:sz w:val="18"/>
          <w:szCs w:val="18"/>
        </w:rPr>
        <w:t>(na podstawie danych</w:t>
      </w:r>
      <w:r w:rsidR="00AE5712" w:rsidRPr="00631BF7">
        <w:rPr>
          <w:rFonts w:ascii="Times New Roman" w:hAnsi="Times New Roman" w:cs="Times New Roman"/>
          <w:sz w:val="18"/>
          <w:szCs w:val="18"/>
        </w:rPr>
        <w:t xml:space="preserve"> z </w:t>
      </w:r>
      <w:r w:rsidRPr="00631BF7">
        <w:rPr>
          <w:rFonts w:ascii="Times New Roman" w:hAnsi="Times New Roman" w:cs="Times New Roman"/>
          <w:sz w:val="18"/>
          <w:szCs w:val="18"/>
        </w:rPr>
        <w:t>Tabeli 4</w:t>
      </w:r>
      <w:r w:rsidR="00151148" w:rsidRPr="00631BF7">
        <w:rPr>
          <w:rFonts w:ascii="Times New Roman" w:hAnsi="Times New Roman" w:cs="Times New Roman"/>
          <w:sz w:val="18"/>
          <w:szCs w:val="18"/>
        </w:rPr>
        <w:t>,</w:t>
      </w:r>
      <w:r w:rsidRPr="00631BF7">
        <w:rPr>
          <w:rFonts w:ascii="Times New Roman" w:hAnsi="Times New Roman" w:cs="Times New Roman"/>
          <w:sz w:val="18"/>
          <w:szCs w:val="18"/>
        </w:rPr>
        <w:t xml:space="preserve">5 </w:t>
      </w:r>
      <w:r w:rsidR="00151148" w:rsidRPr="00631BF7">
        <w:rPr>
          <w:rFonts w:ascii="Times New Roman" w:hAnsi="Times New Roman" w:cs="Times New Roman"/>
          <w:sz w:val="18"/>
          <w:szCs w:val="18"/>
        </w:rPr>
        <w:t>i</w:t>
      </w:r>
      <w:r w:rsidRPr="00631BF7">
        <w:rPr>
          <w:rFonts w:ascii="Times New Roman" w:hAnsi="Times New Roman" w:cs="Times New Roman"/>
          <w:sz w:val="18"/>
          <w:szCs w:val="18"/>
        </w:rPr>
        <w:t xml:space="preserve"> </w:t>
      </w:r>
      <w:r w:rsidR="00151148" w:rsidRPr="00631BF7">
        <w:rPr>
          <w:rFonts w:ascii="Times New Roman" w:hAnsi="Times New Roman" w:cs="Times New Roman"/>
          <w:sz w:val="18"/>
          <w:szCs w:val="18"/>
        </w:rPr>
        <w:t>w</w:t>
      </w:r>
      <w:r w:rsidRPr="00631BF7">
        <w:rPr>
          <w:rFonts w:ascii="Times New Roman" w:hAnsi="Times New Roman" w:cs="Times New Roman"/>
          <w:sz w:val="18"/>
          <w:szCs w:val="18"/>
        </w:rPr>
        <w:t xml:space="preserve">ykresu </w:t>
      </w:r>
      <w:r w:rsidR="0085612C" w:rsidRPr="00631BF7">
        <w:rPr>
          <w:rFonts w:ascii="Times New Roman" w:hAnsi="Times New Roman" w:cs="Times New Roman"/>
          <w:sz w:val="18"/>
          <w:szCs w:val="18"/>
        </w:rPr>
        <w:t>5</w:t>
      </w:r>
      <w:r w:rsidR="000E2F02">
        <w:rPr>
          <w:rFonts w:ascii="Times New Roman" w:hAnsi="Times New Roman" w:cs="Times New Roman"/>
          <w:sz w:val="18"/>
          <w:szCs w:val="18"/>
        </w:rPr>
        <w:t xml:space="preserve"> A, B</w:t>
      </w:r>
      <w:r w:rsidRPr="00631BF7">
        <w:rPr>
          <w:rFonts w:ascii="Times New Roman" w:hAnsi="Times New Roman" w:cs="Times New Roman"/>
          <w:sz w:val="18"/>
          <w:szCs w:val="18"/>
        </w:rPr>
        <w:t>)</w:t>
      </w:r>
    </w:p>
    <w:p w:rsidR="00242C45" w:rsidRPr="004434E2" w:rsidRDefault="00242C45" w:rsidP="004D4FC2">
      <w:pPr>
        <w:pStyle w:val="Akapitzlist"/>
        <w:numPr>
          <w:ilvl w:val="0"/>
          <w:numId w:val="16"/>
        </w:numPr>
        <w:spacing w:after="0" w:line="360" w:lineRule="auto"/>
        <w:jc w:val="both"/>
        <w:rPr>
          <w:rFonts w:ascii="Times New Roman" w:hAnsi="Times New Roman" w:cs="Times New Roman"/>
          <w:sz w:val="24"/>
          <w:szCs w:val="24"/>
        </w:rPr>
      </w:pPr>
      <w:r w:rsidRPr="004434E2">
        <w:rPr>
          <w:rFonts w:ascii="Times New Roman" w:hAnsi="Times New Roman" w:cs="Times New Roman"/>
          <w:sz w:val="24"/>
          <w:szCs w:val="24"/>
        </w:rPr>
        <w:t xml:space="preserve">Liczba podmiotów </w:t>
      </w:r>
      <w:r w:rsidR="00AE5712" w:rsidRPr="004434E2">
        <w:rPr>
          <w:rFonts w:ascii="Times New Roman" w:hAnsi="Times New Roman" w:cs="Times New Roman"/>
          <w:sz w:val="24"/>
          <w:szCs w:val="24"/>
        </w:rPr>
        <w:t>w </w:t>
      </w:r>
      <w:r w:rsidRPr="004434E2">
        <w:rPr>
          <w:rFonts w:ascii="Times New Roman" w:hAnsi="Times New Roman" w:cs="Times New Roman"/>
          <w:sz w:val="24"/>
          <w:szCs w:val="24"/>
        </w:rPr>
        <w:t>województwie podkarpackim</w:t>
      </w:r>
      <w:r w:rsidR="000503CA" w:rsidRPr="004434E2">
        <w:rPr>
          <w:rFonts w:ascii="Times New Roman" w:hAnsi="Times New Roman" w:cs="Times New Roman"/>
          <w:sz w:val="24"/>
          <w:szCs w:val="24"/>
        </w:rPr>
        <w:t xml:space="preserve"> w</w:t>
      </w:r>
      <w:r w:rsidR="004D4FC2" w:rsidRPr="004434E2">
        <w:rPr>
          <w:rFonts w:ascii="Times New Roman" w:hAnsi="Times New Roman" w:cs="Times New Roman"/>
          <w:sz w:val="24"/>
          <w:szCs w:val="24"/>
        </w:rPr>
        <w:t>g stanu na 31 XII</w:t>
      </w:r>
      <w:r w:rsidR="000503CA" w:rsidRPr="004434E2">
        <w:rPr>
          <w:rFonts w:ascii="Times New Roman" w:hAnsi="Times New Roman" w:cs="Times New Roman"/>
          <w:sz w:val="24"/>
          <w:szCs w:val="24"/>
        </w:rPr>
        <w:t xml:space="preserve"> 201</w:t>
      </w:r>
      <w:r w:rsidR="00CD1517" w:rsidRPr="004434E2">
        <w:rPr>
          <w:rFonts w:ascii="Times New Roman" w:hAnsi="Times New Roman" w:cs="Times New Roman"/>
          <w:sz w:val="24"/>
          <w:szCs w:val="24"/>
        </w:rPr>
        <w:t>8</w:t>
      </w:r>
      <w:r w:rsidR="000503CA" w:rsidRPr="004434E2">
        <w:rPr>
          <w:rFonts w:ascii="Times New Roman" w:hAnsi="Times New Roman" w:cs="Times New Roman"/>
          <w:sz w:val="24"/>
          <w:szCs w:val="24"/>
        </w:rPr>
        <w:t xml:space="preserve"> </w:t>
      </w:r>
      <w:r w:rsidRPr="004434E2">
        <w:rPr>
          <w:rFonts w:ascii="Times New Roman" w:hAnsi="Times New Roman" w:cs="Times New Roman"/>
          <w:sz w:val="24"/>
          <w:szCs w:val="24"/>
        </w:rPr>
        <w:t>plasuje je</w:t>
      </w:r>
      <w:r w:rsidR="00AE5712" w:rsidRPr="004434E2">
        <w:rPr>
          <w:rFonts w:ascii="Times New Roman" w:hAnsi="Times New Roman" w:cs="Times New Roman"/>
          <w:sz w:val="24"/>
          <w:szCs w:val="24"/>
        </w:rPr>
        <w:t xml:space="preserve"> </w:t>
      </w:r>
      <w:r w:rsidR="004D4FC2" w:rsidRPr="004434E2">
        <w:rPr>
          <w:rFonts w:ascii="Times New Roman" w:hAnsi="Times New Roman" w:cs="Times New Roman"/>
          <w:sz w:val="24"/>
          <w:szCs w:val="24"/>
        </w:rPr>
        <w:t xml:space="preserve"> tak jak w </w:t>
      </w:r>
      <w:r w:rsidRPr="004434E2">
        <w:rPr>
          <w:rFonts w:ascii="Times New Roman" w:hAnsi="Times New Roman" w:cs="Times New Roman"/>
          <w:sz w:val="24"/>
          <w:szCs w:val="24"/>
        </w:rPr>
        <w:t>201</w:t>
      </w:r>
      <w:r w:rsidR="00CD1517" w:rsidRPr="004434E2">
        <w:rPr>
          <w:rFonts w:ascii="Times New Roman" w:hAnsi="Times New Roman" w:cs="Times New Roman"/>
          <w:sz w:val="24"/>
          <w:szCs w:val="24"/>
        </w:rPr>
        <w:t>7</w:t>
      </w:r>
      <w:r w:rsidR="00AE5712" w:rsidRPr="004434E2">
        <w:rPr>
          <w:rFonts w:ascii="Times New Roman" w:hAnsi="Times New Roman" w:cs="Times New Roman"/>
          <w:sz w:val="24"/>
          <w:szCs w:val="24"/>
        </w:rPr>
        <w:t> r</w:t>
      </w:r>
      <w:r w:rsidR="001E3144">
        <w:rPr>
          <w:rFonts w:ascii="Times New Roman" w:hAnsi="Times New Roman" w:cs="Times New Roman"/>
          <w:sz w:val="24"/>
          <w:szCs w:val="24"/>
        </w:rPr>
        <w:t>oku,</w:t>
      </w:r>
      <w:r w:rsidR="004D4FC2" w:rsidRPr="004434E2">
        <w:rPr>
          <w:rFonts w:ascii="Times New Roman" w:hAnsi="Times New Roman" w:cs="Times New Roman"/>
          <w:sz w:val="24"/>
          <w:szCs w:val="24"/>
        </w:rPr>
        <w:t xml:space="preserve"> </w:t>
      </w:r>
      <w:r w:rsidRPr="004434E2">
        <w:rPr>
          <w:rFonts w:ascii="Times New Roman" w:hAnsi="Times New Roman" w:cs="Times New Roman"/>
          <w:sz w:val="24"/>
          <w:szCs w:val="24"/>
        </w:rPr>
        <w:t xml:space="preserve">na </w:t>
      </w:r>
      <w:r w:rsidR="008C5459" w:rsidRPr="004434E2">
        <w:rPr>
          <w:rFonts w:ascii="Times New Roman" w:hAnsi="Times New Roman" w:cs="Times New Roman"/>
          <w:sz w:val="24"/>
          <w:szCs w:val="24"/>
        </w:rPr>
        <w:t>jednej z najniższych wartości</w:t>
      </w:r>
      <w:r w:rsidR="004434E2" w:rsidRPr="004434E2">
        <w:rPr>
          <w:rFonts w:ascii="Times New Roman" w:hAnsi="Times New Roman" w:cs="Times New Roman"/>
          <w:sz w:val="24"/>
          <w:szCs w:val="24"/>
        </w:rPr>
        <w:t xml:space="preserve"> – </w:t>
      </w:r>
      <w:r w:rsidRPr="004434E2">
        <w:rPr>
          <w:rFonts w:ascii="Times New Roman" w:hAnsi="Times New Roman" w:cs="Times New Roman"/>
          <w:sz w:val="24"/>
          <w:szCs w:val="24"/>
        </w:rPr>
        <w:t>11.</w:t>
      </w:r>
      <w:r w:rsidR="000503CA" w:rsidRPr="004434E2">
        <w:rPr>
          <w:rFonts w:ascii="Times New Roman" w:hAnsi="Times New Roman" w:cs="Times New Roman"/>
          <w:sz w:val="24"/>
          <w:szCs w:val="24"/>
        </w:rPr>
        <w:t xml:space="preserve"> </w:t>
      </w:r>
      <w:r w:rsidR="008C5459" w:rsidRPr="004434E2">
        <w:rPr>
          <w:rFonts w:ascii="Times New Roman" w:hAnsi="Times New Roman" w:cs="Times New Roman"/>
          <w:sz w:val="24"/>
          <w:szCs w:val="24"/>
        </w:rPr>
        <w:t>m</w:t>
      </w:r>
      <w:r w:rsidRPr="004434E2">
        <w:rPr>
          <w:rFonts w:ascii="Times New Roman" w:hAnsi="Times New Roman" w:cs="Times New Roman"/>
          <w:sz w:val="24"/>
          <w:szCs w:val="24"/>
        </w:rPr>
        <w:t>iejsc</w:t>
      </w:r>
      <w:r w:rsidR="004434E2" w:rsidRPr="004434E2">
        <w:rPr>
          <w:rFonts w:ascii="Times New Roman" w:hAnsi="Times New Roman" w:cs="Times New Roman"/>
          <w:sz w:val="24"/>
          <w:szCs w:val="24"/>
        </w:rPr>
        <w:t>e</w:t>
      </w:r>
      <w:r w:rsidR="008C5459" w:rsidRPr="004434E2">
        <w:rPr>
          <w:rFonts w:ascii="Times New Roman" w:hAnsi="Times New Roman" w:cs="Times New Roman"/>
          <w:sz w:val="24"/>
          <w:szCs w:val="24"/>
        </w:rPr>
        <w:t xml:space="preserve"> na 16 województw</w:t>
      </w:r>
      <w:r w:rsidR="004434E2" w:rsidRPr="004434E2">
        <w:rPr>
          <w:rFonts w:ascii="Times New Roman" w:hAnsi="Times New Roman" w:cs="Times New Roman"/>
          <w:sz w:val="24"/>
          <w:szCs w:val="24"/>
        </w:rPr>
        <w:t>,</w:t>
      </w:r>
      <w:r w:rsidR="008C5459" w:rsidRPr="004434E2">
        <w:rPr>
          <w:rFonts w:ascii="Times New Roman" w:hAnsi="Times New Roman" w:cs="Times New Roman"/>
          <w:sz w:val="24"/>
          <w:szCs w:val="24"/>
        </w:rPr>
        <w:t xml:space="preserve"> </w:t>
      </w:r>
      <w:r w:rsidR="004D4FC2" w:rsidRPr="004434E2">
        <w:rPr>
          <w:rFonts w:ascii="Times New Roman" w:hAnsi="Times New Roman" w:cs="Times New Roman"/>
          <w:sz w:val="24"/>
          <w:szCs w:val="24"/>
        </w:rPr>
        <w:t>licząc od najwyższej wartości dla województwa mazowieckiego</w:t>
      </w:r>
      <w:r w:rsidRPr="004434E2">
        <w:rPr>
          <w:rFonts w:ascii="Times New Roman" w:hAnsi="Times New Roman" w:cs="Times New Roman"/>
          <w:sz w:val="24"/>
          <w:szCs w:val="24"/>
        </w:rPr>
        <w:t>.</w:t>
      </w:r>
    </w:p>
    <w:p w:rsidR="00242C45" w:rsidRPr="00CD1517" w:rsidRDefault="005C6290" w:rsidP="00160DBC">
      <w:pPr>
        <w:pStyle w:val="Akapitzlist"/>
        <w:numPr>
          <w:ilvl w:val="0"/>
          <w:numId w:val="16"/>
        </w:numPr>
        <w:spacing w:after="0" w:line="360" w:lineRule="auto"/>
        <w:jc w:val="both"/>
        <w:rPr>
          <w:rFonts w:ascii="Times New Roman" w:hAnsi="Times New Roman" w:cs="Times New Roman"/>
          <w:color w:val="000000" w:themeColor="text1"/>
          <w:sz w:val="24"/>
          <w:szCs w:val="24"/>
        </w:rPr>
      </w:pPr>
      <w:r w:rsidRPr="00CD1517">
        <w:rPr>
          <w:rFonts w:ascii="Times New Roman" w:hAnsi="Times New Roman" w:cs="Times New Roman"/>
          <w:color w:val="000000" w:themeColor="text1"/>
          <w:sz w:val="24"/>
          <w:szCs w:val="24"/>
        </w:rPr>
        <w:t xml:space="preserve">W stosunku do mieszkańców </w:t>
      </w:r>
      <w:r w:rsidR="00242C45" w:rsidRPr="00CD1517">
        <w:rPr>
          <w:rFonts w:ascii="Times New Roman" w:hAnsi="Times New Roman" w:cs="Times New Roman"/>
          <w:color w:val="000000" w:themeColor="text1"/>
          <w:sz w:val="24"/>
          <w:szCs w:val="24"/>
        </w:rPr>
        <w:t>region</w:t>
      </w:r>
      <w:r w:rsidRPr="00CD1517">
        <w:rPr>
          <w:rFonts w:ascii="Times New Roman" w:hAnsi="Times New Roman" w:cs="Times New Roman"/>
          <w:color w:val="000000" w:themeColor="text1"/>
          <w:sz w:val="24"/>
          <w:szCs w:val="24"/>
        </w:rPr>
        <w:t>u</w:t>
      </w:r>
      <w:r w:rsidR="00242C45" w:rsidRPr="00CD1517">
        <w:rPr>
          <w:rFonts w:ascii="Times New Roman" w:hAnsi="Times New Roman" w:cs="Times New Roman"/>
          <w:color w:val="000000" w:themeColor="text1"/>
          <w:sz w:val="24"/>
          <w:szCs w:val="24"/>
        </w:rPr>
        <w:t xml:space="preserve">, </w:t>
      </w:r>
      <w:r w:rsidRPr="00CD1517">
        <w:rPr>
          <w:rFonts w:ascii="Times New Roman" w:hAnsi="Times New Roman" w:cs="Times New Roman"/>
          <w:color w:val="000000" w:themeColor="text1"/>
          <w:sz w:val="24"/>
          <w:szCs w:val="24"/>
        </w:rPr>
        <w:t xml:space="preserve">po </w:t>
      </w:r>
      <w:r w:rsidR="00242C45" w:rsidRPr="00CD1517">
        <w:rPr>
          <w:rFonts w:ascii="Times New Roman" w:hAnsi="Times New Roman" w:cs="Times New Roman"/>
          <w:color w:val="000000" w:themeColor="text1"/>
          <w:sz w:val="24"/>
          <w:szCs w:val="24"/>
        </w:rPr>
        <w:t>przeliczeniu ilości podmiotów</w:t>
      </w:r>
      <w:r w:rsidR="00AE5712" w:rsidRPr="00CD1517">
        <w:rPr>
          <w:rFonts w:ascii="Times New Roman" w:hAnsi="Times New Roman" w:cs="Times New Roman"/>
          <w:color w:val="000000" w:themeColor="text1"/>
          <w:sz w:val="24"/>
          <w:szCs w:val="24"/>
        </w:rPr>
        <w:t xml:space="preserve"> </w:t>
      </w:r>
      <w:r w:rsidR="00242C45" w:rsidRPr="00CD1517">
        <w:rPr>
          <w:rFonts w:ascii="Times New Roman" w:hAnsi="Times New Roman" w:cs="Times New Roman"/>
          <w:color w:val="000000" w:themeColor="text1"/>
          <w:sz w:val="24"/>
          <w:szCs w:val="24"/>
        </w:rPr>
        <w:t>przypadających na 1 000 mieszkańców, pozycja Podkarpacia okazuje się najniższa</w:t>
      </w:r>
      <w:r w:rsidR="00AE5712" w:rsidRPr="00CD1517">
        <w:rPr>
          <w:rFonts w:ascii="Times New Roman" w:hAnsi="Times New Roman" w:cs="Times New Roman"/>
          <w:color w:val="000000" w:themeColor="text1"/>
          <w:sz w:val="24"/>
          <w:szCs w:val="24"/>
        </w:rPr>
        <w:t xml:space="preserve"> w </w:t>
      </w:r>
      <w:r w:rsidR="00242C45" w:rsidRPr="00CD1517">
        <w:rPr>
          <w:rFonts w:ascii="Times New Roman" w:hAnsi="Times New Roman" w:cs="Times New Roman"/>
          <w:color w:val="000000" w:themeColor="text1"/>
          <w:sz w:val="24"/>
          <w:szCs w:val="24"/>
        </w:rPr>
        <w:t>kraju (najniższy</w:t>
      </w:r>
      <w:r w:rsidR="00AE5712" w:rsidRPr="00CD1517">
        <w:rPr>
          <w:rFonts w:ascii="Times New Roman" w:hAnsi="Times New Roman" w:cs="Times New Roman"/>
          <w:color w:val="000000" w:themeColor="text1"/>
          <w:sz w:val="24"/>
          <w:szCs w:val="24"/>
        </w:rPr>
        <w:t xml:space="preserve"> w </w:t>
      </w:r>
      <w:r w:rsidR="00D35BF6" w:rsidRPr="00CD1517">
        <w:rPr>
          <w:rFonts w:ascii="Times New Roman" w:hAnsi="Times New Roman" w:cs="Times New Roman"/>
          <w:color w:val="000000" w:themeColor="text1"/>
          <w:sz w:val="24"/>
          <w:szCs w:val="24"/>
        </w:rPr>
        <w:t xml:space="preserve">Polsce </w:t>
      </w:r>
      <w:r w:rsidR="00242C45" w:rsidRPr="00CD1517">
        <w:rPr>
          <w:rFonts w:ascii="Times New Roman" w:hAnsi="Times New Roman" w:cs="Times New Roman"/>
          <w:color w:val="000000" w:themeColor="text1"/>
          <w:sz w:val="24"/>
          <w:szCs w:val="24"/>
        </w:rPr>
        <w:t>wskaźnik przedsiębiorczości</w:t>
      </w:r>
      <w:r w:rsidRPr="00CD1517">
        <w:rPr>
          <w:rFonts w:ascii="Times New Roman" w:hAnsi="Times New Roman" w:cs="Times New Roman"/>
          <w:color w:val="000000" w:themeColor="text1"/>
          <w:sz w:val="24"/>
          <w:szCs w:val="24"/>
        </w:rPr>
        <w:t xml:space="preserve">) tj. tylko </w:t>
      </w:r>
      <w:r w:rsidR="00CD1517" w:rsidRPr="00CD1517">
        <w:rPr>
          <w:rFonts w:ascii="Times New Roman" w:hAnsi="Times New Roman" w:cs="Times New Roman"/>
          <w:color w:val="000000" w:themeColor="text1"/>
          <w:sz w:val="24"/>
          <w:szCs w:val="24"/>
        </w:rPr>
        <w:t>80</w:t>
      </w:r>
      <w:r w:rsidR="00242C45" w:rsidRPr="00CD1517">
        <w:rPr>
          <w:rFonts w:ascii="Times New Roman" w:hAnsi="Times New Roman" w:cs="Times New Roman"/>
          <w:color w:val="000000" w:themeColor="text1"/>
          <w:sz w:val="24"/>
          <w:szCs w:val="24"/>
        </w:rPr>
        <w:t xml:space="preserve"> </w:t>
      </w:r>
      <w:r w:rsidRPr="00CD1517">
        <w:rPr>
          <w:rFonts w:ascii="Times New Roman" w:hAnsi="Times New Roman" w:cs="Times New Roman"/>
          <w:color w:val="000000" w:themeColor="text1"/>
          <w:sz w:val="24"/>
          <w:szCs w:val="24"/>
        </w:rPr>
        <w:t xml:space="preserve">podmiotów gospodarczych przypada </w:t>
      </w:r>
      <w:r w:rsidR="00242C45" w:rsidRPr="00CD1517">
        <w:rPr>
          <w:rFonts w:ascii="Times New Roman" w:hAnsi="Times New Roman" w:cs="Times New Roman"/>
          <w:color w:val="000000" w:themeColor="text1"/>
          <w:sz w:val="24"/>
          <w:szCs w:val="24"/>
        </w:rPr>
        <w:t>na 1 000 mieszkańców, przy średniej dla Polski 1</w:t>
      </w:r>
      <w:r w:rsidRPr="00CD1517">
        <w:rPr>
          <w:rFonts w:ascii="Times New Roman" w:hAnsi="Times New Roman" w:cs="Times New Roman"/>
          <w:color w:val="000000" w:themeColor="text1"/>
          <w:sz w:val="24"/>
          <w:szCs w:val="24"/>
        </w:rPr>
        <w:t>1</w:t>
      </w:r>
      <w:r w:rsidR="00CD1517" w:rsidRPr="00CD1517">
        <w:rPr>
          <w:rFonts w:ascii="Times New Roman" w:hAnsi="Times New Roman" w:cs="Times New Roman"/>
          <w:color w:val="000000" w:themeColor="text1"/>
          <w:sz w:val="24"/>
          <w:szCs w:val="24"/>
        </w:rPr>
        <w:t>2</w:t>
      </w:r>
      <w:r w:rsidR="00242C45" w:rsidRPr="00CD1517">
        <w:rPr>
          <w:rFonts w:ascii="Times New Roman" w:hAnsi="Times New Roman" w:cs="Times New Roman"/>
          <w:color w:val="000000" w:themeColor="text1"/>
          <w:sz w:val="24"/>
          <w:szCs w:val="24"/>
        </w:rPr>
        <w:t>.</w:t>
      </w:r>
    </w:p>
    <w:p w:rsidR="00E42CD3" w:rsidRPr="00CD1517" w:rsidRDefault="0065592C" w:rsidP="005C72B7">
      <w:pPr>
        <w:pStyle w:val="Bezodstpw"/>
        <w:ind w:left="1410" w:hanging="1410"/>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D151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Tabela</w:t>
      </w:r>
      <w:r w:rsidR="001F252C" w:rsidRPr="00CD151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D54BBE" w:rsidRPr="00CD151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6</w:t>
      </w:r>
      <w:r w:rsidRPr="00CD151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E42CD3" w:rsidRPr="00CD151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1F252C" w:rsidRPr="00CD151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E42CD3" w:rsidRPr="00CD151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B92E45" w:rsidRPr="00CD151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Podmioty gospodarki narodowej</w:t>
      </w:r>
      <w:r w:rsidR="00AE5712" w:rsidRPr="00CD151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t>
      </w:r>
      <w:r w:rsidR="00B92E45" w:rsidRPr="00CD151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województwie podkarpackim</w:t>
      </w:r>
      <w:r w:rsidRPr="00CD151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9130E5" w:rsidRPr="00CD151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ogółem</w:t>
      </w:r>
    </w:p>
    <w:p w:rsidR="00BB7890" w:rsidRDefault="00E42CD3" w:rsidP="005C72B7">
      <w:pPr>
        <w:pStyle w:val="Bezodstpw"/>
        <w:ind w:left="1410" w:hanging="1410"/>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D151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5592C" w:rsidRPr="00CD151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wg</w:t>
      </w:r>
      <w:r w:rsidRPr="00CD151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B92E45" w:rsidRPr="00CD151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przewidywanej liczby pracujących</w:t>
      </w:r>
      <w:r w:rsidR="00BB789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tbl>
      <w:tblPr>
        <w:tblStyle w:val="Tabela-Siatka"/>
        <w:tblW w:w="9288" w:type="dxa"/>
        <w:tblLayout w:type="fixed"/>
        <w:tblLook w:val="04A0" w:firstRow="1" w:lastRow="0" w:firstColumn="1" w:lastColumn="0" w:noHBand="0" w:noVBand="1"/>
      </w:tblPr>
      <w:tblGrid>
        <w:gridCol w:w="1809"/>
        <w:gridCol w:w="1129"/>
        <w:gridCol w:w="1270"/>
        <w:gridCol w:w="1270"/>
        <w:gridCol w:w="1270"/>
        <w:gridCol w:w="1270"/>
        <w:gridCol w:w="1270"/>
      </w:tblGrid>
      <w:tr w:rsidR="00B92E45" w:rsidRPr="00C75C71" w:rsidTr="00817F67">
        <w:trPr>
          <w:trHeight w:val="285"/>
        </w:trPr>
        <w:tc>
          <w:tcPr>
            <w:tcW w:w="1809" w:type="dxa"/>
            <w:vMerge w:val="restart"/>
            <w:shd w:val="clear" w:color="auto" w:fill="E5DFEC" w:themeFill="accent4" w:themeFillTint="33"/>
            <w:noWrap/>
            <w:vAlign w:val="center"/>
            <w:hideMark/>
          </w:tcPr>
          <w:p w:rsidR="00B92E45" w:rsidRPr="00BB7890" w:rsidRDefault="00BB7890" w:rsidP="00BB7890">
            <w:pPr>
              <w:spacing w:line="240" w:lineRule="exact"/>
              <w:jc w:val="center"/>
              <w:rPr>
                <w:rFonts w:ascii="Times New Roman" w:hAnsi="Times New Roman" w:cs="Times New Roman"/>
                <w:sz w:val="16"/>
                <w:szCs w:val="16"/>
              </w:rPr>
            </w:pPr>
            <w:r w:rsidRPr="00BB7890">
              <w:rPr>
                <w:rFonts w:ascii="Times New Roman" w:hAnsi="Times New Roman" w:cs="Times New Roman"/>
                <w:sz w:val="16"/>
                <w:szCs w:val="16"/>
              </w:rPr>
              <w:t>STAN  NA</w:t>
            </w:r>
          </w:p>
        </w:tc>
        <w:tc>
          <w:tcPr>
            <w:tcW w:w="7479" w:type="dxa"/>
            <w:gridSpan w:val="6"/>
            <w:shd w:val="clear" w:color="auto" w:fill="E5DFEC" w:themeFill="accent4" w:themeFillTint="33"/>
            <w:noWrap/>
            <w:hideMark/>
          </w:tcPr>
          <w:p w:rsidR="00B92E45" w:rsidRPr="00BB7890" w:rsidRDefault="00BB7890" w:rsidP="0075363A">
            <w:pPr>
              <w:spacing w:line="240" w:lineRule="exact"/>
              <w:jc w:val="center"/>
              <w:rPr>
                <w:rFonts w:ascii="Times New Roman" w:hAnsi="Times New Roman" w:cs="Times New Roman"/>
                <w:b/>
                <w:sz w:val="16"/>
                <w:szCs w:val="16"/>
              </w:rPr>
            </w:pPr>
            <w:r w:rsidRPr="00BB7890">
              <w:rPr>
                <w:rFonts w:ascii="Times New Roman" w:hAnsi="Times New Roman" w:cs="Times New Roman"/>
                <w:b/>
                <w:sz w:val="16"/>
                <w:szCs w:val="16"/>
              </w:rPr>
              <w:t>OGÓŁEM</w:t>
            </w:r>
          </w:p>
        </w:tc>
      </w:tr>
      <w:tr w:rsidR="00B92E45" w:rsidRPr="00C75C71" w:rsidTr="0075363A">
        <w:trPr>
          <w:trHeight w:val="160"/>
        </w:trPr>
        <w:tc>
          <w:tcPr>
            <w:tcW w:w="1809" w:type="dxa"/>
            <w:vMerge/>
            <w:shd w:val="clear" w:color="auto" w:fill="E5DFEC" w:themeFill="accent4" w:themeFillTint="33"/>
            <w:noWrap/>
            <w:hideMark/>
          </w:tcPr>
          <w:p w:rsidR="00B92E45" w:rsidRPr="000A4FAA" w:rsidRDefault="00B92E45" w:rsidP="0075363A">
            <w:pPr>
              <w:spacing w:line="240" w:lineRule="exact"/>
              <w:jc w:val="center"/>
              <w:rPr>
                <w:rFonts w:ascii="Times New Roman" w:hAnsi="Times New Roman" w:cs="Times New Roman"/>
                <w:sz w:val="16"/>
                <w:szCs w:val="16"/>
              </w:rPr>
            </w:pPr>
          </w:p>
        </w:tc>
        <w:tc>
          <w:tcPr>
            <w:tcW w:w="1129" w:type="dxa"/>
            <w:shd w:val="clear" w:color="auto" w:fill="E5DFEC" w:themeFill="accent4" w:themeFillTint="33"/>
            <w:noWrap/>
            <w:vAlign w:val="center"/>
            <w:hideMark/>
          </w:tcPr>
          <w:p w:rsidR="00B92E45" w:rsidRPr="000A4FAA" w:rsidRDefault="00235A6B" w:rsidP="0075363A">
            <w:pPr>
              <w:spacing w:line="240" w:lineRule="exact"/>
              <w:jc w:val="center"/>
              <w:rPr>
                <w:rFonts w:ascii="Times New Roman" w:hAnsi="Times New Roman" w:cs="Times New Roman"/>
                <w:sz w:val="16"/>
                <w:szCs w:val="16"/>
              </w:rPr>
            </w:pPr>
            <w:r w:rsidRPr="000A4FAA">
              <w:rPr>
                <w:rFonts w:ascii="Times New Roman" w:hAnsi="Times New Roman" w:cs="Times New Roman"/>
                <w:sz w:val="16"/>
                <w:szCs w:val="16"/>
              </w:rPr>
              <w:t>r</w:t>
            </w:r>
            <w:r w:rsidR="00B92E45" w:rsidRPr="000A4FAA">
              <w:rPr>
                <w:rFonts w:ascii="Times New Roman" w:hAnsi="Times New Roman" w:cs="Times New Roman"/>
                <w:sz w:val="16"/>
                <w:szCs w:val="16"/>
              </w:rPr>
              <w:t>azem</w:t>
            </w:r>
          </w:p>
        </w:tc>
        <w:tc>
          <w:tcPr>
            <w:tcW w:w="1270" w:type="dxa"/>
            <w:shd w:val="clear" w:color="auto" w:fill="E5DFEC" w:themeFill="accent4" w:themeFillTint="33"/>
            <w:noWrap/>
            <w:vAlign w:val="center"/>
            <w:hideMark/>
          </w:tcPr>
          <w:p w:rsidR="00B92E45" w:rsidRPr="000A4FAA" w:rsidRDefault="00B92E45" w:rsidP="0075363A">
            <w:pPr>
              <w:spacing w:line="240" w:lineRule="exact"/>
              <w:jc w:val="center"/>
              <w:rPr>
                <w:rFonts w:ascii="Times New Roman" w:hAnsi="Times New Roman" w:cs="Times New Roman"/>
                <w:sz w:val="16"/>
                <w:szCs w:val="16"/>
              </w:rPr>
            </w:pPr>
            <w:r w:rsidRPr="000A4FAA">
              <w:rPr>
                <w:rFonts w:ascii="Times New Roman" w:hAnsi="Times New Roman" w:cs="Times New Roman"/>
                <w:sz w:val="16"/>
                <w:szCs w:val="16"/>
              </w:rPr>
              <w:t>0-9</w:t>
            </w:r>
          </w:p>
        </w:tc>
        <w:tc>
          <w:tcPr>
            <w:tcW w:w="1270" w:type="dxa"/>
            <w:shd w:val="clear" w:color="auto" w:fill="E5DFEC" w:themeFill="accent4" w:themeFillTint="33"/>
            <w:noWrap/>
            <w:vAlign w:val="center"/>
            <w:hideMark/>
          </w:tcPr>
          <w:p w:rsidR="00B92E45" w:rsidRPr="000A4FAA" w:rsidRDefault="00B92E45" w:rsidP="0075363A">
            <w:pPr>
              <w:spacing w:line="240" w:lineRule="exact"/>
              <w:jc w:val="center"/>
              <w:rPr>
                <w:rFonts w:ascii="Times New Roman" w:hAnsi="Times New Roman" w:cs="Times New Roman"/>
                <w:sz w:val="16"/>
                <w:szCs w:val="16"/>
              </w:rPr>
            </w:pPr>
            <w:r w:rsidRPr="000A4FAA">
              <w:rPr>
                <w:rFonts w:ascii="Times New Roman" w:hAnsi="Times New Roman" w:cs="Times New Roman"/>
                <w:sz w:val="16"/>
                <w:szCs w:val="16"/>
              </w:rPr>
              <w:t>10-49</w:t>
            </w:r>
          </w:p>
        </w:tc>
        <w:tc>
          <w:tcPr>
            <w:tcW w:w="1270" w:type="dxa"/>
            <w:shd w:val="clear" w:color="auto" w:fill="E5DFEC" w:themeFill="accent4" w:themeFillTint="33"/>
            <w:noWrap/>
            <w:vAlign w:val="center"/>
            <w:hideMark/>
          </w:tcPr>
          <w:p w:rsidR="00B92E45" w:rsidRPr="000A4FAA" w:rsidRDefault="00B92E45" w:rsidP="0075363A">
            <w:pPr>
              <w:spacing w:line="240" w:lineRule="exact"/>
              <w:jc w:val="center"/>
              <w:rPr>
                <w:rFonts w:ascii="Times New Roman" w:hAnsi="Times New Roman" w:cs="Times New Roman"/>
                <w:sz w:val="16"/>
                <w:szCs w:val="16"/>
              </w:rPr>
            </w:pPr>
            <w:r w:rsidRPr="000A4FAA">
              <w:rPr>
                <w:rFonts w:ascii="Times New Roman" w:hAnsi="Times New Roman" w:cs="Times New Roman"/>
                <w:sz w:val="16"/>
                <w:szCs w:val="16"/>
              </w:rPr>
              <w:t>50-249</w:t>
            </w:r>
          </w:p>
        </w:tc>
        <w:tc>
          <w:tcPr>
            <w:tcW w:w="1270" w:type="dxa"/>
            <w:shd w:val="clear" w:color="auto" w:fill="E5DFEC" w:themeFill="accent4" w:themeFillTint="33"/>
            <w:noWrap/>
            <w:vAlign w:val="center"/>
            <w:hideMark/>
          </w:tcPr>
          <w:p w:rsidR="00B92E45" w:rsidRPr="000A4FAA" w:rsidRDefault="00B92E45" w:rsidP="0075363A">
            <w:pPr>
              <w:spacing w:line="240" w:lineRule="exact"/>
              <w:jc w:val="center"/>
              <w:rPr>
                <w:rFonts w:ascii="Times New Roman" w:hAnsi="Times New Roman" w:cs="Times New Roman"/>
                <w:sz w:val="16"/>
                <w:szCs w:val="16"/>
              </w:rPr>
            </w:pPr>
            <w:r w:rsidRPr="000A4FAA">
              <w:rPr>
                <w:rFonts w:ascii="Times New Roman" w:hAnsi="Times New Roman" w:cs="Times New Roman"/>
                <w:sz w:val="16"/>
                <w:szCs w:val="16"/>
              </w:rPr>
              <w:t>250-999</w:t>
            </w:r>
          </w:p>
        </w:tc>
        <w:tc>
          <w:tcPr>
            <w:tcW w:w="1270" w:type="dxa"/>
            <w:shd w:val="clear" w:color="auto" w:fill="E5DFEC" w:themeFill="accent4" w:themeFillTint="33"/>
            <w:noWrap/>
            <w:vAlign w:val="center"/>
            <w:hideMark/>
          </w:tcPr>
          <w:p w:rsidR="00B92E45" w:rsidRPr="000A4FAA" w:rsidRDefault="00B92E45" w:rsidP="0075363A">
            <w:pPr>
              <w:spacing w:line="240" w:lineRule="exact"/>
              <w:jc w:val="center"/>
              <w:rPr>
                <w:rFonts w:ascii="Times New Roman" w:hAnsi="Times New Roman" w:cs="Times New Roman"/>
                <w:sz w:val="16"/>
                <w:szCs w:val="16"/>
              </w:rPr>
            </w:pPr>
            <w:r w:rsidRPr="000A4FAA">
              <w:rPr>
                <w:rFonts w:ascii="Times New Roman" w:hAnsi="Times New Roman" w:cs="Times New Roman"/>
                <w:sz w:val="16"/>
                <w:szCs w:val="16"/>
              </w:rPr>
              <w:t>1000</w:t>
            </w:r>
          </w:p>
          <w:p w:rsidR="00B92E45" w:rsidRPr="000A4FAA" w:rsidRDefault="00B92E45" w:rsidP="0075363A">
            <w:pPr>
              <w:spacing w:line="240" w:lineRule="exact"/>
              <w:jc w:val="center"/>
              <w:rPr>
                <w:rFonts w:ascii="Times New Roman" w:hAnsi="Times New Roman" w:cs="Times New Roman"/>
                <w:sz w:val="16"/>
                <w:szCs w:val="16"/>
              </w:rPr>
            </w:pPr>
            <w:r w:rsidRPr="000A4FAA">
              <w:rPr>
                <w:rFonts w:ascii="Times New Roman" w:hAnsi="Times New Roman" w:cs="Times New Roman"/>
                <w:sz w:val="16"/>
                <w:szCs w:val="16"/>
              </w:rPr>
              <w:t>i więcej</w:t>
            </w:r>
          </w:p>
        </w:tc>
      </w:tr>
      <w:tr w:rsidR="0075363A" w:rsidRPr="00C75C71" w:rsidTr="00BB2C24">
        <w:trPr>
          <w:trHeight w:val="73"/>
        </w:trPr>
        <w:tc>
          <w:tcPr>
            <w:tcW w:w="1809" w:type="dxa"/>
            <w:shd w:val="clear" w:color="auto" w:fill="FFFFFF" w:themeFill="background1"/>
            <w:noWrap/>
            <w:vAlign w:val="center"/>
          </w:tcPr>
          <w:p w:rsidR="0075363A" w:rsidRPr="000A4FAA" w:rsidRDefault="0075363A" w:rsidP="0075363A">
            <w:pPr>
              <w:rPr>
                <w:rFonts w:ascii="Times New Roman" w:hAnsi="Times New Roman" w:cs="Times New Roman"/>
                <w:sz w:val="16"/>
                <w:szCs w:val="16"/>
              </w:rPr>
            </w:pPr>
            <w:r w:rsidRPr="000A4FAA">
              <w:rPr>
                <w:rFonts w:ascii="Times New Roman" w:hAnsi="Times New Roman" w:cs="Times New Roman"/>
                <w:sz w:val="16"/>
                <w:szCs w:val="16"/>
              </w:rPr>
              <w:t>31 XII ‘17</w:t>
            </w:r>
          </w:p>
        </w:tc>
        <w:tc>
          <w:tcPr>
            <w:tcW w:w="1129" w:type="dxa"/>
            <w:shd w:val="clear" w:color="auto" w:fill="FFFFFF" w:themeFill="background1"/>
            <w:noWrap/>
            <w:vAlign w:val="center"/>
          </w:tcPr>
          <w:p w:rsidR="0075363A" w:rsidRPr="000A4FAA" w:rsidRDefault="0075363A" w:rsidP="0073293A">
            <w:pPr>
              <w:jc w:val="center"/>
              <w:rPr>
                <w:rFonts w:ascii="Times New Roman" w:hAnsi="Times New Roman" w:cs="Times New Roman"/>
                <w:sz w:val="16"/>
                <w:szCs w:val="16"/>
              </w:rPr>
            </w:pPr>
            <w:r w:rsidRPr="000A4FAA">
              <w:rPr>
                <w:rFonts w:ascii="Times New Roman" w:hAnsi="Times New Roman" w:cs="Times New Roman"/>
                <w:sz w:val="16"/>
                <w:szCs w:val="16"/>
              </w:rPr>
              <w:t>171 070</w:t>
            </w:r>
          </w:p>
        </w:tc>
        <w:tc>
          <w:tcPr>
            <w:tcW w:w="1270" w:type="dxa"/>
            <w:shd w:val="clear" w:color="auto" w:fill="FFFFFF" w:themeFill="background1"/>
            <w:noWrap/>
            <w:vAlign w:val="center"/>
          </w:tcPr>
          <w:p w:rsidR="0075363A" w:rsidRPr="000A4FAA" w:rsidRDefault="0075363A" w:rsidP="0073293A">
            <w:pPr>
              <w:jc w:val="center"/>
              <w:rPr>
                <w:rFonts w:ascii="Times New Roman" w:hAnsi="Times New Roman" w:cs="Times New Roman"/>
                <w:sz w:val="16"/>
                <w:szCs w:val="16"/>
              </w:rPr>
            </w:pPr>
            <w:r w:rsidRPr="000A4FAA">
              <w:rPr>
                <w:rFonts w:ascii="Times New Roman" w:hAnsi="Times New Roman" w:cs="Times New Roman"/>
                <w:sz w:val="16"/>
                <w:szCs w:val="16"/>
              </w:rPr>
              <w:t>163 706</w:t>
            </w:r>
          </w:p>
        </w:tc>
        <w:tc>
          <w:tcPr>
            <w:tcW w:w="1270" w:type="dxa"/>
            <w:shd w:val="clear" w:color="auto" w:fill="FFFFFF" w:themeFill="background1"/>
            <w:noWrap/>
            <w:vAlign w:val="center"/>
          </w:tcPr>
          <w:p w:rsidR="0075363A" w:rsidRPr="000A4FAA" w:rsidRDefault="0075363A" w:rsidP="0073293A">
            <w:pPr>
              <w:jc w:val="center"/>
              <w:rPr>
                <w:rFonts w:ascii="Times New Roman" w:hAnsi="Times New Roman" w:cs="Times New Roman"/>
                <w:sz w:val="16"/>
                <w:szCs w:val="16"/>
              </w:rPr>
            </w:pPr>
            <w:r w:rsidRPr="000A4FAA">
              <w:rPr>
                <w:rFonts w:ascii="Times New Roman" w:hAnsi="Times New Roman" w:cs="Times New Roman"/>
                <w:sz w:val="16"/>
                <w:szCs w:val="16"/>
              </w:rPr>
              <w:t>5 907</w:t>
            </w:r>
          </w:p>
        </w:tc>
        <w:tc>
          <w:tcPr>
            <w:tcW w:w="1270" w:type="dxa"/>
            <w:shd w:val="clear" w:color="auto" w:fill="FFFFFF" w:themeFill="background1"/>
            <w:noWrap/>
            <w:vAlign w:val="center"/>
          </w:tcPr>
          <w:p w:rsidR="0075363A" w:rsidRPr="000A4FAA" w:rsidRDefault="0075363A" w:rsidP="0073293A">
            <w:pPr>
              <w:jc w:val="center"/>
              <w:rPr>
                <w:rFonts w:ascii="Times New Roman" w:hAnsi="Times New Roman" w:cs="Times New Roman"/>
                <w:sz w:val="16"/>
                <w:szCs w:val="16"/>
              </w:rPr>
            </w:pPr>
            <w:r w:rsidRPr="000A4FAA">
              <w:rPr>
                <w:rFonts w:ascii="Times New Roman" w:hAnsi="Times New Roman" w:cs="Times New Roman"/>
                <w:sz w:val="16"/>
                <w:szCs w:val="16"/>
              </w:rPr>
              <w:t>1 272</w:t>
            </w:r>
          </w:p>
        </w:tc>
        <w:tc>
          <w:tcPr>
            <w:tcW w:w="1270" w:type="dxa"/>
            <w:shd w:val="clear" w:color="auto" w:fill="FFFFFF" w:themeFill="background1"/>
            <w:noWrap/>
            <w:vAlign w:val="center"/>
          </w:tcPr>
          <w:p w:rsidR="0075363A" w:rsidRPr="000A4FAA" w:rsidRDefault="0075363A" w:rsidP="0073293A">
            <w:pPr>
              <w:jc w:val="center"/>
              <w:rPr>
                <w:rFonts w:ascii="Times New Roman" w:hAnsi="Times New Roman" w:cs="Times New Roman"/>
                <w:sz w:val="16"/>
                <w:szCs w:val="16"/>
              </w:rPr>
            </w:pPr>
            <w:r w:rsidRPr="000A4FAA">
              <w:rPr>
                <w:rFonts w:ascii="Times New Roman" w:hAnsi="Times New Roman" w:cs="Times New Roman"/>
                <w:sz w:val="16"/>
                <w:szCs w:val="16"/>
              </w:rPr>
              <w:t>155</w:t>
            </w:r>
          </w:p>
        </w:tc>
        <w:tc>
          <w:tcPr>
            <w:tcW w:w="1270" w:type="dxa"/>
            <w:shd w:val="clear" w:color="auto" w:fill="FFFFFF" w:themeFill="background1"/>
            <w:noWrap/>
            <w:vAlign w:val="center"/>
          </w:tcPr>
          <w:p w:rsidR="0075363A" w:rsidRPr="000A4FAA" w:rsidRDefault="0075363A" w:rsidP="0073293A">
            <w:pPr>
              <w:jc w:val="center"/>
              <w:rPr>
                <w:rFonts w:ascii="Times New Roman" w:hAnsi="Times New Roman" w:cs="Times New Roman"/>
                <w:sz w:val="16"/>
                <w:szCs w:val="16"/>
              </w:rPr>
            </w:pPr>
            <w:r w:rsidRPr="000A4FAA">
              <w:rPr>
                <w:rFonts w:ascii="Times New Roman" w:hAnsi="Times New Roman" w:cs="Times New Roman"/>
                <w:sz w:val="16"/>
                <w:szCs w:val="16"/>
              </w:rPr>
              <w:t>30</w:t>
            </w:r>
          </w:p>
        </w:tc>
      </w:tr>
      <w:tr w:rsidR="0075363A" w:rsidRPr="00C75C71" w:rsidTr="00BB2C24">
        <w:trPr>
          <w:trHeight w:val="133"/>
        </w:trPr>
        <w:tc>
          <w:tcPr>
            <w:tcW w:w="1809" w:type="dxa"/>
            <w:shd w:val="clear" w:color="auto" w:fill="FFFFFF" w:themeFill="background1"/>
            <w:noWrap/>
            <w:vAlign w:val="center"/>
            <w:hideMark/>
          </w:tcPr>
          <w:p w:rsidR="0075363A" w:rsidRPr="000A4FAA" w:rsidRDefault="0075363A" w:rsidP="0075363A">
            <w:pPr>
              <w:rPr>
                <w:rFonts w:ascii="Times New Roman" w:hAnsi="Times New Roman" w:cs="Times New Roman"/>
                <w:sz w:val="16"/>
                <w:szCs w:val="16"/>
              </w:rPr>
            </w:pPr>
            <w:r w:rsidRPr="000A4FAA">
              <w:rPr>
                <w:rFonts w:ascii="Times New Roman" w:hAnsi="Times New Roman" w:cs="Times New Roman"/>
                <w:sz w:val="16"/>
                <w:szCs w:val="16"/>
              </w:rPr>
              <w:t>31 XII ‘18</w:t>
            </w:r>
          </w:p>
        </w:tc>
        <w:tc>
          <w:tcPr>
            <w:tcW w:w="1129" w:type="dxa"/>
            <w:shd w:val="clear" w:color="auto" w:fill="FFFFFF" w:themeFill="background1"/>
            <w:noWrap/>
            <w:vAlign w:val="center"/>
          </w:tcPr>
          <w:p w:rsidR="0075363A" w:rsidRPr="000A4FAA" w:rsidRDefault="00D31EAB" w:rsidP="0026366E">
            <w:pPr>
              <w:jc w:val="center"/>
              <w:rPr>
                <w:rFonts w:ascii="Times New Roman" w:hAnsi="Times New Roman" w:cs="Times New Roman"/>
                <w:sz w:val="16"/>
                <w:szCs w:val="16"/>
              </w:rPr>
            </w:pPr>
            <w:r>
              <w:rPr>
                <w:rFonts w:ascii="Times New Roman" w:hAnsi="Times New Roman" w:cs="Times New Roman"/>
                <w:sz w:val="16"/>
                <w:szCs w:val="16"/>
              </w:rPr>
              <w:t>174 830</w:t>
            </w:r>
          </w:p>
        </w:tc>
        <w:tc>
          <w:tcPr>
            <w:tcW w:w="1270" w:type="dxa"/>
            <w:shd w:val="clear" w:color="auto" w:fill="FFFFFF" w:themeFill="background1"/>
            <w:noWrap/>
            <w:vAlign w:val="center"/>
          </w:tcPr>
          <w:p w:rsidR="0075363A" w:rsidRPr="000A4FAA" w:rsidRDefault="003736B4" w:rsidP="00650EE8">
            <w:pPr>
              <w:jc w:val="center"/>
              <w:rPr>
                <w:rFonts w:ascii="Times New Roman" w:hAnsi="Times New Roman" w:cs="Times New Roman"/>
                <w:sz w:val="16"/>
                <w:szCs w:val="16"/>
              </w:rPr>
            </w:pPr>
            <w:r>
              <w:rPr>
                <w:rFonts w:ascii="Times New Roman" w:hAnsi="Times New Roman" w:cs="Times New Roman"/>
                <w:sz w:val="16"/>
                <w:szCs w:val="16"/>
              </w:rPr>
              <w:t>167 467</w:t>
            </w:r>
          </w:p>
        </w:tc>
        <w:tc>
          <w:tcPr>
            <w:tcW w:w="1270" w:type="dxa"/>
            <w:shd w:val="clear" w:color="auto" w:fill="FFFFFF" w:themeFill="background1"/>
            <w:noWrap/>
            <w:vAlign w:val="center"/>
          </w:tcPr>
          <w:p w:rsidR="0075363A" w:rsidRPr="000A4FAA" w:rsidRDefault="003736B4" w:rsidP="003736B4">
            <w:pPr>
              <w:jc w:val="center"/>
              <w:rPr>
                <w:rFonts w:ascii="Times New Roman" w:hAnsi="Times New Roman" w:cs="Times New Roman"/>
                <w:sz w:val="16"/>
                <w:szCs w:val="16"/>
              </w:rPr>
            </w:pPr>
            <w:r>
              <w:rPr>
                <w:rFonts w:ascii="Times New Roman" w:hAnsi="Times New Roman" w:cs="Times New Roman"/>
                <w:sz w:val="16"/>
                <w:szCs w:val="16"/>
              </w:rPr>
              <w:t>5 881</w:t>
            </w:r>
          </w:p>
        </w:tc>
        <w:tc>
          <w:tcPr>
            <w:tcW w:w="1270" w:type="dxa"/>
            <w:shd w:val="clear" w:color="auto" w:fill="FFFFFF" w:themeFill="background1"/>
            <w:noWrap/>
            <w:vAlign w:val="center"/>
          </w:tcPr>
          <w:p w:rsidR="0075363A" w:rsidRPr="000A4FAA" w:rsidRDefault="003736B4" w:rsidP="00650EE8">
            <w:pPr>
              <w:jc w:val="center"/>
              <w:rPr>
                <w:rFonts w:ascii="Times New Roman" w:hAnsi="Times New Roman" w:cs="Times New Roman"/>
                <w:sz w:val="16"/>
                <w:szCs w:val="16"/>
              </w:rPr>
            </w:pPr>
            <w:r>
              <w:rPr>
                <w:rFonts w:ascii="Times New Roman" w:hAnsi="Times New Roman" w:cs="Times New Roman"/>
                <w:sz w:val="16"/>
                <w:szCs w:val="16"/>
              </w:rPr>
              <w:t>1 298</w:t>
            </w:r>
          </w:p>
        </w:tc>
        <w:tc>
          <w:tcPr>
            <w:tcW w:w="1270" w:type="dxa"/>
            <w:shd w:val="clear" w:color="auto" w:fill="FFFFFF" w:themeFill="background1"/>
            <w:noWrap/>
            <w:vAlign w:val="center"/>
          </w:tcPr>
          <w:p w:rsidR="0075363A" w:rsidRPr="000A4FAA" w:rsidRDefault="003736B4" w:rsidP="00650EE8">
            <w:pPr>
              <w:jc w:val="center"/>
              <w:rPr>
                <w:rFonts w:ascii="Times New Roman" w:hAnsi="Times New Roman" w:cs="Times New Roman"/>
                <w:sz w:val="16"/>
                <w:szCs w:val="16"/>
              </w:rPr>
            </w:pPr>
            <w:r>
              <w:rPr>
                <w:rFonts w:ascii="Times New Roman" w:hAnsi="Times New Roman" w:cs="Times New Roman"/>
                <w:sz w:val="16"/>
                <w:szCs w:val="16"/>
              </w:rPr>
              <w:t>153</w:t>
            </w:r>
          </w:p>
        </w:tc>
        <w:tc>
          <w:tcPr>
            <w:tcW w:w="1270" w:type="dxa"/>
            <w:shd w:val="clear" w:color="auto" w:fill="FFFFFF" w:themeFill="background1"/>
            <w:noWrap/>
            <w:vAlign w:val="center"/>
          </w:tcPr>
          <w:p w:rsidR="0075363A" w:rsidRPr="000A4FAA" w:rsidRDefault="003736B4" w:rsidP="00650EE8">
            <w:pPr>
              <w:jc w:val="center"/>
              <w:rPr>
                <w:rFonts w:ascii="Times New Roman" w:hAnsi="Times New Roman" w:cs="Times New Roman"/>
                <w:sz w:val="16"/>
                <w:szCs w:val="16"/>
              </w:rPr>
            </w:pPr>
            <w:r>
              <w:rPr>
                <w:rFonts w:ascii="Times New Roman" w:hAnsi="Times New Roman" w:cs="Times New Roman"/>
                <w:sz w:val="16"/>
                <w:szCs w:val="16"/>
              </w:rPr>
              <w:t>31</w:t>
            </w:r>
          </w:p>
        </w:tc>
      </w:tr>
      <w:tr w:rsidR="0075363A" w:rsidRPr="00C75C71" w:rsidTr="00B7520E">
        <w:trPr>
          <w:trHeight w:val="65"/>
        </w:trPr>
        <w:tc>
          <w:tcPr>
            <w:tcW w:w="1809" w:type="dxa"/>
            <w:shd w:val="clear" w:color="auto" w:fill="auto"/>
            <w:noWrap/>
            <w:vAlign w:val="center"/>
            <w:hideMark/>
          </w:tcPr>
          <w:p w:rsidR="0075363A" w:rsidRPr="000A4FAA" w:rsidRDefault="0075363A" w:rsidP="0075363A">
            <w:pPr>
              <w:rPr>
                <w:rFonts w:ascii="Times New Roman" w:hAnsi="Times New Roman" w:cs="Times New Roman"/>
                <w:sz w:val="16"/>
                <w:szCs w:val="16"/>
              </w:rPr>
            </w:pPr>
            <w:r w:rsidRPr="000A4FAA">
              <w:rPr>
                <w:rFonts w:ascii="Times New Roman" w:hAnsi="Times New Roman" w:cs="Times New Roman"/>
                <w:sz w:val="16"/>
                <w:szCs w:val="16"/>
              </w:rPr>
              <w:t>WZROST / SPADEK</w:t>
            </w:r>
          </w:p>
        </w:tc>
        <w:tc>
          <w:tcPr>
            <w:tcW w:w="1129" w:type="dxa"/>
            <w:shd w:val="clear" w:color="auto" w:fill="auto"/>
            <w:noWrap/>
            <w:vAlign w:val="center"/>
          </w:tcPr>
          <w:p w:rsidR="0075363A" w:rsidRPr="000A4FAA" w:rsidRDefault="0075363A" w:rsidP="00D31EAB">
            <w:pPr>
              <w:jc w:val="center"/>
              <w:rPr>
                <w:rFonts w:ascii="Times New Roman" w:hAnsi="Times New Roman" w:cs="Times New Roman"/>
                <w:sz w:val="16"/>
                <w:szCs w:val="16"/>
              </w:rPr>
            </w:pPr>
            <w:r w:rsidRPr="000A4FAA">
              <w:rPr>
                <w:rFonts w:ascii="Times New Roman" w:hAnsi="Times New Roman" w:cs="Times New Roman"/>
                <w:sz w:val="16"/>
                <w:szCs w:val="16"/>
              </w:rPr>
              <w:t>+ 3 </w:t>
            </w:r>
            <w:r w:rsidR="00D31EAB">
              <w:rPr>
                <w:rFonts w:ascii="Times New Roman" w:hAnsi="Times New Roman" w:cs="Times New Roman"/>
                <w:sz w:val="16"/>
                <w:szCs w:val="16"/>
              </w:rPr>
              <w:t>760</w:t>
            </w:r>
          </w:p>
        </w:tc>
        <w:tc>
          <w:tcPr>
            <w:tcW w:w="1270" w:type="dxa"/>
            <w:shd w:val="clear" w:color="auto" w:fill="F0ECF4"/>
            <w:noWrap/>
            <w:vAlign w:val="center"/>
          </w:tcPr>
          <w:p w:rsidR="0075363A" w:rsidRPr="000A4FAA" w:rsidRDefault="00B7520E" w:rsidP="00650EE8">
            <w:pPr>
              <w:jc w:val="center"/>
              <w:rPr>
                <w:rFonts w:ascii="Times New Roman" w:hAnsi="Times New Roman" w:cs="Times New Roman"/>
                <w:sz w:val="16"/>
                <w:szCs w:val="16"/>
              </w:rPr>
            </w:pPr>
            <w:r>
              <w:rPr>
                <w:rFonts w:ascii="Times New Roman" w:hAnsi="Times New Roman" w:cs="Times New Roman"/>
                <w:sz w:val="16"/>
                <w:szCs w:val="16"/>
              </w:rPr>
              <w:t xml:space="preserve">+ </w:t>
            </w:r>
            <w:r w:rsidR="003736B4">
              <w:rPr>
                <w:rFonts w:ascii="Times New Roman" w:hAnsi="Times New Roman" w:cs="Times New Roman"/>
                <w:sz w:val="16"/>
                <w:szCs w:val="16"/>
              </w:rPr>
              <w:t>3 761</w:t>
            </w:r>
          </w:p>
        </w:tc>
        <w:tc>
          <w:tcPr>
            <w:tcW w:w="1270" w:type="dxa"/>
            <w:shd w:val="clear" w:color="auto" w:fill="auto"/>
            <w:noWrap/>
            <w:vAlign w:val="center"/>
          </w:tcPr>
          <w:p w:rsidR="0075363A" w:rsidRPr="000A4FAA" w:rsidRDefault="003736B4" w:rsidP="00650EE8">
            <w:pPr>
              <w:jc w:val="center"/>
              <w:rPr>
                <w:rFonts w:ascii="Times New Roman" w:hAnsi="Times New Roman" w:cs="Times New Roman"/>
                <w:sz w:val="16"/>
                <w:szCs w:val="16"/>
              </w:rPr>
            </w:pPr>
            <w:r>
              <w:rPr>
                <w:rFonts w:ascii="Times New Roman" w:hAnsi="Times New Roman" w:cs="Times New Roman"/>
                <w:sz w:val="16"/>
                <w:szCs w:val="16"/>
              </w:rPr>
              <w:t>- 26</w:t>
            </w:r>
          </w:p>
        </w:tc>
        <w:tc>
          <w:tcPr>
            <w:tcW w:w="1270" w:type="dxa"/>
            <w:shd w:val="clear" w:color="auto" w:fill="F0ECF4"/>
            <w:noWrap/>
            <w:vAlign w:val="center"/>
          </w:tcPr>
          <w:p w:rsidR="0075363A" w:rsidRPr="000A4FAA" w:rsidRDefault="003736B4" w:rsidP="00650EE8">
            <w:pPr>
              <w:jc w:val="center"/>
              <w:rPr>
                <w:rFonts w:ascii="Times New Roman" w:hAnsi="Times New Roman" w:cs="Times New Roman"/>
                <w:sz w:val="16"/>
                <w:szCs w:val="16"/>
              </w:rPr>
            </w:pPr>
            <w:r>
              <w:rPr>
                <w:rFonts w:ascii="Times New Roman" w:hAnsi="Times New Roman" w:cs="Times New Roman"/>
                <w:sz w:val="16"/>
                <w:szCs w:val="16"/>
              </w:rPr>
              <w:t>+ 26</w:t>
            </w:r>
          </w:p>
        </w:tc>
        <w:tc>
          <w:tcPr>
            <w:tcW w:w="1270" w:type="dxa"/>
            <w:shd w:val="clear" w:color="auto" w:fill="auto"/>
            <w:noWrap/>
            <w:vAlign w:val="center"/>
          </w:tcPr>
          <w:p w:rsidR="0075363A" w:rsidRPr="000A4FAA" w:rsidRDefault="003736B4" w:rsidP="0026366E">
            <w:pPr>
              <w:jc w:val="center"/>
              <w:rPr>
                <w:rFonts w:ascii="Times New Roman" w:hAnsi="Times New Roman" w:cs="Times New Roman"/>
                <w:sz w:val="16"/>
                <w:szCs w:val="16"/>
              </w:rPr>
            </w:pPr>
            <w:r>
              <w:rPr>
                <w:rFonts w:ascii="Times New Roman" w:hAnsi="Times New Roman" w:cs="Times New Roman"/>
                <w:sz w:val="16"/>
                <w:szCs w:val="16"/>
              </w:rPr>
              <w:t>- 2</w:t>
            </w:r>
          </w:p>
        </w:tc>
        <w:tc>
          <w:tcPr>
            <w:tcW w:w="1270" w:type="dxa"/>
            <w:shd w:val="clear" w:color="auto" w:fill="auto"/>
            <w:noWrap/>
            <w:vAlign w:val="center"/>
          </w:tcPr>
          <w:p w:rsidR="0075363A" w:rsidRPr="000A4FAA" w:rsidRDefault="003736B4" w:rsidP="0026366E">
            <w:pPr>
              <w:jc w:val="center"/>
              <w:rPr>
                <w:rFonts w:ascii="Times New Roman" w:hAnsi="Times New Roman" w:cs="Times New Roman"/>
                <w:sz w:val="16"/>
                <w:szCs w:val="16"/>
              </w:rPr>
            </w:pPr>
            <w:r>
              <w:rPr>
                <w:rFonts w:ascii="Times New Roman" w:hAnsi="Times New Roman" w:cs="Times New Roman"/>
                <w:sz w:val="16"/>
                <w:szCs w:val="16"/>
              </w:rPr>
              <w:t>+1</w:t>
            </w:r>
          </w:p>
        </w:tc>
      </w:tr>
    </w:tbl>
    <w:p w:rsidR="00DF6845" w:rsidRPr="0075363A" w:rsidRDefault="00165326" w:rsidP="001F252C">
      <w:pPr>
        <w:spacing w:after="0" w:line="240" w:lineRule="auto"/>
        <w:rPr>
          <w:rFonts w:ascii="Times New Roman" w:hAnsi="Times New Roman" w:cs="Times New Roman"/>
          <w:sz w:val="18"/>
          <w:szCs w:val="18"/>
        </w:rPr>
      </w:pPr>
      <w:r w:rsidRPr="0075363A">
        <w:rPr>
          <w:rFonts w:ascii="Times New Roman" w:hAnsi="Times New Roman" w:cs="Times New Roman"/>
          <w:sz w:val="16"/>
          <w:szCs w:val="16"/>
          <w:lang w:val="en-US"/>
        </w:rPr>
        <w:t>*</w:t>
      </w:r>
      <w:r w:rsidR="0029588D" w:rsidRPr="0075363A">
        <w:rPr>
          <w:rFonts w:ascii="Times New Roman" w:hAnsi="Times New Roman" w:cs="Times New Roman"/>
          <w:sz w:val="16"/>
          <w:szCs w:val="16"/>
          <w:lang w:val="en-US"/>
        </w:rPr>
        <w:t>B</w:t>
      </w:r>
      <w:r w:rsidRPr="0075363A">
        <w:rPr>
          <w:rFonts w:ascii="Times New Roman" w:hAnsi="Times New Roman" w:cs="Times New Roman"/>
          <w:sz w:val="16"/>
          <w:szCs w:val="16"/>
          <w:lang w:val="en-US"/>
        </w:rPr>
        <w:t>ez osób fizycznych prowadzących wyłącznie indywidualne gospodarstwa rolne.</w:t>
      </w:r>
    </w:p>
    <w:p w:rsidR="00CD1517" w:rsidRDefault="00CD1517" w:rsidP="0075363A">
      <w:pPr>
        <w:spacing w:after="0" w:line="240" w:lineRule="auto"/>
        <w:jc w:val="both"/>
        <w:rPr>
          <w:rFonts w:ascii="Times New Roman" w:hAnsi="Times New Roman" w:cs="Times New Roman"/>
          <w:sz w:val="16"/>
          <w:szCs w:val="16"/>
          <w:highlight w:val="yellow"/>
        </w:rPr>
      </w:pPr>
    </w:p>
    <w:p w:rsidR="004F1452" w:rsidRPr="00C75C71" w:rsidRDefault="004F1452" w:rsidP="0075363A">
      <w:pPr>
        <w:spacing w:after="0" w:line="240" w:lineRule="auto"/>
        <w:jc w:val="both"/>
        <w:rPr>
          <w:rFonts w:ascii="Times New Roman" w:hAnsi="Times New Roman" w:cs="Times New Roman"/>
          <w:sz w:val="16"/>
          <w:szCs w:val="16"/>
          <w:highlight w:val="yellow"/>
        </w:rPr>
      </w:pPr>
    </w:p>
    <w:p w:rsidR="00242C45" w:rsidRPr="004978EE" w:rsidRDefault="00242C45" w:rsidP="00B9244B">
      <w:pPr>
        <w:pBdr>
          <w:bottom w:val="single" w:sz="4" w:space="1" w:color="auto"/>
        </w:pBdr>
        <w:spacing w:after="0" w:line="240" w:lineRule="auto"/>
        <w:jc w:val="both"/>
        <w:rPr>
          <w:rFonts w:ascii="Times New Roman" w:hAnsi="Times New Roman" w:cs="Times New Roman"/>
          <w:sz w:val="24"/>
          <w:szCs w:val="24"/>
        </w:rPr>
      </w:pPr>
      <w:r w:rsidRPr="004978EE">
        <w:rPr>
          <w:rFonts w:ascii="Times New Roman" w:hAnsi="Times New Roman" w:cs="Times New Roman"/>
          <w:sz w:val="24"/>
          <w:szCs w:val="24"/>
        </w:rPr>
        <w:lastRenderedPageBreak/>
        <w:t>Wnioski:</w:t>
      </w:r>
    </w:p>
    <w:p w:rsidR="00242C45" w:rsidRPr="002448AB" w:rsidRDefault="00242C45" w:rsidP="00242C45">
      <w:pPr>
        <w:spacing w:after="0" w:line="360" w:lineRule="auto"/>
        <w:jc w:val="both"/>
        <w:rPr>
          <w:rFonts w:ascii="Times New Roman" w:hAnsi="Times New Roman" w:cs="Times New Roman"/>
          <w:sz w:val="18"/>
          <w:szCs w:val="18"/>
        </w:rPr>
      </w:pPr>
      <w:r w:rsidRPr="002448AB">
        <w:rPr>
          <w:rFonts w:ascii="Times New Roman" w:hAnsi="Times New Roman" w:cs="Times New Roman"/>
          <w:sz w:val="18"/>
          <w:szCs w:val="18"/>
        </w:rPr>
        <w:t>(na podstawie danych</w:t>
      </w:r>
      <w:r w:rsidR="00AE5712" w:rsidRPr="002448AB">
        <w:rPr>
          <w:rFonts w:ascii="Times New Roman" w:hAnsi="Times New Roman" w:cs="Times New Roman"/>
          <w:sz w:val="18"/>
          <w:szCs w:val="18"/>
        </w:rPr>
        <w:t xml:space="preserve"> z </w:t>
      </w:r>
      <w:r w:rsidRPr="002448AB">
        <w:rPr>
          <w:rFonts w:ascii="Times New Roman" w:hAnsi="Times New Roman" w:cs="Times New Roman"/>
          <w:sz w:val="18"/>
          <w:szCs w:val="18"/>
        </w:rPr>
        <w:t>Tabeli 6)</w:t>
      </w:r>
    </w:p>
    <w:p w:rsidR="008A798C" w:rsidRPr="003A345C" w:rsidRDefault="00860F76" w:rsidP="009528F9">
      <w:pPr>
        <w:pStyle w:val="Akapitzlist"/>
        <w:numPr>
          <w:ilvl w:val="0"/>
          <w:numId w:val="18"/>
        </w:numPr>
        <w:spacing w:after="0" w:line="360" w:lineRule="auto"/>
        <w:jc w:val="both"/>
        <w:rPr>
          <w:rFonts w:ascii="Times New Roman" w:hAnsi="Times New Roman" w:cs="Times New Roman"/>
          <w:sz w:val="16"/>
          <w:szCs w:val="16"/>
          <w:shd w:val="clear" w:color="auto" w:fill="FFFFFF" w:themeFill="background1"/>
        </w:rPr>
      </w:pPr>
      <w:r w:rsidRPr="003A345C">
        <w:rPr>
          <w:rFonts w:ascii="Times New Roman" w:hAnsi="Times New Roman" w:cs="Times New Roman"/>
          <w:sz w:val="24"/>
          <w:szCs w:val="24"/>
        </w:rPr>
        <w:t xml:space="preserve">Znaczne </w:t>
      </w:r>
      <w:r w:rsidR="00242C45" w:rsidRPr="003A345C">
        <w:rPr>
          <w:rFonts w:ascii="Times New Roman" w:hAnsi="Times New Roman" w:cs="Times New Roman"/>
          <w:sz w:val="24"/>
          <w:szCs w:val="24"/>
        </w:rPr>
        <w:t>rozdrobnienie podmiotów gospodarczych. Struktura występujących</w:t>
      </w:r>
      <w:r w:rsidR="00AE5712" w:rsidRPr="003A345C">
        <w:rPr>
          <w:rFonts w:ascii="Times New Roman" w:hAnsi="Times New Roman" w:cs="Times New Roman"/>
          <w:sz w:val="24"/>
          <w:szCs w:val="24"/>
        </w:rPr>
        <w:t xml:space="preserve"> w </w:t>
      </w:r>
      <w:r w:rsidR="00242C45" w:rsidRPr="003A345C">
        <w:rPr>
          <w:rFonts w:ascii="Times New Roman" w:hAnsi="Times New Roman" w:cs="Times New Roman"/>
          <w:sz w:val="24"/>
          <w:szCs w:val="24"/>
        </w:rPr>
        <w:t>regionie podmiotów gospodarczych</w:t>
      </w:r>
      <w:r w:rsidR="00044978" w:rsidRPr="003A345C">
        <w:rPr>
          <w:rFonts w:ascii="Times New Roman" w:hAnsi="Times New Roman" w:cs="Times New Roman"/>
          <w:sz w:val="24"/>
          <w:szCs w:val="24"/>
        </w:rPr>
        <w:t xml:space="preserve"> – </w:t>
      </w:r>
      <w:r w:rsidR="00242C45" w:rsidRPr="003A345C">
        <w:rPr>
          <w:rFonts w:ascii="Times New Roman" w:hAnsi="Times New Roman" w:cs="Times New Roman"/>
          <w:sz w:val="24"/>
          <w:szCs w:val="24"/>
        </w:rPr>
        <w:t>nie zmienia się od lat</w:t>
      </w:r>
      <w:r w:rsidR="009D42DE" w:rsidRPr="003A345C">
        <w:rPr>
          <w:rFonts w:ascii="Times New Roman" w:hAnsi="Times New Roman" w:cs="Times New Roman"/>
          <w:sz w:val="24"/>
          <w:szCs w:val="24"/>
        </w:rPr>
        <w:t>.</w:t>
      </w:r>
      <w:r w:rsidR="00242C45" w:rsidRPr="003A345C">
        <w:rPr>
          <w:rFonts w:ascii="Times New Roman" w:hAnsi="Times New Roman" w:cs="Times New Roman"/>
          <w:sz w:val="24"/>
          <w:szCs w:val="24"/>
        </w:rPr>
        <w:t xml:space="preserve"> </w:t>
      </w:r>
      <w:r w:rsidR="009D42DE" w:rsidRPr="003A345C">
        <w:rPr>
          <w:rFonts w:ascii="Times New Roman" w:hAnsi="Times New Roman" w:cs="Times New Roman"/>
          <w:i/>
          <w:sz w:val="24"/>
          <w:szCs w:val="24"/>
        </w:rPr>
        <w:t>G</w:t>
      </w:r>
      <w:r w:rsidR="00242C45" w:rsidRPr="003A345C">
        <w:rPr>
          <w:rFonts w:ascii="Times New Roman" w:hAnsi="Times New Roman" w:cs="Times New Roman"/>
          <w:i/>
          <w:sz w:val="24"/>
          <w:szCs w:val="24"/>
        </w:rPr>
        <w:t>ro</w:t>
      </w:r>
      <w:r w:rsidR="00B9244B" w:rsidRPr="003A345C">
        <w:rPr>
          <w:rFonts w:ascii="Times New Roman" w:hAnsi="Times New Roman" w:cs="Times New Roman"/>
          <w:i/>
          <w:sz w:val="24"/>
          <w:szCs w:val="24"/>
        </w:rPr>
        <w:t>s</w:t>
      </w:r>
      <w:r w:rsidR="00242C45" w:rsidRPr="003A345C">
        <w:rPr>
          <w:rFonts w:ascii="Times New Roman" w:hAnsi="Times New Roman" w:cs="Times New Roman"/>
          <w:sz w:val="24"/>
          <w:szCs w:val="24"/>
        </w:rPr>
        <w:t xml:space="preserve"> podmiotów stanowią mikroprzedsiębiorstwa. </w:t>
      </w:r>
      <w:r w:rsidRPr="003A345C">
        <w:rPr>
          <w:rFonts w:ascii="Times New Roman" w:hAnsi="Times New Roman" w:cs="Times New Roman"/>
          <w:sz w:val="24"/>
          <w:szCs w:val="24"/>
        </w:rPr>
        <w:t>Łą</w:t>
      </w:r>
      <w:r w:rsidR="00242C45" w:rsidRPr="003A345C">
        <w:rPr>
          <w:rFonts w:ascii="Times New Roman" w:hAnsi="Times New Roman" w:cs="Times New Roman"/>
          <w:sz w:val="24"/>
          <w:szCs w:val="24"/>
        </w:rPr>
        <w:t>czn</w:t>
      </w:r>
      <w:r w:rsidRPr="003A345C">
        <w:rPr>
          <w:rFonts w:ascii="Times New Roman" w:hAnsi="Times New Roman" w:cs="Times New Roman"/>
          <w:sz w:val="24"/>
          <w:szCs w:val="24"/>
        </w:rPr>
        <w:t xml:space="preserve">ie </w:t>
      </w:r>
      <w:r w:rsidR="00242C45" w:rsidRPr="003A345C">
        <w:rPr>
          <w:rFonts w:ascii="Times New Roman" w:hAnsi="Times New Roman" w:cs="Times New Roman"/>
          <w:sz w:val="24"/>
          <w:szCs w:val="24"/>
        </w:rPr>
        <w:t>mikro-</w:t>
      </w:r>
      <w:r w:rsidR="00AE5712" w:rsidRPr="003A345C">
        <w:rPr>
          <w:rFonts w:ascii="Times New Roman" w:hAnsi="Times New Roman" w:cs="Times New Roman"/>
          <w:sz w:val="24"/>
          <w:szCs w:val="24"/>
        </w:rPr>
        <w:t xml:space="preserve"> i </w:t>
      </w:r>
      <w:r w:rsidR="00242C45" w:rsidRPr="003A345C">
        <w:rPr>
          <w:rFonts w:ascii="Times New Roman" w:hAnsi="Times New Roman" w:cs="Times New Roman"/>
          <w:sz w:val="24"/>
          <w:szCs w:val="24"/>
        </w:rPr>
        <w:t>mał</w:t>
      </w:r>
      <w:r w:rsidR="00274765" w:rsidRPr="003A345C">
        <w:rPr>
          <w:rFonts w:ascii="Times New Roman" w:hAnsi="Times New Roman" w:cs="Times New Roman"/>
          <w:sz w:val="24"/>
          <w:szCs w:val="24"/>
        </w:rPr>
        <w:t>e</w:t>
      </w:r>
      <w:r w:rsidR="00242C45" w:rsidRPr="003A345C">
        <w:rPr>
          <w:rFonts w:ascii="Times New Roman" w:hAnsi="Times New Roman" w:cs="Times New Roman"/>
          <w:sz w:val="24"/>
          <w:szCs w:val="24"/>
        </w:rPr>
        <w:t xml:space="preserve"> przedsiębiorstw</w:t>
      </w:r>
      <w:r w:rsidR="00274765" w:rsidRPr="003A345C">
        <w:rPr>
          <w:rFonts w:ascii="Times New Roman" w:hAnsi="Times New Roman" w:cs="Times New Roman"/>
          <w:sz w:val="24"/>
          <w:szCs w:val="24"/>
        </w:rPr>
        <w:t>a</w:t>
      </w:r>
      <w:r w:rsidR="00E10F11" w:rsidRPr="003A345C">
        <w:rPr>
          <w:rFonts w:ascii="Times New Roman" w:hAnsi="Times New Roman" w:cs="Times New Roman"/>
          <w:sz w:val="24"/>
          <w:szCs w:val="24"/>
        </w:rPr>
        <w:t xml:space="preserve"> (do 49 pracowników)</w:t>
      </w:r>
      <w:r w:rsidR="00242C45" w:rsidRPr="003A345C">
        <w:rPr>
          <w:rFonts w:ascii="Times New Roman" w:hAnsi="Times New Roman" w:cs="Times New Roman"/>
          <w:sz w:val="24"/>
          <w:szCs w:val="24"/>
        </w:rPr>
        <w:t xml:space="preserve"> to 99,</w:t>
      </w:r>
      <w:r w:rsidR="003A345C" w:rsidRPr="003A345C">
        <w:rPr>
          <w:rFonts w:ascii="Times New Roman" w:hAnsi="Times New Roman" w:cs="Times New Roman"/>
          <w:sz w:val="24"/>
          <w:szCs w:val="24"/>
        </w:rPr>
        <w:t>2</w:t>
      </w:r>
      <w:r w:rsidR="004F1452" w:rsidRPr="003A345C">
        <w:rPr>
          <w:rFonts w:ascii="Times New Roman" w:hAnsi="Times New Roman" w:cs="Times New Roman"/>
          <w:sz w:val="24"/>
          <w:szCs w:val="24"/>
        </w:rPr>
        <w:t xml:space="preserve"> </w:t>
      </w:r>
      <w:r w:rsidR="00242C45" w:rsidRPr="003A345C">
        <w:rPr>
          <w:rFonts w:ascii="Times New Roman" w:hAnsi="Times New Roman" w:cs="Times New Roman"/>
          <w:sz w:val="24"/>
          <w:szCs w:val="24"/>
        </w:rPr>
        <w:t>% wszystkich podmiotów</w:t>
      </w:r>
      <w:r w:rsidR="004E55D0" w:rsidRPr="003A345C">
        <w:rPr>
          <w:rFonts w:ascii="Times New Roman" w:hAnsi="Times New Roman" w:cs="Times New Roman"/>
          <w:sz w:val="24"/>
          <w:szCs w:val="24"/>
        </w:rPr>
        <w:t> </w:t>
      </w:r>
      <w:r w:rsidR="004E55D0" w:rsidRPr="003A345C">
        <w:rPr>
          <w:rStyle w:val="Odwoanieprzypisudolnego"/>
          <w:rFonts w:ascii="Times New Roman" w:hAnsi="Times New Roman" w:cs="Times New Roman"/>
          <w:sz w:val="24"/>
          <w:szCs w:val="24"/>
        </w:rPr>
        <w:footnoteReference w:id="11"/>
      </w:r>
      <w:r w:rsidR="00630B95" w:rsidRPr="003A345C">
        <w:rPr>
          <w:rFonts w:ascii="Times New Roman" w:hAnsi="Times New Roman" w:cs="Times New Roman"/>
          <w:sz w:val="24"/>
          <w:szCs w:val="24"/>
        </w:rPr>
        <w:t>.</w:t>
      </w:r>
    </w:p>
    <w:p w:rsidR="00BB7890" w:rsidRDefault="00B92E45" w:rsidP="005C72B7">
      <w:pPr>
        <w:pStyle w:val="Bezodstpw"/>
        <w:ind w:left="1410" w:hanging="1410"/>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A4FAA">
        <w:rPr>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Tabela </w:t>
      </w:r>
      <w:r w:rsidR="00163CF2" w:rsidRPr="000A4FAA">
        <w:rPr>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7</w:t>
      </w:r>
      <w:r w:rsidRPr="000A4FAA">
        <w:rPr>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5C72B7" w:rsidRPr="000A4FAA">
        <w:rPr>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Pr="000A4FAA">
        <w:rPr>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Podmioty gospodarki narodowej</w:t>
      </w:r>
      <w:r w:rsidR="00AE5712" w:rsidRPr="000A4FAA">
        <w:rPr>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t>
      </w:r>
      <w:r w:rsidRPr="000A4FAA">
        <w:rPr>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województwie podkarpackim</w:t>
      </w:r>
      <w:r w:rsidR="00AE5712" w:rsidRPr="000A4FAA">
        <w:rPr>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t>
      </w:r>
      <w:r w:rsidRPr="000A4FA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sektorze publicznym wg przewidywanej liczby pracujących</w:t>
      </w:r>
      <w:r w:rsidR="00BB789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tbl>
      <w:tblPr>
        <w:tblStyle w:val="Tabela-Siatka"/>
        <w:tblW w:w="5000" w:type="pct"/>
        <w:tblLayout w:type="fixed"/>
        <w:tblLook w:val="04A0" w:firstRow="1" w:lastRow="0" w:firstColumn="1" w:lastColumn="0" w:noHBand="0" w:noVBand="1"/>
      </w:tblPr>
      <w:tblGrid>
        <w:gridCol w:w="1815"/>
        <w:gridCol w:w="1126"/>
        <w:gridCol w:w="1270"/>
        <w:gridCol w:w="1270"/>
        <w:gridCol w:w="1270"/>
        <w:gridCol w:w="1270"/>
        <w:gridCol w:w="1265"/>
      </w:tblGrid>
      <w:tr w:rsidR="00B92E45" w:rsidRPr="00C75C71" w:rsidTr="00BC17F7">
        <w:trPr>
          <w:trHeight w:val="285"/>
        </w:trPr>
        <w:tc>
          <w:tcPr>
            <w:tcW w:w="977" w:type="pct"/>
            <w:vMerge w:val="restart"/>
            <w:shd w:val="clear" w:color="auto" w:fill="F0ECF4"/>
            <w:noWrap/>
            <w:vAlign w:val="center"/>
            <w:hideMark/>
          </w:tcPr>
          <w:p w:rsidR="00B92E45" w:rsidRPr="00BB7890" w:rsidRDefault="000A4FAA" w:rsidP="00235A6B">
            <w:pPr>
              <w:jc w:val="center"/>
              <w:rPr>
                <w:rFonts w:ascii="Times New Roman" w:hAnsi="Times New Roman" w:cs="Times New Roman"/>
                <w:sz w:val="16"/>
                <w:szCs w:val="16"/>
                <w:highlight w:val="yellow"/>
              </w:rPr>
            </w:pPr>
            <w:r w:rsidRPr="00BB7890">
              <w:rPr>
                <w:rFonts w:ascii="Times New Roman" w:hAnsi="Times New Roman" w:cs="Times New Roman"/>
                <w:sz w:val="16"/>
                <w:szCs w:val="16"/>
              </w:rPr>
              <w:t>STAN  NA</w:t>
            </w:r>
          </w:p>
        </w:tc>
        <w:tc>
          <w:tcPr>
            <w:tcW w:w="4023" w:type="pct"/>
            <w:gridSpan w:val="6"/>
            <w:shd w:val="clear" w:color="auto" w:fill="F0ECF4"/>
            <w:noWrap/>
            <w:vAlign w:val="center"/>
            <w:hideMark/>
          </w:tcPr>
          <w:p w:rsidR="00B92E45" w:rsidRPr="000A4FAA" w:rsidRDefault="00235A6B" w:rsidP="00E8385B">
            <w:pPr>
              <w:jc w:val="center"/>
              <w:rPr>
                <w:rFonts w:ascii="Times New Roman" w:hAnsi="Times New Roman" w:cs="Times New Roman"/>
                <w:b/>
                <w:sz w:val="16"/>
                <w:szCs w:val="16"/>
              </w:rPr>
            </w:pPr>
            <w:r w:rsidRPr="000A4FAA">
              <w:rPr>
                <w:rFonts w:ascii="Times New Roman" w:hAnsi="Times New Roman" w:cs="Times New Roman"/>
                <w:b/>
                <w:color w:val="403152" w:themeColor="accent4" w:themeShade="80"/>
                <w:sz w:val="16"/>
                <w:szCs w:val="16"/>
              </w:rPr>
              <w:t>s</w:t>
            </w:r>
            <w:r w:rsidR="00B92E45" w:rsidRPr="000A4FAA">
              <w:rPr>
                <w:rFonts w:ascii="Times New Roman" w:hAnsi="Times New Roman" w:cs="Times New Roman"/>
                <w:b/>
                <w:color w:val="403152" w:themeColor="accent4" w:themeShade="80"/>
                <w:sz w:val="16"/>
                <w:szCs w:val="16"/>
              </w:rPr>
              <w:t>ektor publiczny</w:t>
            </w:r>
          </w:p>
        </w:tc>
      </w:tr>
      <w:tr w:rsidR="00B92E45" w:rsidRPr="00C75C71" w:rsidTr="00D23249">
        <w:trPr>
          <w:trHeight w:val="285"/>
        </w:trPr>
        <w:tc>
          <w:tcPr>
            <w:tcW w:w="977" w:type="pct"/>
            <w:vMerge/>
            <w:tcBorders>
              <w:bottom w:val="single" w:sz="4" w:space="0" w:color="auto"/>
            </w:tcBorders>
            <w:shd w:val="clear" w:color="auto" w:fill="F0ECF4"/>
            <w:noWrap/>
            <w:hideMark/>
          </w:tcPr>
          <w:p w:rsidR="00B92E45" w:rsidRPr="000A4FAA" w:rsidRDefault="00B92E45" w:rsidP="009E3AFD">
            <w:pPr>
              <w:jc w:val="center"/>
              <w:rPr>
                <w:rFonts w:ascii="Times New Roman" w:hAnsi="Times New Roman" w:cs="Times New Roman"/>
                <w:b/>
                <w:sz w:val="16"/>
                <w:szCs w:val="16"/>
                <w:highlight w:val="yellow"/>
              </w:rPr>
            </w:pPr>
          </w:p>
        </w:tc>
        <w:tc>
          <w:tcPr>
            <w:tcW w:w="606" w:type="pct"/>
            <w:tcBorders>
              <w:bottom w:val="single" w:sz="4" w:space="0" w:color="auto"/>
            </w:tcBorders>
            <w:shd w:val="clear" w:color="auto" w:fill="E5DFEC" w:themeFill="accent4" w:themeFillTint="33"/>
            <w:noWrap/>
            <w:vAlign w:val="center"/>
            <w:hideMark/>
          </w:tcPr>
          <w:p w:rsidR="00B92E45" w:rsidRPr="000A4FAA" w:rsidRDefault="00235A6B" w:rsidP="00C9044D">
            <w:pPr>
              <w:jc w:val="center"/>
              <w:rPr>
                <w:rFonts w:ascii="Times New Roman" w:hAnsi="Times New Roman" w:cs="Times New Roman"/>
                <w:b/>
                <w:sz w:val="16"/>
                <w:szCs w:val="16"/>
              </w:rPr>
            </w:pPr>
            <w:r w:rsidRPr="000A4FAA">
              <w:rPr>
                <w:rFonts w:ascii="Times New Roman" w:hAnsi="Times New Roman" w:cs="Times New Roman"/>
                <w:b/>
                <w:sz w:val="16"/>
                <w:szCs w:val="16"/>
              </w:rPr>
              <w:t>r</w:t>
            </w:r>
            <w:r w:rsidR="00B92E45" w:rsidRPr="000A4FAA">
              <w:rPr>
                <w:rFonts w:ascii="Times New Roman" w:hAnsi="Times New Roman" w:cs="Times New Roman"/>
                <w:b/>
                <w:sz w:val="16"/>
                <w:szCs w:val="16"/>
              </w:rPr>
              <w:t>azem</w:t>
            </w:r>
          </w:p>
        </w:tc>
        <w:tc>
          <w:tcPr>
            <w:tcW w:w="684" w:type="pct"/>
            <w:tcBorders>
              <w:bottom w:val="single" w:sz="4" w:space="0" w:color="auto"/>
            </w:tcBorders>
            <w:shd w:val="clear" w:color="auto" w:fill="E5DFEC" w:themeFill="accent4" w:themeFillTint="33"/>
            <w:noWrap/>
            <w:vAlign w:val="center"/>
            <w:hideMark/>
          </w:tcPr>
          <w:p w:rsidR="00B92E45" w:rsidRPr="000A4FAA" w:rsidRDefault="00B92E45" w:rsidP="00C9044D">
            <w:pPr>
              <w:jc w:val="center"/>
              <w:rPr>
                <w:rFonts w:ascii="Times New Roman" w:hAnsi="Times New Roman" w:cs="Times New Roman"/>
                <w:b/>
                <w:sz w:val="16"/>
                <w:szCs w:val="16"/>
              </w:rPr>
            </w:pPr>
            <w:r w:rsidRPr="000A4FAA">
              <w:rPr>
                <w:rFonts w:ascii="Times New Roman" w:hAnsi="Times New Roman" w:cs="Times New Roman"/>
                <w:b/>
                <w:sz w:val="16"/>
                <w:szCs w:val="16"/>
              </w:rPr>
              <w:t>0-9</w:t>
            </w:r>
          </w:p>
        </w:tc>
        <w:tc>
          <w:tcPr>
            <w:tcW w:w="684" w:type="pct"/>
            <w:tcBorders>
              <w:bottom w:val="single" w:sz="4" w:space="0" w:color="auto"/>
            </w:tcBorders>
            <w:shd w:val="clear" w:color="auto" w:fill="E5DFEC" w:themeFill="accent4" w:themeFillTint="33"/>
            <w:noWrap/>
            <w:vAlign w:val="center"/>
            <w:hideMark/>
          </w:tcPr>
          <w:p w:rsidR="00B92E45" w:rsidRPr="000A4FAA" w:rsidRDefault="00B92E45" w:rsidP="00C9044D">
            <w:pPr>
              <w:jc w:val="center"/>
              <w:rPr>
                <w:rFonts w:ascii="Times New Roman" w:hAnsi="Times New Roman" w:cs="Times New Roman"/>
                <w:b/>
                <w:sz w:val="16"/>
                <w:szCs w:val="16"/>
              </w:rPr>
            </w:pPr>
            <w:r w:rsidRPr="000A4FAA">
              <w:rPr>
                <w:rFonts w:ascii="Times New Roman" w:hAnsi="Times New Roman" w:cs="Times New Roman"/>
                <w:b/>
                <w:sz w:val="16"/>
                <w:szCs w:val="16"/>
              </w:rPr>
              <w:t>10-49</w:t>
            </w:r>
          </w:p>
        </w:tc>
        <w:tc>
          <w:tcPr>
            <w:tcW w:w="684" w:type="pct"/>
            <w:tcBorders>
              <w:bottom w:val="single" w:sz="4" w:space="0" w:color="auto"/>
            </w:tcBorders>
            <w:shd w:val="clear" w:color="auto" w:fill="E5DFEC" w:themeFill="accent4" w:themeFillTint="33"/>
            <w:noWrap/>
            <w:vAlign w:val="center"/>
            <w:hideMark/>
          </w:tcPr>
          <w:p w:rsidR="00B92E45" w:rsidRPr="000A4FAA" w:rsidRDefault="00B92E45" w:rsidP="00C9044D">
            <w:pPr>
              <w:jc w:val="center"/>
              <w:rPr>
                <w:rFonts w:ascii="Times New Roman" w:hAnsi="Times New Roman" w:cs="Times New Roman"/>
                <w:b/>
                <w:sz w:val="16"/>
                <w:szCs w:val="16"/>
              </w:rPr>
            </w:pPr>
            <w:r w:rsidRPr="000A4FAA">
              <w:rPr>
                <w:rFonts w:ascii="Times New Roman" w:hAnsi="Times New Roman" w:cs="Times New Roman"/>
                <w:b/>
                <w:sz w:val="16"/>
                <w:szCs w:val="16"/>
              </w:rPr>
              <w:t>50-249</w:t>
            </w:r>
          </w:p>
        </w:tc>
        <w:tc>
          <w:tcPr>
            <w:tcW w:w="684" w:type="pct"/>
            <w:tcBorders>
              <w:bottom w:val="single" w:sz="4" w:space="0" w:color="auto"/>
            </w:tcBorders>
            <w:shd w:val="clear" w:color="auto" w:fill="E5DFEC" w:themeFill="accent4" w:themeFillTint="33"/>
            <w:noWrap/>
            <w:vAlign w:val="center"/>
            <w:hideMark/>
          </w:tcPr>
          <w:p w:rsidR="00B92E45" w:rsidRPr="000A4FAA" w:rsidRDefault="00B92E45" w:rsidP="00C9044D">
            <w:pPr>
              <w:jc w:val="center"/>
              <w:rPr>
                <w:rFonts w:ascii="Times New Roman" w:hAnsi="Times New Roman" w:cs="Times New Roman"/>
                <w:b/>
                <w:sz w:val="16"/>
                <w:szCs w:val="16"/>
              </w:rPr>
            </w:pPr>
            <w:r w:rsidRPr="000A4FAA">
              <w:rPr>
                <w:rFonts w:ascii="Times New Roman" w:hAnsi="Times New Roman" w:cs="Times New Roman"/>
                <w:b/>
                <w:sz w:val="16"/>
                <w:szCs w:val="16"/>
              </w:rPr>
              <w:t>250-999</w:t>
            </w:r>
          </w:p>
        </w:tc>
        <w:tc>
          <w:tcPr>
            <w:tcW w:w="681" w:type="pct"/>
            <w:tcBorders>
              <w:bottom w:val="single" w:sz="4" w:space="0" w:color="auto"/>
            </w:tcBorders>
            <w:shd w:val="clear" w:color="auto" w:fill="E5DFEC" w:themeFill="accent4" w:themeFillTint="33"/>
            <w:noWrap/>
            <w:vAlign w:val="center"/>
            <w:hideMark/>
          </w:tcPr>
          <w:p w:rsidR="00B92E45" w:rsidRPr="000A4FAA" w:rsidRDefault="00B92E45" w:rsidP="00C9044D">
            <w:pPr>
              <w:jc w:val="center"/>
              <w:rPr>
                <w:rFonts w:ascii="Times New Roman" w:hAnsi="Times New Roman" w:cs="Times New Roman"/>
                <w:b/>
                <w:sz w:val="16"/>
                <w:szCs w:val="16"/>
              </w:rPr>
            </w:pPr>
            <w:r w:rsidRPr="000A4FAA">
              <w:rPr>
                <w:rFonts w:ascii="Times New Roman" w:hAnsi="Times New Roman" w:cs="Times New Roman"/>
                <w:b/>
                <w:sz w:val="16"/>
                <w:szCs w:val="16"/>
              </w:rPr>
              <w:t>1000</w:t>
            </w:r>
          </w:p>
          <w:p w:rsidR="00B92E45" w:rsidRPr="000A4FAA" w:rsidRDefault="00B92E45" w:rsidP="00C9044D">
            <w:pPr>
              <w:jc w:val="center"/>
              <w:rPr>
                <w:rFonts w:ascii="Times New Roman" w:hAnsi="Times New Roman" w:cs="Times New Roman"/>
                <w:b/>
                <w:sz w:val="16"/>
                <w:szCs w:val="16"/>
              </w:rPr>
            </w:pPr>
            <w:r w:rsidRPr="000A4FAA">
              <w:rPr>
                <w:rFonts w:ascii="Times New Roman" w:hAnsi="Times New Roman" w:cs="Times New Roman"/>
                <w:b/>
                <w:sz w:val="16"/>
                <w:szCs w:val="16"/>
              </w:rPr>
              <w:t>i więcej</w:t>
            </w:r>
          </w:p>
        </w:tc>
      </w:tr>
      <w:tr w:rsidR="000A4FAA" w:rsidRPr="00C75C71" w:rsidTr="0073293A">
        <w:trPr>
          <w:trHeight w:val="135"/>
        </w:trPr>
        <w:tc>
          <w:tcPr>
            <w:tcW w:w="977" w:type="pct"/>
            <w:tcBorders>
              <w:top w:val="single" w:sz="4" w:space="0" w:color="auto"/>
            </w:tcBorders>
            <w:shd w:val="clear" w:color="auto" w:fill="auto"/>
            <w:noWrap/>
            <w:vAlign w:val="center"/>
            <w:hideMark/>
          </w:tcPr>
          <w:p w:rsidR="000A4FAA" w:rsidRPr="000A4FAA" w:rsidRDefault="000A4FAA" w:rsidP="000A4FAA">
            <w:pPr>
              <w:rPr>
                <w:rFonts w:ascii="Times New Roman" w:hAnsi="Times New Roman" w:cs="Times New Roman"/>
                <w:sz w:val="16"/>
                <w:szCs w:val="16"/>
                <w:highlight w:val="yellow"/>
              </w:rPr>
            </w:pPr>
            <w:r w:rsidRPr="000A4FAA">
              <w:rPr>
                <w:rFonts w:ascii="Times New Roman" w:hAnsi="Times New Roman" w:cs="Times New Roman"/>
                <w:sz w:val="16"/>
                <w:szCs w:val="16"/>
              </w:rPr>
              <w:t>31 XII ‘17</w:t>
            </w:r>
          </w:p>
        </w:tc>
        <w:tc>
          <w:tcPr>
            <w:tcW w:w="606" w:type="pct"/>
            <w:tcBorders>
              <w:top w:val="single" w:sz="4" w:space="0" w:color="auto"/>
            </w:tcBorders>
            <w:shd w:val="clear" w:color="auto" w:fill="auto"/>
            <w:noWrap/>
          </w:tcPr>
          <w:p w:rsidR="000A4FAA" w:rsidRPr="000A4FAA" w:rsidRDefault="000A4FAA" w:rsidP="0073293A">
            <w:pPr>
              <w:jc w:val="center"/>
              <w:rPr>
                <w:rFonts w:ascii="Times New Roman" w:hAnsi="Times New Roman" w:cs="Times New Roman"/>
                <w:sz w:val="16"/>
                <w:szCs w:val="16"/>
              </w:rPr>
            </w:pPr>
            <w:r w:rsidRPr="000A4FAA">
              <w:rPr>
                <w:rFonts w:ascii="Times New Roman" w:hAnsi="Times New Roman" w:cs="Times New Roman"/>
                <w:sz w:val="16"/>
                <w:szCs w:val="16"/>
              </w:rPr>
              <w:t>5 360</w:t>
            </w:r>
          </w:p>
        </w:tc>
        <w:tc>
          <w:tcPr>
            <w:tcW w:w="684" w:type="pct"/>
            <w:tcBorders>
              <w:top w:val="single" w:sz="4" w:space="0" w:color="auto"/>
            </w:tcBorders>
            <w:shd w:val="clear" w:color="auto" w:fill="auto"/>
            <w:noWrap/>
          </w:tcPr>
          <w:p w:rsidR="000A4FAA" w:rsidRPr="000A4FAA" w:rsidRDefault="000A4FAA" w:rsidP="0073293A">
            <w:pPr>
              <w:jc w:val="center"/>
              <w:rPr>
                <w:rFonts w:ascii="Times New Roman" w:hAnsi="Times New Roman" w:cs="Times New Roman"/>
                <w:sz w:val="16"/>
                <w:szCs w:val="16"/>
              </w:rPr>
            </w:pPr>
            <w:r w:rsidRPr="000A4FAA">
              <w:rPr>
                <w:rFonts w:ascii="Times New Roman" w:hAnsi="Times New Roman" w:cs="Times New Roman"/>
                <w:sz w:val="16"/>
                <w:szCs w:val="16"/>
              </w:rPr>
              <w:t>2 736</w:t>
            </w:r>
          </w:p>
        </w:tc>
        <w:tc>
          <w:tcPr>
            <w:tcW w:w="684" w:type="pct"/>
            <w:tcBorders>
              <w:top w:val="single" w:sz="4" w:space="0" w:color="auto"/>
            </w:tcBorders>
            <w:shd w:val="clear" w:color="auto" w:fill="auto"/>
            <w:noWrap/>
          </w:tcPr>
          <w:p w:rsidR="000A4FAA" w:rsidRPr="000A4FAA" w:rsidRDefault="000A4FAA" w:rsidP="0073293A">
            <w:pPr>
              <w:jc w:val="center"/>
              <w:rPr>
                <w:rFonts w:ascii="Times New Roman" w:hAnsi="Times New Roman" w:cs="Times New Roman"/>
                <w:sz w:val="16"/>
                <w:szCs w:val="16"/>
              </w:rPr>
            </w:pPr>
            <w:r w:rsidRPr="000A4FAA">
              <w:rPr>
                <w:rFonts w:ascii="Times New Roman" w:hAnsi="Times New Roman" w:cs="Times New Roman"/>
                <w:sz w:val="16"/>
                <w:szCs w:val="16"/>
              </w:rPr>
              <w:t>1 940</w:t>
            </w:r>
          </w:p>
        </w:tc>
        <w:tc>
          <w:tcPr>
            <w:tcW w:w="684" w:type="pct"/>
            <w:tcBorders>
              <w:top w:val="single" w:sz="4" w:space="0" w:color="auto"/>
            </w:tcBorders>
            <w:shd w:val="clear" w:color="auto" w:fill="auto"/>
            <w:noWrap/>
          </w:tcPr>
          <w:p w:rsidR="000A4FAA" w:rsidRPr="000A4FAA" w:rsidRDefault="000A4FAA" w:rsidP="0073293A">
            <w:pPr>
              <w:jc w:val="center"/>
              <w:rPr>
                <w:rFonts w:ascii="Times New Roman" w:hAnsi="Times New Roman" w:cs="Times New Roman"/>
                <w:sz w:val="16"/>
                <w:szCs w:val="16"/>
              </w:rPr>
            </w:pPr>
            <w:r w:rsidRPr="000A4FAA">
              <w:rPr>
                <w:rFonts w:ascii="Times New Roman" w:hAnsi="Times New Roman" w:cs="Times New Roman"/>
                <w:sz w:val="16"/>
                <w:szCs w:val="16"/>
              </w:rPr>
              <w:t>618</w:t>
            </w:r>
          </w:p>
        </w:tc>
        <w:tc>
          <w:tcPr>
            <w:tcW w:w="684" w:type="pct"/>
            <w:tcBorders>
              <w:top w:val="single" w:sz="4" w:space="0" w:color="auto"/>
            </w:tcBorders>
            <w:shd w:val="clear" w:color="auto" w:fill="auto"/>
            <w:noWrap/>
          </w:tcPr>
          <w:p w:rsidR="000A4FAA" w:rsidRPr="000A4FAA" w:rsidRDefault="000A4FAA" w:rsidP="0073293A">
            <w:pPr>
              <w:jc w:val="center"/>
              <w:rPr>
                <w:rFonts w:ascii="Times New Roman" w:hAnsi="Times New Roman" w:cs="Times New Roman"/>
                <w:sz w:val="16"/>
                <w:szCs w:val="16"/>
              </w:rPr>
            </w:pPr>
            <w:r w:rsidRPr="000A4FAA">
              <w:rPr>
                <w:rFonts w:ascii="Times New Roman" w:hAnsi="Times New Roman" w:cs="Times New Roman"/>
                <w:sz w:val="16"/>
                <w:szCs w:val="16"/>
              </w:rPr>
              <w:t>54</w:t>
            </w:r>
          </w:p>
        </w:tc>
        <w:tc>
          <w:tcPr>
            <w:tcW w:w="681" w:type="pct"/>
            <w:tcBorders>
              <w:top w:val="single" w:sz="4" w:space="0" w:color="auto"/>
            </w:tcBorders>
            <w:shd w:val="clear" w:color="auto" w:fill="auto"/>
            <w:noWrap/>
          </w:tcPr>
          <w:p w:rsidR="000A4FAA" w:rsidRPr="000A4FAA" w:rsidRDefault="000A4FAA" w:rsidP="0073293A">
            <w:pPr>
              <w:jc w:val="center"/>
              <w:rPr>
                <w:rFonts w:ascii="Times New Roman" w:hAnsi="Times New Roman" w:cs="Times New Roman"/>
                <w:sz w:val="16"/>
                <w:szCs w:val="16"/>
              </w:rPr>
            </w:pPr>
            <w:r w:rsidRPr="000A4FAA">
              <w:rPr>
                <w:rFonts w:ascii="Times New Roman" w:hAnsi="Times New Roman" w:cs="Times New Roman"/>
                <w:sz w:val="16"/>
                <w:szCs w:val="16"/>
              </w:rPr>
              <w:t>12</w:t>
            </w:r>
          </w:p>
        </w:tc>
      </w:tr>
      <w:tr w:rsidR="000A4FAA" w:rsidRPr="00C75C71" w:rsidTr="00304629">
        <w:trPr>
          <w:trHeight w:val="126"/>
        </w:trPr>
        <w:tc>
          <w:tcPr>
            <w:tcW w:w="977" w:type="pct"/>
            <w:shd w:val="clear" w:color="auto" w:fill="auto"/>
            <w:noWrap/>
            <w:vAlign w:val="center"/>
            <w:hideMark/>
          </w:tcPr>
          <w:p w:rsidR="000A4FAA" w:rsidRPr="000A4FAA" w:rsidRDefault="000A4FAA" w:rsidP="000A4FAA">
            <w:pPr>
              <w:rPr>
                <w:rFonts w:ascii="Times New Roman" w:hAnsi="Times New Roman" w:cs="Times New Roman"/>
                <w:sz w:val="16"/>
                <w:szCs w:val="16"/>
                <w:highlight w:val="yellow"/>
              </w:rPr>
            </w:pPr>
            <w:r w:rsidRPr="000A4FAA">
              <w:rPr>
                <w:rFonts w:ascii="Times New Roman" w:hAnsi="Times New Roman" w:cs="Times New Roman"/>
                <w:sz w:val="16"/>
                <w:szCs w:val="16"/>
              </w:rPr>
              <w:t>31 XII ‘18</w:t>
            </w:r>
          </w:p>
        </w:tc>
        <w:tc>
          <w:tcPr>
            <w:tcW w:w="606" w:type="pct"/>
            <w:shd w:val="clear" w:color="auto" w:fill="auto"/>
            <w:noWrap/>
          </w:tcPr>
          <w:p w:rsidR="000A4FAA" w:rsidRPr="00252FB3" w:rsidRDefault="00252FB3" w:rsidP="00892E8E">
            <w:pPr>
              <w:jc w:val="center"/>
              <w:rPr>
                <w:rFonts w:ascii="Times New Roman" w:hAnsi="Times New Roman" w:cs="Times New Roman"/>
                <w:sz w:val="16"/>
                <w:szCs w:val="16"/>
              </w:rPr>
            </w:pPr>
            <w:r w:rsidRPr="00252FB3">
              <w:rPr>
                <w:rFonts w:ascii="Times New Roman" w:hAnsi="Times New Roman" w:cs="Times New Roman"/>
                <w:sz w:val="16"/>
                <w:szCs w:val="16"/>
              </w:rPr>
              <w:t>5 345</w:t>
            </w:r>
          </w:p>
        </w:tc>
        <w:tc>
          <w:tcPr>
            <w:tcW w:w="684" w:type="pct"/>
            <w:shd w:val="clear" w:color="auto" w:fill="auto"/>
            <w:noWrap/>
          </w:tcPr>
          <w:p w:rsidR="000A4FAA" w:rsidRPr="00252FB3" w:rsidRDefault="00252FB3" w:rsidP="00892E8E">
            <w:pPr>
              <w:jc w:val="center"/>
              <w:rPr>
                <w:rFonts w:ascii="Times New Roman" w:hAnsi="Times New Roman" w:cs="Times New Roman"/>
                <w:sz w:val="16"/>
                <w:szCs w:val="16"/>
              </w:rPr>
            </w:pPr>
            <w:r w:rsidRPr="00252FB3">
              <w:rPr>
                <w:rFonts w:ascii="Times New Roman" w:hAnsi="Times New Roman" w:cs="Times New Roman"/>
                <w:sz w:val="16"/>
                <w:szCs w:val="16"/>
              </w:rPr>
              <w:t>2 638</w:t>
            </w:r>
          </w:p>
        </w:tc>
        <w:tc>
          <w:tcPr>
            <w:tcW w:w="684" w:type="pct"/>
            <w:shd w:val="clear" w:color="auto" w:fill="auto"/>
            <w:noWrap/>
          </w:tcPr>
          <w:p w:rsidR="000A4FAA" w:rsidRPr="00252FB3" w:rsidRDefault="00252FB3" w:rsidP="00892E8E">
            <w:pPr>
              <w:jc w:val="center"/>
              <w:rPr>
                <w:rFonts w:ascii="Times New Roman" w:hAnsi="Times New Roman" w:cs="Times New Roman"/>
                <w:sz w:val="16"/>
                <w:szCs w:val="16"/>
              </w:rPr>
            </w:pPr>
            <w:r w:rsidRPr="00252FB3">
              <w:rPr>
                <w:rFonts w:ascii="Times New Roman" w:hAnsi="Times New Roman" w:cs="Times New Roman"/>
                <w:sz w:val="16"/>
                <w:szCs w:val="16"/>
              </w:rPr>
              <w:t>2 003</w:t>
            </w:r>
          </w:p>
        </w:tc>
        <w:tc>
          <w:tcPr>
            <w:tcW w:w="684" w:type="pct"/>
            <w:shd w:val="clear" w:color="auto" w:fill="auto"/>
            <w:noWrap/>
          </w:tcPr>
          <w:p w:rsidR="000A4FAA" w:rsidRPr="00252FB3" w:rsidRDefault="00252FB3" w:rsidP="00892E8E">
            <w:pPr>
              <w:jc w:val="center"/>
              <w:rPr>
                <w:rFonts w:ascii="Times New Roman" w:hAnsi="Times New Roman" w:cs="Times New Roman"/>
                <w:sz w:val="16"/>
                <w:szCs w:val="16"/>
              </w:rPr>
            </w:pPr>
            <w:r w:rsidRPr="00252FB3">
              <w:rPr>
                <w:rFonts w:ascii="Times New Roman" w:hAnsi="Times New Roman" w:cs="Times New Roman"/>
                <w:sz w:val="16"/>
                <w:szCs w:val="16"/>
              </w:rPr>
              <w:t>639</w:t>
            </w:r>
          </w:p>
        </w:tc>
        <w:tc>
          <w:tcPr>
            <w:tcW w:w="684" w:type="pct"/>
            <w:shd w:val="clear" w:color="auto" w:fill="auto"/>
            <w:noWrap/>
          </w:tcPr>
          <w:p w:rsidR="000A4FAA" w:rsidRPr="00252FB3" w:rsidRDefault="00252FB3" w:rsidP="00892E8E">
            <w:pPr>
              <w:jc w:val="center"/>
              <w:rPr>
                <w:rFonts w:ascii="Times New Roman" w:hAnsi="Times New Roman" w:cs="Times New Roman"/>
                <w:sz w:val="16"/>
                <w:szCs w:val="16"/>
              </w:rPr>
            </w:pPr>
            <w:r w:rsidRPr="00252FB3">
              <w:rPr>
                <w:rFonts w:ascii="Times New Roman" w:hAnsi="Times New Roman" w:cs="Times New Roman"/>
                <w:sz w:val="16"/>
                <w:szCs w:val="16"/>
              </w:rPr>
              <w:t>53</w:t>
            </w:r>
          </w:p>
        </w:tc>
        <w:tc>
          <w:tcPr>
            <w:tcW w:w="681" w:type="pct"/>
            <w:shd w:val="clear" w:color="auto" w:fill="auto"/>
            <w:noWrap/>
          </w:tcPr>
          <w:p w:rsidR="000A4FAA" w:rsidRPr="00252FB3" w:rsidRDefault="00252FB3" w:rsidP="00892E8E">
            <w:pPr>
              <w:jc w:val="center"/>
              <w:rPr>
                <w:rFonts w:ascii="Times New Roman" w:hAnsi="Times New Roman" w:cs="Times New Roman"/>
                <w:sz w:val="16"/>
                <w:szCs w:val="16"/>
              </w:rPr>
            </w:pPr>
            <w:r w:rsidRPr="00252FB3">
              <w:rPr>
                <w:rFonts w:ascii="Times New Roman" w:hAnsi="Times New Roman" w:cs="Times New Roman"/>
                <w:sz w:val="16"/>
                <w:szCs w:val="16"/>
              </w:rPr>
              <w:t>12</w:t>
            </w:r>
          </w:p>
        </w:tc>
      </w:tr>
      <w:tr w:rsidR="000A4FAA" w:rsidRPr="00C75C71" w:rsidTr="00B7520E">
        <w:trPr>
          <w:trHeight w:val="200"/>
        </w:trPr>
        <w:tc>
          <w:tcPr>
            <w:tcW w:w="977" w:type="pct"/>
            <w:shd w:val="clear" w:color="auto" w:fill="auto"/>
            <w:noWrap/>
            <w:vAlign w:val="center"/>
          </w:tcPr>
          <w:p w:rsidR="000A4FAA" w:rsidRPr="000A4FAA" w:rsidRDefault="00BB7890" w:rsidP="00BB7890">
            <w:pPr>
              <w:rPr>
                <w:rFonts w:ascii="Times New Roman" w:hAnsi="Times New Roman" w:cs="Times New Roman"/>
                <w:sz w:val="16"/>
                <w:szCs w:val="16"/>
              </w:rPr>
            </w:pPr>
            <w:r w:rsidRPr="000A4FAA">
              <w:rPr>
                <w:rFonts w:ascii="Times New Roman" w:hAnsi="Times New Roman" w:cs="Times New Roman"/>
                <w:sz w:val="16"/>
                <w:szCs w:val="16"/>
              </w:rPr>
              <w:t>WZROST / SPADEK</w:t>
            </w:r>
          </w:p>
        </w:tc>
        <w:tc>
          <w:tcPr>
            <w:tcW w:w="606" w:type="pct"/>
            <w:shd w:val="clear" w:color="auto" w:fill="auto"/>
            <w:noWrap/>
            <w:vAlign w:val="center"/>
          </w:tcPr>
          <w:p w:rsidR="000A4FAA" w:rsidRPr="000A4FAA" w:rsidRDefault="00C646AB">
            <w:pPr>
              <w:jc w:val="center"/>
              <w:rPr>
                <w:rFonts w:ascii="Times New Roman" w:hAnsi="Times New Roman" w:cs="Times New Roman"/>
                <w:color w:val="000000"/>
                <w:sz w:val="16"/>
                <w:szCs w:val="16"/>
              </w:rPr>
            </w:pPr>
            <w:r>
              <w:rPr>
                <w:rFonts w:ascii="Times New Roman" w:hAnsi="Times New Roman" w:cs="Times New Roman"/>
                <w:color w:val="000000"/>
                <w:sz w:val="16"/>
                <w:szCs w:val="16"/>
              </w:rPr>
              <w:t>- 15</w:t>
            </w:r>
          </w:p>
        </w:tc>
        <w:tc>
          <w:tcPr>
            <w:tcW w:w="684" w:type="pct"/>
            <w:shd w:val="clear" w:color="auto" w:fill="auto"/>
            <w:noWrap/>
            <w:vAlign w:val="center"/>
          </w:tcPr>
          <w:p w:rsidR="000A4FAA" w:rsidRPr="000A4FAA" w:rsidRDefault="00C646AB">
            <w:pPr>
              <w:jc w:val="center"/>
              <w:rPr>
                <w:rFonts w:ascii="Times New Roman" w:hAnsi="Times New Roman" w:cs="Times New Roman"/>
                <w:color w:val="000000"/>
                <w:sz w:val="16"/>
                <w:szCs w:val="16"/>
              </w:rPr>
            </w:pPr>
            <w:r>
              <w:rPr>
                <w:rFonts w:ascii="Times New Roman" w:hAnsi="Times New Roman" w:cs="Times New Roman"/>
                <w:color w:val="000000"/>
                <w:sz w:val="16"/>
                <w:szCs w:val="16"/>
              </w:rPr>
              <w:t>- 98</w:t>
            </w:r>
          </w:p>
        </w:tc>
        <w:tc>
          <w:tcPr>
            <w:tcW w:w="684" w:type="pct"/>
            <w:shd w:val="clear" w:color="auto" w:fill="F0ECF4"/>
            <w:noWrap/>
            <w:vAlign w:val="center"/>
          </w:tcPr>
          <w:p w:rsidR="000A4FAA" w:rsidRPr="000A4FAA" w:rsidRDefault="00C646AB">
            <w:pPr>
              <w:jc w:val="center"/>
              <w:rPr>
                <w:rFonts w:ascii="Times New Roman" w:hAnsi="Times New Roman" w:cs="Times New Roman"/>
                <w:color w:val="000000"/>
                <w:sz w:val="16"/>
                <w:szCs w:val="16"/>
              </w:rPr>
            </w:pPr>
            <w:r>
              <w:rPr>
                <w:rFonts w:ascii="Times New Roman" w:hAnsi="Times New Roman" w:cs="Times New Roman"/>
                <w:color w:val="000000"/>
                <w:sz w:val="16"/>
                <w:szCs w:val="16"/>
              </w:rPr>
              <w:t>+ 63</w:t>
            </w:r>
          </w:p>
        </w:tc>
        <w:tc>
          <w:tcPr>
            <w:tcW w:w="684" w:type="pct"/>
            <w:shd w:val="clear" w:color="auto" w:fill="F0ECF4"/>
            <w:noWrap/>
            <w:vAlign w:val="center"/>
          </w:tcPr>
          <w:p w:rsidR="000A4FAA" w:rsidRPr="000A4FAA" w:rsidRDefault="00C646AB">
            <w:pPr>
              <w:jc w:val="center"/>
              <w:rPr>
                <w:rFonts w:ascii="Times New Roman" w:hAnsi="Times New Roman" w:cs="Times New Roman"/>
                <w:color w:val="000000"/>
                <w:sz w:val="16"/>
                <w:szCs w:val="16"/>
              </w:rPr>
            </w:pPr>
            <w:r>
              <w:rPr>
                <w:rFonts w:ascii="Times New Roman" w:hAnsi="Times New Roman" w:cs="Times New Roman"/>
                <w:color w:val="000000"/>
                <w:sz w:val="16"/>
                <w:szCs w:val="16"/>
              </w:rPr>
              <w:t>+ 21</w:t>
            </w:r>
          </w:p>
        </w:tc>
        <w:tc>
          <w:tcPr>
            <w:tcW w:w="684" w:type="pct"/>
            <w:shd w:val="clear" w:color="auto" w:fill="auto"/>
            <w:noWrap/>
            <w:vAlign w:val="center"/>
          </w:tcPr>
          <w:p w:rsidR="000A4FAA" w:rsidRPr="000A4FAA" w:rsidRDefault="00C646AB">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681" w:type="pct"/>
            <w:shd w:val="clear" w:color="auto" w:fill="auto"/>
            <w:noWrap/>
            <w:vAlign w:val="center"/>
          </w:tcPr>
          <w:p w:rsidR="000A4FAA" w:rsidRPr="000A4FAA" w:rsidRDefault="00C646AB">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r>
      <w:tr w:rsidR="000A4FAA" w:rsidRPr="00C75C71" w:rsidTr="00BC17F7">
        <w:trPr>
          <w:trHeight w:val="285"/>
        </w:trPr>
        <w:tc>
          <w:tcPr>
            <w:tcW w:w="977" w:type="pct"/>
            <w:vMerge w:val="restart"/>
            <w:shd w:val="clear" w:color="auto" w:fill="F0ECF4"/>
            <w:noWrap/>
            <w:vAlign w:val="center"/>
            <w:hideMark/>
          </w:tcPr>
          <w:p w:rsidR="000A4FAA" w:rsidRPr="000A4FAA" w:rsidRDefault="00BC17F7" w:rsidP="00235A6B">
            <w:pPr>
              <w:jc w:val="center"/>
              <w:rPr>
                <w:rFonts w:ascii="Times New Roman" w:hAnsi="Times New Roman" w:cs="Times New Roman"/>
                <w:b/>
                <w:sz w:val="16"/>
                <w:szCs w:val="16"/>
                <w:highlight w:val="yellow"/>
              </w:rPr>
            </w:pPr>
            <w:r w:rsidRPr="00BB7890">
              <w:rPr>
                <w:rFonts w:ascii="Times New Roman" w:hAnsi="Times New Roman" w:cs="Times New Roman"/>
                <w:sz w:val="16"/>
                <w:szCs w:val="16"/>
              </w:rPr>
              <w:t>STAN  NA</w:t>
            </w:r>
          </w:p>
        </w:tc>
        <w:tc>
          <w:tcPr>
            <w:tcW w:w="4023" w:type="pct"/>
            <w:gridSpan w:val="6"/>
            <w:shd w:val="clear" w:color="auto" w:fill="F0ECF4"/>
            <w:noWrap/>
            <w:vAlign w:val="center"/>
            <w:hideMark/>
          </w:tcPr>
          <w:p w:rsidR="000A4FAA" w:rsidRPr="000A4FAA" w:rsidRDefault="000A4FAA" w:rsidP="000A4FAA">
            <w:pPr>
              <w:jc w:val="center"/>
              <w:rPr>
                <w:rFonts w:ascii="Times New Roman" w:hAnsi="Times New Roman" w:cs="Times New Roman"/>
                <w:b/>
                <w:sz w:val="16"/>
                <w:szCs w:val="16"/>
              </w:rPr>
            </w:pPr>
            <w:r w:rsidRPr="000A4FAA">
              <w:rPr>
                <w:rFonts w:ascii="Times New Roman" w:hAnsi="Times New Roman" w:cs="Times New Roman"/>
                <w:b/>
                <w:sz w:val="16"/>
                <w:szCs w:val="16"/>
              </w:rPr>
              <w:t>sektor prywatny</w:t>
            </w:r>
          </w:p>
        </w:tc>
      </w:tr>
      <w:tr w:rsidR="000A4FAA" w:rsidRPr="00C75C71" w:rsidTr="00D23249">
        <w:trPr>
          <w:trHeight w:val="285"/>
        </w:trPr>
        <w:tc>
          <w:tcPr>
            <w:tcW w:w="977" w:type="pct"/>
            <w:vMerge/>
            <w:shd w:val="clear" w:color="auto" w:fill="F0ECF4"/>
            <w:noWrap/>
            <w:hideMark/>
          </w:tcPr>
          <w:p w:rsidR="000A4FAA" w:rsidRPr="000A4FAA" w:rsidRDefault="000A4FAA" w:rsidP="009E3AFD">
            <w:pPr>
              <w:jc w:val="center"/>
              <w:rPr>
                <w:rFonts w:ascii="Times New Roman" w:hAnsi="Times New Roman" w:cs="Times New Roman"/>
                <w:b/>
                <w:sz w:val="16"/>
                <w:szCs w:val="16"/>
                <w:highlight w:val="yellow"/>
              </w:rPr>
            </w:pPr>
          </w:p>
        </w:tc>
        <w:tc>
          <w:tcPr>
            <w:tcW w:w="606" w:type="pct"/>
            <w:shd w:val="clear" w:color="auto" w:fill="E5DFEC" w:themeFill="accent4" w:themeFillTint="33"/>
            <w:noWrap/>
            <w:vAlign w:val="center"/>
            <w:hideMark/>
          </w:tcPr>
          <w:p w:rsidR="000A4FAA" w:rsidRPr="000A4FAA" w:rsidRDefault="000A4FAA" w:rsidP="00FA3CB2">
            <w:pPr>
              <w:jc w:val="center"/>
              <w:rPr>
                <w:rFonts w:ascii="Times New Roman" w:hAnsi="Times New Roman" w:cs="Times New Roman"/>
                <w:b/>
                <w:sz w:val="16"/>
                <w:szCs w:val="16"/>
              </w:rPr>
            </w:pPr>
            <w:r w:rsidRPr="000A4FAA">
              <w:rPr>
                <w:rFonts w:ascii="Times New Roman" w:hAnsi="Times New Roman" w:cs="Times New Roman"/>
                <w:b/>
                <w:sz w:val="16"/>
                <w:szCs w:val="16"/>
              </w:rPr>
              <w:t>razem</w:t>
            </w:r>
          </w:p>
        </w:tc>
        <w:tc>
          <w:tcPr>
            <w:tcW w:w="684" w:type="pct"/>
            <w:shd w:val="clear" w:color="auto" w:fill="E5DFEC" w:themeFill="accent4" w:themeFillTint="33"/>
            <w:noWrap/>
            <w:vAlign w:val="center"/>
            <w:hideMark/>
          </w:tcPr>
          <w:p w:rsidR="000A4FAA" w:rsidRPr="000A4FAA" w:rsidRDefault="000A4FAA" w:rsidP="00FA3CB2">
            <w:pPr>
              <w:jc w:val="center"/>
              <w:rPr>
                <w:rFonts w:ascii="Times New Roman" w:hAnsi="Times New Roman" w:cs="Times New Roman"/>
                <w:b/>
                <w:sz w:val="16"/>
                <w:szCs w:val="16"/>
              </w:rPr>
            </w:pPr>
            <w:r w:rsidRPr="000A4FAA">
              <w:rPr>
                <w:rFonts w:ascii="Times New Roman" w:hAnsi="Times New Roman" w:cs="Times New Roman"/>
                <w:b/>
                <w:sz w:val="16"/>
                <w:szCs w:val="16"/>
              </w:rPr>
              <w:t>0-9</w:t>
            </w:r>
          </w:p>
        </w:tc>
        <w:tc>
          <w:tcPr>
            <w:tcW w:w="684" w:type="pct"/>
            <w:shd w:val="clear" w:color="auto" w:fill="E5DFEC" w:themeFill="accent4" w:themeFillTint="33"/>
            <w:noWrap/>
            <w:vAlign w:val="center"/>
            <w:hideMark/>
          </w:tcPr>
          <w:p w:rsidR="000A4FAA" w:rsidRPr="000A4FAA" w:rsidRDefault="000A4FAA" w:rsidP="00FA3CB2">
            <w:pPr>
              <w:jc w:val="center"/>
              <w:rPr>
                <w:rFonts w:ascii="Times New Roman" w:hAnsi="Times New Roman" w:cs="Times New Roman"/>
                <w:b/>
                <w:sz w:val="16"/>
                <w:szCs w:val="16"/>
              </w:rPr>
            </w:pPr>
            <w:r w:rsidRPr="000A4FAA">
              <w:rPr>
                <w:rFonts w:ascii="Times New Roman" w:hAnsi="Times New Roman" w:cs="Times New Roman"/>
                <w:b/>
                <w:sz w:val="16"/>
                <w:szCs w:val="16"/>
              </w:rPr>
              <w:t>10-49</w:t>
            </w:r>
          </w:p>
        </w:tc>
        <w:tc>
          <w:tcPr>
            <w:tcW w:w="684" w:type="pct"/>
            <w:shd w:val="clear" w:color="auto" w:fill="E5DFEC" w:themeFill="accent4" w:themeFillTint="33"/>
            <w:noWrap/>
            <w:vAlign w:val="center"/>
            <w:hideMark/>
          </w:tcPr>
          <w:p w:rsidR="000A4FAA" w:rsidRPr="000A4FAA" w:rsidRDefault="000A4FAA" w:rsidP="00FA3CB2">
            <w:pPr>
              <w:jc w:val="center"/>
              <w:rPr>
                <w:rFonts w:ascii="Times New Roman" w:hAnsi="Times New Roman" w:cs="Times New Roman"/>
                <w:b/>
                <w:sz w:val="16"/>
                <w:szCs w:val="16"/>
              </w:rPr>
            </w:pPr>
            <w:r w:rsidRPr="000A4FAA">
              <w:rPr>
                <w:rFonts w:ascii="Times New Roman" w:hAnsi="Times New Roman" w:cs="Times New Roman"/>
                <w:b/>
                <w:sz w:val="16"/>
                <w:szCs w:val="16"/>
              </w:rPr>
              <w:t>50-249</w:t>
            </w:r>
          </w:p>
        </w:tc>
        <w:tc>
          <w:tcPr>
            <w:tcW w:w="684" w:type="pct"/>
            <w:shd w:val="clear" w:color="auto" w:fill="E5DFEC" w:themeFill="accent4" w:themeFillTint="33"/>
            <w:noWrap/>
            <w:vAlign w:val="center"/>
            <w:hideMark/>
          </w:tcPr>
          <w:p w:rsidR="000A4FAA" w:rsidRPr="000A4FAA" w:rsidRDefault="000A4FAA" w:rsidP="00FA3CB2">
            <w:pPr>
              <w:jc w:val="center"/>
              <w:rPr>
                <w:rFonts w:ascii="Times New Roman" w:hAnsi="Times New Roman" w:cs="Times New Roman"/>
                <w:b/>
                <w:sz w:val="16"/>
                <w:szCs w:val="16"/>
              </w:rPr>
            </w:pPr>
            <w:r w:rsidRPr="000A4FAA">
              <w:rPr>
                <w:rFonts w:ascii="Times New Roman" w:hAnsi="Times New Roman" w:cs="Times New Roman"/>
                <w:b/>
                <w:sz w:val="16"/>
                <w:szCs w:val="16"/>
              </w:rPr>
              <w:t>250-999</w:t>
            </w:r>
          </w:p>
        </w:tc>
        <w:tc>
          <w:tcPr>
            <w:tcW w:w="681" w:type="pct"/>
            <w:shd w:val="clear" w:color="auto" w:fill="E5DFEC" w:themeFill="accent4" w:themeFillTint="33"/>
            <w:noWrap/>
            <w:vAlign w:val="center"/>
            <w:hideMark/>
          </w:tcPr>
          <w:p w:rsidR="000A4FAA" w:rsidRPr="000A4FAA" w:rsidRDefault="000A4FAA" w:rsidP="00FA3CB2">
            <w:pPr>
              <w:jc w:val="center"/>
              <w:rPr>
                <w:rFonts w:ascii="Times New Roman" w:hAnsi="Times New Roman" w:cs="Times New Roman"/>
                <w:b/>
                <w:sz w:val="16"/>
                <w:szCs w:val="16"/>
              </w:rPr>
            </w:pPr>
            <w:r w:rsidRPr="000A4FAA">
              <w:rPr>
                <w:rFonts w:ascii="Times New Roman" w:hAnsi="Times New Roman" w:cs="Times New Roman"/>
                <w:b/>
                <w:sz w:val="16"/>
                <w:szCs w:val="16"/>
              </w:rPr>
              <w:t>1000</w:t>
            </w:r>
          </w:p>
          <w:p w:rsidR="000A4FAA" w:rsidRPr="000A4FAA" w:rsidRDefault="000A4FAA" w:rsidP="00FA3CB2">
            <w:pPr>
              <w:jc w:val="center"/>
              <w:rPr>
                <w:rFonts w:ascii="Times New Roman" w:hAnsi="Times New Roman" w:cs="Times New Roman"/>
                <w:b/>
                <w:sz w:val="16"/>
                <w:szCs w:val="16"/>
              </w:rPr>
            </w:pPr>
            <w:r w:rsidRPr="000A4FAA">
              <w:rPr>
                <w:rFonts w:ascii="Times New Roman" w:hAnsi="Times New Roman" w:cs="Times New Roman"/>
                <w:b/>
                <w:sz w:val="16"/>
                <w:szCs w:val="16"/>
              </w:rPr>
              <w:t>i więcej</w:t>
            </w:r>
          </w:p>
        </w:tc>
      </w:tr>
      <w:tr w:rsidR="000A4FAA" w:rsidRPr="00C75C71" w:rsidTr="00E42CD3">
        <w:trPr>
          <w:trHeight w:val="47"/>
        </w:trPr>
        <w:tc>
          <w:tcPr>
            <w:tcW w:w="977" w:type="pct"/>
            <w:shd w:val="clear" w:color="auto" w:fill="FFFFFF" w:themeFill="background1"/>
            <w:noWrap/>
            <w:vAlign w:val="center"/>
          </w:tcPr>
          <w:p w:rsidR="000A4FAA" w:rsidRPr="000A4FAA" w:rsidRDefault="000A4FAA" w:rsidP="000A4FAA">
            <w:pPr>
              <w:rPr>
                <w:rFonts w:ascii="Times New Roman" w:hAnsi="Times New Roman" w:cs="Times New Roman"/>
                <w:sz w:val="16"/>
                <w:szCs w:val="16"/>
              </w:rPr>
            </w:pPr>
            <w:r w:rsidRPr="000A4FAA">
              <w:rPr>
                <w:rFonts w:ascii="Times New Roman" w:hAnsi="Times New Roman" w:cs="Times New Roman"/>
                <w:sz w:val="16"/>
                <w:szCs w:val="16"/>
              </w:rPr>
              <w:t>31 XII ‘17</w:t>
            </w:r>
          </w:p>
        </w:tc>
        <w:tc>
          <w:tcPr>
            <w:tcW w:w="606" w:type="pct"/>
            <w:shd w:val="clear" w:color="auto" w:fill="FFFFFF" w:themeFill="background1"/>
            <w:noWrap/>
            <w:vAlign w:val="center"/>
          </w:tcPr>
          <w:p w:rsidR="000A4FAA" w:rsidRPr="000A4FAA" w:rsidRDefault="000A4FAA" w:rsidP="0073293A">
            <w:pPr>
              <w:jc w:val="center"/>
              <w:rPr>
                <w:rFonts w:ascii="Times New Roman" w:hAnsi="Times New Roman" w:cs="Times New Roman"/>
                <w:sz w:val="16"/>
                <w:szCs w:val="16"/>
              </w:rPr>
            </w:pPr>
            <w:r w:rsidRPr="000A4FAA">
              <w:rPr>
                <w:rFonts w:ascii="Times New Roman" w:hAnsi="Times New Roman" w:cs="Times New Roman"/>
                <w:sz w:val="16"/>
                <w:szCs w:val="16"/>
              </w:rPr>
              <w:t>164 199</w:t>
            </w:r>
          </w:p>
        </w:tc>
        <w:tc>
          <w:tcPr>
            <w:tcW w:w="684" w:type="pct"/>
            <w:shd w:val="clear" w:color="auto" w:fill="FFFFFF" w:themeFill="background1"/>
            <w:noWrap/>
            <w:vAlign w:val="center"/>
          </w:tcPr>
          <w:p w:rsidR="000A4FAA" w:rsidRPr="000A4FAA" w:rsidRDefault="000A4FAA" w:rsidP="0073293A">
            <w:pPr>
              <w:jc w:val="center"/>
              <w:rPr>
                <w:rFonts w:ascii="Times New Roman" w:hAnsi="Times New Roman" w:cs="Times New Roman"/>
                <w:sz w:val="16"/>
                <w:szCs w:val="16"/>
              </w:rPr>
            </w:pPr>
            <w:r w:rsidRPr="000A4FAA">
              <w:rPr>
                <w:rFonts w:ascii="Times New Roman" w:hAnsi="Times New Roman" w:cs="Times New Roman"/>
                <w:sz w:val="16"/>
                <w:szCs w:val="16"/>
              </w:rPr>
              <w:t>159 463</w:t>
            </w:r>
          </w:p>
        </w:tc>
        <w:tc>
          <w:tcPr>
            <w:tcW w:w="684" w:type="pct"/>
            <w:shd w:val="clear" w:color="auto" w:fill="FFFFFF" w:themeFill="background1"/>
            <w:noWrap/>
            <w:vAlign w:val="center"/>
          </w:tcPr>
          <w:p w:rsidR="000A4FAA" w:rsidRPr="000A4FAA" w:rsidRDefault="000A4FAA" w:rsidP="0073293A">
            <w:pPr>
              <w:jc w:val="center"/>
              <w:rPr>
                <w:rFonts w:ascii="Times New Roman" w:hAnsi="Times New Roman" w:cs="Times New Roman"/>
                <w:sz w:val="16"/>
                <w:szCs w:val="16"/>
              </w:rPr>
            </w:pPr>
            <w:r w:rsidRPr="000A4FAA">
              <w:rPr>
                <w:rFonts w:ascii="Times New Roman" w:hAnsi="Times New Roman" w:cs="Times New Roman"/>
                <w:sz w:val="16"/>
                <w:szCs w:val="16"/>
              </w:rPr>
              <w:t>3 963</w:t>
            </w:r>
          </w:p>
        </w:tc>
        <w:tc>
          <w:tcPr>
            <w:tcW w:w="684" w:type="pct"/>
            <w:shd w:val="clear" w:color="auto" w:fill="FFFFFF" w:themeFill="background1"/>
            <w:noWrap/>
            <w:vAlign w:val="center"/>
          </w:tcPr>
          <w:p w:rsidR="000A4FAA" w:rsidRPr="000A4FAA" w:rsidRDefault="000A4FAA" w:rsidP="0073293A">
            <w:pPr>
              <w:jc w:val="center"/>
              <w:rPr>
                <w:rFonts w:ascii="Times New Roman" w:hAnsi="Times New Roman" w:cs="Times New Roman"/>
                <w:sz w:val="16"/>
                <w:szCs w:val="16"/>
              </w:rPr>
            </w:pPr>
            <w:r w:rsidRPr="000A4FAA">
              <w:rPr>
                <w:rFonts w:ascii="Times New Roman" w:hAnsi="Times New Roman" w:cs="Times New Roman"/>
                <w:sz w:val="16"/>
                <w:szCs w:val="16"/>
              </w:rPr>
              <w:t>654</w:t>
            </w:r>
          </w:p>
        </w:tc>
        <w:tc>
          <w:tcPr>
            <w:tcW w:w="684" w:type="pct"/>
            <w:shd w:val="clear" w:color="auto" w:fill="FFFFFF" w:themeFill="background1"/>
            <w:noWrap/>
            <w:vAlign w:val="center"/>
          </w:tcPr>
          <w:p w:rsidR="000A4FAA" w:rsidRPr="000A4FAA" w:rsidRDefault="000A4FAA" w:rsidP="0073293A">
            <w:pPr>
              <w:jc w:val="center"/>
              <w:rPr>
                <w:rFonts w:ascii="Times New Roman" w:hAnsi="Times New Roman" w:cs="Times New Roman"/>
                <w:sz w:val="16"/>
                <w:szCs w:val="16"/>
              </w:rPr>
            </w:pPr>
            <w:r w:rsidRPr="000A4FAA">
              <w:rPr>
                <w:rFonts w:ascii="Times New Roman" w:hAnsi="Times New Roman" w:cs="Times New Roman"/>
                <w:sz w:val="16"/>
                <w:szCs w:val="16"/>
              </w:rPr>
              <w:t>101</w:t>
            </w:r>
          </w:p>
        </w:tc>
        <w:tc>
          <w:tcPr>
            <w:tcW w:w="681" w:type="pct"/>
            <w:shd w:val="clear" w:color="auto" w:fill="FFFFFF" w:themeFill="background1"/>
            <w:noWrap/>
            <w:vAlign w:val="center"/>
          </w:tcPr>
          <w:p w:rsidR="000A4FAA" w:rsidRPr="000A4FAA" w:rsidRDefault="000A4FAA" w:rsidP="0073293A">
            <w:pPr>
              <w:jc w:val="center"/>
              <w:rPr>
                <w:rFonts w:ascii="Times New Roman" w:hAnsi="Times New Roman" w:cs="Times New Roman"/>
                <w:sz w:val="16"/>
                <w:szCs w:val="16"/>
              </w:rPr>
            </w:pPr>
            <w:r w:rsidRPr="000A4FAA">
              <w:rPr>
                <w:rFonts w:ascii="Times New Roman" w:hAnsi="Times New Roman" w:cs="Times New Roman"/>
                <w:sz w:val="16"/>
                <w:szCs w:val="16"/>
              </w:rPr>
              <w:t>18</w:t>
            </w:r>
          </w:p>
        </w:tc>
      </w:tr>
      <w:tr w:rsidR="000A4FAA" w:rsidRPr="00C75C71" w:rsidTr="00E42CD3">
        <w:trPr>
          <w:trHeight w:val="122"/>
        </w:trPr>
        <w:tc>
          <w:tcPr>
            <w:tcW w:w="977" w:type="pct"/>
            <w:shd w:val="clear" w:color="auto" w:fill="auto"/>
            <w:noWrap/>
            <w:vAlign w:val="center"/>
            <w:hideMark/>
          </w:tcPr>
          <w:p w:rsidR="000A4FAA" w:rsidRPr="000A4FAA" w:rsidRDefault="000A4FAA" w:rsidP="000A4FAA">
            <w:pPr>
              <w:rPr>
                <w:rFonts w:ascii="Times New Roman" w:hAnsi="Times New Roman" w:cs="Times New Roman"/>
                <w:sz w:val="16"/>
                <w:szCs w:val="16"/>
              </w:rPr>
            </w:pPr>
            <w:r w:rsidRPr="000A4FAA">
              <w:rPr>
                <w:rFonts w:ascii="Times New Roman" w:hAnsi="Times New Roman" w:cs="Times New Roman"/>
                <w:sz w:val="16"/>
                <w:szCs w:val="16"/>
              </w:rPr>
              <w:t>31 XII ‘18</w:t>
            </w:r>
          </w:p>
        </w:tc>
        <w:tc>
          <w:tcPr>
            <w:tcW w:w="606" w:type="pct"/>
            <w:shd w:val="clear" w:color="auto" w:fill="auto"/>
            <w:noWrap/>
            <w:vAlign w:val="center"/>
          </w:tcPr>
          <w:p w:rsidR="000A4FAA" w:rsidRPr="000A4FAA" w:rsidRDefault="00252FB3" w:rsidP="00304629">
            <w:pPr>
              <w:jc w:val="center"/>
              <w:rPr>
                <w:rFonts w:ascii="Times New Roman" w:hAnsi="Times New Roman" w:cs="Times New Roman"/>
                <w:sz w:val="16"/>
                <w:szCs w:val="16"/>
              </w:rPr>
            </w:pPr>
            <w:r>
              <w:rPr>
                <w:rFonts w:ascii="Times New Roman" w:hAnsi="Times New Roman" w:cs="Times New Roman"/>
                <w:sz w:val="16"/>
                <w:szCs w:val="16"/>
              </w:rPr>
              <w:t>167 672</w:t>
            </w:r>
          </w:p>
        </w:tc>
        <w:tc>
          <w:tcPr>
            <w:tcW w:w="684" w:type="pct"/>
            <w:shd w:val="clear" w:color="auto" w:fill="auto"/>
            <w:noWrap/>
            <w:vAlign w:val="center"/>
          </w:tcPr>
          <w:p w:rsidR="000A4FAA" w:rsidRPr="000A4FAA" w:rsidRDefault="00252FB3" w:rsidP="00304629">
            <w:pPr>
              <w:jc w:val="center"/>
              <w:rPr>
                <w:rFonts w:ascii="Times New Roman" w:hAnsi="Times New Roman" w:cs="Times New Roman"/>
                <w:sz w:val="16"/>
                <w:szCs w:val="16"/>
              </w:rPr>
            </w:pPr>
            <w:r>
              <w:rPr>
                <w:rFonts w:ascii="Times New Roman" w:hAnsi="Times New Roman" w:cs="Times New Roman"/>
                <w:sz w:val="16"/>
                <w:szCs w:val="16"/>
              </w:rPr>
              <w:t>163 020</w:t>
            </w:r>
          </w:p>
        </w:tc>
        <w:tc>
          <w:tcPr>
            <w:tcW w:w="684" w:type="pct"/>
            <w:shd w:val="clear" w:color="auto" w:fill="auto"/>
            <w:noWrap/>
            <w:vAlign w:val="center"/>
          </w:tcPr>
          <w:p w:rsidR="000A4FAA" w:rsidRPr="000A4FAA" w:rsidRDefault="00252FB3" w:rsidP="00252FB3">
            <w:pPr>
              <w:jc w:val="center"/>
              <w:rPr>
                <w:rFonts w:ascii="Times New Roman" w:hAnsi="Times New Roman" w:cs="Times New Roman"/>
                <w:sz w:val="16"/>
                <w:szCs w:val="16"/>
              </w:rPr>
            </w:pPr>
            <w:r>
              <w:rPr>
                <w:rFonts w:ascii="Times New Roman" w:hAnsi="Times New Roman" w:cs="Times New Roman"/>
                <w:sz w:val="16"/>
                <w:szCs w:val="16"/>
              </w:rPr>
              <w:t>3 874</w:t>
            </w:r>
          </w:p>
        </w:tc>
        <w:tc>
          <w:tcPr>
            <w:tcW w:w="684" w:type="pct"/>
            <w:shd w:val="clear" w:color="auto" w:fill="auto"/>
            <w:noWrap/>
            <w:vAlign w:val="center"/>
          </w:tcPr>
          <w:p w:rsidR="000A4FAA" w:rsidRPr="000A4FAA" w:rsidRDefault="00252FB3" w:rsidP="00304629">
            <w:pPr>
              <w:jc w:val="center"/>
              <w:rPr>
                <w:rFonts w:ascii="Times New Roman" w:hAnsi="Times New Roman" w:cs="Times New Roman"/>
                <w:sz w:val="16"/>
                <w:szCs w:val="16"/>
              </w:rPr>
            </w:pPr>
            <w:r>
              <w:rPr>
                <w:rFonts w:ascii="Times New Roman" w:hAnsi="Times New Roman" w:cs="Times New Roman"/>
                <w:sz w:val="16"/>
                <w:szCs w:val="16"/>
              </w:rPr>
              <w:t>659</w:t>
            </w:r>
          </w:p>
        </w:tc>
        <w:tc>
          <w:tcPr>
            <w:tcW w:w="684" w:type="pct"/>
            <w:shd w:val="clear" w:color="auto" w:fill="auto"/>
            <w:noWrap/>
            <w:vAlign w:val="center"/>
          </w:tcPr>
          <w:p w:rsidR="000A4FAA" w:rsidRPr="000A4FAA" w:rsidRDefault="00252FB3" w:rsidP="00304629">
            <w:pPr>
              <w:jc w:val="center"/>
              <w:rPr>
                <w:rFonts w:ascii="Times New Roman" w:hAnsi="Times New Roman" w:cs="Times New Roman"/>
                <w:sz w:val="16"/>
                <w:szCs w:val="16"/>
              </w:rPr>
            </w:pPr>
            <w:r>
              <w:rPr>
                <w:rFonts w:ascii="Times New Roman" w:hAnsi="Times New Roman" w:cs="Times New Roman"/>
                <w:sz w:val="16"/>
                <w:szCs w:val="16"/>
              </w:rPr>
              <w:t>100</w:t>
            </w:r>
          </w:p>
        </w:tc>
        <w:tc>
          <w:tcPr>
            <w:tcW w:w="681" w:type="pct"/>
            <w:shd w:val="clear" w:color="auto" w:fill="auto"/>
            <w:noWrap/>
            <w:vAlign w:val="center"/>
          </w:tcPr>
          <w:p w:rsidR="000A4FAA" w:rsidRPr="000A4FAA" w:rsidRDefault="00252FB3" w:rsidP="00252FB3">
            <w:pPr>
              <w:jc w:val="center"/>
              <w:rPr>
                <w:rFonts w:ascii="Times New Roman" w:hAnsi="Times New Roman" w:cs="Times New Roman"/>
                <w:sz w:val="16"/>
                <w:szCs w:val="16"/>
              </w:rPr>
            </w:pPr>
            <w:r>
              <w:rPr>
                <w:rFonts w:ascii="Times New Roman" w:hAnsi="Times New Roman" w:cs="Times New Roman"/>
                <w:sz w:val="16"/>
                <w:szCs w:val="16"/>
              </w:rPr>
              <w:t>19</w:t>
            </w:r>
          </w:p>
        </w:tc>
      </w:tr>
      <w:tr w:rsidR="000A4FAA" w:rsidRPr="00B7520E" w:rsidTr="00B7520E">
        <w:trPr>
          <w:trHeight w:val="47"/>
        </w:trPr>
        <w:tc>
          <w:tcPr>
            <w:tcW w:w="977" w:type="pct"/>
            <w:shd w:val="clear" w:color="auto" w:fill="auto"/>
            <w:noWrap/>
            <w:vAlign w:val="center"/>
            <w:hideMark/>
          </w:tcPr>
          <w:p w:rsidR="000A4FAA" w:rsidRPr="00B7520E" w:rsidRDefault="00BB7890" w:rsidP="00920D43">
            <w:pPr>
              <w:rPr>
                <w:rFonts w:ascii="Times New Roman" w:hAnsi="Times New Roman" w:cs="Times New Roman"/>
                <w:sz w:val="16"/>
                <w:szCs w:val="16"/>
              </w:rPr>
            </w:pPr>
            <w:r w:rsidRPr="00B7520E">
              <w:rPr>
                <w:rFonts w:ascii="Times New Roman" w:hAnsi="Times New Roman" w:cs="Times New Roman"/>
                <w:sz w:val="16"/>
                <w:szCs w:val="16"/>
              </w:rPr>
              <w:t>WZROST / SPADEK</w:t>
            </w:r>
          </w:p>
        </w:tc>
        <w:tc>
          <w:tcPr>
            <w:tcW w:w="606" w:type="pct"/>
            <w:shd w:val="clear" w:color="auto" w:fill="auto"/>
            <w:noWrap/>
            <w:vAlign w:val="center"/>
          </w:tcPr>
          <w:p w:rsidR="000A4FAA" w:rsidRPr="00B7520E" w:rsidRDefault="00B7520E" w:rsidP="00304629">
            <w:pPr>
              <w:jc w:val="center"/>
              <w:rPr>
                <w:rFonts w:ascii="Times New Roman" w:hAnsi="Times New Roman" w:cs="Times New Roman"/>
                <w:sz w:val="16"/>
                <w:szCs w:val="16"/>
              </w:rPr>
            </w:pPr>
            <w:r w:rsidRPr="00B7520E">
              <w:rPr>
                <w:rFonts w:ascii="Times New Roman" w:hAnsi="Times New Roman" w:cs="Times New Roman"/>
                <w:sz w:val="16"/>
                <w:szCs w:val="16"/>
              </w:rPr>
              <w:t>+ 3 473</w:t>
            </w:r>
          </w:p>
        </w:tc>
        <w:tc>
          <w:tcPr>
            <w:tcW w:w="684" w:type="pct"/>
            <w:shd w:val="clear" w:color="auto" w:fill="F0ECF4"/>
            <w:noWrap/>
            <w:vAlign w:val="center"/>
          </w:tcPr>
          <w:p w:rsidR="000A4FAA" w:rsidRPr="00B7520E" w:rsidRDefault="00B7520E" w:rsidP="00304629">
            <w:pPr>
              <w:jc w:val="center"/>
              <w:rPr>
                <w:rFonts w:ascii="Times New Roman" w:hAnsi="Times New Roman" w:cs="Times New Roman"/>
                <w:sz w:val="16"/>
                <w:szCs w:val="16"/>
              </w:rPr>
            </w:pPr>
            <w:r w:rsidRPr="00B7520E">
              <w:rPr>
                <w:rFonts w:ascii="Times New Roman" w:hAnsi="Times New Roman" w:cs="Times New Roman"/>
                <w:sz w:val="16"/>
                <w:szCs w:val="16"/>
              </w:rPr>
              <w:t>+ 3 557</w:t>
            </w:r>
          </w:p>
        </w:tc>
        <w:tc>
          <w:tcPr>
            <w:tcW w:w="684" w:type="pct"/>
            <w:shd w:val="clear" w:color="auto" w:fill="auto"/>
            <w:noWrap/>
            <w:vAlign w:val="center"/>
          </w:tcPr>
          <w:p w:rsidR="000A4FAA" w:rsidRPr="00B7520E" w:rsidRDefault="00B7520E" w:rsidP="00304629">
            <w:pPr>
              <w:jc w:val="center"/>
              <w:rPr>
                <w:rFonts w:ascii="Times New Roman" w:hAnsi="Times New Roman" w:cs="Times New Roman"/>
                <w:sz w:val="16"/>
                <w:szCs w:val="16"/>
              </w:rPr>
            </w:pPr>
            <w:r w:rsidRPr="00B7520E">
              <w:rPr>
                <w:rFonts w:ascii="Times New Roman" w:hAnsi="Times New Roman" w:cs="Times New Roman"/>
                <w:sz w:val="16"/>
                <w:szCs w:val="16"/>
              </w:rPr>
              <w:t>- 89</w:t>
            </w:r>
          </w:p>
        </w:tc>
        <w:tc>
          <w:tcPr>
            <w:tcW w:w="684" w:type="pct"/>
            <w:shd w:val="clear" w:color="auto" w:fill="F0ECF4"/>
            <w:noWrap/>
            <w:vAlign w:val="center"/>
          </w:tcPr>
          <w:p w:rsidR="000A4FAA" w:rsidRPr="00B7520E" w:rsidRDefault="00B7520E" w:rsidP="00304629">
            <w:pPr>
              <w:jc w:val="center"/>
              <w:rPr>
                <w:rFonts w:ascii="Times New Roman" w:hAnsi="Times New Roman" w:cs="Times New Roman"/>
                <w:sz w:val="16"/>
                <w:szCs w:val="16"/>
              </w:rPr>
            </w:pPr>
            <w:r>
              <w:rPr>
                <w:rFonts w:ascii="Times New Roman" w:hAnsi="Times New Roman" w:cs="Times New Roman"/>
                <w:sz w:val="16"/>
                <w:szCs w:val="16"/>
              </w:rPr>
              <w:t xml:space="preserve">+ </w:t>
            </w:r>
            <w:r w:rsidRPr="00B7520E">
              <w:rPr>
                <w:rFonts w:ascii="Times New Roman" w:hAnsi="Times New Roman" w:cs="Times New Roman"/>
                <w:sz w:val="16"/>
                <w:szCs w:val="16"/>
              </w:rPr>
              <w:t>5</w:t>
            </w:r>
          </w:p>
        </w:tc>
        <w:tc>
          <w:tcPr>
            <w:tcW w:w="684" w:type="pct"/>
            <w:shd w:val="clear" w:color="auto" w:fill="auto"/>
            <w:noWrap/>
            <w:vAlign w:val="center"/>
          </w:tcPr>
          <w:p w:rsidR="000A4FAA" w:rsidRPr="00B7520E" w:rsidRDefault="00B7520E" w:rsidP="00304629">
            <w:pPr>
              <w:jc w:val="center"/>
              <w:rPr>
                <w:rFonts w:ascii="Times New Roman" w:hAnsi="Times New Roman" w:cs="Times New Roman"/>
                <w:sz w:val="16"/>
                <w:szCs w:val="16"/>
              </w:rPr>
            </w:pPr>
            <w:r w:rsidRPr="00B7520E">
              <w:rPr>
                <w:rFonts w:ascii="Times New Roman" w:hAnsi="Times New Roman" w:cs="Times New Roman"/>
                <w:sz w:val="16"/>
                <w:szCs w:val="16"/>
              </w:rPr>
              <w:t>- 1</w:t>
            </w:r>
          </w:p>
        </w:tc>
        <w:tc>
          <w:tcPr>
            <w:tcW w:w="681" w:type="pct"/>
            <w:shd w:val="clear" w:color="auto" w:fill="F0ECF4"/>
            <w:noWrap/>
            <w:vAlign w:val="center"/>
          </w:tcPr>
          <w:p w:rsidR="000A4FAA" w:rsidRPr="00B7520E" w:rsidRDefault="00B7520E" w:rsidP="00304629">
            <w:pPr>
              <w:jc w:val="center"/>
              <w:rPr>
                <w:rFonts w:ascii="Times New Roman" w:hAnsi="Times New Roman" w:cs="Times New Roman"/>
                <w:sz w:val="16"/>
                <w:szCs w:val="16"/>
              </w:rPr>
            </w:pPr>
            <w:r>
              <w:rPr>
                <w:rFonts w:ascii="Times New Roman" w:hAnsi="Times New Roman" w:cs="Times New Roman"/>
                <w:sz w:val="16"/>
                <w:szCs w:val="16"/>
              </w:rPr>
              <w:t>+</w:t>
            </w:r>
            <w:r w:rsidRPr="00B7520E">
              <w:rPr>
                <w:rFonts w:ascii="Times New Roman" w:hAnsi="Times New Roman" w:cs="Times New Roman"/>
                <w:sz w:val="16"/>
                <w:szCs w:val="16"/>
              </w:rPr>
              <w:t>1</w:t>
            </w:r>
          </w:p>
        </w:tc>
      </w:tr>
    </w:tbl>
    <w:p w:rsidR="00506FF1" w:rsidRPr="00B7520E" w:rsidRDefault="00506FF1" w:rsidP="005C72B7">
      <w:pPr>
        <w:pStyle w:val="Bezodstpw"/>
        <w:ind w:left="1410" w:hanging="1410"/>
        <w:jc w:val="both"/>
        <w:rPr>
          <w:rFonts w:ascii="Times New Roman" w:hAnsi="Times New Roman" w:cs="Times New Roman"/>
          <w:sz w:val="18"/>
          <w:szCs w:val="18"/>
        </w:rPr>
      </w:pPr>
    </w:p>
    <w:p w:rsidR="00BB7890" w:rsidRDefault="00B92E45" w:rsidP="005C72B7">
      <w:pPr>
        <w:pStyle w:val="Bezodstpw"/>
        <w:ind w:left="1410" w:hanging="1410"/>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A4FA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Tabela </w:t>
      </w:r>
      <w:r w:rsidR="000A4FAA" w:rsidRPr="000A4FA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8</w:t>
      </w:r>
      <w:r w:rsidRPr="000A4FA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5C72B7" w:rsidRPr="000A4FA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Pr="000A4FA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Osoby fizyczne </w:t>
      </w:r>
      <w:r w:rsidR="009130E5" w:rsidRPr="000A4FA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prowadzące działalność gospodarczą </w:t>
      </w:r>
      <w:r w:rsidR="00AE5712" w:rsidRPr="000A4FA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 </w:t>
      </w:r>
      <w:r w:rsidRPr="000A4FA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sektorze prywatnym wg przewidywanej liczby pracujących</w:t>
      </w:r>
      <w:r w:rsidR="00BB789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tbl>
      <w:tblPr>
        <w:tblStyle w:val="Tabela-Siatka"/>
        <w:tblW w:w="5000" w:type="pct"/>
        <w:tblLayout w:type="fixed"/>
        <w:tblLook w:val="04A0" w:firstRow="1" w:lastRow="0" w:firstColumn="1" w:lastColumn="0" w:noHBand="0" w:noVBand="1"/>
      </w:tblPr>
      <w:tblGrid>
        <w:gridCol w:w="1815"/>
        <w:gridCol w:w="1128"/>
        <w:gridCol w:w="1270"/>
        <w:gridCol w:w="1270"/>
        <w:gridCol w:w="1270"/>
        <w:gridCol w:w="1270"/>
        <w:gridCol w:w="1263"/>
      </w:tblGrid>
      <w:tr w:rsidR="00B92E45" w:rsidRPr="00C75C71" w:rsidTr="00E8385B">
        <w:trPr>
          <w:trHeight w:val="285"/>
        </w:trPr>
        <w:tc>
          <w:tcPr>
            <w:tcW w:w="977" w:type="pct"/>
            <w:vMerge w:val="restart"/>
            <w:shd w:val="clear" w:color="auto" w:fill="F0ECF4"/>
            <w:noWrap/>
            <w:vAlign w:val="center"/>
            <w:hideMark/>
          </w:tcPr>
          <w:p w:rsidR="00B92E45" w:rsidRPr="00BB7890" w:rsidRDefault="000A4FAA" w:rsidP="000A4FAA">
            <w:pPr>
              <w:jc w:val="center"/>
              <w:rPr>
                <w:rFonts w:ascii="Times New Roman" w:hAnsi="Times New Roman" w:cs="Times New Roman"/>
                <w:sz w:val="16"/>
                <w:szCs w:val="16"/>
              </w:rPr>
            </w:pPr>
            <w:r w:rsidRPr="00BB7890">
              <w:rPr>
                <w:rFonts w:ascii="Times New Roman" w:hAnsi="Times New Roman" w:cs="Times New Roman"/>
                <w:sz w:val="16"/>
                <w:szCs w:val="16"/>
              </w:rPr>
              <w:t>STAN NA</w:t>
            </w:r>
          </w:p>
        </w:tc>
        <w:tc>
          <w:tcPr>
            <w:tcW w:w="4023" w:type="pct"/>
            <w:gridSpan w:val="6"/>
            <w:shd w:val="clear" w:color="auto" w:fill="F0ECF4"/>
            <w:noWrap/>
            <w:vAlign w:val="center"/>
            <w:hideMark/>
          </w:tcPr>
          <w:p w:rsidR="00B92E45" w:rsidRPr="000A4FAA" w:rsidRDefault="00235A6B" w:rsidP="00E8385B">
            <w:pPr>
              <w:jc w:val="center"/>
              <w:rPr>
                <w:rFonts w:ascii="Times New Roman" w:hAnsi="Times New Roman" w:cs="Times New Roman"/>
                <w:b/>
                <w:sz w:val="16"/>
                <w:szCs w:val="16"/>
              </w:rPr>
            </w:pPr>
            <w:r w:rsidRPr="000A4FAA">
              <w:rPr>
                <w:rFonts w:ascii="Times New Roman" w:hAnsi="Times New Roman" w:cs="Times New Roman"/>
                <w:b/>
                <w:sz w:val="16"/>
                <w:szCs w:val="16"/>
              </w:rPr>
              <w:t>o</w:t>
            </w:r>
            <w:r w:rsidR="00B92E45" w:rsidRPr="000A4FAA">
              <w:rPr>
                <w:rFonts w:ascii="Times New Roman" w:hAnsi="Times New Roman" w:cs="Times New Roman"/>
                <w:b/>
                <w:sz w:val="16"/>
                <w:szCs w:val="16"/>
              </w:rPr>
              <w:t>soby fizyczne</w:t>
            </w:r>
            <w:r w:rsidR="00AE5712" w:rsidRPr="000A4FAA">
              <w:rPr>
                <w:rFonts w:ascii="Times New Roman" w:hAnsi="Times New Roman" w:cs="Times New Roman"/>
                <w:b/>
                <w:sz w:val="16"/>
                <w:szCs w:val="16"/>
              </w:rPr>
              <w:t xml:space="preserve"> w </w:t>
            </w:r>
            <w:r w:rsidR="00B92E45" w:rsidRPr="000A4FAA">
              <w:rPr>
                <w:rFonts w:ascii="Times New Roman" w:hAnsi="Times New Roman" w:cs="Times New Roman"/>
                <w:b/>
                <w:sz w:val="16"/>
                <w:szCs w:val="16"/>
              </w:rPr>
              <w:t>sektorze prywatnym</w:t>
            </w:r>
          </w:p>
        </w:tc>
      </w:tr>
      <w:tr w:rsidR="00B92E45" w:rsidRPr="00C75C71" w:rsidTr="00D23249">
        <w:trPr>
          <w:trHeight w:val="285"/>
        </w:trPr>
        <w:tc>
          <w:tcPr>
            <w:tcW w:w="977" w:type="pct"/>
            <w:vMerge/>
            <w:shd w:val="clear" w:color="auto" w:fill="F0ECF4"/>
            <w:noWrap/>
            <w:hideMark/>
          </w:tcPr>
          <w:p w:rsidR="00B92E45" w:rsidRPr="000A4FAA" w:rsidRDefault="00B92E45" w:rsidP="009E3AFD">
            <w:pPr>
              <w:jc w:val="center"/>
              <w:rPr>
                <w:rFonts w:ascii="Times New Roman" w:hAnsi="Times New Roman" w:cs="Times New Roman"/>
                <w:b/>
                <w:sz w:val="16"/>
                <w:szCs w:val="16"/>
              </w:rPr>
            </w:pPr>
          </w:p>
        </w:tc>
        <w:tc>
          <w:tcPr>
            <w:tcW w:w="607" w:type="pct"/>
            <w:shd w:val="clear" w:color="auto" w:fill="E5DFEC" w:themeFill="accent4" w:themeFillTint="33"/>
            <w:noWrap/>
            <w:vAlign w:val="center"/>
            <w:hideMark/>
          </w:tcPr>
          <w:p w:rsidR="00B92E45" w:rsidRPr="000A4FAA" w:rsidRDefault="00235A6B" w:rsidP="00CE3B4A">
            <w:pPr>
              <w:jc w:val="center"/>
              <w:rPr>
                <w:rFonts w:ascii="Times New Roman" w:hAnsi="Times New Roman" w:cs="Times New Roman"/>
                <w:b/>
                <w:sz w:val="16"/>
                <w:szCs w:val="16"/>
              </w:rPr>
            </w:pPr>
            <w:r w:rsidRPr="000A4FAA">
              <w:rPr>
                <w:rFonts w:ascii="Times New Roman" w:hAnsi="Times New Roman" w:cs="Times New Roman"/>
                <w:b/>
                <w:sz w:val="16"/>
                <w:szCs w:val="16"/>
              </w:rPr>
              <w:t>r</w:t>
            </w:r>
            <w:r w:rsidR="00B92E45" w:rsidRPr="000A4FAA">
              <w:rPr>
                <w:rFonts w:ascii="Times New Roman" w:hAnsi="Times New Roman" w:cs="Times New Roman"/>
                <w:b/>
                <w:sz w:val="16"/>
                <w:szCs w:val="16"/>
              </w:rPr>
              <w:t>azem</w:t>
            </w:r>
          </w:p>
        </w:tc>
        <w:tc>
          <w:tcPr>
            <w:tcW w:w="684" w:type="pct"/>
            <w:shd w:val="clear" w:color="auto" w:fill="E5DFEC" w:themeFill="accent4" w:themeFillTint="33"/>
            <w:noWrap/>
            <w:vAlign w:val="center"/>
            <w:hideMark/>
          </w:tcPr>
          <w:p w:rsidR="00B92E45" w:rsidRPr="000A4FAA" w:rsidRDefault="00B92E45" w:rsidP="00CE3B4A">
            <w:pPr>
              <w:jc w:val="center"/>
              <w:rPr>
                <w:rFonts w:ascii="Times New Roman" w:hAnsi="Times New Roman" w:cs="Times New Roman"/>
                <w:b/>
                <w:sz w:val="16"/>
                <w:szCs w:val="16"/>
              </w:rPr>
            </w:pPr>
            <w:r w:rsidRPr="000A4FAA">
              <w:rPr>
                <w:rFonts w:ascii="Times New Roman" w:hAnsi="Times New Roman" w:cs="Times New Roman"/>
                <w:b/>
                <w:sz w:val="16"/>
                <w:szCs w:val="16"/>
              </w:rPr>
              <w:t>0-9</w:t>
            </w:r>
          </w:p>
        </w:tc>
        <w:tc>
          <w:tcPr>
            <w:tcW w:w="684" w:type="pct"/>
            <w:shd w:val="clear" w:color="auto" w:fill="E5DFEC" w:themeFill="accent4" w:themeFillTint="33"/>
            <w:noWrap/>
            <w:vAlign w:val="center"/>
            <w:hideMark/>
          </w:tcPr>
          <w:p w:rsidR="00B92E45" w:rsidRPr="000A4FAA" w:rsidRDefault="00B92E45" w:rsidP="00CE3B4A">
            <w:pPr>
              <w:jc w:val="center"/>
              <w:rPr>
                <w:rFonts w:ascii="Times New Roman" w:hAnsi="Times New Roman" w:cs="Times New Roman"/>
                <w:b/>
                <w:sz w:val="16"/>
                <w:szCs w:val="16"/>
              </w:rPr>
            </w:pPr>
            <w:r w:rsidRPr="000A4FAA">
              <w:rPr>
                <w:rFonts w:ascii="Times New Roman" w:hAnsi="Times New Roman" w:cs="Times New Roman"/>
                <w:b/>
                <w:sz w:val="16"/>
                <w:szCs w:val="16"/>
              </w:rPr>
              <w:t>10-49</w:t>
            </w:r>
          </w:p>
        </w:tc>
        <w:tc>
          <w:tcPr>
            <w:tcW w:w="684" w:type="pct"/>
            <w:shd w:val="clear" w:color="auto" w:fill="E5DFEC" w:themeFill="accent4" w:themeFillTint="33"/>
            <w:noWrap/>
            <w:vAlign w:val="center"/>
            <w:hideMark/>
          </w:tcPr>
          <w:p w:rsidR="00B92E45" w:rsidRPr="000A4FAA" w:rsidRDefault="00B92E45" w:rsidP="00CE3B4A">
            <w:pPr>
              <w:jc w:val="center"/>
              <w:rPr>
                <w:rFonts w:ascii="Times New Roman" w:hAnsi="Times New Roman" w:cs="Times New Roman"/>
                <w:b/>
                <w:sz w:val="16"/>
                <w:szCs w:val="16"/>
              </w:rPr>
            </w:pPr>
            <w:r w:rsidRPr="000A4FAA">
              <w:rPr>
                <w:rFonts w:ascii="Times New Roman" w:hAnsi="Times New Roman" w:cs="Times New Roman"/>
                <w:b/>
                <w:sz w:val="16"/>
                <w:szCs w:val="16"/>
              </w:rPr>
              <w:t>50-249</w:t>
            </w:r>
          </w:p>
        </w:tc>
        <w:tc>
          <w:tcPr>
            <w:tcW w:w="684" w:type="pct"/>
            <w:shd w:val="clear" w:color="auto" w:fill="E5DFEC" w:themeFill="accent4" w:themeFillTint="33"/>
            <w:noWrap/>
            <w:vAlign w:val="center"/>
            <w:hideMark/>
          </w:tcPr>
          <w:p w:rsidR="00B92E45" w:rsidRPr="000A4FAA" w:rsidRDefault="00B92E45" w:rsidP="00CE3B4A">
            <w:pPr>
              <w:jc w:val="center"/>
              <w:rPr>
                <w:rFonts w:ascii="Times New Roman" w:hAnsi="Times New Roman" w:cs="Times New Roman"/>
                <w:b/>
                <w:sz w:val="16"/>
                <w:szCs w:val="16"/>
              </w:rPr>
            </w:pPr>
            <w:r w:rsidRPr="000A4FAA">
              <w:rPr>
                <w:rFonts w:ascii="Times New Roman" w:hAnsi="Times New Roman" w:cs="Times New Roman"/>
                <w:b/>
                <w:sz w:val="16"/>
                <w:szCs w:val="16"/>
              </w:rPr>
              <w:t>250-999</w:t>
            </w:r>
          </w:p>
        </w:tc>
        <w:tc>
          <w:tcPr>
            <w:tcW w:w="680" w:type="pct"/>
            <w:shd w:val="clear" w:color="auto" w:fill="E5DFEC" w:themeFill="accent4" w:themeFillTint="33"/>
            <w:noWrap/>
            <w:vAlign w:val="center"/>
            <w:hideMark/>
          </w:tcPr>
          <w:p w:rsidR="00B92E45" w:rsidRPr="000A4FAA" w:rsidRDefault="00B92E45" w:rsidP="00CE3B4A">
            <w:pPr>
              <w:jc w:val="center"/>
              <w:rPr>
                <w:rFonts w:ascii="Times New Roman" w:hAnsi="Times New Roman" w:cs="Times New Roman"/>
                <w:b/>
                <w:sz w:val="16"/>
                <w:szCs w:val="16"/>
              </w:rPr>
            </w:pPr>
            <w:r w:rsidRPr="000A4FAA">
              <w:rPr>
                <w:rFonts w:ascii="Times New Roman" w:hAnsi="Times New Roman" w:cs="Times New Roman"/>
                <w:b/>
                <w:sz w:val="16"/>
                <w:szCs w:val="16"/>
              </w:rPr>
              <w:t>1000</w:t>
            </w:r>
          </w:p>
          <w:p w:rsidR="00B92E45" w:rsidRPr="000A4FAA" w:rsidRDefault="00B92E45" w:rsidP="00CE3B4A">
            <w:pPr>
              <w:jc w:val="center"/>
              <w:rPr>
                <w:rFonts w:ascii="Times New Roman" w:hAnsi="Times New Roman" w:cs="Times New Roman"/>
                <w:b/>
                <w:sz w:val="16"/>
                <w:szCs w:val="16"/>
              </w:rPr>
            </w:pPr>
            <w:r w:rsidRPr="000A4FAA">
              <w:rPr>
                <w:rFonts w:ascii="Times New Roman" w:hAnsi="Times New Roman" w:cs="Times New Roman"/>
                <w:b/>
                <w:sz w:val="16"/>
                <w:szCs w:val="16"/>
              </w:rPr>
              <w:t>i więcej</w:t>
            </w:r>
          </w:p>
        </w:tc>
      </w:tr>
      <w:tr w:rsidR="000A4FAA" w:rsidRPr="00C75C71" w:rsidTr="008C1FD4">
        <w:trPr>
          <w:trHeight w:val="119"/>
        </w:trPr>
        <w:tc>
          <w:tcPr>
            <w:tcW w:w="977" w:type="pct"/>
            <w:shd w:val="clear" w:color="auto" w:fill="FFFFFF" w:themeFill="background1"/>
            <w:noWrap/>
            <w:vAlign w:val="center"/>
            <w:hideMark/>
          </w:tcPr>
          <w:p w:rsidR="000A4FAA" w:rsidRPr="000A4FAA" w:rsidRDefault="000A4FAA" w:rsidP="000A4FAA">
            <w:pPr>
              <w:rPr>
                <w:rFonts w:ascii="Times New Roman" w:hAnsi="Times New Roman" w:cs="Times New Roman"/>
                <w:sz w:val="16"/>
                <w:szCs w:val="16"/>
              </w:rPr>
            </w:pPr>
            <w:r w:rsidRPr="000A4FAA">
              <w:rPr>
                <w:rFonts w:ascii="Times New Roman" w:hAnsi="Times New Roman" w:cs="Times New Roman"/>
                <w:sz w:val="16"/>
                <w:szCs w:val="16"/>
              </w:rPr>
              <w:t>31 XII ‘17</w:t>
            </w:r>
          </w:p>
        </w:tc>
        <w:tc>
          <w:tcPr>
            <w:tcW w:w="607" w:type="pct"/>
            <w:shd w:val="clear" w:color="auto" w:fill="FFFFFF" w:themeFill="background1"/>
            <w:noWrap/>
            <w:vAlign w:val="center"/>
          </w:tcPr>
          <w:p w:rsidR="000A4FAA" w:rsidRPr="000A4FAA" w:rsidRDefault="000A4FAA" w:rsidP="0073293A">
            <w:pPr>
              <w:jc w:val="center"/>
              <w:rPr>
                <w:rFonts w:ascii="Times New Roman" w:hAnsi="Times New Roman" w:cs="Times New Roman"/>
                <w:color w:val="000000"/>
                <w:sz w:val="16"/>
                <w:szCs w:val="16"/>
              </w:rPr>
            </w:pPr>
            <w:r w:rsidRPr="000A4FAA">
              <w:rPr>
                <w:rFonts w:ascii="Times New Roman" w:hAnsi="Times New Roman" w:cs="Times New Roman"/>
                <w:color w:val="000000"/>
                <w:sz w:val="16"/>
                <w:szCs w:val="16"/>
              </w:rPr>
              <w:t>125 533</w:t>
            </w:r>
          </w:p>
        </w:tc>
        <w:tc>
          <w:tcPr>
            <w:tcW w:w="684" w:type="pct"/>
            <w:shd w:val="clear" w:color="auto" w:fill="FFFFFF" w:themeFill="background1"/>
            <w:noWrap/>
            <w:vAlign w:val="center"/>
          </w:tcPr>
          <w:p w:rsidR="000A4FAA" w:rsidRPr="000A4FAA" w:rsidRDefault="000A4FAA" w:rsidP="0073293A">
            <w:pPr>
              <w:jc w:val="center"/>
              <w:rPr>
                <w:rFonts w:ascii="Times New Roman" w:hAnsi="Times New Roman" w:cs="Times New Roman"/>
                <w:bCs/>
                <w:color w:val="000000"/>
                <w:sz w:val="16"/>
                <w:szCs w:val="16"/>
              </w:rPr>
            </w:pPr>
            <w:r w:rsidRPr="000A4FAA">
              <w:rPr>
                <w:rFonts w:ascii="Times New Roman" w:hAnsi="Times New Roman" w:cs="Times New Roman"/>
                <w:bCs/>
                <w:color w:val="000000"/>
                <w:sz w:val="16"/>
                <w:szCs w:val="16"/>
              </w:rPr>
              <w:t>124 386</w:t>
            </w:r>
          </w:p>
        </w:tc>
        <w:tc>
          <w:tcPr>
            <w:tcW w:w="684" w:type="pct"/>
            <w:shd w:val="clear" w:color="auto" w:fill="FFFFFF" w:themeFill="background1"/>
            <w:noWrap/>
            <w:vAlign w:val="center"/>
          </w:tcPr>
          <w:p w:rsidR="000A4FAA" w:rsidRPr="000A4FAA" w:rsidRDefault="000A4FAA" w:rsidP="0073293A">
            <w:pPr>
              <w:jc w:val="center"/>
              <w:rPr>
                <w:rFonts w:ascii="Times New Roman" w:hAnsi="Times New Roman" w:cs="Times New Roman"/>
                <w:bCs/>
                <w:color w:val="000000"/>
                <w:sz w:val="16"/>
                <w:szCs w:val="16"/>
              </w:rPr>
            </w:pPr>
            <w:r w:rsidRPr="000A4FAA">
              <w:rPr>
                <w:rFonts w:ascii="Times New Roman" w:hAnsi="Times New Roman" w:cs="Times New Roman"/>
                <w:bCs/>
                <w:color w:val="000000"/>
                <w:sz w:val="16"/>
                <w:szCs w:val="16"/>
              </w:rPr>
              <w:t>1 114</w:t>
            </w:r>
          </w:p>
        </w:tc>
        <w:tc>
          <w:tcPr>
            <w:tcW w:w="684" w:type="pct"/>
            <w:shd w:val="clear" w:color="auto" w:fill="FFFFFF" w:themeFill="background1"/>
            <w:noWrap/>
            <w:vAlign w:val="center"/>
          </w:tcPr>
          <w:p w:rsidR="000A4FAA" w:rsidRPr="000A4FAA" w:rsidRDefault="000A4FAA" w:rsidP="0073293A">
            <w:pPr>
              <w:jc w:val="center"/>
              <w:rPr>
                <w:rFonts w:ascii="Times New Roman" w:hAnsi="Times New Roman" w:cs="Times New Roman"/>
                <w:bCs/>
                <w:color w:val="000000"/>
                <w:sz w:val="16"/>
                <w:szCs w:val="16"/>
              </w:rPr>
            </w:pPr>
            <w:r w:rsidRPr="000A4FAA">
              <w:rPr>
                <w:rFonts w:ascii="Times New Roman" w:hAnsi="Times New Roman" w:cs="Times New Roman"/>
                <w:bCs/>
                <w:color w:val="000000"/>
                <w:sz w:val="16"/>
                <w:szCs w:val="16"/>
              </w:rPr>
              <w:t>31</w:t>
            </w:r>
          </w:p>
        </w:tc>
        <w:tc>
          <w:tcPr>
            <w:tcW w:w="684" w:type="pct"/>
            <w:shd w:val="clear" w:color="auto" w:fill="FFFFFF" w:themeFill="background1"/>
            <w:noWrap/>
            <w:vAlign w:val="center"/>
          </w:tcPr>
          <w:p w:rsidR="000A4FAA" w:rsidRPr="000A4FAA" w:rsidRDefault="000A4FAA" w:rsidP="0073293A">
            <w:pPr>
              <w:jc w:val="center"/>
              <w:rPr>
                <w:rFonts w:ascii="Times New Roman" w:hAnsi="Times New Roman" w:cs="Times New Roman"/>
                <w:bCs/>
                <w:color w:val="000000"/>
                <w:sz w:val="16"/>
                <w:szCs w:val="16"/>
              </w:rPr>
            </w:pPr>
            <w:r w:rsidRPr="000A4FAA">
              <w:rPr>
                <w:rFonts w:ascii="Times New Roman" w:hAnsi="Times New Roman" w:cs="Times New Roman"/>
                <w:bCs/>
                <w:color w:val="000000"/>
                <w:sz w:val="16"/>
                <w:szCs w:val="16"/>
              </w:rPr>
              <w:t>2</w:t>
            </w:r>
          </w:p>
        </w:tc>
        <w:tc>
          <w:tcPr>
            <w:tcW w:w="680" w:type="pct"/>
            <w:shd w:val="clear" w:color="auto" w:fill="FFFFFF" w:themeFill="background1"/>
            <w:noWrap/>
            <w:vAlign w:val="center"/>
          </w:tcPr>
          <w:p w:rsidR="000A4FAA" w:rsidRPr="000A4FAA" w:rsidRDefault="000A4FAA" w:rsidP="0073293A">
            <w:pPr>
              <w:jc w:val="center"/>
              <w:rPr>
                <w:rFonts w:ascii="Times New Roman" w:hAnsi="Times New Roman" w:cs="Times New Roman"/>
                <w:bCs/>
                <w:color w:val="000000"/>
                <w:sz w:val="16"/>
                <w:szCs w:val="16"/>
              </w:rPr>
            </w:pPr>
            <w:r w:rsidRPr="000A4FAA">
              <w:rPr>
                <w:rFonts w:ascii="Times New Roman" w:hAnsi="Times New Roman" w:cs="Times New Roman"/>
                <w:bCs/>
                <w:color w:val="000000"/>
                <w:sz w:val="16"/>
                <w:szCs w:val="16"/>
              </w:rPr>
              <w:t>0</w:t>
            </w:r>
          </w:p>
        </w:tc>
      </w:tr>
      <w:tr w:rsidR="000A4FAA" w:rsidRPr="00C75C71" w:rsidTr="008C1FD4">
        <w:trPr>
          <w:trHeight w:val="179"/>
        </w:trPr>
        <w:tc>
          <w:tcPr>
            <w:tcW w:w="977" w:type="pct"/>
            <w:shd w:val="clear" w:color="auto" w:fill="FFFFFF" w:themeFill="background1"/>
            <w:noWrap/>
            <w:vAlign w:val="center"/>
            <w:hideMark/>
          </w:tcPr>
          <w:p w:rsidR="000A4FAA" w:rsidRPr="000A4FAA" w:rsidRDefault="000A4FAA" w:rsidP="000A4FAA">
            <w:pPr>
              <w:rPr>
                <w:rFonts w:ascii="Times New Roman" w:hAnsi="Times New Roman" w:cs="Times New Roman"/>
                <w:sz w:val="16"/>
                <w:szCs w:val="16"/>
              </w:rPr>
            </w:pPr>
            <w:r w:rsidRPr="000A4FAA">
              <w:rPr>
                <w:rFonts w:ascii="Times New Roman" w:hAnsi="Times New Roman" w:cs="Times New Roman"/>
                <w:sz w:val="16"/>
                <w:szCs w:val="16"/>
              </w:rPr>
              <w:t>31 XII ‘18</w:t>
            </w:r>
          </w:p>
        </w:tc>
        <w:tc>
          <w:tcPr>
            <w:tcW w:w="607" w:type="pct"/>
            <w:shd w:val="clear" w:color="auto" w:fill="FFFFFF" w:themeFill="background1"/>
            <w:noWrap/>
            <w:vAlign w:val="center"/>
          </w:tcPr>
          <w:p w:rsidR="000A4FAA" w:rsidRPr="000A4FAA" w:rsidRDefault="00407C41" w:rsidP="008C1FD4">
            <w:pPr>
              <w:jc w:val="center"/>
              <w:rPr>
                <w:rFonts w:ascii="Times New Roman" w:hAnsi="Times New Roman" w:cs="Times New Roman"/>
                <w:color w:val="000000"/>
                <w:sz w:val="16"/>
                <w:szCs w:val="16"/>
              </w:rPr>
            </w:pPr>
            <w:r>
              <w:rPr>
                <w:rFonts w:ascii="Times New Roman" w:hAnsi="Times New Roman" w:cs="Times New Roman"/>
                <w:color w:val="000000"/>
                <w:sz w:val="16"/>
                <w:szCs w:val="16"/>
              </w:rPr>
              <w:t>129 853</w:t>
            </w:r>
          </w:p>
        </w:tc>
        <w:tc>
          <w:tcPr>
            <w:tcW w:w="684" w:type="pct"/>
            <w:shd w:val="clear" w:color="auto" w:fill="FFFFFF" w:themeFill="background1"/>
            <w:noWrap/>
            <w:vAlign w:val="center"/>
          </w:tcPr>
          <w:p w:rsidR="000A4FAA" w:rsidRPr="000A4FAA" w:rsidRDefault="00407C41" w:rsidP="008C1FD4">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128 691</w:t>
            </w:r>
          </w:p>
        </w:tc>
        <w:tc>
          <w:tcPr>
            <w:tcW w:w="684" w:type="pct"/>
            <w:shd w:val="clear" w:color="auto" w:fill="FFFFFF" w:themeFill="background1"/>
            <w:noWrap/>
            <w:vAlign w:val="center"/>
          </w:tcPr>
          <w:p w:rsidR="000A4FAA" w:rsidRPr="000A4FAA" w:rsidRDefault="00C646AB" w:rsidP="008C1FD4">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1 128</w:t>
            </w:r>
          </w:p>
        </w:tc>
        <w:tc>
          <w:tcPr>
            <w:tcW w:w="684" w:type="pct"/>
            <w:shd w:val="clear" w:color="auto" w:fill="FFFFFF" w:themeFill="background1"/>
            <w:noWrap/>
            <w:vAlign w:val="center"/>
          </w:tcPr>
          <w:p w:rsidR="000A4FAA" w:rsidRPr="000A4FAA" w:rsidRDefault="00C646AB" w:rsidP="008C1FD4">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31</w:t>
            </w:r>
          </w:p>
        </w:tc>
        <w:tc>
          <w:tcPr>
            <w:tcW w:w="684" w:type="pct"/>
            <w:shd w:val="clear" w:color="auto" w:fill="FFFFFF" w:themeFill="background1"/>
            <w:noWrap/>
            <w:vAlign w:val="center"/>
          </w:tcPr>
          <w:p w:rsidR="000A4FAA" w:rsidRPr="000A4FAA" w:rsidRDefault="00C646AB" w:rsidP="008C1FD4">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2</w:t>
            </w:r>
          </w:p>
        </w:tc>
        <w:tc>
          <w:tcPr>
            <w:tcW w:w="680" w:type="pct"/>
            <w:shd w:val="clear" w:color="auto" w:fill="FFFFFF" w:themeFill="background1"/>
            <w:noWrap/>
            <w:vAlign w:val="center"/>
          </w:tcPr>
          <w:p w:rsidR="000A4FAA" w:rsidRPr="000A4FAA" w:rsidRDefault="00C646AB" w:rsidP="008C1FD4">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w:t>
            </w:r>
          </w:p>
        </w:tc>
      </w:tr>
      <w:tr w:rsidR="000A4FAA" w:rsidRPr="00C75C71" w:rsidTr="00B7520E">
        <w:trPr>
          <w:trHeight w:val="112"/>
        </w:trPr>
        <w:tc>
          <w:tcPr>
            <w:tcW w:w="977" w:type="pct"/>
            <w:shd w:val="clear" w:color="auto" w:fill="FFFFFF" w:themeFill="background1"/>
            <w:noWrap/>
            <w:vAlign w:val="center"/>
          </w:tcPr>
          <w:p w:rsidR="000A4FAA" w:rsidRPr="000A4FAA" w:rsidRDefault="00BB7890" w:rsidP="00CE3B4A">
            <w:pPr>
              <w:rPr>
                <w:rFonts w:ascii="Times New Roman" w:hAnsi="Times New Roman" w:cs="Times New Roman"/>
                <w:sz w:val="16"/>
                <w:szCs w:val="16"/>
              </w:rPr>
            </w:pPr>
            <w:r w:rsidRPr="000A4FAA">
              <w:rPr>
                <w:rFonts w:ascii="Times New Roman" w:hAnsi="Times New Roman" w:cs="Times New Roman"/>
                <w:sz w:val="16"/>
                <w:szCs w:val="16"/>
              </w:rPr>
              <w:t>WZROST / SPADEK</w:t>
            </w:r>
          </w:p>
        </w:tc>
        <w:tc>
          <w:tcPr>
            <w:tcW w:w="607" w:type="pct"/>
            <w:shd w:val="clear" w:color="auto" w:fill="FFFFFF" w:themeFill="background1"/>
            <w:noWrap/>
            <w:vAlign w:val="center"/>
          </w:tcPr>
          <w:p w:rsidR="000A4FAA" w:rsidRPr="000A4FAA" w:rsidRDefault="00B7520E" w:rsidP="008C1FD4">
            <w:pPr>
              <w:jc w:val="center"/>
              <w:rPr>
                <w:rFonts w:ascii="Times New Roman" w:hAnsi="Times New Roman" w:cs="Times New Roman"/>
                <w:sz w:val="16"/>
                <w:szCs w:val="16"/>
              </w:rPr>
            </w:pPr>
            <w:r>
              <w:rPr>
                <w:rFonts w:ascii="Times New Roman" w:hAnsi="Times New Roman" w:cs="Times New Roman"/>
                <w:sz w:val="16"/>
                <w:szCs w:val="16"/>
              </w:rPr>
              <w:t>+4 320</w:t>
            </w:r>
          </w:p>
        </w:tc>
        <w:tc>
          <w:tcPr>
            <w:tcW w:w="684" w:type="pct"/>
            <w:shd w:val="clear" w:color="auto" w:fill="F0ECF4"/>
            <w:noWrap/>
            <w:vAlign w:val="center"/>
          </w:tcPr>
          <w:p w:rsidR="000A4FAA" w:rsidRPr="000A4FAA" w:rsidRDefault="00B7520E" w:rsidP="00CE3B4A">
            <w:pPr>
              <w:jc w:val="center"/>
              <w:rPr>
                <w:rFonts w:ascii="Times New Roman" w:hAnsi="Times New Roman" w:cs="Times New Roman"/>
                <w:sz w:val="16"/>
                <w:szCs w:val="16"/>
              </w:rPr>
            </w:pPr>
            <w:r>
              <w:rPr>
                <w:rFonts w:ascii="Times New Roman" w:hAnsi="Times New Roman" w:cs="Times New Roman"/>
                <w:sz w:val="16"/>
                <w:szCs w:val="16"/>
              </w:rPr>
              <w:t>+ 4 305</w:t>
            </w:r>
          </w:p>
        </w:tc>
        <w:tc>
          <w:tcPr>
            <w:tcW w:w="684" w:type="pct"/>
            <w:shd w:val="clear" w:color="auto" w:fill="F0ECF4"/>
            <w:noWrap/>
            <w:vAlign w:val="center"/>
          </w:tcPr>
          <w:p w:rsidR="000A4FAA" w:rsidRPr="000A4FAA" w:rsidRDefault="00B7520E" w:rsidP="00CE3B4A">
            <w:pPr>
              <w:jc w:val="center"/>
              <w:rPr>
                <w:rFonts w:ascii="Times New Roman" w:hAnsi="Times New Roman" w:cs="Times New Roman"/>
                <w:sz w:val="16"/>
                <w:szCs w:val="16"/>
              </w:rPr>
            </w:pPr>
            <w:r>
              <w:rPr>
                <w:rFonts w:ascii="Times New Roman" w:hAnsi="Times New Roman" w:cs="Times New Roman"/>
                <w:sz w:val="16"/>
                <w:szCs w:val="16"/>
              </w:rPr>
              <w:t>+ 14</w:t>
            </w:r>
          </w:p>
        </w:tc>
        <w:tc>
          <w:tcPr>
            <w:tcW w:w="684" w:type="pct"/>
            <w:shd w:val="clear" w:color="auto" w:fill="FFFFFF" w:themeFill="background1"/>
            <w:noWrap/>
            <w:vAlign w:val="center"/>
          </w:tcPr>
          <w:p w:rsidR="000A4FAA" w:rsidRPr="000A4FAA" w:rsidRDefault="00B7520E" w:rsidP="00CE3B4A">
            <w:pPr>
              <w:jc w:val="center"/>
              <w:rPr>
                <w:rFonts w:ascii="Times New Roman" w:hAnsi="Times New Roman" w:cs="Times New Roman"/>
                <w:sz w:val="16"/>
                <w:szCs w:val="16"/>
              </w:rPr>
            </w:pPr>
            <w:r>
              <w:rPr>
                <w:rFonts w:ascii="Times New Roman" w:hAnsi="Times New Roman" w:cs="Times New Roman"/>
                <w:sz w:val="16"/>
                <w:szCs w:val="16"/>
              </w:rPr>
              <w:t>0</w:t>
            </w:r>
          </w:p>
        </w:tc>
        <w:tc>
          <w:tcPr>
            <w:tcW w:w="684" w:type="pct"/>
            <w:shd w:val="clear" w:color="auto" w:fill="FFFFFF" w:themeFill="background1"/>
            <w:noWrap/>
            <w:vAlign w:val="center"/>
          </w:tcPr>
          <w:p w:rsidR="000A4FAA" w:rsidRPr="000A4FAA" w:rsidRDefault="00B7520E" w:rsidP="00CE3B4A">
            <w:pPr>
              <w:jc w:val="center"/>
              <w:rPr>
                <w:rFonts w:ascii="Times New Roman" w:hAnsi="Times New Roman" w:cs="Times New Roman"/>
                <w:sz w:val="16"/>
                <w:szCs w:val="16"/>
              </w:rPr>
            </w:pPr>
            <w:r>
              <w:rPr>
                <w:rFonts w:ascii="Times New Roman" w:hAnsi="Times New Roman" w:cs="Times New Roman"/>
                <w:sz w:val="16"/>
                <w:szCs w:val="16"/>
              </w:rPr>
              <w:t>0</w:t>
            </w:r>
          </w:p>
        </w:tc>
        <w:tc>
          <w:tcPr>
            <w:tcW w:w="680" w:type="pct"/>
            <w:shd w:val="clear" w:color="auto" w:fill="F0ECF4"/>
            <w:noWrap/>
            <w:vAlign w:val="center"/>
          </w:tcPr>
          <w:p w:rsidR="000A4FAA" w:rsidRPr="000A4FAA" w:rsidRDefault="00C646AB" w:rsidP="00CE3B4A">
            <w:pPr>
              <w:jc w:val="center"/>
              <w:rPr>
                <w:rFonts w:ascii="Times New Roman" w:hAnsi="Times New Roman" w:cs="Times New Roman"/>
                <w:sz w:val="16"/>
                <w:szCs w:val="16"/>
              </w:rPr>
            </w:pPr>
            <w:r>
              <w:rPr>
                <w:rFonts w:ascii="Times New Roman" w:hAnsi="Times New Roman" w:cs="Times New Roman"/>
                <w:sz w:val="16"/>
                <w:szCs w:val="16"/>
              </w:rPr>
              <w:t>+ 1</w:t>
            </w:r>
          </w:p>
        </w:tc>
      </w:tr>
    </w:tbl>
    <w:p w:rsidR="00423CA6" w:rsidRPr="00C75C71" w:rsidRDefault="00423CA6" w:rsidP="007F4380">
      <w:pPr>
        <w:pBdr>
          <w:bottom w:val="single" w:sz="4" w:space="1" w:color="auto"/>
        </w:pBdr>
        <w:spacing w:after="0" w:line="240" w:lineRule="auto"/>
        <w:rPr>
          <w:rFonts w:ascii="Times New Roman" w:hAnsi="Times New Roman" w:cs="Times New Roman"/>
          <w:sz w:val="16"/>
          <w:szCs w:val="16"/>
          <w:highlight w:val="yellow"/>
        </w:rPr>
      </w:pPr>
    </w:p>
    <w:p w:rsidR="00242C45" w:rsidRPr="008613FC" w:rsidRDefault="00242C45" w:rsidP="007F4380">
      <w:pPr>
        <w:pBdr>
          <w:bottom w:val="single" w:sz="4" w:space="1" w:color="auto"/>
        </w:pBdr>
        <w:spacing w:after="0" w:line="240" w:lineRule="auto"/>
        <w:rPr>
          <w:rFonts w:ascii="Times New Roman" w:hAnsi="Times New Roman" w:cs="Times New Roman"/>
          <w:sz w:val="24"/>
          <w:szCs w:val="24"/>
        </w:rPr>
      </w:pPr>
      <w:r w:rsidRPr="008613FC">
        <w:rPr>
          <w:rFonts w:ascii="Times New Roman" w:hAnsi="Times New Roman" w:cs="Times New Roman"/>
          <w:sz w:val="24"/>
          <w:szCs w:val="24"/>
        </w:rPr>
        <w:t>Wnioski:</w:t>
      </w:r>
    </w:p>
    <w:p w:rsidR="00242C45" w:rsidRPr="00CD1517" w:rsidRDefault="00242C45" w:rsidP="00862E1D">
      <w:pPr>
        <w:spacing w:after="0" w:line="240" w:lineRule="auto"/>
        <w:jc w:val="both"/>
        <w:rPr>
          <w:rFonts w:ascii="Times New Roman" w:hAnsi="Times New Roman" w:cs="Times New Roman"/>
          <w:sz w:val="18"/>
          <w:szCs w:val="18"/>
        </w:rPr>
      </w:pPr>
      <w:r w:rsidRPr="00CD1517">
        <w:rPr>
          <w:rFonts w:ascii="Times New Roman" w:hAnsi="Times New Roman" w:cs="Times New Roman"/>
          <w:sz w:val="18"/>
          <w:szCs w:val="18"/>
        </w:rPr>
        <w:t>(na podstawie danych</w:t>
      </w:r>
      <w:r w:rsidR="00AE5712" w:rsidRPr="00CD1517">
        <w:rPr>
          <w:rFonts w:ascii="Times New Roman" w:hAnsi="Times New Roman" w:cs="Times New Roman"/>
          <w:sz w:val="18"/>
          <w:szCs w:val="18"/>
        </w:rPr>
        <w:t xml:space="preserve"> z </w:t>
      </w:r>
      <w:r w:rsidRPr="00CD1517">
        <w:rPr>
          <w:rFonts w:ascii="Times New Roman" w:hAnsi="Times New Roman" w:cs="Times New Roman"/>
          <w:sz w:val="18"/>
          <w:szCs w:val="18"/>
        </w:rPr>
        <w:t>Tabeli 7, 8)</w:t>
      </w:r>
    </w:p>
    <w:p w:rsidR="00862E1D" w:rsidRPr="00C75C71" w:rsidRDefault="00862E1D" w:rsidP="00862E1D">
      <w:pPr>
        <w:spacing w:after="0" w:line="240" w:lineRule="auto"/>
        <w:jc w:val="both"/>
        <w:rPr>
          <w:rFonts w:ascii="Times New Roman" w:hAnsi="Times New Roman" w:cs="Times New Roman"/>
          <w:sz w:val="18"/>
          <w:szCs w:val="18"/>
          <w:highlight w:val="yellow"/>
        </w:rPr>
      </w:pPr>
    </w:p>
    <w:p w:rsidR="0005572D" w:rsidRPr="00B7520E" w:rsidRDefault="0005572D" w:rsidP="0005572D">
      <w:pPr>
        <w:pStyle w:val="Akapitzlist"/>
        <w:numPr>
          <w:ilvl w:val="0"/>
          <w:numId w:val="20"/>
        </w:numPr>
        <w:spacing w:after="0" w:line="360" w:lineRule="auto"/>
        <w:jc w:val="both"/>
        <w:rPr>
          <w:rFonts w:ascii="Times New Roman" w:hAnsi="Times New Roman" w:cs="Times New Roman"/>
          <w:sz w:val="24"/>
          <w:szCs w:val="24"/>
        </w:rPr>
      </w:pPr>
      <w:r w:rsidRPr="00B7520E">
        <w:rPr>
          <w:rFonts w:ascii="Times New Roman" w:hAnsi="Times New Roman" w:cs="Times New Roman"/>
          <w:sz w:val="24"/>
          <w:szCs w:val="24"/>
        </w:rPr>
        <w:t>Wzrost podmiotów gospodarczych dotyczył zatrudniają</w:t>
      </w:r>
      <w:r w:rsidR="00B7520E" w:rsidRPr="00B7520E">
        <w:rPr>
          <w:rFonts w:ascii="Times New Roman" w:hAnsi="Times New Roman" w:cs="Times New Roman"/>
          <w:sz w:val="24"/>
          <w:szCs w:val="24"/>
        </w:rPr>
        <w:t>cych</w:t>
      </w:r>
      <w:r w:rsidRPr="00B7520E">
        <w:rPr>
          <w:rFonts w:ascii="Times New Roman" w:hAnsi="Times New Roman" w:cs="Times New Roman"/>
          <w:sz w:val="24"/>
          <w:szCs w:val="24"/>
        </w:rPr>
        <w:t xml:space="preserve"> do 9</w:t>
      </w:r>
      <w:r w:rsidR="00B7520E" w:rsidRPr="00B7520E">
        <w:rPr>
          <w:rFonts w:ascii="Times New Roman" w:hAnsi="Times New Roman" w:cs="Times New Roman"/>
          <w:sz w:val="24"/>
          <w:szCs w:val="24"/>
        </w:rPr>
        <w:t xml:space="preserve"> oraz od 50 do 249 pracowników. W</w:t>
      </w:r>
      <w:r w:rsidRPr="00B7520E">
        <w:rPr>
          <w:rFonts w:ascii="Times New Roman" w:hAnsi="Times New Roman" w:cs="Times New Roman"/>
          <w:sz w:val="24"/>
          <w:szCs w:val="24"/>
        </w:rPr>
        <w:t xml:space="preserve"> liczbie pozostałych podmiotów wg przewidywalnej liczby pracujących odnotowano spadk</w:t>
      </w:r>
      <w:r w:rsidR="00B7520E" w:rsidRPr="00B7520E">
        <w:rPr>
          <w:rFonts w:ascii="Times New Roman" w:hAnsi="Times New Roman" w:cs="Times New Roman"/>
          <w:sz w:val="24"/>
          <w:szCs w:val="24"/>
        </w:rPr>
        <w:t>i</w:t>
      </w:r>
      <w:r w:rsidRPr="00B7520E">
        <w:rPr>
          <w:rFonts w:ascii="Times New Roman" w:hAnsi="Times New Roman" w:cs="Times New Roman"/>
          <w:sz w:val="24"/>
          <w:szCs w:val="24"/>
        </w:rPr>
        <w:t>),</w:t>
      </w:r>
    </w:p>
    <w:p w:rsidR="00242C45" w:rsidRPr="00B7520E" w:rsidRDefault="00242C45" w:rsidP="00160DBC">
      <w:pPr>
        <w:pStyle w:val="Akapitzlist"/>
        <w:numPr>
          <w:ilvl w:val="0"/>
          <w:numId w:val="18"/>
        </w:numPr>
        <w:spacing w:after="0" w:line="360" w:lineRule="auto"/>
        <w:jc w:val="both"/>
        <w:rPr>
          <w:rFonts w:ascii="Times New Roman" w:hAnsi="Times New Roman" w:cs="Times New Roman"/>
          <w:sz w:val="24"/>
          <w:szCs w:val="24"/>
        </w:rPr>
      </w:pPr>
      <w:r w:rsidRPr="00B7520E">
        <w:rPr>
          <w:rFonts w:ascii="Times New Roman" w:hAnsi="Times New Roman" w:cs="Times New Roman"/>
          <w:sz w:val="24"/>
          <w:szCs w:val="24"/>
        </w:rPr>
        <w:t>Niewielki udział podmiotów publicznych</w:t>
      </w:r>
      <w:r w:rsidR="00AE5712" w:rsidRPr="00B7520E">
        <w:rPr>
          <w:rFonts w:ascii="Times New Roman" w:hAnsi="Times New Roman" w:cs="Times New Roman"/>
          <w:sz w:val="24"/>
          <w:szCs w:val="24"/>
        </w:rPr>
        <w:t xml:space="preserve"> w</w:t>
      </w:r>
      <w:r w:rsidRPr="00B7520E">
        <w:rPr>
          <w:rFonts w:ascii="Times New Roman" w:hAnsi="Times New Roman" w:cs="Times New Roman"/>
          <w:sz w:val="24"/>
          <w:szCs w:val="24"/>
        </w:rPr>
        <w:t xml:space="preserve"> </w:t>
      </w:r>
      <w:r w:rsidR="0037602E" w:rsidRPr="00B7520E">
        <w:rPr>
          <w:rFonts w:ascii="Times New Roman" w:hAnsi="Times New Roman" w:cs="Times New Roman"/>
          <w:sz w:val="24"/>
          <w:szCs w:val="24"/>
        </w:rPr>
        <w:t>ogółem</w:t>
      </w:r>
      <w:r w:rsidRPr="00B7520E">
        <w:rPr>
          <w:rFonts w:ascii="Times New Roman" w:hAnsi="Times New Roman" w:cs="Times New Roman"/>
          <w:sz w:val="24"/>
          <w:szCs w:val="24"/>
        </w:rPr>
        <w:t xml:space="preserve"> </w:t>
      </w:r>
      <w:r w:rsidR="00B7520E" w:rsidRPr="00B7520E">
        <w:rPr>
          <w:rFonts w:ascii="Times New Roman" w:hAnsi="Times New Roman" w:cs="Times New Roman"/>
          <w:sz w:val="24"/>
          <w:szCs w:val="24"/>
        </w:rPr>
        <w:t>(3</w:t>
      </w:r>
      <w:r w:rsidRPr="00B7520E">
        <w:rPr>
          <w:rFonts w:ascii="Times New Roman" w:hAnsi="Times New Roman" w:cs="Times New Roman"/>
          <w:sz w:val="24"/>
          <w:szCs w:val="24"/>
        </w:rPr>
        <w:t>,</w:t>
      </w:r>
      <w:r w:rsidR="007B34F0" w:rsidRPr="00B7520E">
        <w:rPr>
          <w:rFonts w:ascii="Times New Roman" w:hAnsi="Times New Roman" w:cs="Times New Roman"/>
          <w:sz w:val="24"/>
          <w:szCs w:val="24"/>
        </w:rPr>
        <w:t>1</w:t>
      </w:r>
      <w:r w:rsidR="00B7520E" w:rsidRPr="00B7520E">
        <w:rPr>
          <w:rFonts w:ascii="Times New Roman" w:hAnsi="Times New Roman" w:cs="Times New Roman"/>
          <w:sz w:val="24"/>
          <w:szCs w:val="24"/>
        </w:rPr>
        <w:t xml:space="preserve"> </w:t>
      </w:r>
      <w:r w:rsidRPr="00B7520E">
        <w:rPr>
          <w:rFonts w:ascii="Times New Roman" w:hAnsi="Times New Roman" w:cs="Times New Roman"/>
          <w:sz w:val="24"/>
          <w:szCs w:val="24"/>
        </w:rPr>
        <w:t>%)</w:t>
      </w:r>
      <w:r w:rsidR="0005572D" w:rsidRPr="00B7520E">
        <w:rPr>
          <w:rFonts w:ascii="Times New Roman" w:hAnsi="Times New Roman" w:cs="Times New Roman"/>
          <w:sz w:val="24"/>
          <w:szCs w:val="24"/>
        </w:rPr>
        <w:t>,</w:t>
      </w:r>
    </w:p>
    <w:p w:rsidR="0037602E" w:rsidRPr="00A31B71" w:rsidRDefault="00A31B71" w:rsidP="00160DBC">
      <w:pPr>
        <w:pStyle w:val="Akapitzlist"/>
        <w:numPr>
          <w:ilvl w:val="0"/>
          <w:numId w:val="18"/>
        </w:numPr>
        <w:spacing w:after="0" w:line="360" w:lineRule="auto"/>
        <w:jc w:val="both"/>
        <w:rPr>
          <w:rFonts w:ascii="Times New Roman" w:hAnsi="Times New Roman" w:cs="Times New Roman"/>
          <w:sz w:val="24"/>
          <w:szCs w:val="24"/>
        </w:rPr>
      </w:pPr>
      <w:r w:rsidRPr="00A31B71">
        <w:rPr>
          <w:rFonts w:ascii="Times New Roman" w:hAnsi="Times New Roman" w:cs="Times New Roman"/>
          <w:sz w:val="24"/>
          <w:szCs w:val="24"/>
        </w:rPr>
        <w:t xml:space="preserve">Znaczny udział </w:t>
      </w:r>
      <w:r w:rsidR="00242C45" w:rsidRPr="00A31B71">
        <w:rPr>
          <w:rFonts w:ascii="Times New Roman" w:hAnsi="Times New Roman" w:cs="Times New Roman"/>
          <w:sz w:val="24"/>
          <w:szCs w:val="24"/>
        </w:rPr>
        <w:t>mikro-</w:t>
      </w:r>
      <w:r w:rsidR="00AE5712" w:rsidRPr="00A31B71">
        <w:rPr>
          <w:rFonts w:ascii="Times New Roman" w:hAnsi="Times New Roman" w:cs="Times New Roman"/>
          <w:sz w:val="24"/>
          <w:szCs w:val="24"/>
        </w:rPr>
        <w:t xml:space="preserve"> i </w:t>
      </w:r>
      <w:r w:rsidR="00242C45" w:rsidRPr="00A31B71">
        <w:rPr>
          <w:rFonts w:ascii="Times New Roman" w:hAnsi="Times New Roman" w:cs="Times New Roman"/>
          <w:sz w:val="24"/>
          <w:szCs w:val="24"/>
        </w:rPr>
        <w:t>małych przedsiębiorstw</w:t>
      </w:r>
      <w:r w:rsidR="0037602E" w:rsidRPr="00A31B71">
        <w:rPr>
          <w:rFonts w:ascii="Times New Roman" w:hAnsi="Times New Roman" w:cs="Times New Roman"/>
          <w:sz w:val="24"/>
          <w:szCs w:val="24"/>
        </w:rPr>
        <w:t xml:space="preserve"> </w:t>
      </w:r>
      <w:r w:rsidR="00242C45" w:rsidRPr="00A31B71">
        <w:rPr>
          <w:rFonts w:ascii="Times New Roman" w:hAnsi="Times New Roman" w:cs="Times New Roman"/>
          <w:sz w:val="24"/>
          <w:szCs w:val="24"/>
        </w:rPr>
        <w:t>wśród podmiotów prywatnych</w:t>
      </w:r>
      <w:r w:rsidRPr="00A31B71">
        <w:rPr>
          <w:rFonts w:ascii="Times New Roman" w:hAnsi="Times New Roman" w:cs="Times New Roman"/>
          <w:sz w:val="24"/>
          <w:szCs w:val="24"/>
        </w:rPr>
        <w:t xml:space="preserve">. </w:t>
      </w:r>
      <w:r>
        <w:rPr>
          <w:rFonts w:ascii="Times New Roman" w:hAnsi="Times New Roman" w:cs="Times New Roman"/>
          <w:sz w:val="24"/>
          <w:szCs w:val="24"/>
        </w:rPr>
        <w:t xml:space="preserve">Przewaga </w:t>
      </w:r>
      <w:r w:rsidR="00242C45" w:rsidRPr="00A31B71">
        <w:rPr>
          <w:rFonts w:ascii="Times New Roman" w:hAnsi="Times New Roman" w:cs="Times New Roman"/>
          <w:sz w:val="24"/>
          <w:szCs w:val="24"/>
        </w:rPr>
        <w:t>osób fizycznych</w:t>
      </w:r>
      <w:r w:rsidR="00E423F5" w:rsidRPr="00A31B71">
        <w:rPr>
          <w:rFonts w:ascii="Times New Roman" w:hAnsi="Times New Roman" w:cs="Times New Roman"/>
          <w:sz w:val="24"/>
          <w:szCs w:val="24"/>
        </w:rPr>
        <w:t xml:space="preserve"> prowadzących działalność gospodarczą</w:t>
      </w:r>
      <w:r w:rsidR="00242C45" w:rsidRPr="00A31B71">
        <w:rPr>
          <w:rFonts w:ascii="Times New Roman" w:hAnsi="Times New Roman" w:cs="Times New Roman"/>
          <w:sz w:val="24"/>
          <w:szCs w:val="24"/>
        </w:rPr>
        <w:t xml:space="preserve"> wśród podmiotów prywatnych</w:t>
      </w:r>
      <w:r w:rsidR="007B34F0" w:rsidRPr="00A31B71">
        <w:rPr>
          <w:rFonts w:ascii="Times New Roman" w:hAnsi="Times New Roman" w:cs="Times New Roman"/>
          <w:sz w:val="24"/>
          <w:szCs w:val="24"/>
        </w:rPr>
        <w:t xml:space="preserve"> (7</w:t>
      </w:r>
      <w:r w:rsidRPr="00A31B71">
        <w:rPr>
          <w:rFonts w:ascii="Times New Roman" w:hAnsi="Times New Roman" w:cs="Times New Roman"/>
          <w:sz w:val="24"/>
          <w:szCs w:val="24"/>
        </w:rPr>
        <w:t>7</w:t>
      </w:r>
      <w:r w:rsidR="007B34F0" w:rsidRPr="00A31B71">
        <w:rPr>
          <w:rFonts w:ascii="Times New Roman" w:hAnsi="Times New Roman" w:cs="Times New Roman"/>
          <w:sz w:val="24"/>
          <w:szCs w:val="24"/>
        </w:rPr>
        <w:t>,</w:t>
      </w:r>
      <w:r w:rsidRPr="00A31B71">
        <w:rPr>
          <w:rFonts w:ascii="Times New Roman" w:hAnsi="Times New Roman" w:cs="Times New Roman"/>
          <w:sz w:val="24"/>
          <w:szCs w:val="24"/>
        </w:rPr>
        <w:t xml:space="preserve">4 </w:t>
      </w:r>
      <w:r w:rsidR="007B34F0" w:rsidRPr="00A31B71">
        <w:rPr>
          <w:rFonts w:ascii="Times New Roman" w:hAnsi="Times New Roman" w:cs="Times New Roman"/>
          <w:sz w:val="24"/>
          <w:szCs w:val="24"/>
        </w:rPr>
        <w:t>%)</w:t>
      </w:r>
      <w:r w:rsidR="0037602E" w:rsidRPr="00A31B71">
        <w:rPr>
          <w:rFonts w:ascii="Times New Roman" w:hAnsi="Times New Roman" w:cs="Times New Roman"/>
          <w:sz w:val="24"/>
          <w:szCs w:val="24"/>
        </w:rPr>
        <w:t>.</w:t>
      </w:r>
    </w:p>
    <w:p w:rsidR="00CD1517" w:rsidRDefault="00CD1517" w:rsidP="00423CA6">
      <w:pPr>
        <w:pStyle w:val="Bezodstpw"/>
        <w:ind w:left="1410" w:hanging="1410"/>
        <w:jc w:val="both"/>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687FB4" w:rsidRDefault="00423CA6" w:rsidP="00423CA6">
      <w:pPr>
        <w:pStyle w:val="Bezodstpw"/>
        <w:ind w:left="1410" w:hanging="1410"/>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22EC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Tabela </w:t>
      </w:r>
      <w:r w:rsidR="004F1452" w:rsidRPr="00C22EC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9</w:t>
      </w:r>
      <w:r w:rsidRPr="00C22EC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87FB4">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22EC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Podmioty gospodarki narodowej w </w:t>
      </w:r>
      <w:r w:rsidR="00687FB4">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22EC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rejestrze REGON, woj. podkarpackie (bez</w:t>
      </w:r>
    </w:p>
    <w:p w:rsidR="00423CA6" w:rsidRPr="00C22ECF" w:rsidRDefault="00687FB4" w:rsidP="00423CA6">
      <w:pPr>
        <w:pStyle w:val="Bezodstpw"/>
        <w:ind w:left="1410" w:hanging="1410"/>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23CA6" w:rsidRPr="00C22EC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osób fizycznych prowadzących wyłącznie indywidualne gospodarstwa rolne)</w:t>
      </w:r>
    </w:p>
    <w:p w:rsidR="0005572D" w:rsidRPr="00C75C71" w:rsidRDefault="0005572D" w:rsidP="00423CA6">
      <w:pPr>
        <w:pStyle w:val="Bezodstpw"/>
        <w:ind w:left="1410" w:hanging="1410"/>
        <w:jc w:val="both"/>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bl>
      <w:tblPr>
        <w:tblStyle w:val="Tabela-Siatka"/>
        <w:tblW w:w="3359" w:type="pct"/>
        <w:jc w:val="center"/>
        <w:tblInd w:w="348" w:type="dxa"/>
        <w:tblLayout w:type="fixed"/>
        <w:tblLook w:val="04A0" w:firstRow="1" w:lastRow="0" w:firstColumn="1" w:lastColumn="0" w:noHBand="0" w:noVBand="1"/>
      </w:tblPr>
      <w:tblGrid>
        <w:gridCol w:w="962"/>
        <w:gridCol w:w="1782"/>
        <w:gridCol w:w="1747"/>
        <w:gridCol w:w="1747"/>
      </w:tblGrid>
      <w:tr w:rsidR="008466C9" w:rsidRPr="00C75C71" w:rsidTr="008466C9">
        <w:trPr>
          <w:trHeight w:val="285"/>
          <w:jc w:val="center"/>
        </w:trPr>
        <w:tc>
          <w:tcPr>
            <w:tcW w:w="771" w:type="pct"/>
            <w:tcBorders>
              <w:bottom w:val="single" w:sz="4" w:space="0" w:color="auto"/>
            </w:tcBorders>
            <w:shd w:val="clear" w:color="auto" w:fill="CCC0D9" w:themeFill="accent4" w:themeFillTint="66"/>
            <w:noWrap/>
            <w:vAlign w:val="center"/>
            <w:hideMark/>
          </w:tcPr>
          <w:p w:rsidR="008466C9" w:rsidRPr="00BB7890" w:rsidRDefault="008466C9" w:rsidP="00BB7890">
            <w:pPr>
              <w:jc w:val="center"/>
              <w:rPr>
                <w:rFonts w:ascii="Times New Roman" w:hAnsi="Times New Roman" w:cs="Times New Roman"/>
                <w:b/>
                <w:sz w:val="16"/>
                <w:szCs w:val="16"/>
              </w:rPr>
            </w:pPr>
            <w:r>
              <w:rPr>
                <w:rFonts w:ascii="Times New Roman" w:hAnsi="Times New Roman" w:cs="Times New Roman"/>
                <w:b/>
                <w:sz w:val="16"/>
                <w:szCs w:val="16"/>
              </w:rPr>
              <w:t>OKRES</w:t>
            </w:r>
          </w:p>
        </w:tc>
        <w:tc>
          <w:tcPr>
            <w:tcW w:w="1428" w:type="pct"/>
            <w:tcBorders>
              <w:bottom w:val="single" w:sz="4" w:space="0" w:color="auto"/>
            </w:tcBorders>
            <w:shd w:val="clear" w:color="auto" w:fill="CCC0D9" w:themeFill="accent4" w:themeFillTint="66"/>
            <w:noWrap/>
            <w:vAlign w:val="center"/>
          </w:tcPr>
          <w:p w:rsidR="008466C9" w:rsidRPr="00BB7890" w:rsidRDefault="008466C9" w:rsidP="007029BA">
            <w:pPr>
              <w:jc w:val="center"/>
              <w:rPr>
                <w:rFonts w:ascii="Times New Roman" w:hAnsi="Times New Roman" w:cs="Times New Roman"/>
                <w:b/>
                <w:sz w:val="16"/>
                <w:szCs w:val="16"/>
              </w:rPr>
            </w:pPr>
            <w:r w:rsidRPr="00BB7890">
              <w:rPr>
                <w:rFonts w:ascii="Times New Roman" w:hAnsi="Times New Roman" w:cs="Times New Roman"/>
                <w:b/>
                <w:sz w:val="16"/>
                <w:szCs w:val="16"/>
              </w:rPr>
              <w:t>podmioty wg stanu na koniec m-ca</w:t>
            </w:r>
          </w:p>
        </w:tc>
        <w:tc>
          <w:tcPr>
            <w:tcW w:w="1400" w:type="pct"/>
            <w:tcBorders>
              <w:bottom w:val="single" w:sz="4" w:space="0" w:color="auto"/>
            </w:tcBorders>
            <w:shd w:val="clear" w:color="auto" w:fill="CCC0D9" w:themeFill="accent4" w:themeFillTint="66"/>
            <w:vAlign w:val="center"/>
          </w:tcPr>
          <w:p w:rsidR="008466C9" w:rsidRPr="00BB7890" w:rsidRDefault="008466C9" w:rsidP="005261D6">
            <w:pPr>
              <w:jc w:val="center"/>
              <w:rPr>
                <w:rFonts w:ascii="Times New Roman" w:hAnsi="Times New Roman" w:cs="Times New Roman"/>
                <w:b/>
                <w:sz w:val="16"/>
                <w:szCs w:val="16"/>
              </w:rPr>
            </w:pPr>
            <w:r w:rsidRPr="00BB7890">
              <w:rPr>
                <w:rFonts w:ascii="Times New Roman" w:hAnsi="Times New Roman" w:cs="Times New Roman"/>
                <w:b/>
                <w:sz w:val="16"/>
                <w:szCs w:val="16"/>
              </w:rPr>
              <w:t>wzrost/spadek</w:t>
            </w:r>
          </w:p>
          <w:p w:rsidR="008466C9" w:rsidRPr="00BB7890" w:rsidRDefault="008466C9" w:rsidP="008466C9">
            <w:pPr>
              <w:jc w:val="center"/>
              <w:rPr>
                <w:rFonts w:ascii="Times New Roman" w:hAnsi="Times New Roman" w:cs="Times New Roman"/>
                <w:b/>
                <w:sz w:val="16"/>
                <w:szCs w:val="16"/>
              </w:rPr>
            </w:pPr>
            <w:r w:rsidRPr="00BB7890">
              <w:rPr>
                <w:rFonts w:ascii="Times New Roman" w:hAnsi="Times New Roman" w:cs="Times New Roman"/>
                <w:b/>
                <w:sz w:val="16"/>
                <w:szCs w:val="16"/>
              </w:rPr>
              <w:t>w</w:t>
            </w:r>
            <w:r>
              <w:rPr>
                <w:rFonts w:ascii="Times New Roman" w:hAnsi="Times New Roman" w:cs="Times New Roman"/>
                <w:b/>
                <w:sz w:val="16"/>
                <w:szCs w:val="16"/>
              </w:rPr>
              <w:t xml:space="preserve"> stos. do poprzedniego roku</w:t>
            </w:r>
          </w:p>
        </w:tc>
        <w:tc>
          <w:tcPr>
            <w:tcW w:w="1400" w:type="pct"/>
            <w:tcBorders>
              <w:bottom w:val="single" w:sz="4" w:space="0" w:color="auto"/>
            </w:tcBorders>
            <w:shd w:val="clear" w:color="auto" w:fill="CCC0D9" w:themeFill="accent4" w:themeFillTint="66"/>
          </w:tcPr>
          <w:p w:rsidR="008466C9" w:rsidRPr="00BB7890" w:rsidRDefault="008466C9" w:rsidP="008466C9">
            <w:pPr>
              <w:jc w:val="center"/>
              <w:rPr>
                <w:rFonts w:ascii="Times New Roman" w:hAnsi="Times New Roman" w:cs="Times New Roman"/>
                <w:b/>
                <w:sz w:val="16"/>
                <w:szCs w:val="16"/>
              </w:rPr>
            </w:pPr>
            <w:r w:rsidRPr="00BB7890">
              <w:rPr>
                <w:rFonts w:ascii="Times New Roman" w:hAnsi="Times New Roman" w:cs="Times New Roman"/>
                <w:b/>
                <w:sz w:val="16"/>
                <w:szCs w:val="16"/>
              </w:rPr>
              <w:t>wzrost/spadek</w:t>
            </w:r>
          </w:p>
          <w:p w:rsidR="008466C9" w:rsidRDefault="008466C9" w:rsidP="008466C9">
            <w:pPr>
              <w:jc w:val="center"/>
              <w:rPr>
                <w:rFonts w:ascii="Times New Roman" w:hAnsi="Times New Roman" w:cs="Times New Roman"/>
                <w:b/>
                <w:sz w:val="16"/>
                <w:szCs w:val="16"/>
              </w:rPr>
            </w:pPr>
            <w:r>
              <w:rPr>
                <w:rFonts w:ascii="Times New Roman" w:hAnsi="Times New Roman" w:cs="Times New Roman"/>
                <w:b/>
                <w:sz w:val="16"/>
                <w:szCs w:val="16"/>
              </w:rPr>
              <w:t>31 XII 2002=</w:t>
            </w:r>
          </w:p>
          <w:p w:rsidR="008466C9" w:rsidRPr="00BB7890" w:rsidRDefault="008466C9" w:rsidP="008466C9">
            <w:pPr>
              <w:jc w:val="center"/>
              <w:rPr>
                <w:rFonts w:ascii="Times New Roman" w:hAnsi="Times New Roman" w:cs="Times New Roman"/>
                <w:b/>
                <w:sz w:val="16"/>
                <w:szCs w:val="16"/>
              </w:rPr>
            </w:pPr>
            <w:r>
              <w:rPr>
                <w:rFonts w:ascii="Times New Roman" w:hAnsi="Times New Roman" w:cs="Times New Roman"/>
                <w:b/>
                <w:sz w:val="16"/>
                <w:szCs w:val="16"/>
              </w:rPr>
              <w:t>= 100 %</w:t>
            </w:r>
          </w:p>
        </w:tc>
      </w:tr>
      <w:tr w:rsidR="008466C9" w:rsidRPr="00C75C71" w:rsidTr="008466C9">
        <w:trPr>
          <w:trHeight w:val="113"/>
          <w:jc w:val="center"/>
        </w:trPr>
        <w:tc>
          <w:tcPr>
            <w:tcW w:w="771" w:type="pct"/>
            <w:shd w:val="clear" w:color="auto" w:fill="E5DFEC" w:themeFill="accent4" w:themeFillTint="33"/>
            <w:noWrap/>
            <w:vAlign w:val="center"/>
          </w:tcPr>
          <w:p w:rsidR="008466C9" w:rsidRPr="00C10ED1" w:rsidRDefault="008466C9">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t>31 XII '02</w:t>
            </w:r>
          </w:p>
        </w:tc>
        <w:tc>
          <w:tcPr>
            <w:tcW w:w="1428" w:type="pct"/>
            <w:shd w:val="clear" w:color="auto" w:fill="E5DFEC" w:themeFill="accent4" w:themeFillTint="33"/>
            <w:noWrap/>
            <w:vAlign w:val="center"/>
          </w:tcPr>
          <w:p w:rsidR="008466C9" w:rsidRPr="00C10ED1" w:rsidRDefault="008466C9">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t>138 713</w:t>
            </w:r>
          </w:p>
        </w:tc>
        <w:tc>
          <w:tcPr>
            <w:tcW w:w="1400" w:type="pct"/>
            <w:shd w:val="clear" w:color="auto" w:fill="E5DFEC" w:themeFill="accent4" w:themeFillTint="33"/>
            <w:vAlign w:val="center"/>
          </w:tcPr>
          <w:p w:rsidR="008466C9" w:rsidRPr="00C10ED1" w:rsidRDefault="008466C9" w:rsidP="005E513F">
            <w:pPr>
              <w:spacing w:line="18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1400" w:type="pct"/>
            <w:shd w:val="clear" w:color="auto" w:fill="E5DFEC" w:themeFill="accent4" w:themeFillTint="33"/>
          </w:tcPr>
          <w:p w:rsidR="008466C9" w:rsidRDefault="008466C9" w:rsidP="005E513F">
            <w:pPr>
              <w:spacing w:line="18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100 %</w:t>
            </w:r>
          </w:p>
        </w:tc>
      </w:tr>
      <w:tr w:rsidR="008466C9" w:rsidRPr="00C75C71" w:rsidTr="0073293A">
        <w:trPr>
          <w:trHeight w:val="161"/>
          <w:jc w:val="center"/>
        </w:trPr>
        <w:tc>
          <w:tcPr>
            <w:tcW w:w="771" w:type="pct"/>
            <w:shd w:val="clear" w:color="auto" w:fill="FFFFFF" w:themeFill="background1"/>
            <w:noWrap/>
            <w:vAlign w:val="center"/>
          </w:tcPr>
          <w:p w:rsidR="008466C9" w:rsidRPr="00C10ED1" w:rsidRDefault="008466C9">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t>31 XII '03</w:t>
            </w:r>
          </w:p>
        </w:tc>
        <w:tc>
          <w:tcPr>
            <w:tcW w:w="1428" w:type="pct"/>
            <w:shd w:val="clear" w:color="auto" w:fill="FFFFFF" w:themeFill="background1"/>
            <w:noWrap/>
            <w:vAlign w:val="center"/>
          </w:tcPr>
          <w:p w:rsidR="008466C9" w:rsidRPr="00C10ED1" w:rsidRDefault="008466C9">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t>142 682</w:t>
            </w:r>
          </w:p>
        </w:tc>
        <w:tc>
          <w:tcPr>
            <w:tcW w:w="1400" w:type="pct"/>
            <w:shd w:val="clear" w:color="auto" w:fill="FFFFFF" w:themeFill="background1"/>
            <w:vAlign w:val="center"/>
          </w:tcPr>
          <w:p w:rsidR="008466C9" w:rsidRPr="008466C9" w:rsidRDefault="008466C9">
            <w:pPr>
              <w:jc w:val="center"/>
              <w:rPr>
                <w:rFonts w:ascii="Times New Roman" w:hAnsi="Times New Roman" w:cs="Times New Roman"/>
                <w:color w:val="000000"/>
                <w:sz w:val="16"/>
                <w:szCs w:val="16"/>
              </w:rPr>
            </w:pPr>
            <w:r w:rsidRPr="008466C9">
              <w:rPr>
                <w:rFonts w:ascii="Times New Roman" w:hAnsi="Times New Roman" w:cs="Times New Roman"/>
                <w:color w:val="000000"/>
                <w:sz w:val="16"/>
                <w:szCs w:val="16"/>
              </w:rPr>
              <w:t>2,9</w:t>
            </w:r>
          </w:p>
        </w:tc>
        <w:tc>
          <w:tcPr>
            <w:tcW w:w="1400" w:type="pct"/>
            <w:shd w:val="clear" w:color="auto" w:fill="FFFFFF" w:themeFill="background1"/>
            <w:vAlign w:val="center"/>
          </w:tcPr>
          <w:p w:rsidR="008466C9" w:rsidRPr="008466C9" w:rsidRDefault="008466C9">
            <w:pPr>
              <w:jc w:val="center"/>
              <w:rPr>
                <w:rFonts w:ascii="Times New Roman" w:hAnsi="Times New Roman" w:cs="Times New Roman"/>
                <w:color w:val="000000"/>
                <w:sz w:val="16"/>
                <w:szCs w:val="16"/>
              </w:rPr>
            </w:pPr>
            <w:r w:rsidRPr="008466C9">
              <w:rPr>
                <w:rFonts w:ascii="Times New Roman" w:hAnsi="Times New Roman" w:cs="Times New Roman"/>
                <w:color w:val="000000"/>
                <w:sz w:val="16"/>
                <w:szCs w:val="16"/>
              </w:rPr>
              <w:t>2,9</w:t>
            </w:r>
          </w:p>
        </w:tc>
      </w:tr>
      <w:tr w:rsidR="008466C9" w:rsidRPr="00C75C71" w:rsidTr="0073293A">
        <w:trPr>
          <w:trHeight w:val="93"/>
          <w:jc w:val="center"/>
        </w:trPr>
        <w:tc>
          <w:tcPr>
            <w:tcW w:w="771" w:type="pct"/>
            <w:shd w:val="clear" w:color="auto" w:fill="FFFFFF" w:themeFill="background1"/>
            <w:noWrap/>
            <w:vAlign w:val="center"/>
          </w:tcPr>
          <w:p w:rsidR="008466C9" w:rsidRPr="00C10ED1" w:rsidRDefault="008466C9">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t>31 XII '04</w:t>
            </w:r>
          </w:p>
        </w:tc>
        <w:tc>
          <w:tcPr>
            <w:tcW w:w="1428" w:type="pct"/>
            <w:shd w:val="clear" w:color="auto" w:fill="FFFFFF" w:themeFill="background1"/>
            <w:noWrap/>
            <w:vAlign w:val="center"/>
          </w:tcPr>
          <w:p w:rsidR="008466C9" w:rsidRPr="00C10ED1" w:rsidRDefault="008466C9">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t>139 545</w:t>
            </w:r>
          </w:p>
        </w:tc>
        <w:tc>
          <w:tcPr>
            <w:tcW w:w="1400" w:type="pct"/>
            <w:shd w:val="clear" w:color="auto" w:fill="FFFFFF" w:themeFill="background1"/>
            <w:vAlign w:val="center"/>
          </w:tcPr>
          <w:p w:rsidR="008466C9" w:rsidRPr="008466C9" w:rsidRDefault="008466C9">
            <w:pPr>
              <w:jc w:val="center"/>
              <w:rPr>
                <w:rFonts w:ascii="Times New Roman" w:hAnsi="Times New Roman" w:cs="Times New Roman"/>
                <w:color w:val="000000"/>
                <w:sz w:val="16"/>
                <w:szCs w:val="16"/>
              </w:rPr>
            </w:pPr>
            <w:r w:rsidRPr="008466C9">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r w:rsidRPr="008466C9">
              <w:rPr>
                <w:rFonts w:ascii="Times New Roman" w:hAnsi="Times New Roman" w:cs="Times New Roman"/>
                <w:color w:val="000000"/>
                <w:sz w:val="16"/>
                <w:szCs w:val="16"/>
              </w:rPr>
              <w:t>2,2</w:t>
            </w:r>
          </w:p>
        </w:tc>
        <w:tc>
          <w:tcPr>
            <w:tcW w:w="1400" w:type="pct"/>
            <w:shd w:val="clear" w:color="auto" w:fill="FFFFFF" w:themeFill="background1"/>
            <w:vAlign w:val="center"/>
          </w:tcPr>
          <w:p w:rsidR="008466C9" w:rsidRPr="008466C9" w:rsidRDefault="008466C9">
            <w:pPr>
              <w:jc w:val="center"/>
              <w:rPr>
                <w:rFonts w:ascii="Times New Roman" w:hAnsi="Times New Roman" w:cs="Times New Roman"/>
                <w:color w:val="000000"/>
                <w:sz w:val="16"/>
                <w:szCs w:val="16"/>
              </w:rPr>
            </w:pPr>
            <w:r w:rsidRPr="008466C9">
              <w:rPr>
                <w:rFonts w:ascii="Times New Roman" w:hAnsi="Times New Roman" w:cs="Times New Roman"/>
                <w:color w:val="000000"/>
                <w:sz w:val="16"/>
                <w:szCs w:val="16"/>
              </w:rPr>
              <w:t>0,6</w:t>
            </w:r>
          </w:p>
        </w:tc>
      </w:tr>
      <w:tr w:rsidR="008466C9" w:rsidRPr="00C75C71" w:rsidTr="0073293A">
        <w:trPr>
          <w:trHeight w:val="153"/>
          <w:jc w:val="center"/>
        </w:trPr>
        <w:tc>
          <w:tcPr>
            <w:tcW w:w="771" w:type="pct"/>
            <w:shd w:val="clear" w:color="auto" w:fill="FFFFFF" w:themeFill="background1"/>
            <w:noWrap/>
            <w:vAlign w:val="center"/>
          </w:tcPr>
          <w:p w:rsidR="008466C9" w:rsidRPr="00C10ED1" w:rsidRDefault="008466C9">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t>31 XII '05</w:t>
            </w:r>
          </w:p>
        </w:tc>
        <w:tc>
          <w:tcPr>
            <w:tcW w:w="1428" w:type="pct"/>
            <w:shd w:val="clear" w:color="auto" w:fill="FFFFFF" w:themeFill="background1"/>
            <w:noWrap/>
            <w:vAlign w:val="center"/>
          </w:tcPr>
          <w:p w:rsidR="008466C9" w:rsidRPr="00C10ED1" w:rsidRDefault="008466C9">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t>139 059</w:t>
            </w:r>
          </w:p>
        </w:tc>
        <w:tc>
          <w:tcPr>
            <w:tcW w:w="1400" w:type="pct"/>
            <w:shd w:val="clear" w:color="auto" w:fill="FFFFFF" w:themeFill="background1"/>
            <w:vAlign w:val="center"/>
          </w:tcPr>
          <w:p w:rsidR="008466C9" w:rsidRPr="008466C9" w:rsidRDefault="008466C9">
            <w:pPr>
              <w:jc w:val="center"/>
              <w:rPr>
                <w:rFonts w:ascii="Times New Roman" w:hAnsi="Times New Roman" w:cs="Times New Roman"/>
                <w:color w:val="000000"/>
                <w:sz w:val="16"/>
                <w:szCs w:val="16"/>
              </w:rPr>
            </w:pPr>
            <w:r w:rsidRPr="008466C9">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r w:rsidRPr="008466C9">
              <w:rPr>
                <w:rFonts w:ascii="Times New Roman" w:hAnsi="Times New Roman" w:cs="Times New Roman"/>
                <w:color w:val="000000"/>
                <w:sz w:val="16"/>
                <w:szCs w:val="16"/>
              </w:rPr>
              <w:t>0,3</w:t>
            </w:r>
          </w:p>
        </w:tc>
        <w:tc>
          <w:tcPr>
            <w:tcW w:w="1400" w:type="pct"/>
            <w:shd w:val="clear" w:color="auto" w:fill="FFFFFF" w:themeFill="background1"/>
            <w:vAlign w:val="center"/>
          </w:tcPr>
          <w:p w:rsidR="008466C9" w:rsidRPr="008466C9" w:rsidRDefault="008466C9">
            <w:pPr>
              <w:jc w:val="center"/>
              <w:rPr>
                <w:rFonts w:ascii="Times New Roman" w:hAnsi="Times New Roman" w:cs="Times New Roman"/>
                <w:color w:val="000000"/>
                <w:sz w:val="16"/>
                <w:szCs w:val="16"/>
              </w:rPr>
            </w:pPr>
            <w:r w:rsidRPr="008466C9">
              <w:rPr>
                <w:rFonts w:ascii="Times New Roman" w:hAnsi="Times New Roman" w:cs="Times New Roman"/>
                <w:color w:val="000000"/>
                <w:sz w:val="16"/>
                <w:szCs w:val="16"/>
              </w:rPr>
              <w:t>0,2</w:t>
            </w:r>
          </w:p>
        </w:tc>
      </w:tr>
      <w:tr w:rsidR="008466C9" w:rsidRPr="00C75C71" w:rsidTr="0073293A">
        <w:trPr>
          <w:trHeight w:val="71"/>
          <w:jc w:val="center"/>
        </w:trPr>
        <w:tc>
          <w:tcPr>
            <w:tcW w:w="771" w:type="pct"/>
            <w:shd w:val="clear" w:color="auto" w:fill="FFFFFF" w:themeFill="background1"/>
            <w:noWrap/>
            <w:vAlign w:val="center"/>
          </w:tcPr>
          <w:p w:rsidR="008466C9" w:rsidRPr="00C10ED1" w:rsidRDefault="008466C9">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lastRenderedPageBreak/>
              <w:t>31 XII '06</w:t>
            </w:r>
          </w:p>
        </w:tc>
        <w:tc>
          <w:tcPr>
            <w:tcW w:w="1428" w:type="pct"/>
            <w:shd w:val="clear" w:color="auto" w:fill="FFFFFF" w:themeFill="background1"/>
            <w:noWrap/>
            <w:vAlign w:val="center"/>
          </w:tcPr>
          <w:p w:rsidR="008466C9" w:rsidRPr="00C10ED1" w:rsidRDefault="008466C9">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t>140 656</w:t>
            </w:r>
          </w:p>
        </w:tc>
        <w:tc>
          <w:tcPr>
            <w:tcW w:w="1400" w:type="pct"/>
            <w:shd w:val="clear" w:color="auto" w:fill="FFFFFF" w:themeFill="background1"/>
            <w:vAlign w:val="center"/>
          </w:tcPr>
          <w:p w:rsidR="008466C9" w:rsidRPr="008466C9" w:rsidRDefault="008466C9">
            <w:pPr>
              <w:jc w:val="center"/>
              <w:rPr>
                <w:rFonts w:ascii="Times New Roman" w:hAnsi="Times New Roman" w:cs="Times New Roman"/>
                <w:color w:val="000000"/>
                <w:sz w:val="16"/>
                <w:szCs w:val="16"/>
              </w:rPr>
            </w:pPr>
            <w:r w:rsidRPr="008466C9">
              <w:rPr>
                <w:rFonts w:ascii="Times New Roman" w:hAnsi="Times New Roman" w:cs="Times New Roman"/>
                <w:color w:val="000000"/>
                <w:sz w:val="16"/>
                <w:szCs w:val="16"/>
              </w:rPr>
              <w:t>1,1</w:t>
            </w:r>
          </w:p>
        </w:tc>
        <w:tc>
          <w:tcPr>
            <w:tcW w:w="1400" w:type="pct"/>
            <w:shd w:val="clear" w:color="auto" w:fill="FFFFFF" w:themeFill="background1"/>
            <w:vAlign w:val="center"/>
          </w:tcPr>
          <w:p w:rsidR="008466C9" w:rsidRPr="008466C9" w:rsidRDefault="008466C9">
            <w:pPr>
              <w:jc w:val="center"/>
              <w:rPr>
                <w:rFonts w:ascii="Times New Roman" w:hAnsi="Times New Roman" w:cs="Times New Roman"/>
                <w:color w:val="000000"/>
                <w:sz w:val="16"/>
                <w:szCs w:val="16"/>
              </w:rPr>
            </w:pPr>
            <w:r w:rsidRPr="008466C9">
              <w:rPr>
                <w:rFonts w:ascii="Times New Roman" w:hAnsi="Times New Roman" w:cs="Times New Roman"/>
                <w:color w:val="000000"/>
                <w:sz w:val="16"/>
                <w:szCs w:val="16"/>
              </w:rPr>
              <w:t>1,4</w:t>
            </w:r>
          </w:p>
        </w:tc>
      </w:tr>
      <w:tr w:rsidR="008466C9" w:rsidRPr="00C75C71" w:rsidTr="0073293A">
        <w:trPr>
          <w:trHeight w:val="145"/>
          <w:jc w:val="center"/>
        </w:trPr>
        <w:tc>
          <w:tcPr>
            <w:tcW w:w="771" w:type="pct"/>
            <w:shd w:val="clear" w:color="auto" w:fill="FFFFFF" w:themeFill="background1"/>
            <w:noWrap/>
            <w:vAlign w:val="center"/>
          </w:tcPr>
          <w:p w:rsidR="008466C9" w:rsidRPr="00C10ED1" w:rsidRDefault="008466C9">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t>31 XII '07</w:t>
            </w:r>
          </w:p>
        </w:tc>
        <w:tc>
          <w:tcPr>
            <w:tcW w:w="1428" w:type="pct"/>
            <w:shd w:val="clear" w:color="auto" w:fill="FFFFFF" w:themeFill="background1"/>
            <w:noWrap/>
            <w:vAlign w:val="center"/>
          </w:tcPr>
          <w:p w:rsidR="008466C9" w:rsidRPr="00C10ED1" w:rsidRDefault="008466C9">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t>142 056</w:t>
            </w:r>
          </w:p>
        </w:tc>
        <w:tc>
          <w:tcPr>
            <w:tcW w:w="1400" w:type="pct"/>
            <w:shd w:val="clear" w:color="auto" w:fill="FFFFFF" w:themeFill="background1"/>
            <w:vAlign w:val="center"/>
          </w:tcPr>
          <w:p w:rsidR="008466C9" w:rsidRPr="008466C9" w:rsidRDefault="008466C9">
            <w:pPr>
              <w:jc w:val="center"/>
              <w:rPr>
                <w:rFonts w:ascii="Times New Roman" w:hAnsi="Times New Roman" w:cs="Times New Roman"/>
                <w:color w:val="000000"/>
                <w:sz w:val="16"/>
                <w:szCs w:val="16"/>
              </w:rPr>
            </w:pPr>
            <w:r w:rsidRPr="008466C9">
              <w:rPr>
                <w:rFonts w:ascii="Times New Roman" w:hAnsi="Times New Roman" w:cs="Times New Roman"/>
                <w:color w:val="000000"/>
                <w:sz w:val="16"/>
                <w:szCs w:val="16"/>
              </w:rPr>
              <w:t>1,0</w:t>
            </w:r>
          </w:p>
        </w:tc>
        <w:tc>
          <w:tcPr>
            <w:tcW w:w="1400" w:type="pct"/>
            <w:shd w:val="clear" w:color="auto" w:fill="FFFFFF" w:themeFill="background1"/>
            <w:vAlign w:val="center"/>
          </w:tcPr>
          <w:p w:rsidR="008466C9" w:rsidRPr="008466C9" w:rsidRDefault="008466C9">
            <w:pPr>
              <w:jc w:val="center"/>
              <w:rPr>
                <w:rFonts w:ascii="Times New Roman" w:hAnsi="Times New Roman" w:cs="Times New Roman"/>
                <w:color w:val="000000"/>
                <w:sz w:val="16"/>
                <w:szCs w:val="16"/>
              </w:rPr>
            </w:pPr>
            <w:r w:rsidRPr="008466C9">
              <w:rPr>
                <w:rFonts w:ascii="Times New Roman" w:hAnsi="Times New Roman" w:cs="Times New Roman"/>
                <w:color w:val="000000"/>
                <w:sz w:val="16"/>
                <w:szCs w:val="16"/>
              </w:rPr>
              <w:t>2,4</w:t>
            </w:r>
          </w:p>
        </w:tc>
      </w:tr>
      <w:tr w:rsidR="008466C9" w:rsidRPr="00C75C71" w:rsidTr="0073293A">
        <w:trPr>
          <w:trHeight w:val="63"/>
          <w:jc w:val="center"/>
        </w:trPr>
        <w:tc>
          <w:tcPr>
            <w:tcW w:w="771" w:type="pct"/>
            <w:shd w:val="clear" w:color="auto" w:fill="FFFFFF" w:themeFill="background1"/>
            <w:noWrap/>
            <w:vAlign w:val="center"/>
          </w:tcPr>
          <w:p w:rsidR="008466C9" w:rsidRPr="00C10ED1" w:rsidRDefault="008466C9">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t>31 XII '08</w:t>
            </w:r>
          </w:p>
        </w:tc>
        <w:tc>
          <w:tcPr>
            <w:tcW w:w="1428" w:type="pct"/>
            <w:shd w:val="clear" w:color="auto" w:fill="FFFFFF" w:themeFill="background1"/>
            <w:noWrap/>
            <w:vAlign w:val="center"/>
          </w:tcPr>
          <w:p w:rsidR="008466C9" w:rsidRPr="00C10ED1" w:rsidRDefault="008466C9">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t>144 263</w:t>
            </w:r>
          </w:p>
        </w:tc>
        <w:tc>
          <w:tcPr>
            <w:tcW w:w="1400" w:type="pct"/>
            <w:shd w:val="clear" w:color="auto" w:fill="FFFFFF" w:themeFill="background1"/>
            <w:vAlign w:val="center"/>
          </w:tcPr>
          <w:p w:rsidR="008466C9" w:rsidRPr="008466C9" w:rsidRDefault="008466C9">
            <w:pPr>
              <w:jc w:val="center"/>
              <w:rPr>
                <w:rFonts w:ascii="Times New Roman" w:hAnsi="Times New Roman" w:cs="Times New Roman"/>
                <w:color w:val="000000"/>
                <w:sz w:val="16"/>
                <w:szCs w:val="16"/>
              </w:rPr>
            </w:pPr>
            <w:r w:rsidRPr="008466C9">
              <w:rPr>
                <w:rFonts w:ascii="Times New Roman" w:hAnsi="Times New Roman" w:cs="Times New Roman"/>
                <w:color w:val="000000"/>
                <w:sz w:val="16"/>
                <w:szCs w:val="16"/>
              </w:rPr>
              <w:t>1,6</w:t>
            </w:r>
          </w:p>
        </w:tc>
        <w:tc>
          <w:tcPr>
            <w:tcW w:w="1400" w:type="pct"/>
            <w:shd w:val="clear" w:color="auto" w:fill="FFFFFF" w:themeFill="background1"/>
            <w:vAlign w:val="center"/>
          </w:tcPr>
          <w:p w:rsidR="008466C9" w:rsidRPr="008466C9" w:rsidRDefault="008466C9">
            <w:pPr>
              <w:jc w:val="center"/>
              <w:rPr>
                <w:rFonts w:ascii="Times New Roman" w:hAnsi="Times New Roman" w:cs="Times New Roman"/>
                <w:color w:val="000000"/>
                <w:sz w:val="16"/>
                <w:szCs w:val="16"/>
              </w:rPr>
            </w:pPr>
            <w:r w:rsidRPr="008466C9">
              <w:rPr>
                <w:rFonts w:ascii="Times New Roman" w:hAnsi="Times New Roman" w:cs="Times New Roman"/>
                <w:color w:val="000000"/>
                <w:sz w:val="16"/>
                <w:szCs w:val="16"/>
              </w:rPr>
              <w:t>4,0</w:t>
            </w:r>
          </w:p>
        </w:tc>
      </w:tr>
      <w:tr w:rsidR="008466C9" w:rsidRPr="00C75C71" w:rsidTr="0073293A">
        <w:trPr>
          <w:trHeight w:val="137"/>
          <w:jc w:val="center"/>
        </w:trPr>
        <w:tc>
          <w:tcPr>
            <w:tcW w:w="771" w:type="pct"/>
            <w:shd w:val="clear" w:color="auto" w:fill="FFFFFF" w:themeFill="background1"/>
            <w:noWrap/>
            <w:vAlign w:val="center"/>
          </w:tcPr>
          <w:p w:rsidR="008466C9" w:rsidRPr="00C10ED1" w:rsidRDefault="008466C9">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t>31 XII '09</w:t>
            </w:r>
          </w:p>
        </w:tc>
        <w:tc>
          <w:tcPr>
            <w:tcW w:w="1428" w:type="pct"/>
            <w:shd w:val="clear" w:color="auto" w:fill="FFFFFF" w:themeFill="background1"/>
            <w:noWrap/>
            <w:vAlign w:val="center"/>
          </w:tcPr>
          <w:p w:rsidR="008466C9" w:rsidRPr="00C10ED1" w:rsidRDefault="008466C9">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t>144 999</w:t>
            </w:r>
          </w:p>
        </w:tc>
        <w:tc>
          <w:tcPr>
            <w:tcW w:w="1400" w:type="pct"/>
            <w:shd w:val="clear" w:color="auto" w:fill="FFFFFF" w:themeFill="background1"/>
            <w:vAlign w:val="center"/>
          </w:tcPr>
          <w:p w:rsidR="008466C9" w:rsidRPr="008466C9" w:rsidRDefault="008466C9">
            <w:pPr>
              <w:jc w:val="center"/>
              <w:rPr>
                <w:rFonts w:ascii="Times New Roman" w:hAnsi="Times New Roman" w:cs="Times New Roman"/>
                <w:color w:val="000000"/>
                <w:sz w:val="16"/>
                <w:szCs w:val="16"/>
              </w:rPr>
            </w:pPr>
            <w:r w:rsidRPr="008466C9">
              <w:rPr>
                <w:rFonts w:ascii="Times New Roman" w:hAnsi="Times New Roman" w:cs="Times New Roman"/>
                <w:color w:val="000000"/>
                <w:sz w:val="16"/>
                <w:szCs w:val="16"/>
              </w:rPr>
              <w:t>0,5</w:t>
            </w:r>
          </w:p>
        </w:tc>
        <w:tc>
          <w:tcPr>
            <w:tcW w:w="1400" w:type="pct"/>
            <w:shd w:val="clear" w:color="auto" w:fill="FFFFFF" w:themeFill="background1"/>
            <w:vAlign w:val="center"/>
          </w:tcPr>
          <w:p w:rsidR="008466C9" w:rsidRPr="008466C9" w:rsidRDefault="008466C9">
            <w:pPr>
              <w:jc w:val="center"/>
              <w:rPr>
                <w:rFonts w:ascii="Times New Roman" w:hAnsi="Times New Roman" w:cs="Times New Roman"/>
                <w:color w:val="000000"/>
                <w:sz w:val="16"/>
                <w:szCs w:val="16"/>
              </w:rPr>
            </w:pPr>
            <w:r w:rsidRPr="008466C9">
              <w:rPr>
                <w:rFonts w:ascii="Times New Roman" w:hAnsi="Times New Roman" w:cs="Times New Roman"/>
                <w:color w:val="000000"/>
                <w:sz w:val="16"/>
                <w:szCs w:val="16"/>
              </w:rPr>
              <w:t>4,5</w:t>
            </w:r>
          </w:p>
        </w:tc>
      </w:tr>
      <w:tr w:rsidR="008466C9" w:rsidRPr="00C75C71" w:rsidTr="0073293A">
        <w:trPr>
          <w:trHeight w:val="198"/>
          <w:jc w:val="center"/>
        </w:trPr>
        <w:tc>
          <w:tcPr>
            <w:tcW w:w="771" w:type="pct"/>
            <w:shd w:val="clear" w:color="auto" w:fill="auto"/>
            <w:noWrap/>
            <w:vAlign w:val="center"/>
          </w:tcPr>
          <w:p w:rsidR="008466C9" w:rsidRPr="00C10ED1" w:rsidRDefault="008466C9">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t>31 XII '10</w:t>
            </w:r>
          </w:p>
        </w:tc>
        <w:tc>
          <w:tcPr>
            <w:tcW w:w="1428" w:type="pct"/>
            <w:shd w:val="clear" w:color="auto" w:fill="auto"/>
            <w:noWrap/>
            <w:vAlign w:val="center"/>
          </w:tcPr>
          <w:p w:rsidR="008466C9" w:rsidRPr="00C10ED1" w:rsidRDefault="008466C9">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t>152 618</w:t>
            </w:r>
          </w:p>
        </w:tc>
        <w:tc>
          <w:tcPr>
            <w:tcW w:w="1400" w:type="pct"/>
            <w:shd w:val="clear" w:color="auto" w:fill="auto"/>
            <w:vAlign w:val="center"/>
          </w:tcPr>
          <w:p w:rsidR="008466C9" w:rsidRPr="008466C9" w:rsidRDefault="008466C9">
            <w:pPr>
              <w:jc w:val="center"/>
              <w:rPr>
                <w:rFonts w:ascii="Times New Roman" w:hAnsi="Times New Roman" w:cs="Times New Roman"/>
                <w:color w:val="000000"/>
                <w:sz w:val="16"/>
                <w:szCs w:val="16"/>
              </w:rPr>
            </w:pPr>
            <w:r w:rsidRPr="008466C9">
              <w:rPr>
                <w:rFonts w:ascii="Times New Roman" w:hAnsi="Times New Roman" w:cs="Times New Roman"/>
                <w:color w:val="000000"/>
                <w:sz w:val="16"/>
                <w:szCs w:val="16"/>
              </w:rPr>
              <w:t>5,3</w:t>
            </w:r>
          </w:p>
        </w:tc>
        <w:tc>
          <w:tcPr>
            <w:tcW w:w="1400" w:type="pct"/>
            <w:vAlign w:val="center"/>
          </w:tcPr>
          <w:p w:rsidR="008466C9" w:rsidRPr="008466C9" w:rsidRDefault="008466C9">
            <w:pPr>
              <w:jc w:val="center"/>
              <w:rPr>
                <w:rFonts w:ascii="Times New Roman" w:hAnsi="Times New Roman" w:cs="Times New Roman"/>
                <w:color w:val="000000"/>
                <w:sz w:val="16"/>
                <w:szCs w:val="16"/>
              </w:rPr>
            </w:pPr>
            <w:r w:rsidRPr="008466C9">
              <w:rPr>
                <w:rFonts w:ascii="Times New Roman" w:hAnsi="Times New Roman" w:cs="Times New Roman"/>
                <w:color w:val="000000"/>
                <w:sz w:val="16"/>
                <w:szCs w:val="16"/>
              </w:rPr>
              <w:t>10,0</w:t>
            </w:r>
          </w:p>
        </w:tc>
      </w:tr>
      <w:tr w:rsidR="008466C9" w:rsidRPr="00C75C71" w:rsidTr="0073293A">
        <w:trPr>
          <w:trHeight w:val="129"/>
          <w:jc w:val="center"/>
        </w:trPr>
        <w:tc>
          <w:tcPr>
            <w:tcW w:w="771" w:type="pct"/>
            <w:shd w:val="clear" w:color="auto" w:fill="FFFFFF" w:themeFill="background1"/>
            <w:noWrap/>
            <w:vAlign w:val="center"/>
          </w:tcPr>
          <w:p w:rsidR="008466C9" w:rsidRPr="00C10ED1" w:rsidRDefault="008466C9">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t>31 XII '11</w:t>
            </w:r>
          </w:p>
        </w:tc>
        <w:tc>
          <w:tcPr>
            <w:tcW w:w="1428" w:type="pct"/>
            <w:shd w:val="clear" w:color="auto" w:fill="FFFFFF" w:themeFill="background1"/>
            <w:noWrap/>
            <w:vAlign w:val="center"/>
          </w:tcPr>
          <w:p w:rsidR="008466C9" w:rsidRPr="00C10ED1" w:rsidRDefault="008466C9">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t>151 091</w:t>
            </w:r>
          </w:p>
        </w:tc>
        <w:tc>
          <w:tcPr>
            <w:tcW w:w="1400" w:type="pct"/>
            <w:shd w:val="clear" w:color="auto" w:fill="FFFFFF" w:themeFill="background1"/>
            <w:vAlign w:val="center"/>
          </w:tcPr>
          <w:p w:rsidR="008466C9" w:rsidRPr="008466C9" w:rsidRDefault="008466C9">
            <w:pPr>
              <w:jc w:val="center"/>
              <w:rPr>
                <w:rFonts w:ascii="Times New Roman" w:hAnsi="Times New Roman" w:cs="Times New Roman"/>
                <w:color w:val="000000"/>
                <w:sz w:val="16"/>
                <w:szCs w:val="16"/>
              </w:rPr>
            </w:pPr>
            <w:r w:rsidRPr="008466C9">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r w:rsidRPr="008466C9">
              <w:rPr>
                <w:rFonts w:ascii="Times New Roman" w:hAnsi="Times New Roman" w:cs="Times New Roman"/>
                <w:color w:val="000000"/>
                <w:sz w:val="16"/>
                <w:szCs w:val="16"/>
              </w:rPr>
              <w:t>1,0</w:t>
            </w:r>
          </w:p>
        </w:tc>
        <w:tc>
          <w:tcPr>
            <w:tcW w:w="1400" w:type="pct"/>
            <w:shd w:val="clear" w:color="auto" w:fill="FFFFFF" w:themeFill="background1"/>
            <w:vAlign w:val="center"/>
          </w:tcPr>
          <w:p w:rsidR="008466C9" w:rsidRPr="008466C9" w:rsidRDefault="008466C9">
            <w:pPr>
              <w:jc w:val="center"/>
              <w:rPr>
                <w:rFonts w:ascii="Times New Roman" w:hAnsi="Times New Roman" w:cs="Times New Roman"/>
                <w:color w:val="000000"/>
                <w:sz w:val="16"/>
                <w:szCs w:val="16"/>
              </w:rPr>
            </w:pPr>
            <w:r w:rsidRPr="008466C9">
              <w:rPr>
                <w:rFonts w:ascii="Times New Roman" w:hAnsi="Times New Roman" w:cs="Times New Roman"/>
                <w:color w:val="000000"/>
                <w:sz w:val="16"/>
                <w:szCs w:val="16"/>
              </w:rPr>
              <w:t>8,9</w:t>
            </w:r>
          </w:p>
        </w:tc>
      </w:tr>
      <w:tr w:rsidR="008466C9" w:rsidRPr="00C75C71" w:rsidTr="0073293A">
        <w:trPr>
          <w:trHeight w:val="47"/>
          <w:jc w:val="center"/>
        </w:trPr>
        <w:tc>
          <w:tcPr>
            <w:tcW w:w="771" w:type="pct"/>
            <w:shd w:val="clear" w:color="auto" w:fill="FFFFFF" w:themeFill="background1"/>
            <w:noWrap/>
            <w:vAlign w:val="center"/>
          </w:tcPr>
          <w:p w:rsidR="008466C9" w:rsidRPr="00C10ED1" w:rsidRDefault="008466C9">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t>31 XII '12</w:t>
            </w:r>
          </w:p>
        </w:tc>
        <w:tc>
          <w:tcPr>
            <w:tcW w:w="1428" w:type="pct"/>
            <w:shd w:val="clear" w:color="auto" w:fill="FFFFFF" w:themeFill="background1"/>
            <w:noWrap/>
            <w:vAlign w:val="center"/>
          </w:tcPr>
          <w:p w:rsidR="008466C9" w:rsidRPr="00C10ED1" w:rsidRDefault="008466C9">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t>155 034</w:t>
            </w:r>
          </w:p>
        </w:tc>
        <w:tc>
          <w:tcPr>
            <w:tcW w:w="1400" w:type="pct"/>
            <w:shd w:val="clear" w:color="auto" w:fill="FFFFFF" w:themeFill="background1"/>
            <w:vAlign w:val="center"/>
          </w:tcPr>
          <w:p w:rsidR="008466C9" w:rsidRPr="008466C9" w:rsidRDefault="008466C9">
            <w:pPr>
              <w:jc w:val="center"/>
              <w:rPr>
                <w:rFonts w:ascii="Times New Roman" w:hAnsi="Times New Roman" w:cs="Times New Roman"/>
                <w:color w:val="000000"/>
                <w:sz w:val="16"/>
                <w:szCs w:val="16"/>
              </w:rPr>
            </w:pPr>
            <w:r w:rsidRPr="008466C9">
              <w:rPr>
                <w:rFonts w:ascii="Times New Roman" w:hAnsi="Times New Roman" w:cs="Times New Roman"/>
                <w:color w:val="000000"/>
                <w:sz w:val="16"/>
                <w:szCs w:val="16"/>
              </w:rPr>
              <w:t>2,6</w:t>
            </w:r>
          </w:p>
        </w:tc>
        <w:tc>
          <w:tcPr>
            <w:tcW w:w="1400" w:type="pct"/>
            <w:shd w:val="clear" w:color="auto" w:fill="FFFFFF" w:themeFill="background1"/>
            <w:vAlign w:val="center"/>
          </w:tcPr>
          <w:p w:rsidR="008466C9" w:rsidRPr="008466C9" w:rsidRDefault="008466C9">
            <w:pPr>
              <w:jc w:val="center"/>
              <w:rPr>
                <w:rFonts w:ascii="Times New Roman" w:hAnsi="Times New Roman" w:cs="Times New Roman"/>
                <w:color w:val="000000"/>
                <w:sz w:val="16"/>
                <w:szCs w:val="16"/>
              </w:rPr>
            </w:pPr>
            <w:r w:rsidRPr="008466C9">
              <w:rPr>
                <w:rFonts w:ascii="Times New Roman" w:hAnsi="Times New Roman" w:cs="Times New Roman"/>
                <w:color w:val="000000"/>
                <w:sz w:val="16"/>
                <w:szCs w:val="16"/>
              </w:rPr>
              <w:t>11,8</w:t>
            </w:r>
          </w:p>
        </w:tc>
      </w:tr>
      <w:tr w:rsidR="008466C9" w:rsidRPr="00C75C71" w:rsidTr="0073293A">
        <w:trPr>
          <w:trHeight w:val="122"/>
          <w:jc w:val="center"/>
        </w:trPr>
        <w:tc>
          <w:tcPr>
            <w:tcW w:w="771" w:type="pct"/>
            <w:shd w:val="clear" w:color="auto" w:fill="FFFFFF" w:themeFill="background1"/>
            <w:noWrap/>
            <w:vAlign w:val="center"/>
          </w:tcPr>
          <w:p w:rsidR="008466C9" w:rsidRPr="00C10ED1" w:rsidRDefault="008466C9">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t>31 XII '13</w:t>
            </w:r>
          </w:p>
        </w:tc>
        <w:tc>
          <w:tcPr>
            <w:tcW w:w="1428" w:type="pct"/>
            <w:shd w:val="clear" w:color="auto" w:fill="FFFFFF" w:themeFill="background1"/>
            <w:noWrap/>
            <w:vAlign w:val="center"/>
          </w:tcPr>
          <w:p w:rsidR="008466C9" w:rsidRPr="00C10ED1" w:rsidRDefault="008466C9">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t>159 627</w:t>
            </w:r>
          </w:p>
        </w:tc>
        <w:tc>
          <w:tcPr>
            <w:tcW w:w="1400" w:type="pct"/>
            <w:shd w:val="clear" w:color="auto" w:fill="FFFFFF" w:themeFill="background1"/>
            <w:vAlign w:val="center"/>
          </w:tcPr>
          <w:p w:rsidR="008466C9" w:rsidRPr="008466C9" w:rsidRDefault="008466C9">
            <w:pPr>
              <w:jc w:val="center"/>
              <w:rPr>
                <w:rFonts w:ascii="Times New Roman" w:hAnsi="Times New Roman" w:cs="Times New Roman"/>
                <w:color w:val="000000"/>
                <w:sz w:val="16"/>
                <w:szCs w:val="16"/>
              </w:rPr>
            </w:pPr>
            <w:r w:rsidRPr="008466C9">
              <w:rPr>
                <w:rFonts w:ascii="Times New Roman" w:hAnsi="Times New Roman" w:cs="Times New Roman"/>
                <w:color w:val="000000"/>
                <w:sz w:val="16"/>
                <w:szCs w:val="16"/>
              </w:rPr>
              <w:t>3,0</w:t>
            </w:r>
          </w:p>
        </w:tc>
        <w:tc>
          <w:tcPr>
            <w:tcW w:w="1400" w:type="pct"/>
            <w:shd w:val="clear" w:color="auto" w:fill="FFFFFF" w:themeFill="background1"/>
            <w:vAlign w:val="center"/>
          </w:tcPr>
          <w:p w:rsidR="008466C9" w:rsidRPr="008466C9" w:rsidRDefault="008466C9">
            <w:pPr>
              <w:jc w:val="center"/>
              <w:rPr>
                <w:rFonts w:ascii="Times New Roman" w:hAnsi="Times New Roman" w:cs="Times New Roman"/>
                <w:color w:val="000000"/>
                <w:sz w:val="16"/>
                <w:szCs w:val="16"/>
              </w:rPr>
            </w:pPr>
            <w:r w:rsidRPr="008466C9">
              <w:rPr>
                <w:rFonts w:ascii="Times New Roman" w:hAnsi="Times New Roman" w:cs="Times New Roman"/>
                <w:color w:val="000000"/>
                <w:sz w:val="16"/>
                <w:szCs w:val="16"/>
              </w:rPr>
              <w:t>15,1</w:t>
            </w:r>
          </w:p>
        </w:tc>
      </w:tr>
      <w:tr w:rsidR="008466C9" w:rsidRPr="00C75C71" w:rsidTr="0073293A">
        <w:trPr>
          <w:trHeight w:val="47"/>
          <w:jc w:val="center"/>
        </w:trPr>
        <w:tc>
          <w:tcPr>
            <w:tcW w:w="771" w:type="pct"/>
            <w:shd w:val="clear" w:color="auto" w:fill="FFFFFF" w:themeFill="background1"/>
            <w:noWrap/>
            <w:vAlign w:val="center"/>
          </w:tcPr>
          <w:p w:rsidR="008466C9" w:rsidRPr="00C10ED1" w:rsidRDefault="008466C9">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t>31 XII '14</w:t>
            </w:r>
          </w:p>
        </w:tc>
        <w:tc>
          <w:tcPr>
            <w:tcW w:w="1428" w:type="pct"/>
            <w:shd w:val="clear" w:color="auto" w:fill="FFFFFF" w:themeFill="background1"/>
            <w:noWrap/>
            <w:vAlign w:val="center"/>
          </w:tcPr>
          <w:p w:rsidR="008466C9" w:rsidRPr="00C10ED1" w:rsidRDefault="008466C9">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t>162 556</w:t>
            </w:r>
          </w:p>
        </w:tc>
        <w:tc>
          <w:tcPr>
            <w:tcW w:w="1400" w:type="pct"/>
            <w:shd w:val="clear" w:color="auto" w:fill="FFFFFF" w:themeFill="background1"/>
            <w:vAlign w:val="center"/>
          </w:tcPr>
          <w:p w:rsidR="008466C9" w:rsidRPr="008466C9" w:rsidRDefault="008466C9">
            <w:pPr>
              <w:jc w:val="center"/>
              <w:rPr>
                <w:rFonts w:ascii="Times New Roman" w:hAnsi="Times New Roman" w:cs="Times New Roman"/>
                <w:color w:val="000000"/>
                <w:sz w:val="16"/>
                <w:szCs w:val="16"/>
              </w:rPr>
            </w:pPr>
            <w:r w:rsidRPr="008466C9">
              <w:rPr>
                <w:rFonts w:ascii="Times New Roman" w:hAnsi="Times New Roman" w:cs="Times New Roman"/>
                <w:color w:val="000000"/>
                <w:sz w:val="16"/>
                <w:szCs w:val="16"/>
              </w:rPr>
              <w:t>1,8</w:t>
            </w:r>
          </w:p>
        </w:tc>
        <w:tc>
          <w:tcPr>
            <w:tcW w:w="1400" w:type="pct"/>
            <w:shd w:val="clear" w:color="auto" w:fill="FFFFFF" w:themeFill="background1"/>
            <w:vAlign w:val="center"/>
          </w:tcPr>
          <w:p w:rsidR="008466C9" w:rsidRPr="008466C9" w:rsidRDefault="008466C9">
            <w:pPr>
              <w:jc w:val="center"/>
              <w:rPr>
                <w:rFonts w:ascii="Times New Roman" w:hAnsi="Times New Roman" w:cs="Times New Roman"/>
                <w:color w:val="000000"/>
                <w:sz w:val="16"/>
                <w:szCs w:val="16"/>
              </w:rPr>
            </w:pPr>
            <w:r w:rsidRPr="008466C9">
              <w:rPr>
                <w:rFonts w:ascii="Times New Roman" w:hAnsi="Times New Roman" w:cs="Times New Roman"/>
                <w:color w:val="000000"/>
                <w:sz w:val="16"/>
                <w:szCs w:val="16"/>
              </w:rPr>
              <w:t>17,2</w:t>
            </w:r>
          </w:p>
        </w:tc>
      </w:tr>
      <w:tr w:rsidR="008466C9" w:rsidRPr="00C75C71" w:rsidTr="0073293A">
        <w:trPr>
          <w:trHeight w:val="47"/>
          <w:jc w:val="center"/>
        </w:trPr>
        <w:tc>
          <w:tcPr>
            <w:tcW w:w="771" w:type="pct"/>
            <w:shd w:val="clear" w:color="auto" w:fill="FFFFFF" w:themeFill="background1"/>
            <w:noWrap/>
            <w:vAlign w:val="center"/>
          </w:tcPr>
          <w:p w:rsidR="008466C9" w:rsidRPr="00C10ED1" w:rsidRDefault="008466C9">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t>31 XII '15</w:t>
            </w:r>
          </w:p>
        </w:tc>
        <w:tc>
          <w:tcPr>
            <w:tcW w:w="1428" w:type="pct"/>
            <w:shd w:val="clear" w:color="auto" w:fill="FFFFFF" w:themeFill="background1"/>
            <w:noWrap/>
            <w:vAlign w:val="center"/>
          </w:tcPr>
          <w:p w:rsidR="008466C9" w:rsidRPr="00C10ED1" w:rsidRDefault="008466C9">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t>165 155</w:t>
            </w:r>
          </w:p>
        </w:tc>
        <w:tc>
          <w:tcPr>
            <w:tcW w:w="1400" w:type="pct"/>
            <w:shd w:val="clear" w:color="auto" w:fill="FFFFFF" w:themeFill="background1"/>
            <w:vAlign w:val="center"/>
          </w:tcPr>
          <w:p w:rsidR="008466C9" w:rsidRPr="008466C9" w:rsidRDefault="008466C9">
            <w:pPr>
              <w:jc w:val="center"/>
              <w:rPr>
                <w:rFonts w:ascii="Times New Roman" w:hAnsi="Times New Roman" w:cs="Times New Roman"/>
                <w:color w:val="000000"/>
                <w:sz w:val="16"/>
                <w:szCs w:val="16"/>
              </w:rPr>
            </w:pPr>
            <w:r w:rsidRPr="008466C9">
              <w:rPr>
                <w:rFonts w:ascii="Times New Roman" w:hAnsi="Times New Roman" w:cs="Times New Roman"/>
                <w:color w:val="000000"/>
                <w:sz w:val="16"/>
                <w:szCs w:val="16"/>
              </w:rPr>
              <w:t>1,6</w:t>
            </w:r>
          </w:p>
        </w:tc>
        <w:tc>
          <w:tcPr>
            <w:tcW w:w="1400" w:type="pct"/>
            <w:shd w:val="clear" w:color="auto" w:fill="FFFFFF" w:themeFill="background1"/>
            <w:vAlign w:val="center"/>
          </w:tcPr>
          <w:p w:rsidR="008466C9" w:rsidRPr="008466C9" w:rsidRDefault="008466C9">
            <w:pPr>
              <w:jc w:val="center"/>
              <w:rPr>
                <w:rFonts w:ascii="Times New Roman" w:hAnsi="Times New Roman" w:cs="Times New Roman"/>
                <w:color w:val="000000"/>
                <w:sz w:val="16"/>
                <w:szCs w:val="16"/>
              </w:rPr>
            </w:pPr>
            <w:r w:rsidRPr="008466C9">
              <w:rPr>
                <w:rFonts w:ascii="Times New Roman" w:hAnsi="Times New Roman" w:cs="Times New Roman"/>
                <w:color w:val="000000"/>
                <w:sz w:val="16"/>
                <w:szCs w:val="16"/>
              </w:rPr>
              <w:t>19,1</w:t>
            </w:r>
          </w:p>
        </w:tc>
      </w:tr>
      <w:tr w:rsidR="008466C9" w:rsidRPr="00C75C71" w:rsidTr="0073293A">
        <w:trPr>
          <w:trHeight w:val="47"/>
          <w:jc w:val="center"/>
        </w:trPr>
        <w:tc>
          <w:tcPr>
            <w:tcW w:w="771" w:type="pct"/>
            <w:shd w:val="clear" w:color="auto" w:fill="FFFFFF" w:themeFill="background1"/>
            <w:noWrap/>
            <w:vAlign w:val="center"/>
          </w:tcPr>
          <w:p w:rsidR="008466C9" w:rsidRPr="00C10ED1" w:rsidRDefault="008466C9">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t>31 XII '16</w:t>
            </w:r>
          </w:p>
        </w:tc>
        <w:tc>
          <w:tcPr>
            <w:tcW w:w="1428" w:type="pct"/>
            <w:shd w:val="clear" w:color="auto" w:fill="FFFFFF" w:themeFill="background1"/>
            <w:noWrap/>
            <w:vAlign w:val="center"/>
          </w:tcPr>
          <w:p w:rsidR="008466C9" w:rsidRPr="00C10ED1" w:rsidRDefault="008466C9">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t>167 749</w:t>
            </w:r>
          </w:p>
        </w:tc>
        <w:tc>
          <w:tcPr>
            <w:tcW w:w="1400" w:type="pct"/>
            <w:shd w:val="clear" w:color="auto" w:fill="FFFFFF" w:themeFill="background1"/>
            <w:vAlign w:val="center"/>
          </w:tcPr>
          <w:p w:rsidR="008466C9" w:rsidRPr="008466C9" w:rsidRDefault="008466C9">
            <w:pPr>
              <w:jc w:val="center"/>
              <w:rPr>
                <w:rFonts w:ascii="Times New Roman" w:hAnsi="Times New Roman" w:cs="Times New Roman"/>
                <w:color w:val="000000"/>
                <w:sz w:val="16"/>
                <w:szCs w:val="16"/>
              </w:rPr>
            </w:pPr>
            <w:r w:rsidRPr="008466C9">
              <w:rPr>
                <w:rFonts w:ascii="Times New Roman" w:hAnsi="Times New Roman" w:cs="Times New Roman"/>
                <w:color w:val="000000"/>
                <w:sz w:val="16"/>
                <w:szCs w:val="16"/>
              </w:rPr>
              <w:t>1,6</w:t>
            </w:r>
          </w:p>
        </w:tc>
        <w:tc>
          <w:tcPr>
            <w:tcW w:w="1400" w:type="pct"/>
            <w:shd w:val="clear" w:color="auto" w:fill="FFFFFF" w:themeFill="background1"/>
            <w:vAlign w:val="center"/>
          </w:tcPr>
          <w:p w:rsidR="008466C9" w:rsidRPr="008466C9" w:rsidRDefault="008466C9">
            <w:pPr>
              <w:jc w:val="center"/>
              <w:rPr>
                <w:rFonts w:ascii="Times New Roman" w:hAnsi="Times New Roman" w:cs="Times New Roman"/>
                <w:color w:val="000000"/>
                <w:sz w:val="16"/>
                <w:szCs w:val="16"/>
              </w:rPr>
            </w:pPr>
            <w:r w:rsidRPr="008466C9">
              <w:rPr>
                <w:rFonts w:ascii="Times New Roman" w:hAnsi="Times New Roman" w:cs="Times New Roman"/>
                <w:color w:val="000000"/>
                <w:sz w:val="16"/>
                <w:szCs w:val="16"/>
              </w:rPr>
              <w:t>20,9</w:t>
            </w:r>
          </w:p>
        </w:tc>
      </w:tr>
      <w:tr w:rsidR="008466C9" w:rsidRPr="00C75C71" w:rsidTr="0073293A">
        <w:trPr>
          <w:trHeight w:val="47"/>
          <w:jc w:val="center"/>
        </w:trPr>
        <w:tc>
          <w:tcPr>
            <w:tcW w:w="771" w:type="pct"/>
            <w:shd w:val="clear" w:color="auto" w:fill="FFFFFF" w:themeFill="background1"/>
            <w:noWrap/>
            <w:vAlign w:val="center"/>
          </w:tcPr>
          <w:p w:rsidR="008466C9" w:rsidRPr="00C10ED1" w:rsidRDefault="008466C9" w:rsidP="00F32733">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t>31 XII '17</w:t>
            </w:r>
          </w:p>
        </w:tc>
        <w:tc>
          <w:tcPr>
            <w:tcW w:w="1428" w:type="pct"/>
            <w:shd w:val="clear" w:color="auto" w:fill="FFFFFF" w:themeFill="background1"/>
            <w:noWrap/>
            <w:vAlign w:val="center"/>
          </w:tcPr>
          <w:p w:rsidR="008466C9" w:rsidRPr="00C10ED1" w:rsidRDefault="008466C9" w:rsidP="00F32733">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t>171</w:t>
            </w:r>
            <w:r>
              <w:rPr>
                <w:rFonts w:ascii="Times New Roman" w:hAnsi="Times New Roman" w:cs="Times New Roman"/>
                <w:color w:val="000000"/>
                <w:sz w:val="16"/>
                <w:szCs w:val="16"/>
              </w:rPr>
              <w:t> </w:t>
            </w:r>
            <w:r w:rsidRPr="00C10ED1">
              <w:rPr>
                <w:rFonts w:ascii="Times New Roman" w:hAnsi="Times New Roman" w:cs="Times New Roman"/>
                <w:color w:val="000000"/>
                <w:sz w:val="16"/>
                <w:szCs w:val="16"/>
              </w:rPr>
              <w:t>070</w:t>
            </w:r>
          </w:p>
        </w:tc>
        <w:tc>
          <w:tcPr>
            <w:tcW w:w="1400" w:type="pct"/>
            <w:shd w:val="clear" w:color="auto" w:fill="FFFFFF" w:themeFill="background1"/>
            <w:vAlign w:val="center"/>
          </w:tcPr>
          <w:p w:rsidR="008466C9" w:rsidRPr="008466C9" w:rsidRDefault="008466C9">
            <w:pPr>
              <w:jc w:val="center"/>
              <w:rPr>
                <w:rFonts w:ascii="Times New Roman" w:hAnsi="Times New Roman" w:cs="Times New Roman"/>
                <w:color w:val="000000"/>
                <w:sz w:val="16"/>
                <w:szCs w:val="16"/>
              </w:rPr>
            </w:pPr>
            <w:r w:rsidRPr="008466C9">
              <w:rPr>
                <w:rFonts w:ascii="Times New Roman" w:hAnsi="Times New Roman" w:cs="Times New Roman"/>
                <w:color w:val="000000"/>
                <w:sz w:val="16"/>
                <w:szCs w:val="16"/>
              </w:rPr>
              <w:t>2,0</w:t>
            </w:r>
          </w:p>
        </w:tc>
        <w:tc>
          <w:tcPr>
            <w:tcW w:w="1400" w:type="pct"/>
            <w:shd w:val="clear" w:color="auto" w:fill="FFFFFF" w:themeFill="background1"/>
            <w:vAlign w:val="center"/>
          </w:tcPr>
          <w:p w:rsidR="008466C9" w:rsidRPr="008466C9" w:rsidRDefault="008466C9">
            <w:pPr>
              <w:jc w:val="center"/>
              <w:rPr>
                <w:rFonts w:ascii="Times New Roman" w:hAnsi="Times New Roman" w:cs="Times New Roman"/>
                <w:color w:val="000000"/>
                <w:sz w:val="16"/>
                <w:szCs w:val="16"/>
              </w:rPr>
            </w:pPr>
            <w:r w:rsidRPr="008466C9">
              <w:rPr>
                <w:rFonts w:ascii="Times New Roman" w:hAnsi="Times New Roman" w:cs="Times New Roman"/>
                <w:color w:val="000000"/>
                <w:sz w:val="16"/>
                <w:szCs w:val="16"/>
              </w:rPr>
              <w:t>23,3</w:t>
            </w:r>
          </w:p>
        </w:tc>
      </w:tr>
      <w:tr w:rsidR="008466C9" w:rsidRPr="00C75C71" w:rsidTr="0073293A">
        <w:trPr>
          <w:trHeight w:val="47"/>
          <w:jc w:val="center"/>
        </w:trPr>
        <w:tc>
          <w:tcPr>
            <w:tcW w:w="771" w:type="pct"/>
            <w:shd w:val="clear" w:color="auto" w:fill="FFFFFF" w:themeFill="background1"/>
            <w:noWrap/>
            <w:vAlign w:val="center"/>
          </w:tcPr>
          <w:p w:rsidR="008466C9" w:rsidRPr="00C10ED1" w:rsidRDefault="008466C9" w:rsidP="00C10ED1">
            <w:pPr>
              <w:jc w:val="center"/>
              <w:rPr>
                <w:rFonts w:ascii="Times New Roman" w:hAnsi="Times New Roman" w:cs="Times New Roman"/>
                <w:color w:val="000000"/>
                <w:sz w:val="16"/>
                <w:szCs w:val="16"/>
              </w:rPr>
            </w:pPr>
            <w:r w:rsidRPr="00C10ED1">
              <w:rPr>
                <w:rFonts w:ascii="Times New Roman" w:hAnsi="Times New Roman" w:cs="Times New Roman"/>
                <w:color w:val="000000"/>
                <w:sz w:val="16"/>
                <w:szCs w:val="16"/>
              </w:rPr>
              <w:t>31 XII '18</w:t>
            </w:r>
          </w:p>
        </w:tc>
        <w:tc>
          <w:tcPr>
            <w:tcW w:w="1428" w:type="pct"/>
            <w:shd w:val="clear" w:color="auto" w:fill="FFFFFF" w:themeFill="background1"/>
            <w:noWrap/>
            <w:vAlign w:val="center"/>
          </w:tcPr>
          <w:p w:rsidR="008466C9" w:rsidRPr="00C10ED1" w:rsidRDefault="008466C9" w:rsidP="00F32733">
            <w:pPr>
              <w:jc w:val="center"/>
              <w:rPr>
                <w:rFonts w:ascii="Times New Roman" w:hAnsi="Times New Roman" w:cs="Times New Roman"/>
                <w:color w:val="000000"/>
                <w:sz w:val="16"/>
                <w:szCs w:val="16"/>
              </w:rPr>
            </w:pPr>
            <w:r>
              <w:rPr>
                <w:rFonts w:ascii="Times New Roman" w:hAnsi="Times New Roman" w:cs="Times New Roman"/>
                <w:color w:val="000000"/>
                <w:sz w:val="16"/>
                <w:szCs w:val="16"/>
              </w:rPr>
              <w:t>174 830</w:t>
            </w:r>
          </w:p>
        </w:tc>
        <w:tc>
          <w:tcPr>
            <w:tcW w:w="1400" w:type="pct"/>
            <w:shd w:val="clear" w:color="auto" w:fill="FFFFFF" w:themeFill="background1"/>
            <w:vAlign w:val="center"/>
          </w:tcPr>
          <w:p w:rsidR="008466C9" w:rsidRPr="008466C9" w:rsidRDefault="008466C9">
            <w:pPr>
              <w:jc w:val="center"/>
              <w:rPr>
                <w:rFonts w:ascii="Times New Roman" w:hAnsi="Times New Roman" w:cs="Times New Roman"/>
                <w:color w:val="000000"/>
                <w:sz w:val="16"/>
                <w:szCs w:val="16"/>
              </w:rPr>
            </w:pPr>
            <w:r w:rsidRPr="008466C9">
              <w:rPr>
                <w:rFonts w:ascii="Times New Roman" w:hAnsi="Times New Roman" w:cs="Times New Roman"/>
                <w:color w:val="000000"/>
                <w:sz w:val="16"/>
                <w:szCs w:val="16"/>
              </w:rPr>
              <w:t>2,2</w:t>
            </w:r>
          </w:p>
        </w:tc>
        <w:tc>
          <w:tcPr>
            <w:tcW w:w="1400" w:type="pct"/>
            <w:shd w:val="clear" w:color="auto" w:fill="FFFFFF" w:themeFill="background1"/>
            <w:vAlign w:val="center"/>
          </w:tcPr>
          <w:p w:rsidR="008466C9" w:rsidRPr="008466C9" w:rsidRDefault="008466C9">
            <w:pPr>
              <w:jc w:val="center"/>
              <w:rPr>
                <w:rFonts w:ascii="Times New Roman" w:hAnsi="Times New Roman" w:cs="Times New Roman"/>
                <w:color w:val="000000"/>
                <w:sz w:val="16"/>
                <w:szCs w:val="16"/>
              </w:rPr>
            </w:pPr>
            <w:r w:rsidRPr="008466C9">
              <w:rPr>
                <w:rFonts w:ascii="Times New Roman" w:hAnsi="Times New Roman" w:cs="Times New Roman"/>
                <w:color w:val="000000"/>
                <w:sz w:val="16"/>
                <w:szCs w:val="16"/>
              </w:rPr>
              <w:t>26,0</w:t>
            </w:r>
          </w:p>
        </w:tc>
      </w:tr>
    </w:tbl>
    <w:p w:rsidR="0005572D" w:rsidRPr="00C75C71" w:rsidRDefault="0005572D" w:rsidP="003123A5">
      <w:pPr>
        <w:pStyle w:val="Bezodstpw"/>
        <w:jc w:val="both"/>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123A5" w:rsidRPr="00D944BE" w:rsidRDefault="00423CA6" w:rsidP="003123A5">
      <w:pPr>
        <w:pStyle w:val="Bezodstpw"/>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944BE">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w:t>
      </w:r>
      <w:r w:rsidR="0061191F" w:rsidRPr="00D944BE">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6</w:t>
      </w:r>
      <w:r w:rsidRPr="00D944BE">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D944BE">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CE254B" w:rsidRPr="00D944BE">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ZMiany liczby </w:t>
      </w:r>
      <w:r w:rsidRPr="00D944BE">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Podmiot</w:t>
      </w:r>
      <w:r w:rsidR="00CE254B" w:rsidRPr="00D944BE">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ów</w:t>
      </w:r>
      <w:r w:rsidRPr="00D944BE">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gospodarki narodowej w</w:t>
      </w:r>
      <w:r w:rsidR="00CE254B" w:rsidRPr="00D944BE">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D944BE">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rejestrzE REGON</w:t>
      </w:r>
      <w:r w:rsidR="003123A5" w:rsidRPr="00D944BE">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Podkarpackie</w:t>
      </w:r>
    </w:p>
    <w:p w:rsidR="00423CA6" w:rsidRPr="00D944BE" w:rsidRDefault="005E513F" w:rsidP="00423CA6">
      <w:pPr>
        <w:pStyle w:val="Bezodstpw"/>
        <w:ind w:left="1410" w:hanging="1410"/>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944BE">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D944BE">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23CA6" w:rsidRPr="00D944BE">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(bez osób fizycznych</w:t>
      </w:r>
      <w:r w:rsidR="00CE254B" w:rsidRPr="00D944BE">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w:t>
      </w:r>
      <w:r w:rsidR="00423CA6" w:rsidRPr="00D944BE">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rowadzących wył</w:t>
      </w:r>
      <w:r w:rsidR="003123A5" w:rsidRPr="00D944BE">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i</w:t>
      </w:r>
      <w:r w:rsidR="00423CA6" w:rsidRPr="00D944BE">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ndywidualne</w:t>
      </w:r>
      <w:r w:rsidRPr="00D944BE">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23CA6" w:rsidRPr="00D944BE">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gospodarstwa rolne)</w:t>
      </w:r>
      <w:r w:rsidR="00D944BE">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C1542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D944BE">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23CA6" w:rsidRPr="00C75C71" w:rsidRDefault="00D944BE" w:rsidP="00423CA6">
      <w:pPr>
        <w:pStyle w:val="Bezodstpw"/>
        <w:ind w:left="1410" w:hanging="1410"/>
        <w:jc w:val="both"/>
        <w:rPr>
          <w:rFonts w:ascii="Times New Roman" w:hAnsi="Times New Roman" w:cs="Times New Roman"/>
          <w:szCs w:val="24"/>
          <w:highlight w:val="yellow"/>
        </w:rPr>
      </w:pPr>
      <w:r>
        <w:rPr>
          <w:noProof/>
          <w:lang w:eastAsia="pl-PL"/>
        </w:rPr>
        <w:drawing>
          <wp:inline distT="0" distB="0" distL="0" distR="0" wp14:anchorId="024D2D18" wp14:editId="65C7A2A5">
            <wp:extent cx="5872348" cy="1846613"/>
            <wp:effectExtent l="0" t="0" r="0" b="127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944BE" w:rsidRPr="0075363A" w:rsidRDefault="00D944BE" w:rsidP="00D944BE">
      <w:pPr>
        <w:spacing w:after="0" w:line="240" w:lineRule="auto"/>
        <w:rPr>
          <w:rFonts w:ascii="Times New Roman" w:hAnsi="Times New Roman" w:cs="Times New Roman"/>
          <w:sz w:val="18"/>
          <w:szCs w:val="18"/>
        </w:rPr>
      </w:pPr>
      <w:r w:rsidRPr="0075363A">
        <w:rPr>
          <w:rFonts w:ascii="Times New Roman" w:hAnsi="Times New Roman" w:cs="Times New Roman"/>
          <w:sz w:val="16"/>
          <w:szCs w:val="16"/>
          <w:lang w:val="en-US"/>
        </w:rPr>
        <w:t>*</w:t>
      </w:r>
      <w:r w:rsidR="00C15420">
        <w:rPr>
          <w:rFonts w:ascii="Times New Roman" w:hAnsi="Times New Roman" w:cs="Times New Roman"/>
          <w:sz w:val="16"/>
          <w:szCs w:val="16"/>
          <w:lang w:val="en-US"/>
        </w:rPr>
        <w:t xml:space="preserve"> W stosunku do ubr.</w:t>
      </w:r>
    </w:p>
    <w:p w:rsidR="0005572D" w:rsidRDefault="0005572D" w:rsidP="00423CA6">
      <w:pPr>
        <w:pStyle w:val="Bezodstpw"/>
        <w:pBdr>
          <w:bottom w:val="single" w:sz="4" w:space="1" w:color="auto"/>
        </w:pBdr>
        <w:rPr>
          <w:rFonts w:ascii="Times New Roman" w:hAnsi="Times New Roman" w:cs="Times New Roman"/>
          <w:sz w:val="16"/>
          <w:szCs w:val="16"/>
          <w:highlight w:val="yellow"/>
        </w:rPr>
      </w:pPr>
    </w:p>
    <w:p w:rsidR="006A297A" w:rsidRPr="00C15420" w:rsidRDefault="006A297A" w:rsidP="00423CA6">
      <w:pPr>
        <w:pStyle w:val="Bezodstpw"/>
        <w:pBdr>
          <w:bottom w:val="single" w:sz="4" w:space="1" w:color="auto"/>
        </w:pBdr>
        <w:rPr>
          <w:rFonts w:ascii="Times New Roman" w:hAnsi="Times New Roman" w:cs="Times New Roman"/>
          <w:sz w:val="16"/>
          <w:szCs w:val="16"/>
          <w:highlight w:val="yellow"/>
        </w:rPr>
      </w:pPr>
    </w:p>
    <w:p w:rsidR="00423CA6" w:rsidRPr="00D5788D" w:rsidRDefault="00423CA6" w:rsidP="00423CA6">
      <w:pPr>
        <w:pStyle w:val="Bezodstpw"/>
        <w:pBdr>
          <w:bottom w:val="single" w:sz="4" w:space="1" w:color="auto"/>
        </w:pBdr>
        <w:rPr>
          <w:rFonts w:ascii="Times New Roman" w:hAnsi="Times New Roman" w:cs="Times New Roman"/>
          <w:sz w:val="24"/>
          <w:szCs w:val="24"/>
        </w:rPr>
      </w:pPr>
      <w:r w:rsidRPr="00D5788D">
        <w:rPr>
          <w:rFonts w:ascii="Times New Roman" w:hAnsi="Times New Roman" w:cs="Times New Roman"/>
          <w:sz w:val="24"/>
          <w:szCs w:val="24"/>
        </w:rPr>
        <w:t>Wnioski:</w:t>
      </w:r>
    </w:p>
    <w:p w:rsidR="00423CA6" w:rsidRDefault="00423CA6" w:rsidP="00423CA6">
      <w:pPr>
        <w:pStyle w:val="Bezodstpw"/>
        <w:spacing w:line="360" w:lineRule="auto"/>
        <w:rPr>
          <w:rFonts w:ascii="Times New Roman" w:hAnsi="Times New Roman" w:cs="Times New Roman"/>
          <w:sz w:val="18"/>
          <w:szCs w:val="18"/>
        </w:rPr>
      </w:pPr>
      <w:r w:rsidRPr="00CD1517">
        <w:rPr>
          <w:rFonts w:ascii="Times New Roman" w:hAnsi="Times New Roman" w:cs="Times New Roman"/>
          <w:sz w:val="18"/>
          <w:szCs w:val="18"/>
        </w:rPr>
        <w:t xml:space="preserve">(na podstawie tabeli </w:t>
      </w:r>
      <w:r w:rsidR="001707C3">
        <w:rPr>
          <w:rFonts w:ascii="Times New Roman" w:hAnsi="Times New Roman" w:cs="Times New Roman"/>
          <w:sz w:val="18"/>
          <w:szCs w:val="18"/>
        </w:rPr>
        <w:t>9 i</w:t>
      </w:r>
      <w:r w:rsidRPr="00CD1517">
        <w:rPr>
          <w:rFonts w:ascii="Times New Roman" w:hAnsi="Times New Roman" w:cs="Times New Roman"/>
          <w:sz w:val="18"/>
          <w:szCs w:val="18"/>
        </w:rPr>
        <w:t xml:space="preserve"> wykresu </w:t>
      </w:r>
      <w:r w:rsidR="0061191F">
        <w:rPr>
          <w:rFonts w:ascii="Times New Roman" w:hAnsi="Times New Roman" w:cs="Times New Roman"/>
          <w:sz w:val="18"/>
          <w:szCs w:val="18"/>
        </w:rPr>
        <w:t>6</w:t>
      </w:r>
      <w:r w:rsidRPr="00CD1517">
        <w:rPr>
          <w:rFonts w:ascii="Times New Roman" w:hAnsi="Times New Roman" w:cs="Times New Roman"/>
          <w:sz w:val="18"/>
          <w:szCs w:val="18"/>
        </w:rPr>
        <w:t>)</w:t>
      </w:r>
    </w:p>
    <w:p w:rsidR="006A297A" w:rsidRPr="00CD1517" w:rsidRDefault="006A297A" w:rsidP="00423CA6">
      <w:pPr>
        <w:pStyle w:val="Bezodstpw"/>
        <w:spacing w:line="360" w:lineRule="auto"/>
        <w:rPr>
          <w:rFonts w:ascii="Times New Roman" w:hAnsi="Times New Roman" w:cs="Times New Roman"/>
          <w:sz w:val="18"/>
          <w:szCs w:val="18"/>
        </w:rPr>
      </w:pPr>
    </w:p>
    <w:p w:rsidR="0041162B" w:rsidRPr="000239C4" w:rsidRDefault="003123A5" w:rsidP="0041162B">
      <w:pPr>
        <w:pStyle w:val="Akapitzlist"/>
        <w:numPr>
          <w:ilvl w:val="0"/>
          <w:numId w:val="22"/>
        </w:numPr>
        <w:spacing w:after="0" w:line="360" w:lineRule="auto"/>
        <w:jc w:val="both"/>
        <w:rPr>
          <w:rFonts w:ascii="Times New Roman" w:hAnsi="Times New Roman" w:cs="Times New Roman"/>
          <w:sz w:val="24"/>
          <w:szCs w:val="24"/>
        </w:rPr>
      </w:pPr>
      <w:r w:rsidRPr="000239C4">
        <w:rPr>
          <w:rFonts w:ascii="Times New Roman" w:hAnsi="Times New Roman" w:cs="Times New Roman"/>
          <w:sz w:val="24"/>
          <w:szCs w:val="24"/>
        </w:rPr>
        <w:t xml:space="preserve">Zmiany w liczbie firm obrazuje różnica w stanach na koniec danego roku. </w:t>
      </w:r>
      <w:r w:rsidR="00CC4555" w:rsidRPr="000239C4">
        <w:rPr>
          <w:rFonts w:ascii="Times New Roman" w:hAnsi="Times New Roman" w:cs="Times New Roman"/>
          <w:sz w:val="24"/>
          <w:szCs w:val="24"/>
        </w:rPr>
        <w:t>Kierunki zmian są widoczne w porównaniu do lat poprzednich</w:t>
      </w:r>
      <w:r w:rsidR="00EC44B8" w:rsidRPr="000239C4">
        <w:rPr>
          <w:rFonts w:ascii="Times New Roman" w:hAnsi="Times New Roman" w:cs="Times New Roman"/>
          <w:sz w:val="24"/>
          <w:szCs w:val="24"/>
        </w:rPr>
        <w:t xml:space="preserve"> lub przyjmując określony rok za 100 proc.</w:t>
      </w:r>
      <w:r w:rsidR="00CC4555" w:rsidRPr="000239C4">
        <w:rPr>
          <w:rFonts w:ascii="Times New Roman" w:hAnsi="Times New Roman" w:cs="Times New Roman"/>
          <w:sz w:val="24"/>
          <w:szCs w:val="24"/>
        </w:rPr>
        <w:t xml:space="preserve"> Można dostrzec</w:t>
      </w:r>
      <w:r w:rsidR="00EC44B8" w:rsidRPr="000239C4">
        <w:rPr>
          <w:rFonts w:ascii="Times New Roman" w:hAnsi="Times New Roman" w:cs="Times New Roman"/>
          <w:sz w:val="24"/>
          <w:szCs w:val="24"/>
        </w:rPr>
        <w:t xml:space="preserve"> </w:t>
      </w:r>
      <w:r w:rsidR="00CC4555" w:rsidRPr="000239C4">
        <w:rPr>
          <w:rFonts w:ascii="Times New Roman" w:hAnsi="Times New Roman" w:cs="Times New Roman"/>
          <w:sz w:val="24"/>
          <w:szCs w:val="24"/>
        </w:rPr>
        <w:t xml:space="preserve">poza </w:t>
      </w:r>
      <w:r w:rsidR="000239C4" w:rsidRPr="000239C4">
        <w:rPr>
          <w:rFonts w:ascii="Times New Roman" w:hAnsi="Times New Roman" w:cs="Times New Roman"/>
          <w:sz w:val="24"/>
          <w:szCs w:val="24"/>
        </w:rPr>
        <w:t>nielicznymi</w:t>
      </w:r>
      <w:r w:rsidR="00EC44B8" w:rsidRPr="000239C4">
        <w:rPr>
          <w:rFonts w:ascii="Times New Roman" w:hAnsi="Times New Roman" w:cs="Times New Roman"/>
          <w:sz w:val="24"/>
          <w:szCs w:val="24"/>
        </w:rPr>
        <w:t xml:space="preserve"> </w:t>
      </w:r>
      <w:r w:rsidR="00CC4555" w:rsidRPr="000239C4">
        <w:rPr>
          <w:rFonts w:ascii="Times New Roman" w:hAnsi="Times New Roman" w:cs="Times New Roman"/>
          <w:sz w:val="24"/>
          <w:szCs w:val="24"/>
        </w:rPr>
        <w:t xml:space="preserve">spadkami </w:t>
      </w:r>
      <w:r w:rsidR="00EC44B8" w:rsidRPr="000239C4">
        <w:rPr>
          <w:rFonts w:ascii="Times New Roman" w:hAnsi="Times New Roman" w:cs="Times New Roman"/>
          <w:sz w:val="24"/>
          <w:szCs w:val="24"/>
        </w:rPr>
        <w:t xml:space="preserve">w analizowanym okresie, </w:t>
      </w:r>
      <w:r w:rsidR="00CC4555" w:rsidRPr="000239C4">
        <w:rPr>
          <w:rFonts w:ascii="Times New Roman" w:hAnsi="Times New Roman" w:cs="Times New Roman"/>
          <w:sz w:val="24"/>
          <w:szCs w:val="24"/>
        </w:rPr>
        <w:t>wzrost liczby podmiotów gospodarczych.</w:t>
      </w:r>
      <w:r w:rsidR="000239C4" w:rsidRPr="000239C4">
        <w:rPr>
          <w:rFonts w:ascii="Times New Roman" w:hAnsi="Times New Roman" w:cs="Times New Roman"/>
          <w:sz w:val="24"/>
          <w:szCs w:val="24"/>
        </w:rPr>
        <w:t xml:space="preserve"> Od</w:t>
      </w:r>
      <w:r w:rsidR="0041162B" w:rsidRPr="000239C4">
        <w:rPr>
          <w:rFonts w:ascii="Times New Roman" w:hAnsi="Times New Roman" w:cs="Times New Roman"/>
          <w:sz w:val="24"/>
          <w:szCs w:val="24"/>
        </w:rPr>
        <w:t xml:space="preserve"> </w:t>
      </w:r>
      <w:r w:rsidR="000239C4" w:rsidRPr="000239C4">
        <w:rPr>
          <w:rFonts w:ascii="Times New Roman" w:hAnsi="Times New Roman" w:cs="Times New Roman"/>
          <w:sz w:val="24"/>
          <w:szCs w:val="24"/>
        </w:rPr>
        <w:t>31</w:t>
      </w:r>
      <w:r w:rsidR="0041162B" w:rsidRPr="000239C4">
        <w:rPr>
          <w:rFonts w:ascii="Times New Roman" w:hAnsi="Times New Roman" w:cs="Times New Roman"/>
          <w:sz w:val="24"/>
          <w:szCs w:val="24"/>
        </w:rPr>
        <w:t xml:space="preserve"> </w:t>
      </w:r>
      <w:r w:rsidR="000239C4" w:rsidRPr="000239C4">
        <w:rPr>
          <w:rFonts w:ascii="Times New Roman" w:hAnsi="Times New Roman" w:cs="Times New Roman"/>
          <w:sz w:val="24"/>
          <w:szCs w:val="24"/>
        </w:rPr>
        <w:t>XII</w:t>
      </w:r>
      <w:r w:rsidR="0041162B" w:rsidRPr="000239C4">
        <w:rPr>
          <w:rFonts w:ascii="Times New Roman" w:hAnsi="Times New Roman" w:cs="Times New Roman"/>
          <w:sz w:val="24"/>
          <w:szCs w:val="24"/>
        </w:rPr>
        <w:t xml:space="preserve"> ‘</w:t>
      </w:r>
      <w:r w:rsidR="000239C4" w:rsidRPr="000239C4">
        <w:rPr>
          <w:rFonts w:ascii="Times New Roman" w:hAnsi="Times New Roman" w:cs="Times New Roman"/>
          <w:sz w:val="24"/>
          <w:szCs w:val="24"/>
        </w:rPr>
        <w:t>03</w:t>
      </w:r>
      <w:r w:rsidR="0041162B" w:rsidRPr="000239C4">
        <w:rPr>
          <w:rFonts w:ascii="Times New Roman" w:hAnsi="Times New Roman" w:cs="Times New Roman"/>
          <w:sz w:val="24"/>
          <w:szCs w:val="24"/>
        </w:rPr>
        <w:t xml:space="preserve"> r. tylko 3 razy odnotowano spadek liczby podmiotów w rejestrze REGON.</w:t>
      </w:r>
    </w:p>
    <w:p w:rsidR="0041162B" w:rsidRPr="006A297A" w:rsidRDefault="0041162B" w:rsidP="0041162B">
      <w:pPr>
        <w:pStyle w:val="Akapitzlist"/>
        <w:numPr>
          <w:ilvl w:val="0"/>
          <w:numId w:val="22"/>
        </w:numPr>
        <w:spacing w:after="0" w:line="360" w:lineRule="auto"/>
        <w:jc w:val="both"/>
        <w:rPr>
          <w:rFonts w:ascii="Times New Roman" w:hAnsi="Times New Roman" w:cs="Times New Roman"/>
          <w:sz w:val="24"/>
          <w:szCs w:val="24"/>
        </w:rPr>
      </w:pPr>
      <w:r w:rsidRPr="006A297A">
        <w:rPr>
          <w:rFonts w:ascii="Times New Roman" w:hAnsi="Times New Roman" w:cs="Times New Roman"/>
          <w:sz w:val="24"/>
          <w:szCs w:val="24"/>
        </w:rPr>
        <w:t>W 201</w:t>
      </w:r>
      <w:r w:rsidR="006A297A" w:rsidRPr="006A297A">
        <w:rPr>
          <w:rFonts w:ascii="Times New Roman" w:hAnsi="Times New Roman" w:cs="Times New Roman"/>
          <w:sz w:val="24"/>
          <w:szCs w:val="24"/>
        </w:rPr>
        <w:t>8</w:t>
      </w:r>
      <w:r w:rsidRPr="006A297A">
        <w:rPr>
          <w:rFonts w:ascii="Times New Roman" w:hAnsi="Times New Roman" w:cs="Times New Roman"/>
          <w:sz w:val="24"/>
          <w:szCs w:val="24"/>
        </w:rPr>
        <w:t xml:space="preserve"> roku w stosunku do roku poprzedniego nastąpił wzrost o 3 </w:t>
      </w:r>
      <w:r w:rsidR="006A297A" w:rsidRPr="006A297A">
        <w:rPr>
          <w:rFonts w:ascii="Times New Roman" w:hAnsi="Times New Roman" w:cs="Times New Roman"/>
          <w:sz w:val="24"/>
          <w:szCs w:val="24"/>
        </w:rPr>
        <w:t>760</w:t>
      </w:r>
      <w:r w:rsidRPr="006A297A">
        <w:rPr>
          <w:rFonts w:ascii="Times New Roman" w:hAnsi="Times New Roman" w:cs="Times New Roman"/>
          <w:sz w:val="24"/>
          <w:szCs w:val="24"/>
        </w:rPr>
        <w:t xml:space="preserve"> podmiotów, a w porównaniu do 2002 r. odnotowano wzrost o </w:t>
      </w:r>
      <w:r w:rsidR="006A297A" w:rsidRPr="006A297A">
        <w:rPr>
          <w:rFonts w:ascii="Times New Roman" w:hAnsi="Times New Roman" w:cs="Times New Roman"/>
          <w:sz w:val="24"/>
          <w:szCs w:val="24"/>
        </w:rPr>
        <w:t>26,0 %</w:t>
      </w:r>
      <w:r w:rsidRPr="006A297A">
        <w:rPr>
          <w:rFonts w:ascii="Times New Roman" w:hAnsi="Times New Roman" w:cs="Times New Roman"/>
          <w:sz w:val="24"/>
          <w:szCs w:val="24"/>
        </w:rPr>
        <w:t>.</w:t>
      </w:r>
    </w:p>
    <w:p w:rsidR="006A297A" w:rsidRPr="006A297A" w:rsidRDefault="00CC4555" w:rsidP="006A297A">
      <w:pPr>
        <w:pStyle w:val="Akapitzlist"/>
        <w:numPr>
          <w:ilvl w:val="0"/>
          <w:numId w:val="22"/>
        </w:numPr>
        <w:spacing w:after="0" w:line="360" w:lineRule="auto"/>
        <w:jc w:val="both"/>
        <w:rPr>
          <w:rFonts w:ascii="Times New Roman" w:hAnsi="Times New Roman" w:cs="Times New Roman"/>
          <w:sz w:val="24"/>
          <w:szCs w:val="24"/>
        </w:rPr>
      </w:pPr>
      <w:r w:rsidRPr="006A297A">
        <w:rPr>
          <w:rFonts w:ascii="Times New Roman" w:hAnsi="Times New Roman" w:cs="Times New Roman"/>
          <w:sz w:val="24"/>
          <w:szCs w:val="24"/>
        </w:rPr>
        <w:t xml:space="preserve">Odrębnym zagadnieniem pozostają przyczyny </w:t>
      </w:r>
      <w:r w:rsidR="0041162B" w:rsidRPr="006A297A">
        <w:rPr>
          <w:rFonts w:ascii="Times New Roman" w:hAnsi="Times New Roman" w:cs="Times New Roman"/>
          <w:sz w:val="24"/>
          <w:szCs w:val="24"/>
        </w:rPr>
        <w:t xml:space="preserve">powyższych </w:t>
      </w:r>
      <w:r w:rsidRPr="006A297A">
        <w:rPr>
          <w:rFonts w:ascii="Times New Roman" w:hAnsi="Times New Roman" w:cs="Times New Roman"/>
          <w:sz w:val="24"/>
          <w:szCs w:val="24"/>
        </w:rPr>
        <w:t xml:space="preserve">fluktuacji. </w:t>
      </w:r>
      <w:r w:rsidR="00423CA6" w:rsidRPr="006A297A">
        <w:rPr>
          <w:rFonts w:ascii="Times New Roman" w:hAnsi="Times New Roman" w:cs="Times New Roman"/>
          <w:sz w:val="24"/>
          <w:szCs w:val="24"/>
        </w:rPr>
        <w:t>Można się domyślać, że jedną z </w:t>
      </w:r>
      <w:r w:rsidR="0041162B" w:rsidRPr="006A297A">
        <w:rPr>
          <w:rFonts w:ascii="Times New Roman" w:hAnsi="Times New Roman" w:cs="Times New Roman"/>
          <w:sz w:val="24"/>
          <w:szCs w:val="24"/>
        </w:rPr>
        <w:t xml:space="preserve">nich </w:t>
      </w:r>
      <w:r w:rsidR="00423CA6" w:rsidRPr="006A297A">
        <w:rPr>
          <w:rFonts w:ascii="Times New Roman" w:hAnsi="Times New Roman" w:cs="Times New Roman"/>
          <w:sz w:val="24"/>
          <w:szCs w:val="24"/>
        </w:rPr>
        <w:t xml:space="preserve">może być </w:t>
      </w:r>
      <w:r w:rsidR="0041162B" w:rsidRPr="006A297A">
        <w:rPr>
          <w:rFonts w:ascii="Times New Roman" w:hAnsi="Times New Roman" w:cs="Times New Roman"/>
          <w:sz w:val="24"/>
          <w:szCs w:val="24"/>
        </w:rPr>
        <w:t xml:space="preserve">dążenie do </w:t>
      </w:r>
      <w:r w:rsidR="00423CA6" w:rsidRPr="006A297A">
        <w:rPr>
          <w:rFonts w:ascii="Times New Roman" w:hAnsi="Times New Roman" w:cs="Times New Roman"/>
          <w:sz w:val="24"/>
          <w:szCs w:val="24"/>
        </w:rPr>
        <w:t>uniknięci</w:t>
      </w:r>
      <w:r w:rsidR="0041162B" w:rsidRPr="006A297A">
        <w:rPr>
          <w:rFonts w:ascii="Times New Roman" w:hAnsi="Times New Roman" w:cs="Times New Roman"/>
          <w:sz w:val="24"/>
          <w:szCs w:val="24"/>
        </w:rPr>
        <w:t>a</w:t>
      </w:r>
      <w:r w:rsidR="00423CA6" w:rsidRPr="006A297A">
        <w:rPr>
          <w:rFonts w:ascii="Times New Roman" w:hAnsi="Times New Roman" w:cs="Times New Roman"/>
          <w:sz w:val="24"/>
          <w:szCs w:val="24"/>
        </w:rPr>
        <w:t xml:space="preserve"> </w:t>
      </w:r>
      <w:r w:rsidR="0041162B" w:rsidRPr="006A297A">
        <w:rPr>
          <w:rFonts w:ascii="Times New Roman" w:hAnsi="Times New Roman" w:cs="Times New Roman"/>
          <w:sz w:val="24"/>
          <w:szCs w:val="24"/>
        </w:rPr>
        <w:t xml:space="preserve">poniesienia znacznych strat, uniemożliwiających podjęcie działalność w przyszłości pod innym szyldem. Pozostałymi powodami </w:t>
      </w:r>
      <w:r w:rsidR="0038550F" w:rsidRPr="006A297A">
        <w:rPr>
          <w:rFonts w:ascii="Times New Roman" w:hAnsi="Times New Roman" w:cs="Times New Roman"/>
          <w:sz w:val="24"/>
          <w:szCs w:val="24"/>
        </w:rPr>
        <w:t xml:space="preserve">wg GUS </w:t>
      </w:r>
      <w:r w:rsidR="0041162B" w:rsidRPr="006A297A">
        <w:rPr>
          <w:rFonts w:ascii="Times New Roman" w:hAnsi="Times New Roman" w:cs="Times New Roman"/>
          <w:sz w:val="24"/>
          <w:szCs w:val="24"/>
        </w:rPr>
        <w:t xml:space="preserve">są: </w:t>
      </w:r>
      <w:r w:rsidR="0038550F" w:rsidRPr="006A297A">
        <w:rPr>
          <w:rFonts w:ascii="Times New Roman" w:hAnsi="Times New Roman" w:cs="Times New Roman"/>
          <w:sz w:val="24"/>
          <w:szCs w:val="24"/>
        </w:rPr>
        <w:t>decyzja organu państwowego o likwidacji swojej firmy, inna przyczyna wyrejestrowania, zmiana formuły prawnej działalności na rynku, przekształcenia własnościowe, postanowienie sądu dotyczące postępowania upadłościowego, wyrejestrowanie z ubezpieczeń ostatniego pracownika, zaprzestanie działalności, zawieszenie działalności czy zgon właściciela firmy.</w:t>
      </w:r>
      <w:r w:rsidR="006A297A" w:rsidRPr="006A297A">
        <w:rPr>
          <w:rFonts w:ascii="Times New Roman" w:hAnsi="Times New Roman" w:cs="Times New Roman"/>
          <w:sz w:val="24"/>
          <w:szCs w:val="24"/>
        </w:rPr>
        <w:br w:type="page"/>
      </w:r>
    </w:p>
    <w:p w:rsidR="00423CA6" w:rsidRPr="00BB7890" w:rsidRDefault="00423CA6" w:rsidP="00423CA6">
      <w:pPr>
        <w:spacing w:after="0" w:line="240" w:lineRule="auto"/>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B789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Tabela 1</w:t>
      </w:r>
      <w:r w:rsidR="001707C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w:t>
      </w:r>
      <w:r w:rsidRPr="00BB789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Podmioty gospodarki narodowej w województwie podkarpackim w 201</w:t>
      </w:r>
      <w:r w:rsidR="00BB7890" w:rsidRPr="00BB789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8</w:t>
      </w:r>
      <w:r w:rsidRPr="00BB789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r. wg sekcji</w:t>
      </w:r>
    </w:p>
    <w:p w:rsidR="00423CA6" w:rsidRDefault="00423CA6" w:rsidP="00423CA6">
      <w:pPr>
        <w:spacing w:after="0" w:line="240" w:lineRule="auto"/>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B789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PKD (bez osób fizycznych prowadzących wył. indywidualne gospodarstwa rolne)</w:t>
      </w:r>
    </w:p>
    <w:p w:rsidR="001E7DEB" w:rsidRPr="00BB7890" w:rsidRDefault="001E7DEB" w:rsidP="001E7DEB">
      <w:pPr>
        <w:spacing w:after="0" w:line="240" w:lineRule="auto"/>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bl>
      <w:tblPr>
        <w:tblStyle w:val="Tabela-Siatka"/>
        <w:tblW w:w="9134" w:type="dxa"/>
        <w:jc w:val="center"/>
        <w:tblInd w:w="304" w:type="dxa"/>
        <w:tblLook w:val="04A0" w:firstRow="1" w:lastRow="0" w:firstColumn="1" w:lastColumn="0" w:noHBand="0" w:noVBand="1"/>
      </w:tblPr>
      <w:tblGrid>
        <w:gridCol w:w="501"/>
        <w:gridCol w:w="889"/>
        <w:gridCol w:w="2447"/>
        <w:gridCol w:w="1525"/>
        <w:gridCol w:w="1380"/>
        <w:gridCol w:w="1529"/>
        <w:gridCol w:w="863"/>
      </w:tblGrid>
      <w:tr w:rsidR="00D47765" w:rsidRPr="00C75C71" w:rsidTr="00BB7890">
        <w:trPr>
          <w:jc w:val="center"/>
        </w:trPr>
        <w:tc>
          <w:tcPr>
            <w:tcW w:w="501" w:type="dxa"/>
            <w:shd w:val="clear" w:color="auto" w:fill="CCC0D9" w:themeFill="accent4" w:themeFillTint="66"/>
            <w:vAlign w:val="center"/>
          </w:tcPr>
          <w:p w:rsidR="00F574CF" w:rsidRPr="00BB7890" w:rsidRDefault="00F574CF" w:rsidP="00BB7890">
            <w:pPr>
              <w:pStyle w:val="Bezodstpw"/>
              <w:jc w:val="center"/>
              <w:rPr>
                <w:rFonts w:ascii="Times New Roman" w:hAnsi="Times New Roman" w:cs="Times New Roman"/>
                <w:b/>
                <w:color w:val="000000" w:themeColor="text1"/>
                <w:sz w:val="16"/>
                <w:szCs w:val="16"/>
              </w:rPr>
            </w:pPr>
            <w:r w:rsidRPr="00BB7890">
              <w:rPr>
                <w:rFonts w:ascii="Times New Roman" w:hAnsi="Times New Roman" w:cs="Times New Roman"/>
                <w:b/>
                <w:color w:val="000000" w:themeColor="text1"/>
                <w:sz w:val="16"/>
                <w:szCs w:val="16"/>
              </w:rPr>
              <w:t>LP</w:t>
            </w:r>
          </w:p>
        </w:tc>
        <w:tc>
          <w:tcPr>
            <w:tcW w:w="889" w:type="dxa"/>
            <w:shd w:val="clear" w:color="auto" w:fill="CCC0D9" w:themeFill="accent4" w:themeFillTint="66"/>
            <w:vAlign w:val="center"/>
          </w:tcPr>
          <w:p w:rsidR="00F574CF" w:rsidRPr="00BB7890" w:rsidRDefault="00BB7890" w:rsidP="00BB7890">
            <w:pPr>
              <w:pStyle w:val="Bezodstpw"/>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KOD</w:t>
            </w:r>
          </w:p>
        </w:tc>
        <w:tc>
          <w:tcPr>
            <w:tcW w:w="2447" w:type="dxa"/>
            <w:shd w:val="clear" w:color="auto" w:fill="CCC0D9" w:themeFill="accent4" w:themeFillTint="66"/>
            <w:vAlign w:val="center"/>
          </w:tcPr>
          <w:p w:rsidR="00F574CF" w:rsidRPr="00BB7890" w:rsidRDefault="00BB7890" w:rsidP="00BB7890">
            <w:pPr>
              <w:pStyle w:val="Bezodstpw"/>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SEKCJA PKD</w:t>
            </w:r>
          </w:p>
        </w:tc>
        <w:tc>
          <w:tcPr>
            <w:tcW w:w="1525" w:type="dxa"/>
            <w:shd w:val="clear" w:color="auto" w:fill="CCC0D9" w:themeFill="accent4" w:themeFillTint="66"/>
            <w:vAlign w:val="center"/>
          </w:tcPr>
          <w:p w:rsidR="00F574CF" w:rsidRPr="00BB7890" w:rsidRDefault="00F574CF" w:rsidP="00BB7890">
            <w:pPr>
              <w:pStyle w:val="Bezodstpw"/>
              <w:jc w:val="center"/>
              <w:rPr>
                <w:rFonts w:ascii="Times New Roman" w:hAnsi="Times New Roman" w:cs="Times New Roman"/>
                <w:b/>
                <w:color w:val="000000" w:themeColor="text1"/>
                <w:sz w:val="16"/>
                <w:szCs w:val="16"/>
              </w:rPr>
            </w:pPr>
            <w:r w:rsidRPr="00BB7890">
              <w:rPr>
                <w:rFonts w:ascii="Times New Roman" w:hAnsi="Times New Roman" w:cs="Times New Roman"/>
                <w:b/>
                <w:color w:val="000000" w:themeColor="text1"/>
                <w:sz w:val="16"/>
                <w:szCs w:val="16"/>
              </w:rPr>
              <w:t xml:space="preserve">31 XII </w:t>
            </w:r>
            <w:r w:rsidR="00BB7890" w:rsidRPr="00BB7890">
              <w:rPr>
                <w:rFonts w:ascii="Times New Roman" w:hAnsi="Times New Roman" w:cs="Times New Roman"/>
                <w:b/>
                <w:color w:val="000000" w:themeColor="text1"/>
                <w:sz w:val="16"/>
                <w:szCs w:val="16"/>
              </w:rPr>
              <w:t>’</w:t>
            </w:r>
            <w:r w:rsidRPr="00BB7890">
              <w:rPr>
                <w:rFonts w:ascii="Times New Roman" w:hAnsi="Times New Roman" w:cs="Times New Roman"/>
                <w:b/>
                <w:color w:val="000000" w:themeColor="text1"/>
                <w:sz w:val="16"/>
                <w:szCs w:val="16"/>
              </w:rPr>
              <w:t>1</w:t>
            </w:r>
            <w:r w:rsidR="00BB7890" w:rsidRPr="00BB7890">
              <w:rPr>
                <w:rFonts w:ascii="Times New Roman" w:hAnsi="Times New Roman" w:cs="Times New Roman"/>
                <w:b/>
                <w:color w:val="000000" w:themeColor="text1"/>
                <w:sz w:val="16"/>
                <w:szCs w:val="16"/>
              </w:rPr>
              <w:t xml:space="preserve">7 </w:t>
            </w:r>
            <w:r w:rsidRPr="00BB7890">
              <w:rPr>
                <w:rFonts w:ascii="Times New Roman" w:hAnsi="Times New Roman" w:cs="Times New Roman"/>
                <w:b/>
                <w:color w:val="000000" w:themeColor="text1"/>
                <w:sz w:val="16"/>
                <w:szCs w:val="16"/>
              </w:rPr>
              <w:t>=100%</w:t>
            </w:r>
          </w:p>
        </w:tc>
        <w:tc>
          <w:tcPr>
            <w:tcW w:w="1380" w:type="dxa"/>
            <w:shd w:val="clear" w:color="auto" w:fill="CCC0D9" w:themeFill="accent4" w:themeFillTint="66"/>
            <w:vAlign w:val="center"/>
          </w:tcPr>
          <w:p w:rsidR="00F574CF" w:rsidRPr="00BB7890" w:rsidRDefault="00F574CF" w:rsidP="00BB7890">
            <w:pPr>
              <w:pStyle w:val="Bezodstpw"/>
              <w:jc w:val="center"/>
              <w:rPr>
                <w:rFonts w:ascii="Times New Roman" w:hAnsi="Times New Roman" w:cs="Times New Roman"/>
                <w:b/>
                <w:color w:val="000000" w:themeColor="text1"/>
                <w:sz w:val="16"/>
                <w:szCs w:val="16"/>
              </w:rPr>
            </w:pPr>
            <w:r w:rsidRPr="00BB7890">
              <w:rPr>
                <w:rFonts w:ascii="Times New Roman" w:hAnsi="Times New Roman" w:cs="Times New Roman"/>
                <w:b/>
                <w:color w:val="000000" w:themeColor="text1"/>
                <w:sz w:val="16"/>
                <w:szCs w:val="16"/>
              </w:rPr>
              <w:t>31 XII ‘1</w:t>
            </w:r>
            <w:r w:rsidR="00BB7890" w:rsidRPr="00BB7890">
              <w:rPr>
                <w:rFonts w:ascii="Times New Roman" w:hAnsi="Times New Roman" w:cs="Times New Roman"/>
                <w:b/>
                <w:color w:val="000000" w:themeColor="text1"/>
                <w:sz w:val="16"/>
                <w:szCs w:val="16"/>
              </w:rPr>
              <w:t>8</w:t>
            </w:r>
          </w:p>
        </w:tc>
        <w:tc>
          <w:tcPr>
            <w:tcW w:w="1529" w:type="dxa"/>
            <w:shd w:val="clear" w:color="auto" w:fill="CCC0D9" w:themeFill="accent4" w:themeFillTint="66"/>
            <w:vAlign w:val="center"/>
          </w:tcPr>
          <w:p w:rsidR="00F574CF" w:rsidRPr="00BB7890" w:rsidRDefault="00F574CF" w:rsidP="00F574CF">
            <w:pPr>
              <w:pStyle w:val="Bezodstpw"/>
              <w:jc w:val="center"/>
              <w:rPr>
                <w:rFonts w:ascii="Times New Roman" w:hAnsi="Times New Roman" w:cs="Times New Roman"/>
                <w:b/>
                <w:color w:val="000000" w:themeColor="text1"/>
                <w:sz w:val="16"/>
                <w:szCs w:val="16"/>
              </w:rPr>
            </w:pPr>
            <w:r w:rsidRPr="00BB7890">
              <w:rPr>
                <w:rFonts w:ascii="Times New Roman" w:hAnsi="Times New Roman" w:cs="Times New Roman"/>
                <w:b/>
                <w:color w:val="000000" w:themeColor="text1"/>
                <w:sz w:val="16"/>
                <w:szCs w:val="16"/>
              </w:rPr>
              <w:t>wzrost / spadek</w:t>
            </w:r>
          </w:p>
        </w:tc>
        <w:tc>
          <w:tcPr>
            <w:tcW w:w="863" w:type="dxa"/>
            <w:shd w:val="clear" w:color="auto" w:fill="CCC0D9" w:themeFill="accent4" w:themeFillTint="66"/>
            <w:vAlign w:val="center"/>
          </w:tcPr>
          <w:p w:rsidR="00F574CF" w:rsidRPr="00BB7890" w:rsidRDefault="00F574CF" w:rsidP="00F574CF">
            <w:pPr>
              <w:pStyle w:val="Bezodstpw"/>
              <w:jc w:val="center"/>
              <w:rPr>
                <w:rFonts w:ascii="Times New Roman" w:hAnsi="Times New Roman" w:cs="Times New Roman"/>
                <w:b/>
                <w:color w:val="000000" w:themeColor="text1"/>
                <w:sz w:val="16"/>
                <w:szCs w:val="16"/>
              </w:rPr>
            </w:pPr>
            <w:r w:rsidRPr="00BB7890">
              <w:rPr>
                <w:rFonts w:ascii="Times New Roman" w:hAnsi="Times New Roman" w:cs="Times New Roman"/>
                <w:b/>
                <w:color w:val="000000" w:themeColor="text1"/>
                <w:sz w:val="16"/>
                <w:szCs w:val="16"/>
              </w:rPr>
              <w:t>%</w:t>
            </w:r>
          </w:p>
        </w:tc>
      </w:tr>
      <w:tr w:rsidR="0085431A" w:rsidRPr="00C75C71" w:rsidTr="0085431A">
        <w:trPr>
          <w:trHeight w:val="206"/>
          <w:jc w:val="center"/>
        </w:trPr>
        <w:tc>
          <w:tcPr>
            <w:tcW w:w="501" w:type="dxa"/>
            <w:shd w:val="clear" w:color="auto" w:fill="FFFFFF" w:themeFill="background1"/>
            <w:vAlign w:val="center"/>
          </w:tcPr>
          <w:p w:rsidR="0085431A" w:rsidRPr="0085431A" w:rsidRDefault="0085431A" w:rsidP="007029BA">
            <w:pPr>
              <w:pStyle w:val="Bezodstpw"/>
              <w:shd w:val="clear" w:color="auto" w:fill="FFFFFF" w:themeFill="background1"/>
              <w:jc w:val="center"/>
              <w:rPr>
                <w:rFonts w:ascii="Times New Roman" w:hAnsi="Times New Roman" w:cs="Times New Roman"/>
                <w:b/>
                <w:color w:val="000000" w:themeColor="text1"/>
                <w:sz w:val="16"/>
                <w:szCs w:val="16"/>
              </w:rPr>
            </w:pPr>
            <w:r w:rsidRPr="0085431A">
              <w:rPr>
                <w:rFonts w:ascii="Times New Roman" w:hAnsi="Times New Roman" w:cs="Times New Roman"/>
                <w:b/>
                <w:color w:val="000000" w:themeColor="text1"/>
                <w:sz w:val="16"/>
                <w:szCs w:val="16"/>
              </w:rPr>
              <w:t>1</w:t>
            </w:r>
          </w:p>
        </w:tc>
        <w:tc>
          <w:tcPr>
            <w:tcW w:w="889" w:type="dxa"/>
            <w:shd w:val="clear" w:color="auto" w:fill="FFFFFF" w:themeFill="background1"/>
            <w:vAlign w:val="center"/>
          </w:tcPr>
          <w:p w:rsidR="0085431A" w:rsidRPr="0085431A" w:rsidRDefault="0085431A" w:rsidP="00F574CF">
            <w:pPr>
              <w:pStyle w:val="Bezodstpw"/>
              <w:shd w:val="clear" w:color="auto" w:fill="FFFFFF" w:themeFill="background1"/>
              <w:jc w:val="center"/>
              <w:rPr>
                <w:rFonts w:ascii="Times New Roman" w:hAnsi="Times New Roman" w:cs="Times New Roman"/>
                <w:b/>
                <w:color w:val="000000" w:themeColor="text1"/>
                <w:sz w:val="16"/>
                <w:szCs w:val="16"/>
              </w:rPr>
            </w:pPr>
            <w:r w:rsidRPr="0085431A">
              <w:rPr>
                <w:rFonts w:ascii="Times New Roman" w:hAnsi="Times New Roman" w:cs="Times New Roman"/>
                <w:b/>
                <w:color w:val="000000" w:themeColor="text1"/>
                <w:sz w:val="16"/>
                <w:szCs w:val="16"/>
              </w:rPr>
              <w:t>ogółem</w:t>
            </w:r>
          </w:p>
        </w:tc>
        <w:tc>
          <w:tcPr>
            <w:tcW w:w="2447" w:type="dxa"/>
            <w:shd w:val="clear" w:color="auto" w:fill="FFFFFF" w:themeFill="background1"/>
            <w:vAlign w:val="center"/>
          </w:tcPr>
          <w:p w:rsidR="0085431A" w:rsidRPr="0085431A" w:rsidRDefault="0085431A" w:rsidP="00D47765">
            <w:pPr>
              <w:pStyle w:val="Bezodstpw"/>
              <w:shd w:val="clear" w:color="auto" w:fill="FFFFFF" w:themeFill="background1"/>
              <w:jc w:val="center"/>
              <w:rPr>
                <w:rFonts w:ascii="Times New Roman" w:hAnsi="Times New Roman" w:cs="Times New Roman"/>
                <w:b/>
                <w:color w:val="000000" w:themeColor="text1"/>
                <w:sz w:val="16"/>
                <w:szCs w:val="16"/>
              </w:rPr>
            </w:pPr>
            <w:r w:rsidRPr="0085431A">
              <w:rPr>
                <w:rFonts w:ascii="Times New Roman" w:hAnsi="Times New Roman" w:cs="Times New Roman"/>
                <w:b/>
                <w:color w:val="000000" w:themeColor="text1"/>
                <w:sz w:val="16"/>
                <w:szCs w:val="16"/>
              </w:rPr>
              <w:t>---</w:t>
            </w:r>
          </w:p>
        </w:tc>
        <w:tc>
          <w:tcPr>
            <w:tcW w:w="1525" w:type="dxa"/>
            <w:shd w:val="clear" w:color="auto" w:fill="FFFFFF" w:themeFill="background1"/>
            <w:vAlign w:val="center"/>
          </w:tcPr>
          <w:p w:rsidR="0085431A" w:rsidRPr="0085431A" w:rsidRDefault="0085431A" w:rsidP="0085431A">
            <w:pPr>
              <w:jc w:val="center"/>
              <w:rPr>
                <w:rFonts w:ascii="Times New Roman" w:hAnsi="Times New Roman" w:cs="Times New Roman"/>
                <w:b/>
                <w:sz w:val="16"/>
                <w:szCs w:val="16"/>
              </w:rPr>
            </w:pPr>
            <w:r w:rsidRPr="0085431A">
              <w:rPr>
                <w:rFonts w:ascii="Times New Roman" w:hAnsi="Times New Roman" w:cs="Times New Roman"/>
                <w:b/>
                <w:sz w:val="16"/>
                <w:szCs w:val="16"/>
              </w:rPr>
              <w:t>171 070</w:t>
            </w:r>
          </w:p>
        </w:tc>
        <w:tc>
          <w:tcPr>
            <w:tcW w:w="1380" w:type="dxa"/>
            <w:shd w:val="clear" w:color="auto" w:fill="FFFFFF" w:themeFill="background1"/>
            <w:vAlign w:val="center"/>
          </w:tcPr>
          <w:p w:rsidR="0085431A" w:rsidRPr="0085431A" w:rsidRDefault="0085431A" w:rsidP="0085431A">
            <w:pPr>
              <w:jc w:val="center"/>
              <w:rPr>
                <w:rFonts w:ascii="Times New Roman" w:hAnsi="Times New Roman" w:cs="Times New Roman"/>
                <w:b/>
                <w:sz w:val="16"/>
                <w:szCs w:val="16"/>
              </w:rPr>
            </w:pPr>
            <w:r w:rsidRPr="0085431A">
              <w:rPr>
                <w:rFonts w:ascii="Times New Roman" w:hAnsi="Times New Roman" w:cs="Times New Roman"/>
                <w:b/>
                <w:sz w:val="16"/>
                <w:szCs w:val="16"/>
              </w:rPr>
              <w:t>174 830</w:t>
            </w:r>
          </w:p>
        </w:tc>
        <w:tc>
          <w:tcPr>
            <w:tcW w:w="1529" w:type="dxa"/>
            <w:shd w:val="clear" w:color="auto" w:fill="FFFFFF" w:themeFill="background1"/>
            <w:vAlign w:val="center"/>
          </w:tcPr>
          <w:p w:rsidR="0085431A" w:rsidRPr="0085431A" w:rsidRDefault="0085431A" w:rsidP="0085431A">
            <w:pPr>
              <w:jc w:val="center"/>
              <w:rPr>
                <w:rFonts w:ascii="Times New Roman" w:hAnsi="Times New Roman" w:cs="Times New Roman"/>
                <w:b/>
                <w:bCs/>
                <w:color w:val="000000"/>
                <w:sz w:val="16"/>
                <w:szCs w:val="16"/>
              </w:rPr>
            </w:pPr>
            <w:r w:rsidRPr="0085431A">
              <w:rPr>
                <w:rFonts w:ascii="Times New Roman" w:hAnsi="Times New Roman" w:cs="Times New Roman"/>
                <w:b/>
                <w:bCs/>
                <w:color w:val="000000"/>
                <w:sz w:val="16"/>
                <w:szCs w:val="16"/>
              </w:rPr>
              <w:t>+ 3 760</w:t>
            </w:r>
          </w:p>
        </w:tc>
        <w:tc>
          <w:tcPr>
            <w:tcW w:w="863" w:type="dxa"/>
            <w:shd w:val="clear" w:color="auto" w:fill="FFFFFF" w:themeFill="background1"/>
            <w:vAlign w:val="center"/>
          </w:tcPr>
          <w:p w:rsidR="0085431A" w:rsidRPr="0085431A" w:rsidRDefault="0085431A" w:rsidP="0085431A">
            <w:pPr>
              <w:jc w:val="center"/>
              <w:rPr>
                <w:rFonts w:ascii="Times New Roman" w:hAnsi="Times New Roman" w:cs="Times New Roman"/>
                <w:b/>
                <w:bCs/>
                <w:color w:val="000000"/>
                <w:sz w:val="16"/>
                <w:szCs w:val="16"/>
              </w:rPr>
            </w:pPr>
            <w:r w:rsidRPr="0085431A">
              <w:rPr>
                <w:rFonts w:ascii="Times New Roman" w:hAnsi="Times New Roman" w:cs="Times New Roman"/>
                <w:b/>
                <w:bCs/>
                <w:color w:val="000000"/>
                <w:sz w:val="16"/>
                <w:szCs w:val="16"/>
              </w:rPr>
              <w:t>+ 2,2</w:t>
            </w:r>
          </w:p>
        </w:tc>
      </w:tr>
      <w:tr w:rsidR="0085431A" w:rsidRPr="00C75C71" w:rsidTr="0085431A">
        <w:trPr>
          <w:jc w:val="center"/>
        </w:trPr>
        <w:tc>
          <w:tcPr>
            <w:tcW w:w="501" w:type="dxa"/>
            <w:shd w:val="clear" w:color="auto" w:fill="FFFFFF" w:themeFill="background1"/>
            <w:vAlign w:val="center"/>
          </w:tcPr>
          <w:p w:rsidR="0085431A" w:rsidRPr="0085431A" w:rsidRDefault="0085431A" w:rsidP="007029BA">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2</w:t>
            </w:r>
          </w:p>
        </w:tc>
        <w:tc>
          <w:tcPr>
            <w:tcW w:w="889" w:type="dxa"/>
            <w:shd w:val="clear" w:color="auto" w:fill="FFFFFF" w:themeFill="background1"/>
            <w:vAlign w:val="center"/>
          </w:tcPr>
          <w:p w:rsidR="0085431A" w:rsidRPr="0085431A" w:rsidRDefault="0085431A" w:rsidP="00F574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A</w:t>
            </w:r>
          </w:p>
        </w:tc>
        <w:tc>
          <w:tcPr>
            <w:tcW w:w="2447" w:type="dxa"/>
            <w:shd w:val="clear" w:color="auto" w:fill="FFFFFF" w:themeFill="background1"/>
            <w:vAlign w:val="center"/>
          </w:tcPr>
          <w:p w:rsidR="0085431A" w:rsidRPr="0085431A" w:rsidRDefault="0085431A" w:rsidP="00AD28BB">
            <w:pPr>
              <w:pStyle w:val="Bezodstpw"/>
              <w:shd w:val="clear" w:color="auto" w:fill="FFFFFF" w:themeFill="background1"/>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rolnictwo, leśnictwo, łowiectwo i rybactwo</w:t>
            </w:r>
          </w:p>
        </w:tc>
        <w:tc>
          <w:tcPr>
            <w:tcW w:w="1525"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3 119</w:t>
            </w:r>
          </w:p>
        </w:tc>
        <w:tc>
          <w:tcPr>
            <w:tcW w:w="1380"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3 075</w:t>
            </w:r>
          </w:p>
        </w:tc>
        <w:tc>
          <w:tcPr>
            <w:tcW w:w="1529"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sidRPr="0085431A">
              <w:rPr>
                <w:rFonts w:ascii="Times New Roman" w:hAnsi="Times New Roman" w:cs="Times New Roman"/>
                <w:color w:val="000000"/>
                <w:sz w:val="16"/>
                <w:szCs w:val="16"/>
              </w:rPr>
              <w:t>- 44</w:t>
            </w:r>
          </w:p>
        </w:tc>
        <w:tc>
          <w:tcPr>
            <w:tcW w:w="863"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sidRPr="0085431A">
              <w:rPr>
                <w:rFonts w:ascii="Times New Roman" w:hAnsi="Times New Roman" w:cs="Times New Roman"/>
                <w:color w:val="000000"/>
                <w:sz w:val="16"/>
                <w:szCs w:val="16"/>
              </w:rPr>
              <w:t>- 1,4</w:t>
            </w:r>
          </w:p>
        </w:tc>
      </w:tr>
      <w:tr w:rsidR="0085431A" w:rsidRPr="00C75C71" w:rsidTr="0085431A">
        <w:trPr>
          <w:jc w:val="center"/>
        </w:trPr>
        <w:tc>
          <w:tcPr>
            <w:tcW w:w="501" w:type="dxa"/>
            <w:shd w:val="clear" w:color="auto" w:fill="FFFFFF" w:themeFill="background1"/>
            <w:vAlign w:val="center"/>
          </w:tcPr>
          <w:p w:rsidR="0085431A" w:rsidRPr="0085431A" w:rsidRDefault="0085431A" w:rsidP="007029BA">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3</w:t>
            </w:r>
          </w:p>
        </w:tc>
        <w:tc>
          <w:tcPr>
            <w:tcW w:w="889" w:type="dxa"/>
            <w:shd w:val="clear" w:color="auto" w:fill="FFFFFF" w:themeFill="background1"/>
            <w:vAlign w:val="center"/>
          </w:tcPr>
          <w:p w:rsidR="0085431A" w:rsidRPr="0085431A" w:rsidRDefault="0085431A" w:rsidP="00F574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B</w:t>
            </w:r>
          </w:p>
        </w:tc>
        <w:tc>
          <w:tcPr>
            <w:tcW w:w="2447" w:type="dxa"/>
            <w:shd w:val="clear" w:color="auto" w:fill="FFFFFF" w:themeFill="background1"/>
            <w:vAlign w:val="center"/>
          </w:tcPr>
          <w:p w:rsidR="0085431A" w:rsidRPr="0085431A" w:rsidRDefault="0085431A" w:rsidP="00AD28BB">
            <w:pPr>
              <w:pStyle w:val="Bezodstpw"/>
              <w:shd w:val="clear" w:color="auto" w:fill="FFFFFF" w:themeFill="background1"/>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górnictwo i wydobywanie</w:t>
            </w:r>
          </w:p>
        </w:tc>
        <w:tc>
          <w:tcPr>
            <w:tcW w:w="1525"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246</w:t>
            </w:r>
          </w:p>
        </w:tc>
        <w:tc>
          <w:tcPr>
            <w:tcW w:w="1380"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245</w:t>
            </w:r>
          </w:p>
        </w:tc>
        <w:tc>
          <w:tcPr>
            <w:tcW w:w="1529"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sidRPr="0085431A">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1</w:t>
            </w:r>
          </w:p>
        </w:tc>
        <w:tc>
          <w:tcPr>
            <w:tcW w:w="863"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sidRPr="0085431A">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0,4</w:t>
            </w:r>
          </w:p>
        </w:tc>
      </w:tr>
      <w:tr w:rsidR="0085431A" w:rsidRPr="00C75C71" w:rsidTr="0085431A">
        <w:trPr>
          <w:jc w:val="center"/>
        </w:trPr>
        <w:tc>
          <w:tcPr>
            <w:tcW w:w="501" w:type="dxa"/>
            <w:shd w:val="clear" w:color="auto" w:fill="FFFFFF" w:themeFill="background1"/>
            <w:vAlign w:val="center"/>
          </w:tcPr>
          <w:p w:rsidR="0085431A" w:rsidRPr="0085431A" w:rsidRDefault="0085431A" w:rsidP="007029BA">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4</w:t>
            </w:r>
          </w:p>
        </w:tc>
        <w:tc>
          <w:tcPr>
            <w:tcW w:w="889" w:type="dxa"/>
            <w:shd w:val="clear" w:color="auto" w:fill="FFFFFF" w:themeFill="background1"/>
            <w:vAlign w:val="center"/>
          </w:tcPr>
          <w:p w:rsidR="0085431A" w:rsidRPr="0085431A" w:rsidRDefault="0085431A" w:rsidP="00F574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C</w:t>
            </w:r>
          </w:p>
        </w:tc>
        <w:tc>
          <w:tcPr>
            <w:tcW w:w="2447" w:type="dxa"/>
            <w:shd w:val="clear" w:color="auto" w:fill="FFFFFF" w:themeFill="background1"/>
            <w:vAlign w:val="center"/>
          </w:tcPr>
          <w:p w:rsidR="0085431A" w:rsidRPr="0085431A" w:rsidRDefault="0085431A" w:rsidP="00AD28BB">
            <w:pPr>
              <w:pStyle w:val="Bezodstpw"/>
              <w:shd w:val="clear" w:color="auto" w:fill="FFFFFF" w:themeFill="background1"/>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przetwórstwo przemysłowe</w:t>
            </w:r>
          </w:p>
        </w:tc>
        <w:tc>
          <w:tcPr>
            <w:tcW w:w="1525"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16 589</w:t>
            </w:r>
          </w:p>
        </w:tc>
        <w:tc>
          <w:tcPr>
            <w:tcW w:w="1380"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16 696</w:t>
            </w:r>
          </w:p>
        </w:tc>
        <w:tc>
          <w:tcPr>
            <w:tcW w:w="1529"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107</w:t>
            </w:r>
          </w:p>
        </w:tc>
        <w:tc>
          <w:tcPr>
            <w:tcW w:w="863"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0,6</w:t>
            </w:r>
          </w:p>
        </w:tc>
      </w:tr>
      <w:tr w:rsidR="0085431A" w:rsidRPr="00C75C71" w:rsidTr="0085431A">
        <w:trPr>
          <w:jc w:val="center"/>
        </w:trPr>
        <w:tc>
          <w:tcPr>
            <w:tcW w:w="501" w:type="dxa"/>
            <w:shd w:val="clear" w:color="auto" w:fill="FFFFFF" w:themeFill="background1"/>
            <w:vAlign w:val="center"/>
          </w:tcPr>
          <w:p w:rsidR="0085431A" w:rsidRPr="0085431A" w:rsidRDefault="0085431A" w:rsidP="007029BA">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5</w:t>
            </w:r>
          </w:p>
        </w:tc>
        <w:tc>
          <w:tcPr>
            <w:tcW w:w="889" w:type="dxa"/>
            <w:shd w:val="clear" w:color="auto" w:fill="FFFFFF" w:themeFill="background1"/>
            <w:vAlign w:val="center"/>
          </w:tcPr>
          <w:p w:rsidR="0085431A" w:rsidRPr="0085431A" w:rsidRDefault="0085431A" w:rsidP="00F574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D</w:t>
            </w:r>
          </w:p>
        </w:tc>
        <w:tc>
          <w:tcPr>
            <w:tcW w:w="2447" w:type="dxa"/>
            <w:shd w:val="clear" w:color="auto" w:fill="FFFFFF" w:themeFill="background1"/>
            <w:vAlign w:val="center"/>
          </w:tcPr>
          <w:p w:rsidR="0085431A" w:rsidRPr="0085431A" w:rsidRDefault="0085431A" w:rsidP="00AD28BB">
            <w:pPr>
              <w:pStyle w:val="Bezodstpw"/>
              <w:shd w:val="clear" w:color="auto" w:fill="FFFFFF" w:themeFill="background1"/>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wytwarzanie i zaopatrywanie w energię elektryczną, gaz, parę wodną, gorącą wodę i powietrze do układów klimatyzacyjnych</w:t>
            </w:r>
          </w:p>
        </w:tc>
        <w:tc>
          <w:tcPr>
            <w:tcW w:w="1525"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518</w:t>
            </w:r>
          </w:p>
        </w:tc>
        <w:tc>
          <w:tcPr>
            <w:tcW w:w="1380"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504</w:t>
            </w:r>
          </w:p>
        </w:tc>
        <w:tc>
          <w:tcPr>
            <w:tcW w:w="1529"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sidRPr="0085431A">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14</w:t>
            </w:r>
          </w:p>
        </w:tc>
        <w:tc>
          <w:tcPr>
            <w:tcW w:w="863"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sidRPr="0085431A">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2,7</w:t>
            </w:r>
          </w:p>
        </w:tc>
      </w:tr>
      <w:tr w:rsidR="0085431A" w:rsidRPr="00C75C71" w:rsidTr="0085431A">
        <w:trPr>
          <w:jc w:val="center"/>
        </w:trPr>
        <w:tc>
          <w:tcPr>
            <w:tcW w:w="501" w:type="dxa"/>
            <w:shd w:val="clear" w:color="auto" w:fill="FFFFFF" w:themeFill="background1"/>
            <w:vAlign w:val="center"/>
          </w:tcPr>
          <w:p w:rsidR="0085431A" w:rsidRPr="0085431A" w:rsidRDefault="0085431A" w:rsidP="007029BA">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6</w:t>
            </w:r>
          </w:p>
        </w:tc>
        <w:tc>
          <w:tcPr>
            <w:tcW w:w="889" w:type="dxa"/>
            <w:shd w:val="clear" w:color="auto" w:fill="FFFFFF" w:themeFill="background1"/>
            <w:vAlign w:val="center"/>
          </w:tcPr>
          <w:p w:rsidR="0085431A" w:rsidRPr="0085431A" w:rsidRDefault="0085431A" w:rsidP="00F574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E</w:t>
            </w:r>
          </w:p>
        </w:tc>
        <w:tc>
          <w:tcPr>
            <w:tcW w:w="2447" w:type="dxa"/>
            <w:shd w:val="clear" w:color="auto" w:fill="FFFFFF" w:themeFill="background1"/>
            <w:vAlign w:val="center"/>
          </w:tcPr>
          <w:p w:rsidR="0085431A" w:rsidRPr="0085431A" w:rsidRDefault="0085431A" w:rsidP="00AD28BB">
            <w:pPr>
              <w:pStyle w:val="Bezodstpw"/>
              <w:shd w:val="clear" w:color="auto" w:fill="FFFFFF" w:themeFill="background1"/>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dostawa wody; gospodarowanie ściekami i odpadami oraz działalność związana z rekultywacją</w:t>
            </w:r>
          </w:p>
        </w:tc>
        <w:tc>
          <w:tcPr>
            <w:tcW w:w="1525"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497</w:t>
            </w:r>
          </w:p>
        </w:tc>
        <w:tc>
          <w:tcPr>
            <w:tcW w:w="1380"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502</w:t>
            </w:r>
          </w:p>
        </w:tc>
        <w:tc>
          <w:tcPr>
            <w:tcW w:w="1529"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5</w:t>
            </w:r>
          </w:p>
        </w:tc>
        <w:tc>
          <w:tcPr>
            <w:tcW w:w="863"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1,0</w:t>
            </w:r>
          </w:p>
        </w:tc>
      </w:tr>
      <w:tr w:rsidR="0085431A" w:rsidRPr="00C75C71" w:rsidTr="0085431A">
        <w:trPr>
          <w:jc w:val="center"/>
        </w:trPr>
        <w:tc>
          <w:tcPr>
            <w:tcW w:w="501" w:type="dxa"/>
            <w:shd w:val="clear" w:color="auto" w:fill="FFFFFF" w:themeFill="background1"/>
            <w:vAlign w:val="center"/>
          </w:tcPr>
          <w:p w:rsidR="0085431A" w:rsidRPr="0085431A" w:rsidRDefault="0085431A" w:rsidP="007029BA">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7</w:t>
            </w:r>
          </w:p>
        </w:tc>
        <w:tc>
          <w:tcPr>
            <w:tcW w:w="889" w:type="dxa"/>
            <w:shd w:val="clear" w:color="auto" w:fill="FFFFFF" w:themeFill="background1"/>
            <w:vAlign w:val="center"/>
          </w:tcPr>
          <w:p w:rsidR="0085431A" w:rsidRPr="0085431A" w:rsidRDefault="0085431A" w:rsidP="00F574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F</w:t>
            </w:r>
          </w:p>
        </w:tc>
        <w:tc>
          <w:tcPr>
            <w:tcW w:w="2447" w:type="dxa"/>
            <w:shd w:val="clear" w:color="auto" w:fill="FFFFFF" w:themeFill="background1"/>
            <w:vAlign w:val="center"/>
          </w:tcPr>
          <w:p w:rsidR="0085431A" w:rsidRPr="0085431A" w:rsidRDefault="0085431A" w:rsidP="00AD28BB">
            <w:pPr>
              <w:pStyle w:val="Bezodstpw"/>
              <w:shd w:val="clear" w:color="auto" w:fill="FFFFFF" w:themeFill="background1"/>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budownictwo</w:t>
            </w:r>
          </w:p>
        </w:tc>
        <w:tc>
          <w:tcPr>
            <w:tcW w:w="1525"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22 406</w:t>
            </w:r>
          </w:p>
        </w:tc>
        <w:tc>
          <w:tcPr>
            <w:tcW w:w="1380"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24 105</w:t>
            </w:r>
          </w:p>
        </w:tc>
        <w:tc>
          <w:tcPr>
            <w:tcW w:w="1529"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1 699</w:t>
            </w:r>
          </w:p>
        </w:tc>
        <w:tc>
          <w:tcPr>
            <w:tcW w:w="863"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7,6</w:t>
            </w:r>
          </w:p>
        </w:tc>
      </w:tr>
      <w:tr w:rsidR="0085431A" w:rsidRPr="00C75C71" w:rsidTr="0085431A">
        <w:trPr>
          <w:jc w:val="center"/>
        </w:trPr>
        <w:tc>
          <w:tcPr>
            <w:tcW w:w="501" w:type="dxa"/>
            <w:shd w:val="clear" w:color="auto" w:fill="FFFFFF" w:themeFill="background1"/>
            <w:vAlign w:val="center"/>
          </w:tcPr>
          <w:p w:rsidR="0085431A" w:rsidRPr="0085431A" w:rsidRDefault="0085431A" w:rsidP="007029BA">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8</w:t>
            </w:r>
          </w:p>
        </w:tc>
        <w:tc>
          <w:tcPr>
            <w:tcW w:w="889" w:type="dxa"/>
            <w:shd w:val="clear" w:color="auto" w:fill="FFFFFF" w:themeFill="background1"/>
            <w:vAlign w:val="center"/>
          </w:tcPr>
          <w:p w:rsidR="0085431A" w:rsidRPr="0085431A" w:rsidRDefault="0085431A" w:rsidP="00F574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G</w:t>
            </w:r>
          </w:p>
        </w:tc>
        <w:tc>
          <w:tcPr>
            <w:tcW w:w="2447" w:type="dxa"/>
            <w:shd w:val="clear" w:color="auto" w:fill="FFFFFF" w:themeFill="background1"/>
            <w:vAlign w:val="center"/>
          </w:tcPr>
          <w:p w:rsidR="0085431A" w:rsidRPr="0085431A" w:rsidRDefault="0085431A" w:rsidP="00AD28BB">
            <w:pPr>
              <w:pStyle w:val="Bezodstpw"/>
              <w:shd w:val="clear" w:color="auto" w:fill="FFFFFF" w:themeFill="background1"/>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handel hurtowy i detaliczny; naprawa pojazdów samochodowych, włączając motocykle</w:t>
            </w:r>
          </w:p>
        </w:tc>
        <w:tc>
          <w:tcPr>
            <w:tcW w:w="1525"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42 298</w:t>
            </w:r>
          </w:p>
        </w:tc>
        <w:tc>
          <w:tcPr>
            <w:tcW w:w="1380"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41 613</w:t>
            </w:r>
          </w:p>
        </w:tc>
        <w:tc>
          <w:tcPr>
            <w:tcW w:w="1529"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sidRPr="0085431A">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685</w:t>
            </w:r>
          </w:p>
        </w:tc>
        <w:tc>
          <w:tcPr>
            <w:tcW w:w="863"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sidRPr="0085431A">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1,6</w:t>
            </w:r>
          </w:p>
        </w:tc>
      </w:tr>
      <w:tr w:rsidR="0085431A" w:rsidRPr="00C75C71" w:rsidTr="0085431A">
        <w:trPr>
          <w:jc w:val="center"/>
        </w:trPr>
        <w:tc>
          <w:tcPr>
            <w:tcW w:w="501" w:type="dxa"/>
            <w:shd w:val="clear" w:color="auto" w:fill="FFFFFF" w:themeFill="background1"/>
            <w:vAlign w:val="center"/>
          </w:tcPr>
          <w:p w:rsidR="0085431A" w:rsidRPr="0085431A" w:rsidRDefault="0085431A" w:rsidP="007029BA">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9</w:t>
            </w:r>
          </w:p>
        </w:tc>
        <w:tc>
          <w:tcPr>
            <w:tcW w:w="889" w:type="dxa"/>
            <w:shd w:val="clear" w:color="auto" w:fill="FFFFFF" w:themeFill="background1"/>
            <w:vAlign w:val="center"/>
          </w:tcPr>
          <w:p w:rsidR="0085431A" w:rsidRPr="0085431A" w:rsidRDefault="0085431A" w:rsidP="00F574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H</w:t>
            </w:r>
          </w:p>
        </w:tc>
        <w:tc>
          <w:tcPr>
            <w:tcW w:w="2447" w:type="dxa"/>
            <w:shd w:val="clear" w:color="auto" w:fill="FFFFFF" w:themeFill="background1"/>
            <w:vAlign w:val="center"/>
          </w:tcPr>
          <w:p w:rsidR="0085431A" w:rsidRPr="0085431A" w:rsidRDefault="0085431A" w:rsidP="00AD28BB">
            <w:pPr>
              <w:pStyle w:val="Bezodstpw"/>
              <w:shd w:val="clear" w:color="auto" w:fill="FFFFFF" w:themeFill="background1"/>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transport i gospodarka magazynowa</w:t>
            </w:r>
          </w:p>
        </w:tc>
        <w:tc>
          <w:tcPr>
            <w:tcW w:w="1525"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11 510</w:t>
            </w:r>
          </w:p>
        </w:tc>
        <w:tc>
          <w:tcPr>
            <w:tcW w:w="1380"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11 861</w:t>
            </w:r>
          </w:p>
        </w:tc>
        <w:tc>
          <w:tcPr>
            <w:tcW w:w="1529"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351</w:t>
            </w:r>
          </w:p>
        </w:tc>
        <w:tc>
          <w:tcPr>
            <w:tcW w:w="863"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3,0</w:t>
            </w:r>
          </w:p>
        </w:tc>
      </w:tr>
      <w:tr w:rsidR="0085431A" w:rsidRPr="00C75C71" w:rsidTr="0085431A">
        <w:trPr>
          <w:jc w:val="center"/>
        </w:trPr>
        <w:tc>
          <w:tcPr>
            <w:tcW w:w="501" w:type="dxa"/>
            <w:shd w:val="clear" w:color="auto" w:fill="FFFFFF" w:themeFill="background1"/>
            <w:vAlign w:val="center"/>
          </w:tcPr>
          <w:p w:rsidR="0085431A" w:rsidRPr="0085431A" w:rsidRDefault="0085431A" w:rsidP="007029BA">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10</w:t>
            </w:r>
          </w:p>
        </w:tc>
        <w:tc>
          <w:tcPr>
            <w:tcW w:w="889" w:type="dxa"/>
            <w:shd w:val="clear" w:color="auto" w:fill="FFFFFF" w:themeFill="background1"/>
            <w:vAlign w:val="center"/>
          </w:tcPr>
          <w:p w:rsidR="0085431A" w:rsidRPr="0085431A" w:rsidRDefault="0085431A" w:rsidP="00F574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I</w:t>
            </w:r>
          </w:p>
        </w:tc>
        <w:tc>
          <w:tcPr>
            <w:tcW w:w="2447" w:type="dxa"/>
            <w:shd w:val="clear" w:color="auto" w:fill="FFFFFF" w:themeFill="background1"/>
            <w:vAlign w:val="center"/>
          </w:tcPr>
          <w:p w:rsidR="0085431A" w:rsidRPr="0085431A" w:rsidRDefault="0085431A" w:rsidP="00AD28BB">
            <w:pPr>
              <w:pStyle w:val="Bezodstpw"/>
              <w:shd w:val="clear" w:color="auto" w:fill="FFFFFF" w:themeFill="background1"/>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działalność związana z zakwaterowaniem i usługami gastronomicznymi</w:t>
            </w:r>
          </w:p>
        </w:tc>
        <w:tc>
          <w:tcPr>
            <w:tcW w:w="1525"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4 659</w:t>
            </w:r>
          </w:p>
        </w:tc>
        <w:tc>
          <w:tcPr>
            <w:tcW w:w="1380"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4 780</w:t>
            </w:r>
          </w:p>
        </w:tc>
        <w:tc>
          <w:tcPr>
            <w:tcW w:w="1529"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121</w:t>
            </w:r>
          </w:p>
        </w:tc>
        <w:tc>
          <w:tcPr>
            <w:tcW w:w="863"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2,6</w:t>
            </w:r>
          </w:p>
        </w:tc>
      </w:tr>
      <w:tr w:rsidR="0085431A" w:rsidRPr="00C75C71" w:rsidTr="0085431A">
        <w:trPr>
          <w:jc w:val="center"/>
        </w:trPr>
        <w:tc>
          <w:tcPr>
            <w:tcW w:w="501" w:type="dxa"/>
            <w:shd w:val="clear" w:color="auto" w:fill="FFFFFF" w:themeFill="background1"/>
            <w:vAlign w:val="center"/>
          </w:tcPr>
          <w:p w:rsidR="0085431A" w:rsidRPr="0085431A" w:rsidRDefault="0085431A" w:rsidP="007029BA">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11</w:t>
            </w:r>
          </w:p>
        </w:tc>
        <w:tc>
          <w:tcPr>
            <w:tcW w:w="889" w:type="dxa"/>
            <w:shd w:val="clear" w:color="auto" w:fill="FFFFFF" w:themeFill="background1"/>
            <w:vAlign w:val="center"/>
          </w:tcPr>
          <w:p w:rsidR="0085431A" w:rsidRPr="0085431A" w:rsidRDefault="0085431A" w:rsidP="00F574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J</w:t>
            </w:r>
          </w:p>
        </w:tc>
        <w:tc>
          <w:tcPr>
            <w:tcW w:w="2447" w:type="dxa"/>
            <w:shd w:val="clear" w:color="auto" w:fill="FFFFFF" w:themeFill="background1"/>
            <w:vAlign w:val="center"/>
          </w:tcPr>
          <w:p w:rsidR="0085431A" w:rsidRPr="0085431A" w:rsidRDefault="0085431A" w:rsidP="00AD28BB">
            <w:pPr>
              <w:pStyle w:val="Bezodstpw"/>
              <w:shd w:val="clear" w:color="auto" w:fill="FFFFFF" w:themeFill="background1"/>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informacja i komunikacja</w:t>
            </w:r>
          </w:p>
        </w:tc>
        <w:tc>
          <w:tcPr>
            <w:tcW w:w="1525"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5 057</w:t>
            </w:r>
          </w:p>
        </w:tc>
        <w:tc>
          <w:tcPr>
            <w:tcW w:w="1380"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5 513</w:t>
            </w:r>
          </w:p>
        </w:tc>
        <w:tc>
          <w:tcPr>
            <w:tcW w:w="1529"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456</w:t>
            </w:r>
          </w:p>
        </w:tc>
        <w:tc>
          <w:tcPr>
            <w:tcW w:w="863"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9,0</w:t>
            </w:r>
          </w:p>
        </w:tc>
      </w:tr>
      <w:tr w:rsidR="0085431A" w:rsidRPr="00C75C71" w:rsidTr="0085431A">
        <w:trPr>
          <w:jc w:val="center"/>
        </w:trPr>
        <w:tc>
          <w:tcPr>
            <w:tcW w:w="501" w:type="dxa"/>
            <w:shd w:val="clear" w:color="auto" w:fill="FFFFFF" w:themeFill="background1"/>
            <w:vAlign w:val="center"/>
          </w:tcPr>
          <w:p w:rsidR="0085431A" w:rsidRPr="0085431A" w:rsidRDefault="0085431A" w:rsidP="007029BA">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12</w:t>
            </w:r>
          </w:p>
        </w:tc>
        <w:tc>
          <w:tcPr>
            <w:tcW w:w="889" w:type="dxa"/>
            <w:shd w:val="clear" w:color="auto" w:fill="FFFFFF" w:themeFill="background1"/>
            <w:vAlign w:val="center"/>
          </w:tcPr>
          <w:p w:rsidR="0085431A" w:rsidRPr="0085431A" w:rsidRDefault="0085431A" w:rsidP="00F574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K</w:t>
            </w:r>
          </w:p>
        </w:tc>
        <w:tc>
          <w:tcPr>
            <w:tcW w:w="2447" w:type="dxa"/>
            <w:shd w:val="clear" w:color="auto" w:fill="FFFFFF" w:themeFill="background1"/>
            <w:vAlign w:val="center"/>
          </w:tcPr>
          <w:p w:rsidR="0085431A" w:rsidRPr="0085431A" w:rsidRDefault="0085431A" w:rsidP="00AD28BB">
            <w:pPr>
              <w:pStyle w:val="Bezodstpw"/>
              <w:shd w:val="clear" w:color="auto" w:fill="FFFFFF" w:themeFill="background1"/>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działalność finansowa i ubezpieczeniowa</w:t>
            </w:r>
          </w:p>
        </w:tc>
        <w:tc>
          <w:tcPr>
            <w:tcW w:w="1525"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4 041</w:t>
            </w:r>
          </w:p>
        </w:tc>
        <w:tc>
          <w:tcPr>
            <w:tcW w:w="1380"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4 017</w:t>
            </w:r>
          </w:p>
        </w:tc>
        <w:tc>
          <w:tcPr>
            <w:tcW w:w="1529"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sidRPr="0085431A">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24</w:t>
            </w:r>
          </w:p>
        </w:tc>
        <w:tc>
          <w:tcPr>
            <w:tcW w:w="863"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sidRPr="0085431A">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0,6</w:t>
            </w:r>
          </w:p>
        </w:tc>
      </w:tr>
      <w:tr w:rsidR="0085431A" w:rsidRPr="00C75C71" w:rsidTr="0085431A">
        <w:trPr>
          <w:jc w:val="center"/>
        </w:trPr>
        <w:tc>
          <w:tcPr>
            <w:tcW w:w="501" w:type="dxa"/>
            <w:shd w:val="clear" w:color="auto" w:fill="FFFFFF" w:themeFill="background1"/>
            <w:vAlign w:val="center"/>
          </w:tcPr>
          <w:p w:rsidR="0085431A" w:rsidRPr="0085431A" w:rsidRDefault="0085431A" w:rsidP="007029BA">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13</w:t>
            </w:r>
          </w:p>
        </w:tc>
        <w:tc>
          <w:tcPr>
            <w:tcW w:w="889" w:type="dxa"/>
            <w:shd w:val="clear" w:color="auto" w:fill="FFFFFF" w:themeFill="background1"/>
            <w:vAlign w:val="center"/>
          </w:tcPr>
          <w:p w:rsidR="0085431A" w:rsidRPr="0085431A" w:rsidRDefault="0085431A" w:rsidP="00F574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L</w:t>
            </w:r>
          </w:p>
        </w:tc>
        <w:tc>
          <w:tcPr>
            <w:tcW w:w="2447" w:type="dxa"/>
            <w:shd w:val="clear" w:color="auto" w:fill="FFFFFF" w:themeFill="background1"/>
            <w:vAlign w:val="center"/>
          </w:tcPr>
          <w:p w:rsidR="0085431A" w:rsidRPr="0085431A" w:rsidRDefault="0085431A" w:rsidP="00AD28BB">
            <w:pPr>
              <w:pStyle w:val="Bezodstpw"/>
              <w:shd w:val="clear" w:color="auto" w:fill="FFFFFF" w:themeFill="background1"/>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działalność związana z obsługą rynku nieruchomości</w:t>
            </w:r>
          </w:p>
        </w:tc>
        <w:tc>
          <w:tcPr>
            <w:tcW w:w="1525"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4 910</w:t>
            </w:r>
          </w:p>
        </w:tc>
        <w:tc>
          <w:tcPr>
            <w:tcW w:w="1380"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5 064</w:t>
            </w:r>
          </w:p>
        </w:tc>
        <w:tc>
          <w:tcPr>
            <w:tcW w:w="1529"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154</w:t>
            </w:r>
          </w:p>
        </w:tc>
        <w:tc>
          <w:tcPr>
            <w:tcW w:w="863"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3,1</w:t>
            </w:r>
          </w:p>
        </w:tc>
      </w:tr>
      <w:tr w:rsidR="0085431A" w:rsidRPr="00C75C71" w:rsidTr="0085431A">
        <w:trPr>
          <w:jc w:val="center"/>
        </w:trPr>
        <w:tc>
          <w:tcPr>
            <w:tcW w:w="501" w:type="dxa"/>
            <w:shd w:val="clear" w:color="auto" w:fill="FFFFFF" w:themeFill="background1"/>
            <w:vAlign w:val="center"/>
          </w:tcPr>
          <w:p w:rsidR="0085431A" w:rsidRPr="0085431A" w:rsidRDefault="0085431A" w:rsidP="007029BA">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14</w:t>
            </w:r>
          </w:p>
        </w:tc>
        <w:tc>
          <w:tcPr>
            <w:tcW w:w="889" w:type="dxa"/>
            <w:shd w:val="clear" w:color="auto" w:fill="FFFFFF" w:themeFill="background1"/>
            <w:vAlign w:val="center"/>
          </w:tcPr>
          <w:p w:rsidR="0085431A" w:rsidRPr="0085431A" w:rsidRDefault="0085431A" w:rsidP="00F574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M</w:t>
            </w:r>
          </w:p>
        </w:tc>
        <w:tc>
          <w:tcPr>
            <w:tcW w:w="2447" w:type="dxa"/>
            <w:shd w:val="clear" w:color="auto" w:fill="FFFFFF" w:themeFill="background1"/>
            <w:vAlign w:val="center"/>
          </w:tcPr>
          <w:p w:rsidR="0085431A" w:rsidRPr="0085431A" w:rsidRDefault="0085431A" w:rsidP="00AD28BB">
            <w:pPr>
              <w:pStyle w:val="Bezodstpw"/>
              <w:shd w:val="clear" w:color="auto" w:fill="FFFFFF" w:themeFill="background1"/>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działalność profesjonalna, naukowa i techniczna</w:t>
            </w:r>
          </w:p>
        </w:tc>
        <w:tc>
          <w:tcPr>
            <w:tcW w:w="1525"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14 831</w:t>
            </w:r>
          </w:p>
        </w:tc>
        <w:tc>
          <w:tcPr>
            <w:tcW w:w="1380"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15 568</w:t>
            </w:r>
          </w:p>
        </w:tc>
        <w:tc>
          <w:tcPr>
            <w:tcW w:w="1529"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737</w:t>
            </w:r>
          </w:p>
        </w:tc>
        <w:tc>
          <w:tcPr>
            <w:tcW w:w="863"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5,0</w:t>
            </w:r>
          </w:p>
        </w:tc>
      </w:tr>
      <w:tr w:rsidR="0085431A" w:rsidRPr="00C75C71" w:rsidTr="0085431A">
        <w:trPr>
          <w:jc w:val="center"/>
        </w:trPr>
        <w:tc>
          <w:tcPr>
            <w:tcW w:w="501" w:type="dxa"/>
            <w:shd w:val="clear" w:color="auto" w:fill="FFFFFF" w:themeFill="background1"/>
            <w:vAlign w:val="center"/>
          </w:tcPr>
          <w:p w:rsidR="0085431A" w:rsidRPr="0085431A" w:rsidRDefault="0085431A" w:rsidP="007029BA">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15</w:t>
            </w:r>
          </w:p>
        </w:tc>
        <w:tc>
          <w:tcPr>
            <w:tcW w:w="889" w:type="dxa"/>
            <w:shd w:val="clear" w:color="auto" w:fill="FFFFFF" w:themeFill="background1"/>
            <w:vAlign w:val="center"/>
          </w:tcPr>
          <w:p w:rsidR="0085431A" w:rsidRPr="0085431A" w:rsidRDefault="0085431A" w:rsidP="00F574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N</w:t>
            </w:r>
          </w:p>
        </w:tc>
        <w:tc>
          <w:tcPr>
            <w:tcW w:w="2447" w:type="dxa"/>
            <w:shd w:val="clear" w:color="auto" w:fill="FFFFFF" w:themeFill="background1"/>
            <w:vAlign w:val="center"/>
          </w:tcPr>
          <w:p w:rsidR="0085431A" w:rsidRPr="0085431A" w:rsidRDefault="0085431A" w:rsidP="00AD28BB">
            <w:pPr>
              <w:pStyle w:val="Bezodstpw"/>
              <w:shd w:val="clear" w:color="auto" w:fill="FFFFFF" w:themeFill="background1"/>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działalność w zakresie usług administrowania i działalność wspierając</w:t>
            </w:r>
          </w:p>
        </w:tc>
        <w:tc>
          <w:tcPr>
            <w:tcW w:w="1525"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4 433</w:t>
            </w:r>
          </w:p>
        </w:tc>
        <w:tc>
          <w:tcPr>
            <w:tcW w:w="1380"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4 497</w:t>
            </w:r>
          </w:p>
        </w:tc>
        <w:tc>
          <w:tcPr>
            <w:tcW w:w="1529"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64</w:t>
            </w:r>
          </w:p>
        </w:tc>
        <w:tc>
          <w:tcPr>
            <w:tcW w:w="863"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1,4</w:t>
            </w:r>
          </w:p>
        </w:tc>
      </w:tr>
      <w:tr w:rsidR="0085431A" w:rsidRPr="00C75C71" w:rsidTr="0085431A">
        <w:trPr>
          <w:jc w:val="center"/>
        </w:trPr>
        <w:tc>
          <w:tcPr>
            <w:tcW w:w="501" w:type="dxa"/>
            <w:shd w:val="clear" w:color="auto" w:fill="FFFFFF" w:themeFill="background1"/>
            <w:vAlign w:val="center"/>
          </w:tcPr>
          <w:p w:rsidR="0085431A" w:rsidRPr="0085431A" w:rsidRDefault="0085431A" w:rsidP="007029BA">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16</w:t>
            </w:r>
          </w:p>
        </w:tc>
        <w:tc>
          <w:tcPr>
            <w:tcW w:w="889" w:type="dxa"/>
            <w:shd w:val="clear" w:color="auto" w:fill="FFFFFF" w:themeFill="background1"/>
            <w:vAlign w:val="center"/>
          </w:tcPr>
          <w:p w:rsidR="0085431A" w:rsidRPr="0085431A" w:rsidRDefault="0085431A" w:rsidP="00F574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O</w:t>
            </w:r>
          </w:p>
        </w:tc>
        <w:tc>
          <w:tcPr>
            <w:tcW w:w="2447" w:type="dxa"/>
            <w:shd w:val="clear" w:color="auto" w:fill="FFFFFF" w:themeFill="background1"/>
            <w:vAlign w:val="center"/>
          </w:tcPr>
          <w:p w:rsidR="0085431A" w:rsidRPr="0085431A" w:rsidRDefault="0085431A" w:rsidP="00AD28BB">
            <w:pPr>
              <w:pStyle w:val="Bezodstpw"/>
              <w:shd w:val="clear" w:color="auto" w:fill="FFFFFF" w:themeFill="background1"/>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administracja publiczna i obrona narodowa; obowiązkowe zabezpieczenia społeczne</w:t>
            </w:r>
          </w:p>
        </w:tc>
        <w:tc>
          <w:tcPr>
            <w:tcW w:w="1525"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1 921</w:t>
            </w:r>
          </w:p>
        </w:tc>
        <w:tc>
          <w:tcPr>
            <w:tcW w:w="1380"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1 894</w:t>
            </w:r>
          </w:p>
        </w:tc>
        <w:tc>
          <w:tcPr>
            <w:tcW w:w="1529"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sidRPr="0085431A">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27</w:t>
            </w:r>
          </w:p>
        </w:tc>
        <w:tc>
          <w:tcPr>
            <w:tcW w:w="863"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sidRPr="0085431A">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1,4</w:t>
            </w:r>
          </w:p>
        </w:tc>
      </w:tr>
      <w:tr w:rsidR="0085431A" w:rsidRPr="00C75C71" w:rsidTr="0085431A">
        <w:trPr>
          <w:jc w:val="center"/>
        </w:trPr>
        <w:tc>
          <w:tcPr>
            <w:tcW w:w="501" w:type="dxa"/>
            <w:shd w:val="clear" w:color="auto" w:fill="FFFFFF" w:themeFill="background1"/>
            <w:vAlign w:val="center"/>
          </w:tcPr>
          <w:p w:rsidR="0085431A" w:rsidRPr="0085431A" w:rsidRDefault="0085431A" w:rsidP="007029BA">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17</w:t>
            </w:r>
          </w:p>
        </w:tc>
        <w:tc>
          <w:tcPr>
            <w:tcW w:w="889" w:type="dxa"/>
            <w:shd w:val="clear" w:color="auto" w:fill="FFFFFF" w:themeFill="background1"/>
            <w:vAlign w:val="center"/>
          </w:tcPr>
          <w:p w:rsidR="0085431A" w:rsidRPr="0085431A" w:rsidRDefault="0085431A" w:rsidP="00F574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P</w:t>
            </w:r>
          </w:p>
        </w:tc>
        <w:tc>
          <w:tcPr>
            <w:tcW w:w="2447" w:type="dxa"/>
            <w:shd w:val="clear" w:color="auto" w:fill="FFFFFF" w:themeFill="background1"/>
            <w:vAlign w:val="center"/>
          </w:tcPr>
          <w:p w:rsidR="0085431A" w:rsidRPr="0085431A" w:rsidRDefault="0085431A" w:rsidP="00AD28BB">
            <w:pPr>
              <w:pStyle w:val="Bezodstpw"/>
              <w:shd w:val="clear" w:color="auto" w:fill="FFFFFF" w:themeFill="background1"/>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edukacja</w:t>
            </w:r>
          </w:p>
        </w:tc>
        <w:tc>
          <w:tcPr>
            <w:tcW w:w="1525"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6 502</w:t>
            </w:r>
          </w:p>
        </w:tc>
        <w:tc>
          <w:tcPr>
            <w:tcW w:w="1380"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6 648</w:t>
            </w:r>
          </w:p>
        </w:tc>
        <w:tc>
          <w:tcPr>
            <w:tcW w:w="1529"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146</w:t>
            </w:r>
          </w:p>
        </w:tc>
        <w:tc>
          <w:tcPr>
            <w:tcW w:w="863"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2,2</w:t>
            </w:r>
          </w:p>
        </w:tc>
      </w:tr>
      <w:tr w:rsidR="0085431A" w:rsidRPr="00C75C71" w:rsidTr="0085431A">
        <w:trPr>
          <w:jc w:val="center"/>
        </w:trPr>
        <w:tc>
          <w:tcPr>
            <w:tcW w:w="501" w:type="dxa"/>
            <w:shd w:val="clear" w:color="auto" w:fill="FFFFFF" w:themeFill="background1"/>
            <w:vAlign w:val="center"/>
          </w:tcPr>
          <w:p w:rsidR="0085431A" w:rsidRPr="0085431A" w:rsidRDefault="0085431A" w:rsidP="007029BA">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18</w:t>
            </w:r>
          </w:p>
        </w:tc>
        <w:tc>
          <w:tcPr>
            <w:tcW w:w="889" w:type="dxa"/>
            <w:shd w:val="clear" w:color="auto" w:fill="FFFFFF" w:themeFill="background1"/>
            <w:vAlign w:val="center"/>
          </w:tcPr>
          <w:p w:rsidR="0085431A" w:rsidRPr="0085431A" w:rsidRDefault="0085431A" w:rsidP="00F574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Q</w:t>
            </w:r>
          </w:p>
        </w:tc>
        <w:tc>
          <w:tcPr>
            <w:tcW w:w="2447" w:type="dxa"/>
            <w:shd w:val="clear" w:color="auto" w:fill="FFFFFF" w:themeFill="background1"/>
            <w:vAlign w:val="center"/>
          </w:tcPr>
          <w:p w:rsidR="0085431A" w:rsidRPr="0085431A" w:rsidRDefault="0085431A" w:rsidP="00AD28BB">
            <w:pPr>
              <w:pStyle w:val="Bezodstpw"/>
              <w:shd w:val="clear" w:color="auto" w:fill="FFFFFF" w:themeFill="background1"/>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opieka zdrowotna i pomoc społeczna</w:t>
            </w:r>
          </w:p>
        </w:tc>
        <w:tc>
          <w:tcPr>
            <w:tcW w:w="1525"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10 240</w:t>
            </w:r>
          </w:p>
        </w:tc>
        <w:tc>
          <w:tcPr>
            <w:tcW w:w="1380"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10 601</w:t>
            </w:r>
          </w:p>
        </w:tc>
        <w:tc>
          <w:tcPr>
            <w:tcW w:w="1529"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361</w:t>
            </w:r>
          </w:p>
        </w:tc>
        <w:tc>
          <w:tcPr>
            <w:tcW w:w="863"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3,5</w:t>
            </w:r>
          </w:p>
        </w:tc>
      </w:tr>
      <w:tr w:rsidR="0085431A" w:rsidRPr="00C75C71" w:rsidTr="0085431A">
        <w:trPr>
          <w:jc w:val="center"/>
        </w:trPr>
        <w:tc>
          <w:tcPr>
            <w:tcW w:w="501" w:type="dxa"/>
            <w:shd w:val="clear" w:color="auto" w:fill="FFFFFF" w:themeFill="background1"/>
            <w:vAlign w:val="center"/>
          </w:tcPr>
          <w:p w:rsidR="0085431A" w:rsidRPr="0085431A" w:rsidRDefault="0085431A" w:rsidP="007029BA">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19</w:t>
            </w:r>
          </w:p>
        </w:tc>
        <w:tc>
          <w:tcPr>
            <w:tcW w:w="889" w:type="dxa"/>
            <w:shd w:val="clear" w:color="auto" w:fill="FFFFFF" w:themeFill="background1"/>
            <w:vAlign w:val="center"/>
          </w:tcPr>
          <w:p w:rsidR="0085431A" w:rsidRPr="0085431A" w:rsidRDefault="0085431A" w:rsidP="00F574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R</w:t>
            </w:r>
          </w:p>
        </w:tc>
        <w:tc>
          <w:tcPr>
            <w:tcW w:w="2447" w:type="dxa"/>
            <w:shd w:val="clear" w:color="auto" w:fill="FFFFFF" w:themeFill="background1"/>
            <w:vAlign w:val="center"/>
          </w:tcPr>
          <w:p w:rsidR="0085431A" w:rsidRPr="0085431A" w:rsidRDefault="0085431A" w:rsidP="00AD28BB">
            <w:pPr>
              <w:pStyle w:val="Bezodstpw"/>
              <w:shd w:val="clear" w:color="auto" w:fill="FFFFFF" w:themeFill="background1"/>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działalność związana z kulturą, rozrywką i rekreacją</w:t>
            </w:r>
          </w:p>
        </w:tc>
        <w:tc>
          <w:tcPr>
            <w:tcW w:w="1525"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3 873</w:t>
            </w:r>
          </w:p>
        </w:tc>
        <w:tc>
          <w:tcPr>
            <w:tcW w:w="1380"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3 789</w:t>
            </w:r>
          </w:p>
        </w:tc>
        <w:tc>
          <w:tcPr>
            <w:tcW w:w="1529"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sidRPr="0085431A">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84</w:t>
            </w:r>
          </w:p>
        </w:tc>
        <w:tc>
          <w:tcPr>
            <w:tcW w:w="863"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sidRPr="0085431A">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2,2</w:t>
            </w:r>
          </w:p>
        </w:tc>
      </w:tr>
      <w:tr w:rsidR="0085431A" w:rsidRPr="00C75C71" w:rsidTr="0085431A">
        <w:trPr>
          <w:jc w:val="center"/>
        </w:trPr>
        <w:tc>
          <w:tcPr>
            <w:tcW w:w="501" w:type="dxa"/>
            <w:shd w:val="clear" w:color="auto" w:fill="FFFFFF" w:themeFill="background1"/>
            <w:vAlign w:val="center"/>
          </w:tcPr>
          <w:p w:rsidR="0085431A" w:rsidRPr="0085431A" w:rsidRDefault="0085431A" w:rsidP="007029BA">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20</w:t>
            </w:r>
          </w:p>
        </w:tc>
        <w:tc>
          <w:tcPr>
            <w:tcW w:w="889" w:type="dxa"/>
            <w:shd w:val="clear" w:color="auto" w:fill="FFFFFF" w:themeFill="background1"/>
            <w:vAlign w:val="center"/>
          </w:tcPr>
          <w:p w:rsidR="0085431A" w:rsidRPr="0085431A" w:rsidRDefault="0085431A" w:rsidP="00F574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S</w:t>
            </w:r>
          </w:p>
        </w:tc>
        <w:tc>
          <w:tcPr>
            <w:tcW w:w="2447" w:type="dxa"/>
            <w:shd w:val="clear" w:color="auto" w:fill="FFFFFF" w:themeFill="background1"/>
            <w:vAlign w:val="center"/>
          </w:tcPr>
          <w:p w:rsidR="0085431A" w:rsidRPr="0085431A" w:rsidRDefault="0085431A" w:rsidP="00AD28BB">
            <w:pPr>
              <w:pStyle w:val="Bezodstpw"/>
              <w:shd w:val="clear" w:color="auto" w:fill="FFFFFF" w:themeFill="background1"/>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pozostała działalność usługowa</w:t>
            </w:r>
          </w:p>
        </w:tc>
        <w:tc>
          <w:tcPr>
            <w:tcW w:w="1525"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13 063</w:t>
            </w:r>
          </w:p>
        </w:tc>
        <w:tc>
          <w:tcPr>
            <w:tcW w:w="1380"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13 340</w:t>
            </w:r>
          </w:p>
        </w:tc>
        <w:tc>
          <w:tcPr>
            <w:tcW w:w="1529"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277</w:t>
            </w:r>
          </w:p>
        </w:tc>
        <w:tc>
          <w:tcPr>
            <w:tcW w:w="863"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2,1</w:t>
            </w:r>
          </w:p>
        </w:tc>
      </w:tr>
      <w:tr w:rsidR="0085431A" w:rsidRPr="00C75C71" w:rsidTr="0085431A">
        <w:trPr>
          <w:jc w:val="center"/>
        </w:trPr>
        <w:tc>
          <w:tcPr>
            <w:tcW w:w="501" w:type="dxa"/>
            <w:shd w:val="clear" w:color="auto" w:fill="FFFFFF" w:themeFill="background1"/>
            <w:vAlign w:val="center"/>
          </w:tcPr>
          <w:p w:rsidR="0085431A" w:rsidRPr="0085431A" w:rsidRDefault="0085431A" w:rsidP="007029BA">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21</w:t>
            </w:r>
          </w:p>
        </w:tc>
        <w:tc>
          <w:tcPr>
            <w:tcW w:w="889" w:type="dxa"/>
            <w:shd w:val="clear" w:color="auto" w:fill="FFFFFF" w:themeFill="background1"/>
            <w:vAlign w:val="center"/>
          </w:tcPr>
          <w:p w:rsidR="0085431A" w:rsidRPr="0085431A" w:rsidRDefault="0085431A" w:rsidP="00F574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T</w:t>
            </w:r>
          </w:p>
        </w:tc>
        <w:tc>
          <w:tcPr>
            <w:tcW w:w="2447" w:type="dxa"/>
            <w:shd w:val="clear" w:color="auto" w:fill="FFFFFF" w:themeFill="background1"/>
            <w:vAlign w:val="center"/>
          </w:tcPr>
          <w:p w:rsidR="0085431A" w:rsidRPr="0085431A" w:rsidRDefault="0085431A" w:rsidP="00AD28BB">
            <w:pPr>
              <w:pStyle w:val="Bezodstpw"/>
              <w:shd w:val="clear" w:color="auto" w:fill="FFFFFF" w:themeFill="background1"/>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gospodarstwa domowe zatrudniające pracowników; gospodarstwa domowe produkujące wyroby i świadczące usługi na własne potrzeby</w:t>
            </w:r>
          </w:p>
        </w:tc>
        <w:tc>
          <w:tcPr>
            <w:tcW w:w="1525"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0</w:t>
            </w:r>
          </w:p>
        </w:tc>
        <w:tc>
          <w:tcPr>
            <w:tcW w:w="1380"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0</w:t>
            </w:r>
          </w:p>
        </w:tc>
        <w:tc>
          <w:tcPr>
            <w:tcW w:w="1529"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sidRPr="0085431A">
              <w:rPr>
                <w:rFonts w:ascii="Times New Roman" w:hAnsi="Times New Roman" w:cs="Times New Roman"/>
                <w:color w:val="000000"/>
                <w:sz w:val="16"/>
                <w:szCs w:val="16"/>
              </w:rPr>
              <w:t>0</w:t>
            </w:r>
          </w:p>
        </w:tc>
        <w:tc>
          <w:tcPr>
            <w:tcW w:w="863"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sidRPr="0085431A">
              <w:rPr>
                <w:rFonts w:ascii="Times New Roman" w:hAnsi="Times New Roman" w:cs="Times New Roman"/>
                <w:color w:val="000000"/>
                <w:sz w:val="16"/>
                <w:szCs w:val="16"/>
              </w:rPr>
              <w:t>---</w:t>
            </w:r>
          </w:p>
        </w:tc>
      </w:tr>
      <w:tr w:rsidR="0085431A" w:rsidRPr="00C75C71" w:rsidTr="0085431A">
        <w:trPr>
          <w:jc w:val="center"/>
        </w:trPr>
        <w:tc>
          <w:tcPr>
            <w:tcW w:w="501" w:type="dxa"/>
            <w:shd w:val="clear" w:color="auto" w:fill="FFFFFF" w:themeFill="background1"/>
            <w:vAlign w:val="center"/>
          </w:tcPr>
          <w:p w:rsidR="0085431A" w:rsidRPr="0085431A" w:rsidRDefault="0085431A" w:rsidP="00F574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22</w:t>
            </w:r>
          </w:p>
        </w:tc>
        <w:tc>
          <w:tcPr>
            <w:tcW w:w="889" w:type="dxa"/>
            <w:shd w:val="clear" w:color="auto" w:fill="FFFFFF" w:themeFill="background1"/>
            <w:vAlign w:val="center"/>
          </w:tcPr>
          <w:p w:rsidR="0085431A" w:rsidRPr="0085431A" w:rsidRDefault="0085431A" w:rsidP="00F574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U</w:t>
            </w:r>
          </w:p>
        </w:tc>
        <w:tc>
          <w:tcPr>
            <w:tcW w:w="2447" w:type="dxa"/>
            <w:shd w:val="clear" w:color="auto" w:fill="FFFFFF" w:themeFill="background1"/>
            <w:vAlign w:val="center"/>
          </w:tcPr>
          <w:p w:rsidR="0085431A" w:rsidRPr="0085431A" w:rsidRDefault="0085431A" w:rsidP="00AD28BB">
            <w:pPr>
              <w:pStyle w:val="Bezodstpw"/>
              <w:shd w:val="clear" w:color="auto" w:fill="FFFFFF" w:themeFill="background1"/>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organizacje i zespoły eksterytorialne</w:t>
            </w:r>
          </w:p>
        </w:tc>
        <w:tc>
          <w:tcPr>
            <w:tcW w:w="1525"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3</w:t>
            </w:r>
          </w:p>
        </w:tc>
        <w:tc>
          <w:tcPr>
            <w:tcW w:w="1380" w:type="dxa"/>
            <w:shd w:val="clear" w:color="auto" w:fill="FFFFFF" w:themeFill="background1"/>
            <w:vAlign w:val="center"/>
          </w:tcPr>
          <w:p w:rsidR="0085431A" w:rsidRPr="0085431A" w:rsidRDefault="0085431A" w:rsidP="0085431A">
            <w:pPr>
              <w:jc w:val="center"/>
              <w:rPr>
                <w:rFonts w:ascii="Times New Roman" w:hAnsi="Times New Roman" w:cs="Times New Roman"/>
                <w:sz w:val="16"/>
                <w:szCs w:val="16"/>
              </w:rPr>
            </w:pPr>
            <w:r w:rsidRPr="0085431A">
              <w:rPr>
                <w:rFonts w:ascii="Times New Roman" w:hAnsi="Times New Roman" w:cs="Times New Roman"/>
                <w:sz w:val="16"/>
                <w:szCs w:val="16"/>
              </w:rPr>
              <w:t>4</w:t>
            </w:r>
          </w:p>
        </w:tc>
        <w:tc>
          <w:tcPr>
            <w:tcW w:w="1529"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1</w:t>
            </w:r>
          </w:p>
        </w:tc>
        <w:tc>
          <w:tcPr>
            <w:tcW w:w="863" w:type="dxa"/>
            <w:shd w:val="clear" w:color="auto" w:fill="FFFFFF" w:themeFill="background1"/>
            <w:vAlign w:val="center"/>
          </w:tcPr>
          <w:p w:rsidR="0085431A" w:rsidRPr="0085431A" w:rsidRDefault="0085431A" w:rsidP="0085431A">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85431A">
              <w:rPr>
                <w:rFonts w:ascii="Times New Roman" w:hAnsi="Times New Roman" w:cs="Times New Roman"/>
                <w:color w:val="000000"/>
                <w:sz w:val="16"/>
                <w:szCs w:val="16"/>
              </w:rPr>
              <w:t>33,3</w:t>
            </w:r>
          </w:p>
        </w:tc>
      </w:tr>
    </w:tbl>
    <w:p w:rsidR="004D5ADE" w:rsidRDefault="004D5ADE" w:rsidP="00F574CF">
      <w:pPr>
        <w:pStyle w:val="Bezodstpw"/>
        <w:pBdr>
          <w:bottom w:val="single" w:sz="4" w:space="1" w:color="auto"/>
        </w:pBdr>
        <w:shd w:val="clear" w:color="auto" w:fill="FFFFFF" w:themeFill="background1"/>
        <w:jc w:val="both"/>
        <w:rPr>
          <w:rFonts w:ascii="Times New Roman" w:hAnsi="Times New Roman" w:cs="Times New Roman"/>
          <w:sz w:val="16"/>
          <w:szCs w:val="16"/>
          <w:highlight w:val="yellow"/>
        </w:rPr>
      </w:pPr>
    </w:p>
    <w:p w:rsidR="00765F52" w:rsidRPr="00C75C71" w:rsidRDefault="00765F52" w:rsidP="00F574CF">
      <w:pPr>
        <w:pStyle w:val="Bezodstpw"/>
        <w:pBdr>
          <w:bottom w:val="single" w:sz="4" w:space="1" w:color="auto"/>
        </w:pBdr>
        <w:shd w:val="clear" w:color="auto" w:fill="FFFFFF" w:themeFill="background1"/>
        <w:jc w:val="both"/>
        <w:rPr>
          <w:rFonts w:ascii="Times New Roman" w:hAnsi="Times New Roman" w:cs="Times New Roman"/>
          <w:sz w:val="16"/>
          <w:szCs w:val="16"/>
          <w:highlight w:val="yellow"/>
        </w:rPr>
      </w:pPr>
    </w:p>
    <w:p w:rsidR="00423CA6" w:rsidRPr="00D5788D" w:rsidRDefault="00423CA6" w:rsidP="00F574CF">
      <w:pPr>
        <w:pStyle w:val="Bezodstpw"/>
        <w:pBdr>
          <w:bottom w:val="single" w:sz="4" w:space="1" w:color="auto"/>
        </w:pBdr>
        <w:shd w:val="clear" w:color="auto" w:fill="FFFFFF" w:themeFill="background1"/>
        <w:jc w:val="both"/>
        <w:rPr>
          <w:rFonts w:ascii="Times New Roman" w:hAnsi="Times New Roman" w:cs="Times New Roman"/>
          <w:sz w:val="24"/>
          <w:szCs w:val="24"/>
        </w:rPr>
      </w:pPr>
      <w:r w:rsidRPr="00D5788D">
        <w:rPr>
          <w:rFonts w:ascii="Times New Roman" w:hAnsi="Times New Roman" w:cs="Times New Roman"/>
          <w:sz w:val="24"/>
          <w:szCs w:val="24"/>
        </w:rPr>
        <w:t>Wnioski:</w:t>
      </w:r>
    </w:p>
    <w:p w:rsidR="00423CA6" w:rsidRDefault="00423CA6" w:rsidP="00423CA6">
      <w:pPr>
        <w:pStyle w:val="Bezodstpw"/>
        <w:spacing w:line="360" w:lineRule="auto"/>
        <w:jc w:val="both"/>
        <w:rPr>
          <w:rFonts w:ascii="Times New Roman" w:hAnsi="Times New Roman" w:cs="Times New Roman"/>
          <w:sz w:val="18"/>
          <w:szCs w:val="18"/>
        </w:rPr>
      </w:pPr>
      <w:r w:rsidRPr="0061191F">
        <w:rPr>
          <w:rFonts w:ascii="Times New Roman" w:hAnsi="Times New Roman" w:cs="Times New Roman"/>
          <w:sz w:val="18"/>
          <w:szCs w:val="18"/>
        </w:rPr>
        <w:t>(na podstawie Tabeli 1</w:t>
      </w:r>
      <w:r w:rsidR="001707C3">
        <w:rPr>
          <w:rFonts w:ascii="Times New Roman" w:hAnsi="Times New Roman" w:cs="Times New Roman"/>
          <w:sz w:val="18"/>
          <w:szCs w:val="18"/>
        </w:rPr>
        <w:t>0</w:t>
      </w:r>
      <w:r w:rsidRPr="0061191F">
        <w:rPr>
          <w:rFonts w:ascii="Times New Roman" w:hAnsi="Times New Roman" w:cs="Times New Roman"/>
          <w:sz w:val="18"/>
          <w:szCs w:val="18"/>
        </w:rPr>
        <w:t>)</w:t>
      </w:r>
    </w:p>
    <w:p w:rsidR="009356CC" w:rsidRPr="009356CC" w:rsidRDefault="009356CC" w:rsidP="00423CA6">
      <w:pPr>
        <w:pStyle w:val="Bezodstpw"/>
        <w:spacing w:line="360" w:lineRule="auto"/>
        <w:jc w:val="both"/>
        <w:rPr>
          <w:rFonts w:ascii="Times New Roman" w:hAnsi="Times New Roman" w:cs="Times New Roman"/>
          <w:sz w:val="14"/>
          <w:szCs w:val="14"/>
          <w:vertAlign w:val="subscript"/>
        </w:rPr>
      </w:pPr>
    </w:p>
    <w:p w:rsidR="006A240C" w:rsidRPr="00765F52" w:rsidRDefault="00423CA6" w:rsidP="006A240C">
      <w:pPr>
        <w:pStyle w:val="Bezodstpw"/>
        <w:numPr>
          <w:ilvl w:val="0"/>
          <w:numId w:val="30"/>
        </w:numPr>
        <w:spacing w:line="360" w:lineRule="auto"/>
        <w:jc w:val="both"/>
        <w:rPr>
          <w:rFonts w:ascii="Times New Roman" w:hAnsi="Times New Roman" w:cs="Times New Roman"/>
          <w:sz w:val="24"/>
          <w:szCs w:val="24"/>
        </w:rPr>
      </w:pPr>
      <w:r w:rsidRPr="00765F52">
        <w:rPr>
          <w:rFonts w:ascii="Times New Roman" w:hAnsi="Times New Roman" w:cs="Times New Roman"/>
          <w:sz w:val="24"/>
          <w:szCs w:val="24"/>
        </w:rPr>
        <w:t>Największy przyrost</w:t>
      </w:r>
      <w:r w:rsidR="00DE772D">
        <w:rPr>
          <w:rFonts w:ascii="Times New Roman" w:hAnsi="Times New Roman" w:cs="Times New Roman"/>
          <w:sz w:val="24"/>
          <w:szCs w:val="24"/>
        </w:rPr>
        <w:t xml:space="preserve"> </w:t>
      </w:r>
      <w:r w:rsidRPr="00765F52">
        <w:rPr>
          <w:rFonts w:ascii="Times New Roman" w:hAnsi="Times New Roman" w:cs="Times New Roman"/>
          <w:sz w:val="24"/>
          <w:szCs w:val="24"/>
        </w:rPr>
        <w:t>liczby</w:t>
      </w:r>
      <w:r w:rsidR="00DE772D">
        <w:rPr>
          <w:rFonts w:ascii="Times New Roman" w:hAnsi="Times New Roman" w:cs="Times New Roman"/>
          <w:sz w:val="24"/>
          <w:szCs w:val="24"/>
        </w:rPr>
        <w:t xml:space="preserve"> </w:t>
      </w:r>
      <w:r w:rsidRPr="00765F52">
        <w:rPr>
          <w:rFonts w:ascii="Times New Roman" w:hAnsi="Times New Roman" w:cs="Times New Roman"/>
          <w:sz w:val="24"/>
          <w:szCs w:val="24"/>
        </w:rPr>
        <w:t>podmiotów gospodarczych w 201</w:t>
      </w:r>
      <w:r w:rsidR="006A240C" w:rsidRPr="00765F52">
        <w:rPr>
          <w:rFonts w:ascii="Times New Roman" w:hAnsi="Times New Roman" w:cs="Times New Roman"/>
          <w:sz w:val="24"/>
          <w:szCs w:val="24"/>
        </w:rPr>
        <w:t>8</w:t>
      </w:r>
      <w:r w:rsidRPr="00765F52">
        <w:rPr>
          <w:rFonts w:ascii="Times New Roman" w:hAnsi="Times New Roman" w:cs="Times New Roman"/>
          <w:sz w:val="24"/>
          <w:szCs w:val="24"/>
        </w:rPr>
        <w:t> r</w:t>
      </w:r>
      <w:r w:rsidR="006A240C" w:rsidRPr="00765F52">
        <w:rPr>
          <w:rFonts w:ascii="Times New Roman" w:hAnsi="Times New Roman" w:cs="Times New Roman"/>
          <w:sz w:val="24"/>
          <w:szCs w:val="24"/>
        </w:rPr>
        <w:t>oku</w:t>
      </w:r>
      <w:r w:rsidRPr="00765F52">
        <w:rPr>
          <w:rFonts w:ascii="Times New Roman" w:hAnsi="Times New Roman" w:cs="Times New Roman"/>
          <w:sz w:val="24"/>
          <w:szCs w:val="24"/>
        </w:rPr>
        <w:t xml:space="preserve"> zauważyć można w budow</w:t>
      </w:r>
      <w:r w:rsidR="00F43A12" w:rsidRPr="00765F52">
        <w:rPr>
          <w:rFonts w:ascii="Times New Roman" w:hAnsi="Times New Roman" w:cs="Times New Roman"/>
          <w:sz w:val="24"/>
          <w:szCs w:val="24"/>
        </w:rPr>
        <w:t xml:space="preserve">nictwie </w:t>
      </w:r>
      <w:r w:rsidRPr="00765F52">
        <w:rPr>
          <w:rFonts w:ascii="Times New Roman" w:hAnsi="Times New Roman" w:cs="Times New Roman"/>
          <w:sz w:val="24"/>
          <w:szCs w:val="24"/>
        </w:rPr>
        <w:t>(</w:t>
      </w:r>
      <w:r w:rsidR="00F43A12" w:rsidRPr="00765F52">
        <w:rPr>
          <w:rFonts w:ascii="Times New Roman" w:hAnsi="Times New Roman" w:cs="Times New Roman"/>
          <w:sz w:val="24"/>
          <w:szCs w:val="24"/>
        </w:rPr>
        <w:t xml:space="preserve">o 1 </w:t>
      </w:r>
      <w:r w:rsidR="006A240C" w:rsidRPr="00765F52">
        <w:rPr>
          <w:rFonts w:ascii="Times New Roman" w:hAnsi="Times New Roman" w:cs="Times New Roman"/>
          <w:sz w:val="24"/>
          <w:szCs w:val="24"/>
        </w:rPr>
        <w:t>699</w:t>
      </w:r>
      <w:r w:rsidRPr="00765F52">
        <w:rPr>
          <w:rFonts w:ascii="Times New Roman" w:hAnsi="Times New Roman" w:cs="Times New Roman"/>
          <w:sz w:val="24"/>
          <w:szCs w:val="24"/>
        </w:rPr>
        <w:t xml:space="preserve"> podmiotów),</w:t>
      </w:r>
      <w:r w:rsidR="00F43A12" w:rsidRPr="00765F52">
        <w:rPr>
          <w:rFonts w:ascii="Times New Roman" w:hAnsi="Times New Roman" w:cs="Times New Roman"/>
          <w:sz w:val="24"/>
          <w:szCs w:val="24"/>
        </w:rPr>
        <w:t xml:space="preserve"> </w:t>
      </w:r>
      <w:r w:rsidRPr="00765F52">
        <w:rPr>
          <w:rFonts w:ascii="Times New Roman" w:hAnsi="Times New Roman" w:cs="Times New Roman"/>
          <w:sz w:val="24"/>
          <w:szCs w:val="24"/>
        </w:rPr>
        <w:t>działalności profesjonalnej, naukowej i technicznej (</w:t>
      </w:r>
      <w:r w:rsidR="006A240C" w:rsidRPr="00765F52">
        <w:rPr>
          <w:rFonts w:ascii="Times New Roman" w:hAnsi="Times New Roman" w:cs="Times New Roman"/>
          <w:sz w:val="24"/>
          <w:szCs w:val="24"/>
        </w:rPr>
        <w:t>737</w:t>
      </w:r>
      <w:r w:rsidRPr="00765F52">
        <w:rPr>
          <w:rFonts w:ascii="Times New Roman" w:hAnsi="Times New Roman" w:cs="Times New Roman"/>
          <w:sz w:val="24"/>
          <w:szCs w:val="24"/>
        </w:rPr>
        <w:t>),</w:t>
      </w:r>
      <w:r w:rsidR="00F43A12" w:rsidRPr="00765F52">
        <w:rPr>
          <w:rFonts w:ascii="Times New Roman" w:hAnsi="Times New Roman" w:cs="Times New Roman"/>
          <w:sz w:val="24"/>
          <w:szCs w:val="24"/>
        </w:rPr>
        <w:t xml:space="preserve"> informacji i komunikacji (</w:t>
      </w:r>
      <w:r w:rsidR="006A240C" w:rsidRPr="00765F52">
        <w:rPr>
          <w:rFonts w:ascii="Times New Roman" w:hAnsi="Times New Roman" w:cs="Times New Roman"/>
          <w:sz w:val="24"/>
          <w:szCs w:val="24"/>
        </w:rPr>
        <w:t>456</w:t>
      </w:r>
      <w:r w:rsidR="00F43A12" w:rsidRPr="00765F52">
        <w:rPr>
          <w:rFonts w:ascii="Times New Roman" w:hAnsi="Times New Roman" w:cs="Times New Roman"/>
          <w:sz w:val="24"/>
          <w:szCs w:val="24"/>
        </w:rPr>
        <w:t xml:space="preserve">), </w:t>
      </w:r>
      <w:r w:rsidR="006A240C" w:rsidRPr="00765F52">
        <w:rPr>
          <w:rFonts w:ascii="Times New Roman" w:hAnsi="Times New Roman" w:cs="Times New Roman"/>
          <w:sz w:val="24"/>
          <w:szCs w:val="24"/>
        </w:rPr>
        <w:t>opiece zdrowotnej i pomocy społecznej (361), transpor</w:t>
      </w:r>
      <w:r w:rsidR="00765F52">
        <w:rPr>
          <w:rFonts w:ascii="Times New Roman" w:hAnsi="Times New Roman" w:cs="Times New Roman"/>
          <w:sz w:val="24"/>
          <w:szCs w:val="24"/>
        </w:rPr>
        <w:t>cie</w:t>
      </w:r>
      <w:r w:rsidR="006A240C" w:rsidRPr="00765F52">
        <w:rPr>
          <w:rFonts w:ascii="Times New Roman" w:hAnsi="Times New Roman" w:cs="Times New Roman"/>
          <w:sz w:val="24"/>
          <w:szCs w:val="24"/>
        </w:rPr>
        <w:t xml:space="preserve"> i gospodar</w:t>
      </w:r>
      <w:r w:rsidR="00765F52">
        <w:rPr>
          <w:rFonts w:ascii="Times New Roman" w:hAnsi="Times New Roman" w:cs="Times New Roman"/>
          <w:sz w:val="24"/>
          <w:szCs w:val="24"/>
        </w:rPr>
        <w:t>ce</w:t>
      </w:r>
      <w:r w:rsidR="006A240C" w:rsidRPr="00765F52">
        <w:rPr>
          <w:rFonts w:ascii="Times New Roman" w:hAnsi="Times New Roman" w:cs="Times New Roman"/>
          <w:sz w:val="24"/>
          <w:szCs w:val="24"/>
        </w:rPr>
        <w:t xml:space="preserve"> magazynow</w:t>
      </w:r>
      <w:r w:rsidR="00765F52">
        <w:rPr>
          <w:rFonts w:ascii="Times New Roman" w:hAnsi="Times New Roman" w:cs="Times New Roman"/>
          <w:sz w:val="24"/>
          <w:szCs w:val="24"/>
        </w:rPr>
        <w:t>ej</w:t>
      </w:r>
      <w:r w:rsidR="006A240C" w:rsidRPr="00765F52">
        <w:rPr>
          <w:rFonts w:ascii="Times New Roman" w:hAnsi="Times New Roman" w:cs="Times New Roman"/>
          <w:sz w:val="24"/>
          <w:szCs w:val="24"/>
        </w:rPr>
        <w:t xml:space="preserve"> (351)</w:t>
      </w:r>
      <w:r w:rsidR="00765F52">
        <w:rPr>
          <w:rFonts w:ascii="Times New Roman" w:hAnsi="Times New Roman" w:cs="Times New Roman"/>
          <w:sz w:val="24"/>
          <w:szCs w:val="24"/>
        </w:rPr>
        <w:t xml:space="preserve"> czy</w:t>
      </w:r>
      <w:r w:rsidR="006A240C" w:rsidRPr="00765F52">
        <w:rPr>
          <w:rFonts w:ascii="Times New Roman" w:hAnsi="Times New Roman" w:cs="Times New Roman"/>
          <w:sz w:val="24"/>
          <w:szCs w:val="24"/>
        </w:rPr>
        <w:t xml:space="preserve"> pozostał</w:t>
      </w:r>
      <w:r w:rsidR="00765F52">
        <w:rPr>
          <w:rFonts w:ascii="Times New Roman" w:hAnsi="Times New Roman" w:cs="Times New Roman"/>
          <w:sz w:val="24"/>
          <w:szCs w:val="24"/>
        </w:rPr>
        <w:t>ej</w:t>
      </w:r>
      <w:r w:rsidR="006A240C" w:rsidRPr="00765F52">
        <w:rPr>
          <w:rFonts w:ascii="Times New Roman" w:hAnsi="Times New Roman" w:cs="Times New Roman"/>
          <w:sz w:val="24"/>
          <w:szCs w:val="24"/>
        </w:rPr>
        <w:t xml:space="preserve"> działalnoś</w:t>
      </w:r>
      <w:r w:rsidR="00765F52">
        <w:rPr>
          <w:rFonts w:ascii="Times New Roman" w:hAnsi="Times New Roman" w:cs="Times New Roman"/>
          <w:sz w:val="24"/>
          <w:szCs w:val="24"/>
        </w:rPr>
        <w:t>ci</w:t>
      </w:r>
      <w:r w:rsidR="006A240C" w:rsidRPr="00765F52">
        <w:rPr>
          <w:rFonts w:ascii="Times New Roman" w:hAnsi="Times New Roman" w:cs="Times New Roman"/>
          <w:sz w:val="24"/>
          <w:szCs w:val="24"/>
        </w:rPr>
        <w:t xml:space="preserve"> usługow</w:t>
      </w:r>
      <w:r w:rsidR="00765F52">
        <w:rPr>
          <w:rFonts w:ascii="Times New Roman" w:hAnsi="Times New Roman" w:cs="Times New Roman"/>
          <w:sz w:val="24"/>
          <w:szCs w:val="24"/>
        </w:rPr>
        <w:t>ej</w:t>
      </w:r>
      <w:r w:rsidR="006A240C" w:rsidRPr="00765F52">
        <w:rPr>
          <w:rFonts w:ascii="Times New Roman" w:hAnsi="Times New Roman" w:cs="Times New Roman"/>
          <w:sz w:val="24"/>
          <w:szCs w:val="24"/>
        </w:rPr>
        <w:t xml:space="preserve"> (277).</w:t>
      </w:r>
    </w:p>
    <w:p w:rsidR="00F43A12" w:rsidRPr="00DE772D" w:rsidRDefault="00423CA6" w:rsidP="00F43A12">
      <w:pPr>
        <w:pStyle w:val="Bezodstpw"/>
        <w:numPr>
          <w:ilvl w:val="0"/>
          <w:numId w:val="30"/>
        </w:numPr>
        <w:spacing w:line="360" w:lineRule="auto"/>
        <w:jc w:val="both"/>
        <w:rPr>
          <w:rFonts w:ascii="Times New Roman" w:hAnsi="Times New Roman" w:cs="Times New Roman"/>
          <w:b/>
          <w:bCs/>
          <w:color w:val="000000"/>
          <w:sz w:val="24"/>
          <w:szCs w:val="24"/>
        </w:rPr>
      </w:pPr>
      <w:r w:rsidRPr="00DE772D">
        <w:rPr>
          <w:rFonts w:ascii="Times New Roman" w:hAnsi="Times New Roman" w:cs="Times New Roman"/>
          <w:sz w:val="24"/>
          <w:szCs w:val="24"/>
        </w:rPr>
        <w:lastRenderedPageBreak/>
        <w:t>Trzycyfrowy spadek liczby podmiotów gospodarczych w 201</w:t>
      </w:r>
      <w:r w:rsidR="00DE772D" w:rsidRPr="00DE772D">
        <w:rPr>
          <w:rFonts w:ascii="Times New Roman" w:hAnsi="Times New Roman" w:cs="Times New Roman"/>
          <w:sz w:val="24"/>
          <w:szCs w:val="24"/>
        </w:rPr>
        <w:t>8</w:t>
      </w:r>
      <w:r w:rsidRPr="00DE772D">
        <w:rPr>
          <w:rFonts w:ascii="Times New Roman" w:hAnsi="Times New Roman" w:cs="Times New Roman"/>
          <w:sz w:val="24"/>
          <w:szCs w:val="24"/>
        </w:rPr>
        <w:t> r. zauważyć można w </w:t>
      </w:r>
      <w:r w:rsidR="00F43A12" w:rsidRPr="00DE772D">
        <w:rPr>
          <w:rFonts w:ascii="Times New Roman" w:hAnsi="Times New Roman" w:cs="Times New Roman"/>
          <w:sz w:val="24"/>
          <w:szCs w:val="24"/>
        </w:rPr>
        <w:t xml:space="preserve">handlu (hurtowym i detalicznym  łącznie z naprawą pojazdów samochodowych włączając motocykle) – spadek o </w:t>
      </w:r>
      <w:r w:rsidR="00DE772D" w:rsidRPr="00DE772D">
        <w:rPr>
          <w:rFonts w:ascii="Times New Roman" w:hAnsi="Times New Roman" w:cs="Times New Roman"/>
          <w:sz w:val="24"/>
          <w:szCs w:val="24"/>
        </w:rPr>
        <w:t>685 podmiotów</w:t>
      </w:r>
      <w:r w:rsidR="00F43A12" w:rsidRPr="00DE772D">
        <w:rPr>
          <w:rFonts w:ascii="Times New Roman" w:hAnsi="Times New Roman" w:cs="Times New Roman"/>
          <w:sz w:val="24"/>
          <w:szCs w:val="24"/>
        </w:rPr>
        <w:t>.</w:t>
      </w:r>
    </w:p>
    <w:p w:rsidR="007B34F0" w:rsidRPr="00C75C71" w:rsidRDefault="007B34F0" w:rsidP="005C72B7">
      <w:pPr>
        <w:autoSpaceDE w:val="0"/>
        <w:autoSpaceDN w:val="0"/>
        <w:adjustRightInd w:val="0"/>
        <w:spacing w:after="0" w:line="240" w:lineRule="auto"/>
        <w:ind w:left="1410" w:hanging="1410"/>
        <w:jc w:val="both"/>
        <w:rPr>
          <w:rFonts w:ascii="Times New Roman" w:hAnsi="Times New Roman" w:cs="Times New Roman"/>
          <w:bCs/>
          <w:color w:val="000000"/>
          <w:sz w:val="16"/>
          <w:szCs w:val="16"/>
          <w:highlight w:val="yellow"/>
        </w:rPr>
      </w:pPr>
    </w:p>
    <w:p w:rsidR="00B92E45" w:rsidRPr="0061191F" w:rsidRDefault="00B92E45" w:rsidP="005C72B7">
      <w:pPr>
        <w:autoSpaceDE w:val="0"/>
        <w:autoSpaceDN w:val="0"/>
        <w:adjustRightInd w:val="0"/>
        <w:spacing w:after="0" w:line="240" w:lineRule="auto"/>
        <w:ind w:left="1410" w:hanging="1410"/>
        <w:jc w:val="both"/>
        <w:rPr>
          <w:rFonts w:ascii="Times New Roman" w:hAnsi="Times New Roman" w:cs="Times New Roman"/>
          <w:b/>
          <w:bCs/>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1191F">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Tabela 1</w:t>
      </w:r>
      <w:r w:rsidR="001707C3">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sidRPr="0061191F">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5C72B7" w:rsidRPr="0061191F">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Pr="0061191F">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Struktura pracujących</w:t>
      </w:r>
      <w:r w:rsidR="00CF3C61" w:rsidRPr="0061191F">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E5712" w:rsidRPr="0061191F">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t>
      </w:r>
      <w:r w:rsidR="00CF3C61" w:rsidRPr="0061191F">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61191F">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podmiotach</w:t>
      </w:r>
      <w:r w:rsidR="00CF3C61" w:rsidRPr="0061191F">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61191F">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zarejestrowanych</w:t>
      </w:r>
      <w:r w:rsidR="00CF3C61" w:rsidRPr="0061191F">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E5712" w:rsidRPr="0061191F">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t>
      </w:r>
      <w:r w:rsidR="00CF3C61" w:rsidRPr="0061191F">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61191F">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rejestrze</w:t>
      </w:r>
      <w:r w:rsidR="00CF3C61" w:rsidRPr="0061191F">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61191F">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REGON</w:t>
      </w:r>
      <w:r w:rsidR="00061BF4" w:rsidRPr="0061191F">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E5712" w:rsidRPr="0061191F">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 </w:t>
      </w:r>
      <w:r w:rsidRPr="0061191F">
        <w:rPr>
          <w:rFonts w:ascii="Times New Roman" w:hAnsi="Times New Roman" w:cs="Times New Roman"/>
          <w:b/>
          <w:bCs/>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województwie podkarpackim według stanu na 31</w:t>
      </w:r>
      <w:r w:rsidR="000A0E30" w:rsidRPr="0061191F">
        <w:rPr>
          <w:rFonts w:ascii="Times New Roman" w:hAnsi="Times New Roman" w:cs="Times New Roman"/>
          <w:b/>
          <w:bCs/>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XII </w:t>
      </w:r>
      <w:r w:rsidR="00E8385B">
        <w:rPr>
          <w:rFonts w:ascii="Times New Roman" w:hAnsi="Times New Roman" w:cs="Times New Roman"/>
          <w:b/>
          <w:bCs/>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w:t>
      </w:r>
      <w:r w:rsidRPr="0061191F">
        <w:rPr>
          <w:rFonts w:ascii="Times New Roman" w:hAnsi="Times New Roman" w:cs="Times New Roman"/>
          <w:b/>
          <w:bCs/>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sidR="0061191F">
        <w:rPr>
          <w:rFonts w:ascii="Times New Roman" w:hAnsi="Times New Roman" w:cs="Times New Roman"/>
          <w:b/>
          <w:bCs/>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7</w:t>
      </w:r>
      <w:r w:rsidR="00AE5712" w:rsidRPr="0061191F">
        <w:rPr>
          <w:rFonts w:ascii="Times New Roman" w:hAnsi="Times New Roman" w:cs="Times New Roman"/>
          <w:b/>
          <w:bCs/>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878"/>
        <w:gridCol w:w="1878"/>
        <w:gridCol w:w="1878"/>
        <w:gridCol w:w="1878"/>
      </w:tblGrid>
      <w:tr w:rsidR="00CF3C61" w:rsidRPr="00C75C71" w:rsidTr="00CF3C61">
        <w:trPr>
          <w:trHeight w:val="424"/>
        </w:trPr>
        <w:tc>
          <w:tcPr>
            <w:tcW w:w="1560" w:type="dxa"/>
            <w:vMerge w:val="restart"/>
            <w:shd w:val="clear" w:color="auto" w:fill="E5DFEC" w:themeFill="accent4" w:themeFillTint="33"/>
            <w:vAlign w:val="center"/>
          </w:tcPr>
          <w:p w:rsidR="00CF3C61" w:rsidRPr="00BB7890" w:rsidRDefault="00CF3C61" w:rsidP="00CF3C61">
            <w:pPr>
              <w:autoSpaceDE w:val="0"/>
              <w:autoSpaceDN w:val="0"/>
              <w:adjustRightInd w:val="0"/>
              <w:spacing w:after="0" w:line="240" w:lineRule="auto"/>
              <w:jc w:val="center"/>
              <w:rPr>
                <w:rFonts w:ascii="Times New Roman" w:hAnsi="Times New Roman" w:cs="Times New Roman"/>
                <w:b/>
                <w:color w:val="000000"/>
                <w:sz w:val="16"/>
                <w:szCs w:val="16"/>
              </w:rPr>
            </w:pPr>
            <w:r w:rsidRPr="00BB7890">
              <w:rPr>
                <w:rFonts w:ascii="Times New Roman" w:hAnsi="Times New Roman" w:cs="Times New Roman"/>
                <w:b/>
                <w:color w:val="000000"/>
                <w:sz w:val="16"/>
                <w:szCs w:val="16"/>
              </w:rPr>
              <w:t>ogółem</w:t>
            </w:r>
          </w:p>
        </w:tc>
        <w:tc>
          <w:tcPr>
            <w:tcW w:w="7512" w:type="dxa"/>
            <w:gridSpan w:val="4"/>
            <w:shd w:val="clear" w:color="auto" w:fill="E5DFEC" w:themeFill="accent4" w:themeFillTint="33"/>
            <w:vAlign w:val="center"/>
          </w:tcPr>
          <w:p w:rsidR="00CF3C61" w:rsidRPr="00BB7890" w:rsidRDefault="00BB7890" w:rsidP="00235A6B">
            <w:pPr>
              <w:autoSpaceDE w:val="0"/>
              <w:autoSpaceDN w:val="0"/>
              <w:adjustRightInd w:val="0"/>
              <w:spacing w:after="0" w:line="240" w:lineRule="auto"/>
              <w:jc w:val="center"/>
              <w:rPr>
                <w:rFonts w:ascii="Times New Roman" w:hAnsi="Times New Roman" w:cs="Times New Roman"/>
                <w:b/>
                <w:color w:val="000000"/>
                <w:sz w:val="16"/>
                <w:szCs w:val="16"/>
              </w:rPr>
            </w:pPr>
            <w:r>
              <w:rPr>
                <w:rFonts w:ascii="Times New Roman" w:hAnsi="Times New Roman" w:cs="Times New Roman"/>
                <w:b/>
                <w:color w:val="000000"/>
                <w:sz w:val="16"/>
                <w:szCs w:val="16"/>
              </w:rPr>
              <w:t>P</w:t>
            </w:r>
            <w:r w:rsidR="00CF3C61" w:rsidRPr="00BB7890">
              <w:rPr>
                <w:rFonts w:ascii="Times New Roman" w:hAnsi="Times New Roman" w:cs="Times New Roman"/>
                <w:b/>
                <w:color w:val="000000"/>
                <w:sz w:val="16"/>
                <w:szCs w:val="16"/>
              </w:rPr>
              <w:t>odmioty o liczbie pracujących (</w:t>
            </w:r>
            <w:r>
              <w:rPr>
                <w:rFonts w:ascii="Times New Roman" w:hAnsi="Times New Roman" w:cs="Times New Roman"/>
                <w:b/>
                <w:color w:val="000000"/>
                <w:sz w:val="16"/>
                <w:szCs w:val="16"/>
              </w:rPr>
              <w:t xml:space="preserve">w </w:t>
            </w:r>
            <w:r w:rsidR="00CF3C61" w:rsidRPr="00BB7890">
              <w:rPr>
                <w:rFonts w:ascii="Times New Roman" w:hAnsi="Times New Roman" w:cs="Times New Roman"/>
                <w:b/>
                <w:color w:val="000000"/>
                <w:sz w:val="16"/>
                <w:szCs w:val="16"/>
              </w:rPr>
              <w:t>%)</w:t>
            </w:r>
          </w:p>
        </w:tc>
      </w:tr>
      <w:tr w:rsidR="00CF3C61" w:rsidRPr="00C75C71" w:rsidTr="00CF3C61">
        <w:trPr>
          <w:trHeight w:val="53"/>
        </w:trPr>
        <w:tc>
          <w:tcPr>
            <w:tcW w:w="1560" w:type="dxa"/>
            <w:vMerge/>
            <w:shd w:val="clear" w:color="auto" w:fill="E5DFEC" w:themeFill="accent4" w:themeFillTint="33"/>
            <w:vAlign w:val="center"/>
          </w:tcPr>
          <w:p w:rsidR="00CF3C61" w:rsidRPr="00BB7890" w:rsidRDefault="00CF3C61" w:rsidP="009E3AFD">
            <w:pPr>
              <w:autoSpaceDE w:val="0"/>
              <w:autoSpaceDN w:val="0"/>
              <w:adjustRightInd w:val="0"/>
              <w:spacing w:after="0" w:line="240" w:lineRule="auto"/>
              <w:jc w:val="center"/>
              <w:rPr>
                <w:rFonts w:ascii="Times New Roman" w:hAnsi="Times New Roman" w:cs="Times New Roman"/>
                <w:b/>
                <w:color w:val="000000"/>
                <w:sz w:val="16"/>
                <w:szCs w:val="16"/>
              </w:rPr>
            </w:pPr>
          </w:p>
        </w:tc>
        <w:tc>
          <w:tcPr>
            <w:tcW w:w="1878" w:type="dxa"/>
            <w:shd w:val="clear" w:color="auto" w:fill="E5DFEC" w:themeFill="accent4" w:themeFillTint="33"/>
            <w:vAlign w:val="center"/>
          </w:tcPr>
          <w:p w:rsidR="00CF3C61" w:rsidRPr="00BB7890" w:rsidRDefault="00CF3C61" w:rsidP="009E3AFD">
            <w:pPr>
              <w:autoSpaceDE w:val="0"/>
              <w:autoSpaceDN w:val="0"/>
              <w:adjustRightInd w:val="0"/>
              <w:spacing w:after="0" w:line="240" w:lineRule="auto"/>
              <w:jc w:val="center"/>
              <w:rPr>
                <w:rFonts w:ascii="Times New Roman" w:hAnsi="Times New Roman" w:cs="Times New Roman"/>
                <w:b/>
                <w:color w:val="000000"/>
                <w:sz w:val="16"/>
                <w:szCs w:val="16"/>
              </w:rPr>
            </w:pPr>
            <w:r w:rsidRPr="00BB7890">
              <w:rPr>
                <w:rFonts w:ascii="Times New Roman" w:hAnsi="Times New Roman" w:cs="Times New Roman"/>
                <w:b/>
                <w:color w:val="000000"/>
                <w:sz w:val="16"/>
                <w:szCs w:val="16"/>
              </w:rPr>
              <w:t>9 i mniej</w:t>
            </w:r>
          </w:p>
        </w:tc>
        <w:tc>
          <w:tcPr>
            <w:tcW w:w="1878" w:type="dxa"/>
            <w:shd w:val="clear" w:color="auto" w:fill="E5DFEC" w:themeFill="accent4" w:themeFillTint="33"/>
            <w:vAlign w:val="center"/>
          </w:tcPr>
          <w:p w:rsidR="00CF3C61" w:rsidRPr="00BB7890" w:rsidRDefault="00CF3C61" w:rsidP="009E3AFD">
            <w:pPr>
              <w:autoSpaceDE w:val="0"/>
              <w:autoSpaceDN w:val="0"/>
              <w:adjustRightInd w:val="0"/>
              <w:spacing w:after="0" w:line="240" w:lineRule="auto"/>
              <w:jc w:val="center"/>
              <w:rPr>
                <w:rFonts w:ascii="Times New Roman" w:hAnsi="Times New Roman" w:cs="Times New Roman"/>
                <w:b/>
                <w:color w:val="000000"/>
                <w:sz w:val="16"/>
                <w:szCs w:val="16"/>
              </w:rPr>
            </w:pPr>
            <w:r w:rsidRPr="00BB7890">
              <w:rPr>
                <w:rFonts w:ascii="Times New Roman" w:hAnsi="Times New Roman" w:cs="Times New Roman"/>
                <w:b/>
                <w:color w:val="000000"/>
                <w:sz w:val="16"/>
                <w:szCs w:val="16"/>
              </w:rPr>
              <w:t>10-49</w:t>
            </w:r>
          </w:p>
        </w:tc>
        <w:tc>
          <w:tcPr>
            <w:tcW w:w="1878" w:type="dxa"/>
            <w:shd w:val="clear" w:color="auto" w:fill="E5DFEC" w:themeFill="accent4" w:themeFillTint="33"/>
            <w:vAlign w:val="center"/>
          </w:tcPr>
          <w:p w:rsidR="00CF3C61" w:rsidRPr="00BB7890" w:rsidRDefault="00CF3C61" w:rsidP="009E3AFD">
            <w:pPr>
              <w:autoSpaceDE w:val="0"/>
              <w:autoSpaceDN w:val="0"/>
              <w:adjustRightInd w:val="0"/>
              <w:spacing w:after="0" w:line="240" w:lineRule="auto"/>
              <w:jc w:val="center"/>
              <w:rPr>
                <w:rFonts w:ascii="Times New Roman" w:hAnsi="Times New Roman" w:cs="Times New Roman"/>
                <w:b/>
                <w:color w:val="000000"/>
                <w:sz w:val="16"/>
                <w:szCs w:val="16"/>
              </w:rPr>
            </w:pPr>
            <w:r w:rsidRPr="00BB7890">
              <w:rPr>
                <w:rFonts w:ascii="Times New Roman" w:hAnsi="Times New Roman" w:cs="Times New Roman"/>
                <w:b/>
                <w:color w:val="000000"/>
                <w:sz w:val="16"/>
                <w:szCs w:val="16"/>
              </w:rPr>
              <w:t>50-249</w:t>
            </w:r>
          </w:p>
        </w:tc>
        <w:tc>
          <w:tcPr>
            <w:tcW w:w="1878" w:type="dxa"/>
            <w:shd w:val="clear" w:color="auto" w:fill="E5DFEC" w:themeFill="accent4" w:themeFillTint="33"/>
            <w:vAlign w:val="center"/>
          </w:tcPr>
          <w:p w:rsidR="00CF3C61" w:rsidRPr="00BB7890" w:rsidRDefault="00CF3C61" w:rsidP="009E3AFD">
            <w:pPr>
              <w:autoSpaceDE w:val="0"/>
              <w:autoSpaceDN w:val="0"/>
              <w:adjustRightInd w:val="0"/>
              <w:spacing w:after="0" w:line="240" w:lineRule="auto"/>
              <w:jc w:val="center"/>
              <w:rPr>
                <w:rFonts w:ascii="Times New Roman" w:hAnsi="Times New Roman" w:cs="Times New Roman"/>
                <w:b/>
                <w:color w:val="000000"/>
                <w:sz w:val="16"/>
                <w:szCs w:val="16"/>
              </w:rPr>
            </w:pPr>
            <w:r w:rsidRPr="00BB7890">
              <w:rPr>
                <w:rFonts w:ascii="Times New Roman" w:hAnsi="Times New Roman" w:cs="Times New Roman"/>
                <w:b/>
                <w:color w:val="000000"/>
                <w:sz w:val="16"/>
                <w:szCs w:val="16"/>
              </w:rPr>
              <w:t>250 i więcej</w:t>
            </w:r>
          </w:p>
        </w:tc>
      </w:tr>
      <w:tr w:rsidR="00B92E45" w:rsidRPr="00C75C71" w:rsidTr="00CF3C61">
        <w:trPr>
          <w:trHeight w:val="90"/>
        </w:trPr>
        <w:tc>
          <w:tcPr>
            <w:tcW w:w="1560" w:type="dxa"/>
            <w:shd w:val="clear" w:color="auto" w:fill="FFFFFF" w:themeFill="background1"/>
            <w:vAlign w:val="center"/>
          </w:tcPr>
          <w:p w:rsidR="0061191F" w:rsidRPr="0061191F" w:rsidRDefault="0061191F" w:rsidP="0061191F">
            <w:pPr>
              <w:autoSpaceDE w:val="0"/>
              <w:autoSpaceDN w:val="0"/>
              <w:adjustRightInd w:val="0"/>
              <w:spacing w:after="0" w:line="240" w:lineRule="auto"/>
              <w:jc w:val="center"/>
              <w:rPr>
                <w:rFonts w:ascii="Times New Roman" w:hAnsi="Times New Roman" w:cs="Times New Roman"/>
                <w:bCs/>
                <w:color w:val="000000"/>
                <w:sz w:val="18"/>
                <w:szCs w:val="18"/>
              </w:rPr>
            </w:pPr>
            <w:r w:rsidRPr="0061191F">
              <w:rPr>
                <w:rFonts w:ascii="Times New Roman" w:hAnsi="Times New Roman" w:cs="Times New Roman"/>
                <w:bCs/>
                <w:color w:val="000000"/>
                <w:sz w:val="18"/>
                <w:szCs w:val="18"/>
              </w:rPr>
              <w:t>31 XII 2016=</w:t>
            </w:r>
          </w:p>
          <w:p w:rsidR="0061191F" w:rsidRPr="0061191F" w:rsidRDefault="0061191F" w:rsidP="0061191F">
            <w:pPr>
              <w:autoSpaceDE w:val="0"/>
              <w:autoSpaceDN w:val="0"/>
              <w:adjustRightInd w:val="0"/>
              <w:spacing w:after="0" w:line="240" w:lineRule="auto"/>
              <w:jc w:val="center"/>
              <w:rPr>
                <w:rFonts w:ascii="Times New Roman" w:hAnsi="Times New Roman" w:cs="Times New Roman"/>
                <w:color w:val="000000"/>
                <w:sz w:val="18"/>
                <w:szCs w:val="18"/>
              </w:rPr>
            </w:pPr>
            <w:r w:rsidRPr="0061191F">
              <w:rPr>
                <w:rFonts w:ascii="Times New Roman" w:hAnsi="Times New Roman" w:cs="Times New Roman"/>
                <w:bCs/>
                <w:color w:val="000000"/>
                <w:sz w:val="18"/>
                <w:szCs w:val="18"/>
              </w:rPr>
              <w:t>=100,0 %</w:t>
            </w:r>
          </w:p>
        </w:tc>
        <w:tc>
          <w:tcPr>
            <w:tcW w:w="1878" w:type="dxa"/>
            <w:shd w:val="clear" w:color="auto" w:fill="FFFFFF" w:themeFill="background1"/>
            <w:vAlign w:val="center"/>
          </w:tcPr>
          <w:p w:rsidR="00B92E45" w:rsidRPr="0061191F" w:rsidRDefault="000A0E30" w:rsidP="007B34F0">
            <w:pPr>
              <w:autoSpaceDE w:val="0"/>
              <w:autoSpaceDN w:val="0"/>
              <w:adjustRightInd w:val="0"/>
              <w:spacing w:after="0" w:line="240" w:lineRule="auto"/>
              <w:jc w:val="center"/>
              <w:rPr>
                <w:rFonts w:ascii="Times New Roman" w:hAnsi="Times New Roman" w:cs="Times New Roman"/>
                <w:color w:val="000000"/>
                <w:sz w:val="18"/>
                <w:szCs w:val="18"/>
              </w:rPr>
            </w:pPr>
            <w:r w:rsidRPr="0061191F">
              <w:rPr>
                <w:rFonts w:ascii="Times New Roman" w:hAnsi="Times New Roman" w:cs="Times New Roman"/>
                <w:color w:val="000000"/>
                <w:sz w:val="18"/>
                <w:szCs w:val="18"/>
              </w:rPr>
              <w:t>3</w:t>
            </w:r>
            <w:r w:rsidR="007B34F0" w:rsidRPr="0061191F">
              <w:rPr>
                <w:rFonts w:ascii="Times New Roman" w:hAnsi="Times New Roman" w:cs="Times New Roman"/>
                <w:color w:val="000000"/>
                <w:sz w:val="18"/>
                <w:szCs w:val="18"/>
              </w:rPr>
              <w:t>4</w:t>
            </w:r>
            <w:r w:rsidRPr="0061191F">
              <w:rPr>
                <w:rFonts w:ascii="Times New Roman" w:hAnsi="Times New Roman" w:cs="Times New Roman"/>
                <w:color w:val="000000"/>
                <w:sz w:val="18"/>
                <w:szCs w:val="18"/>
              </w:rPr>
              <w:t>,</w:t>
            </w:r>
            <w:r w:rsidR="007B34F0" w:rsidRPr="0061191F">
              <w:rPr>
                <w:rFonts w:ascii="Times New Roman" w:hAnsi="Times New Roman" w:cs="Times New Roman"/>
                <w:color w:val="000000"/>
                <w:sz w:val="18"/>
                <w:szCs w:val="18"/>
              </w:rPr>
              <w:t>6</w:t>
            </w:r>
          </w:p>
        </w:tc>
        <w:tc>
          <w:tcPr>
            <w:tcW w:w="1878" w:type="dxa"/>
            <w:shd w:val="clear" w:color="auto" w:fill="FFFFFF" w:themeFill="background1"/>
            <w:vAlign w:val="center"/>
          </w:tcPr>
          <w:p w:rsidR="00B92E45" w:rsidRPr="0061191F" w:rsidRDefault="000A0E30" w:rsidP="007B34F0">
            <w:pPr>
              <w:autoSpaceDE w:val="0"/>
              <w:autoSpaceDN w:val="0"/>
              <w:adjustRightInd w:val="0"/>
              <w:spacing w:after="0" w:line="240" w:lineRule="auto"/>
              <w:jc w:val="center"/>
              <w:rPr>
                <w:rFonts w:ascii="Times New Roman" w:hAnsi="Times New Roman" w:cs="Times New Roman"/>
                <w:color w:val="000000"/>
                <w:sz w:val="18"/>
                <w:szCs w:val="18"/>
              </w:rPr>
            </w:pPr>
            <w:r w:rsidRPr="0061191F">
              <w:rPr>
                <w:rFonts w:ascii="Times New Roman" w:hAnsi="Times New Roman" w:cs="Times New Roman"/>
                <w:color w:val="000000"/>
                <w:sz w:val="18"/>
                <w:szCs w:val="18"/>
              </w:rPr>
              <w:t>21,</w:t>
            </w:r>
            <w:r w:rsidR="007B34F0" w:rsidRPr="0061191F">
              <w:rPr>
                <w:rFonts w:ascii="Times New Roman" w:hAnsi="Times New Roman" w:cs="Times New Roman"/>
                <w:color w:val="000000"/>
                <w:sz w:val="18"/>
                <w:szCs w:val="18"/>
              </w:rPr>
              <w:t>6</w:t>
            </w:r>
          </w:p>
        </w:tc>
        <w:tc>
          <w:tcPr>
            <w:tcW w:w="1878" w:type="dxa"/>
            <w:shd w:val="clear" w:color="auto" w:fill="FFFFFF" w:themeFill="background1"/>
            <w:vAlign w:val="center"/>
          </w:tcPr>
          <w:p w:rsidR="00B92E45" w:rsidRPr="0061191F" w:rsidRDefault="000A0E30" w:rsidP="007B34F0">
            <w:pPr>
              <w:autoSpaceDE w:val="0"/>
              <w:autoSpaceDN w:val="0"/>
              <w:adjustRightInd w:val="0"/>
              <w:spacing w:after="0" w:line="240" w:lineRule="auto"/>
              <w:jc w:val="center"/>
              <w:rPr>
                <w:rFonts w:ascii="Times New Roman" w:hAnsi="Times New Roman" w:cs="Times New Roman"/>
                <w:color w:val="000000"/>
                <w:sz w:val="18"/>
                <w:szCs w:val="18"/>
              </w:rPr>
            </w:pPr>
            <w:r w:rsidRPr="0061191F">
              <w:rPr>
                <w:rFonts w:ascii="Times New Roman" w:hAnsi="Times New Roman" w:cs="Times New Roman"/>
                <w:color w:val="000000"/>
                <w:sz w:val="18"/>
                <w:szCs w:val="18"/>
              </w:rPr>
              <w:t>2</w:t>
            </w:r>
            <w:r w:rsidR="007B34F0" w:rsidRPr="0061191F">
              <w:rPr>
                <w:rFonts w:ascii="Times New Roman" w:hAnsi="Times New Roman" w:cs="Times New Roman"/>
                <w:color w:val="000000"/>
                <w:sz w:val="18"/>
                <w:szCs w:val="18"/>
              </w:rPr>
              <w:t>1</w:t>
            </w:r>
            <w:r w:rsidRPr="0061191F">
              <w:rPr>
                <w:rFonts w:ascii="Times New Roman" w:hAnsi="Times New Roman" w:cs="Times New Roman"/>
                <w:color w:val="000000"/>
                <w:sz w:val="18"/>
                <w:szCs w:val="18"/>
              </w:rPr>
              <w:t>,</w:t>
            </w:r>
            <w:r w:rsidR="007B34F0" w:rsidRPr="0061191F">
              <w:rPr>
                <w:rFonts w:ascii="Times New Roman" w:hAnsi="Times New Roman" w:cs="Times New Roman"/>
                <w:color w:val="000000"/>
                <w:sz w:val="18"/>
                <w:szCs w:val="18"/>
              </w:rPr>
              <w:t>1</w:t>
            </w:r>
          </w:p>
        </w:tc>
        <w:tc>
          <w:tcPr>
            <w:tcW w:w="1878" w:type="dxa"/>
            <w:shd w:val="clear" w:color="auto" w:fill="FFFFFF" w:themeFill="background1"/>
            <w:vAlign w:val="center"/>
          </w:tcPr>
          <w:p w:rsidR="00B92E45" w:rsidRPr="0061191F" w:rsidRDefault="000A0E30" w:rsidP="007B34F0">
            <w:pPr>
              <w:autoSpaceDE w:val="0"/>
              <w:autoSpaceDN w:val="0"/>
              <w:adjustRightInd w:val="0"/>
              <w:spacing w:after="0" w:line="240" w:lineRule="auto"/>
              <w:jc w:val="center"/>
              <w:rPr>
                <w:rFonts w:ascii="Times New Roman" w:hAnsi="Times New Roman" w:cs="Times New Roman"/>
                <w:color w:val="000000"/>
                <w:sz w:val="18"/>
                <w:szCs w:val="18"/>
              </w:rPr>
            </w:pPr>
            <w:r w:rsidRPr="0061191F">
              <w:rPr>
                <w:rFonts w:ascii="Times New Roman" w:hAnsi="Times New Roman" w:cs="Times New Roman"/>
                <w:color w:val="000000"/>
                <w:sz w:val="18"/>
                <w:szCs w:val="18"/>
              </w:rPr>
              <w:t>2</w:t>
            </w:r>
            <w:r w:rsidR="007B34F0" w:rsidRPr="0061191F">
              <w:rPr>
                <w:rFonts w:ascii="Times New Roman" w:hAnsi="Times New Roman" w:cs="Times New Roman"/>
                <w:color w:val="000000"/>
                <w:sz w:val="18"/>
                <w:szCs w:val="18"/>
              </w:rPr>
              <w:t>2</w:t>
            </w:r>
            <w:r w:rsidRPr="0061191F">
              <w:rPr>
                <w:rFonts w:ascii="Times New Roman" w:hAnsi="Times New Roman" w:cs="Times New Roman"/>
                <w:color w:val="000000"/>
                <w:sz w:val="18"/>
                <w:szCs w:val="18"/>
              </w:rPr>
              <w:t>,</w:t>
            </w:r>
            <w:r w:rsidR="007B34F0" w:rsidRPr="0061191F">
              <w:rPr>
                <w:rFonts w:ascii="Times New Roman" w:hAnsi="Times New Roman" w:cs="Times New Roman"/>
                <w:color w:val="000000"/>
                <w:sz w:val="18"/>
                <w:szCs w:val="18"/>
              </w:rPr>
              <w:t>7</w:t>
            </w:r>
          </w:p>
        </w:tc>
      </w:tr>
      <w:tr w:rsidR="0061191F" w:rsidRPr="00C75C71" w:rsidTr="00CF3C61">
        <w:trPr>
          <w:trHeight w:val="90"/>
        </w:trPr>
        <w:tc>
          <w:tcPr>
            <w:tcW w:w="1560" w:type="dxa"/>
            <w:shd w:val="clear" w:color="auto" w:fill="FFFFFF" w:themeFill="background1"/>
            <w:vAlign w:val="center"/>
          </w:tcPr>
          <w:p w:rsidR="0061191F" w:rsidRPr="00BB7890" w:rsidRDefault="0061191F" w:rsidP="0061191F">
            <w:pPr>
              <w:autoSpaceDE w:val="0"/>
              <w:autoSpaceDN w:val="0"/>
              <w:adjustRightInd w:val="0"/>
              <w:spacing w:after="0" w:line="240" w:lineRule="auto"/>
              <w:jc w:val="center"/>
              <w:rPr>
                <w:rFonts w:ascii="Times New Roman" w:hAnsi="Times New Roman" w:cs="Times New Roman"/>
                <w:bCs/>
                <w:color w:val="000000"/>
                <w:sz w:val="18"/>
                <w:szCs w:val="18"/>
              </w:rPr>
            </w:pPr>
            <w:r w:rsidRPr="00BB7890">
              <w:rPr>
                <w:rFonts w:ascii="Times New Roman" w:hAnsi="Times New Roman" w:cs="Times New Roman"/>
                <w:bCs/>
                <w:color w:val="000000"/>
                <w:sz w:val="18"/>
                <w:szCs w:val="18"/>
              </w:rPr>
              <w:t>31 XII 2017</w:t>
            </w:r>
          </w:p>
        </w:tc>
        <w:tc>
          <w:tcPr>
            <w:tcW w:w="1878" w:type="dxa"/>
            <w:shd w:val="clear" w:color="auto" w:fill="FFFFFF" w:themeFill="background1"/>
            <w:vAlign w:val="center"/>
          </w:tcPr>
          <w:p w:rsidR="0061191F" w:rsidRPr="00BB7890" w:rsidRDefault="00DA539E" w:rsidP="007B34F0">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34,9</w:t>
            </w:r>
          </w:p>
        </w:tc>
        <w:tc>
          <w:tcPr>
            <w:tcW w:w="1878" w:type="dxa"/>
            <w:shd w:val="clear" w:color="auto" w:fill="FFFFFF" w:themeFill="background1"/>
            <w:vAlign w:val="center"/>
          </w:tcPr>
          <w:p w:rsidR="0061191F" w:rsidRPr="005B23E4" w:rsidRDefault="00DA539E" w:rsidP="007B34F0">
            <w:pPr>
              <w:autoSpaceDE w:val="0"/>
              <w:autoSpaceDN w:val="0"/>
              <w:adjustRightInd w:val="0"/>
              <w:spacing w:after="0" w:line="240" w:lineRule="auto"/>
              <w:jc w:val="center"/>
              <w:rPr>
                <w:rFonts w:ascii="Times New Roman" w:hAnsi="Times New Roman" w:cs="Times New Roman"/>
                <w:color w:val="000000"/>
                <w:sz w:val="18"/>
                <w:szCs w:val="18"/>
              </w:rPr>
            </w:pPr>
            <w:r w:rsidRPr="005B23E4">
              <w:rPr>
                <w:rFonts w:ascii="Times New Roman" w:hAnsi="Times New Roman" w:cs="Times New Roman"/>
                <w:color w:val="000000"/>
                <w:sz w:val="18"/>
                <w:szCs w:val="18"/>
              </w:rPr>
              <w:t>20,9</w:t>
            </w:r>
          </w:p>
        </w:tc>
        <w:tc>
          <w:tcPr>
            <w:tcW w:w="1878" w:type="dxa"/>
            <w:shd w:val="clear" w:color="auto" w:fill="FFFFFF" w:themeFill="background1"/>
            <w:vAlign w:val="center"/>
          </w:tcPr>
          <w:p w:rsidR="0061191F" w:rsidRPr="005B23E4" w:rsidRDefault="00DA539E" w:rsidP="007B34F0">
            <w:pPr>
              <w:autoSpaceDE w:val="0"/>
              <w:autoSpaceDN w:val="0"/>
              <w:adjustRightInd w:val="0"/>
              <w:spacing w:after="0" w:line="240" w:lineRule="auto"/>
              <w:jc w:val="center"/>
              <w:rPr>
                <w:rFonts w:ascii="Times New Roman" w:hAnsi="Times New Roman" w:cs="Times New Roman"/>
                <w:color w:val="000000"/>
                <w:sz w:val="18"/>
                <w:szCs w:val="18"/>
              </w:rPr>
            </w:pPr>
            <w:r w:rsidRPr="005B23E4">
              <w:rPr>
                <w:rFonts w:ascii="Times New Roman" w:hAnsi="Times New Roman" w:cs="Times New Roman"/>
                <w:color w:val="000000"/>
                <w:sz w:val="18"/>
                <w:szCs w:val="18"/>
              </w:rPr>
              <w:t>21,1</w:t>
            </w:r>
          </w:p>
        </w:tc>
        <w:tc>
          <w:tcPr>
            <w:tcW w:w="1878" w:type="dxa"/>
            <w:shd w:val="clear" w:color="auto" w:fill="FFFFFF" w:themeFill="background1"/>
            <w:vAlign w:val="center"/>
          </w:tcPr>
          <w:p w:rsidR="0061191F" w:rsidRPr="005B23E4" w:rsidRDefault="00DA539E" w:rsidP="007B34F0">
            <w:pPr>
              <w:autoSpaceDE w:val="0"/>
              <w:autoSpaceDN w:val="0"/>
              <w:adjustRightInd w:val="0"/>
              <w:spacing w:after="0" w:line="240" w:lineRule="auto"/>
              <w:jc w:val="center"/>
              <w:rPr>
                <w:rFonts w:ascii="Times New Roman" w:hAnsi="Times New Roman" w:cs="Times New Roman"/>
                <w:color w:val="000000"/>
                <w:sz w:val="18"/>
                <w:szCs w:val="18"/>
              </w:rPr>
            </w:pPr>
            <w:r w:rsidRPr="005B23E4">
              <w:rPr>
                <w:rFonts w:ascii="Times New Roman" w:hAnsi="Times New Roman" w:cs="Times New Roman"/>
                <w:color w:val="000000"/>
                <w:sz w:val="18"/>
                <w:szCs w:val="18"/>
              </w:rPr>
              <w:t>23,1</w:t>
            </w:r>
          </w:p>
        </w:tc>
      </w:tr>
      <w:tr w:rsidR="0061191F" w:rsidRPr="00C75C71" w:rsidTr="00CF3C61">
        <w:trPr>
          <w:trHeight w:val="90"/>
        </w:trPr>
        <w:tc>
          <w:tcPr>
            <w:tcW w:w="1560" w:type="dxa"/>
            <w:shd w:val="clear" w:color="auto" w:fill="FFFFFF" w:themeFill="background1"/>
            <w:vAlign w:val="center"/>
          </w:tcPr>
          <w:p w:rsidR="0061191F" w:rsidRPr="00BB7890" w:rsidRDefault="0061191F" w:rsidP="0061191F">
            <w:pPr>
              <w:autoSpaceDE w:val="0"/>
              <w:autoSpaceDN w:val="0"/>
              <w:adjustRightInd w:val="0"/>
              <w:spacing w:after="0" w:line="240" w:lineRule="auto"/>
              <w:jc w:val="center"/>
              <w:rPr>
                <w:rFonts w:ascii="Times New Roman" w:hAnsi="Times New Roman" w:cs="Times New Roman"/>
                <w:bCs/>
                <w:color w:val="000000"/>
                <w:sz w:val="18"/>
                <w:szCs w:val="18"/>
              </w:rPr>
            </w:pPr>
            <w:r w:rsidRPr="00BB7890">
              <w:rPr>
                <w:rFonts w:ascii="Times New Roman" w:hAnsi="Times New Roman" w:cs="Times New Roman"/>
                <w:bCs/>
                <w:color w:val="000000"/>
                <w:sz w:val="18"/>
                <w:szCs w:val="18"/>
              </w:rPr>
              <w:t>w/s pkt. proc.</w:t>
            </w:r>
          </w:p>
        </w:tc>
        <w:tc>
          <w:tcPr>
            <w:tcW w:w="1878" w:type="dxa"/>
            <w:shd w:val="clear" w:color="auto" w:fill="FFFFFF" w:themeFill="background1"/>
            <w:vAlign w:val="center"/>
          </w:tcPr>
          <w:p w:rsidR="0061191F" w:rsidRPr="00BB7890" w:rsidRDefault="00DA539E" w:rsidP="007B34F0">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- 0,3</w:t>
            </w:r>
          </w:p>
        </w:tc>
        <w:tc>
          <w:tcPr>
            <w:tcW w:w="1878" w:type="dxa"/>
            <w:shd w:val="clear" w:color="auto" w:fill="FFFFFF" w:themeFill="background1"/>
            <w:vAlign w:val="center"/>
          </w:tcPr>
          <w:p w:rsidR="0061191F" w:rsidRPr="005B23E4" w:rsidRDefault="00DA539E" w:rsidP="007B34F0">
            <w:pPr>
              <w:autoSpaceDE w:val="0"/>
              <w:autoSpaceDN w:val="0"/>
              <w:adjustRightInd w:val="0"/>
              <w:spacing w:after="0" w:line="240" w:lineRule="auto"/>
              <w:jc w:val="center"/>
              <w:rPr>
                <w:rFonts w:ascii="Times New Roman" w:hAnsi="Times New Roman" w:cs="Times New Roman"/>
                <w:color w:val="000000"/>
                <w:sz w:val="18"/>
                <w:szCs w:val="18"/>
              </w:rPr>
            </w:pPr>
            <w:r w:rsidRPr="005B23E4">
              <w:rPr>
                <w:rFonts w:ascii="Times New Roman" w:hAnsi="Times New Roman" w:cs="Times New Roman"/>
                <w:color w:val="000000"/>
                <w:sz w:val="18"/>
                <w:szCs w:val="18"/>
              </w:rPr>
              <w:t>- 0,7</w:t>
            </w:r>
          </w:p>
        </w:tc>
        <w:tc>
          <w:tcPr>
            <w:tcW w:w="1878" w:type="dxa"/>
            <w:shd w:val="clear" w:color="auto" w:fill="FFFFFF" w:themeFill="background1"/>
            <w:vAlign w:val="center"/>
          </w:tcPr>
          <w:p w:rsidR="0061191F" w:rsidRPr="005B23E4" w:rsidRDefault="005B23E4" w:rsidP="007B34F0">
            <w:pPr>
              <w:autoSpaceDE w:val="0"/>
              <w:autoSpaceDN w:val="0"/>
              <w:adjustRightInd w:val="0"/>
              <w:spacing w:after="0" w:line="240" w:lineRule="auto"/>
              <w:jc w:val="center"/>
              <w:rPr>
                <w:rFonts w:ascii="Times New Roman" w:hAnsi="Times New Roman" w:cs="Times New Roman"/>
                <w:color w:val="000000"/>
                <w:sz w:val="18"/>
                <w:szCs w:val="18"/>
              </w:rPr>
            </w:pPr>
            <w:r w:rsidRPr="005B23E4">
              <w:rPr>
                <w:rFonts w:ascii="Times New Roman" w:hAnsi="Times New Roman" w:cs="Times New Roman"/>
                <w:color w:val="000000"/>
                <w:sz w:val="18"/>
                <w:szCs w:val="18"/>
              </w:rPr>
              <w:t>0,0</w:t>
            </w:r>
          </w:p>
        </w:tc>
        <w:tc>
          <w:tcPr>
            <w:tcW w:w="1878" w:type="dxa"/>
            <w:shd w:val="clear" w:color="auto" w:fill="FFFFFF" w:themeFill="background1"/>
            <w:vAlign w:val="center"/>
          </w:tcPr>
          <w:p w:rsidR="0061191F" w:rsidRPr="005B23E4" w:rsidRDefault="005B23E4" w:rsidP="007B34F0">
            <w:pPr>
              <w:autoSpaceDE w:val="0"/>
              <w:autoSpaceDN w:val="0"/>
              <w:adjustRightInd w:val="0"/>
              <w:spacing w:after="0" w:line="240" w:lineRule="auto"/>
              <w:jc w:val="center"/>
              <w:rPr>
                <w:rFonts w:ascii="Times New Roman" w:hAnsi="Times New Roman" w:cs="Times New Roman"/>
                <w:color w:val="000000"/>
                <w:sz w:val="18"/>
                <w:szCs w:val="18"/>
              </w:rPr>
            </w:pPr>
            <w:r w:rsidRPr="005B23E4">
              <w:rPr>
                <w:rFonts w:ascii="Times New Roman" w:hAnsi="Times New Roman" w:cs="Times New Roman"/>
                <w:color w:val="000000"/>
                <w:sz w:val="18"/>
                <w:szCs w:val="18"/>
              </w:rPr>
              <w:t>+ 0,4</w:t>
            </w:r>
          </w:p>
        </w:tc>
      </w:tr>
    </w:tbl>
    <w:p w:rsidR="0061191F" w:rsidRPr="0061191F" w:rsidRDefault="0061191F" w:rsidP="007B34F0">
      <w:pPr>
        <w:pBdr>
          <w:bottom w:val="single" w:sz="4" w:space="1" w:color="auto"/>
        </w:pBdr>
        <w:spacing w:after="0" w:line="240" w:lineRule="auto"/>
        <w:rPr>
          <w:rFonts w:ascii="Times New Roman" w:hAnsi="Times New Roman" w:cs="Times New Roman"/>
          <w:sz w:val="16"/>
          <w:szCs w:val="16"/>
        </w:rPr>
      </w:pPr>
    </w:p>
    <w:p w:rsidR="007B34F0" w:rsidRPr="00D5788D" w:rsidRDefault="007B34F0" w:rsidP="007B34F0">
      <w:pPr>
        <w:pBdr>
          <w:bottom w:val="single" w:sz="4" w:space="1" w:color="auto"/>
        </w:pBdr>
        <w:spacing w:after="0" w:line="240" w:lineRule="auto"/>
        <w:rPr>
          <w:rFonts w:ascii="Times New Roman" w:hAnsi="Times New Roman" w:cs="Times New Roman"/>
          <w:sz w:val="24"/>
          <w:szCs w:val="24"/>
        </w:rPr>
      </w:pPr>
      <w:r w:rsidRPr="00D5788D">
        <w:rPr>
          <w:rFonts w:ascii="Times New Roman" w:hAnsi="Times New Roman" w:cs="Times New Roman"/>
          <w:sz w:val="24"/>
          <w:szCs w:val="24"/>
        </w:rPr>
        <w:t>Wnioski:</w:t>
      </w:r>
    </w:p>
    <w:p w:rsidR="007B34F0" w:rsidRPr="0061191F" w:rsidRDefault="007B34F0" w:rsidP="007B34F0">
      <w:pPr>
        <w:spacing w:after="0" w:line="240" w:lineRule="auto"/>
        <w:jc w:val="both"/>
        <w:rPr>
          <w:rFonts w:ascii="Times New Roman" w:hAnsi="Times New Roman" w:cs="Times New Roman"/>
          <w:sz w:val="18"/>
          <w:szCs w:val="18"/>
        </w:rPr>
      </w:pPr>
      <w:r w:rsidRPr="0061191F">
        <w:rPr>
          <w:rFonts w:ascii="Times New Roman" w:hAnsi="Times New Roman" w:cs="Times New Roman"/>
          <w:sz w:val="18"/>
          <w:szCs w:val="18"/>
        </w:rPr>
        <w:t>(na podstawie danych z Tabeli 1</w:t>
      </w:r>
      <w:r w:rsidR="001707C3">
        <w:rPr>
          <w:rFonts w:ascii="Times New Roman" w:hAnsi="Times New Roman" w:cs="Times New Roman"/>
          <w:sz w:val="18"/>
          <w:szCs w:val="18"/>
        </w:rPr>
        <w:t>1</w:t>
      </w:r>
      <w:r w:rsidRPr="0061191F">
        <w:rPr>
          <w:rFonts w:ascii="Times New Roman" w:hAnsi="Times New Roman" w:cs="Times New Roman"/>
          <w:sz w:val="18"/>
          <w:szCs w:val="18"/>
        </w:rPr>
        <w:t>)</w:t>
      </w:r>
    </w:p>
    <w:p w:rsidR="007B34F0" w:rsidRPr="00C75C71" w:rsidRDefault="007B34F0" w:rsidP="00B92E45">
      <w:pPr>
        <w:pStyle w:val="Default"/>
        <w:rPr>
          <w:highlight w:val="yellow"/>
        </w:rPr>
      </w:pPr>
    </w:p>
    <w:p w:rsidR="007B34F0" w:rsidRPr="005B23E4" w:rsidRDefault="00760A1A" w:rsidP="007B34F0">
      <w:pPr>
        <w:pStyle w:val="Akapitzlist"/>
        <w:numPr>
          <w:ilvl w:val="0"/>
          <w:numId w:val="18"/>
        </w:numPr>
        <w:spacing w:after="0" w:line="360" w:lineRule="auto"/>
        <w:jc w:val="both"/>
        <w:rPr>
          <w:rFonts w:ascii="Times New Roman" w:hAnsi="Times New Roman" w:cs="Times New Roman"/>
          <w:sz w:val="24"/>
          <w:szCs w:val="24"/>
        </w:rPr>
      </w:pPr>
      <w:r w:rsidRPr="005B23E4">
        <w:rPr>
          <w:rFonts w:ascii="Times New Roman" w:hAnsi="Times New Roman" w:cs="Times New Roman"/>
          <w:sz w:val="24"/>
          <w:szCs w:val="24"/>
        </w:rPr>
        <w:t>34,</w:t>
      </w:r>
      <w:r w:rsidR="005B23E4" w:rsidRPr="005B23E4">
        <w:rPr>
          <w:rFonts w:ascii="Times New Roman" w:hAnsi="Times New Roman" w:cs="Times New Roman"/>
          <w:sz w:val="24"/>
          <w:szCs w:val="24"/>
        </w:rPr>
        <w:t xml:space="preserve">9 </w:t>
      </w:r>
      <w:r w:rsidRPr="005B23E4">
        <w:rPr>
          <w:rFonts w:ascii="Times New Roman" w:hAnsi="Times New Roman" w:cs="Times New Roman"/>
          <w:sz w:val="24"/>
          <w:szCs w:val="24"/>
        </w:rPr>
        <w:t>% pracujących zatrudnionych było w po</w:t>
      </w:r>
      <w:r w:rsidR="007B34F0" w:rsidRPr="005B23E4">
        <w:rPr>
          <w:rFonts w:ascii="Times New Roman" w:hAnsi="Times New Roman" w:cs="Times New Roman"/>
          <w:sz w:val="24"/>
          <w:szCs w:val="24"/>
        </w:rPr>
        <w:t>dmiot</w:t>
      </w:r>
      <w:r w:rsidRPr="005B23E4">
        <w:rPr>
          <w:rFonts w:ascii="Times New Roman" w:hAnsi="Times New Roman" w:cs="Times New Roman"/>
          <w:sz w:val="24"/>
          <w:szCs w:val="24"/>
        </w:rPr>
        <w:t>ach</w:t>
      </w:r>
      <w:r w:rsidR="007B34F0" w:rsidRPr="005B23E4">
        <w:rPr>
          <w:rFonts w:ascii="Times New Roman" w:hAnsi="Times New Roman" w:cs="Times New Roman"/>
          <w:sz w:val="24"/>
          <w:szCs w:val="24"/>
        </w:rPr>
        <w:t xml:space="preserve"> mikro </w:t>
      </w:r>
      <w:r w:rsidRPr="005B23E4">
        <w:rPr>
          <w:rFonts w:ascii="Times New Roman" w:hAnsi="Times New Roman" w:cs="Times New Roman"/>
          <w:sz w:val="24"/>
          <w:szCs w:val="24"/>
        </w:rPr>
        <w:t xml:space="preserve">tj. </w:t>
      </w:r>
      <w:r w:rsidR="007B34F0" w:rsidRPr="005B23E4">
        <w:rPr>
          <w:rFonts w:ascii="Times New Roman" w:hAnsi="Times New Roman" w:cs="Times New Roman"/>
          <w:sz w:val="24"/>
          <w:szCs w:val="24"/>
        </w:rPr>
        <w:t>zatrudniających do 9</w:t>
      </w:r>
      <w:r w:rsidR="00214A6D">
        <w:rPr>
          <w:rFonts w:ascii="Times New Roman" w:hAnsi="Times New Roman" w:cs="Times New Roman"/>
          <w:sz w:val="24"/>
          <w:szCs w:val="24"/>
        </w:rPr>
        <w:t> </w:t>
      </w:r>
      <w:r w:rsidR="007B34F0" w:rsidRPr="005B23E4">
        <w:rPr>
          <w:rFonts w:ascii="Times New Roman" w:hAnsi="Times New Roman" w:cs="Times New Roman"/>
          <w:sz w:val="24"/>
          <w:szCs w:val="24"/>
        </w:rPr>
        <w:t xml:space="preserve">osób. Firmy małe </w:t>
      </w:r>
      <w:r w:rsidRPr="005B23E4">
        <w:rPr>
          <w:rFonts w:ascii="Times New Roman" w:hAnsi="Times New Roman" w:cs="Times New Roman"/>
          <w:sz w:val="24"/>
          <w:szCs w:val="24"/>
        </w:rPr>
        <w:t xml:space="preserve">zatrudniające </w:t>
      </w:r>
      <w:r w:rsidR="007B34F0" w:rsidRPr="005B23E4">
        <w:rPr>
          <w:rFonts w:ascii="Times New Roman" w:hAnsi="Times New Roman" w:cs="Times New Roman"/>
          <w:sz w:val="24"/>
          <w:szCs w:val="24"/>
        </w:rPr>
        <w:t xml:space="preserve">do 49 pracowników to jedynie </w:t>
      </w:r>
      <w:r w:rsidRPr="005B23E4">
        <w:rPr>
          <w:rFonts w:ascii="Times New Roman" w:hAnsi="Times New Roman" w:cs="Times New Roman"/>
          <w:sz w:val="24"/>
          <w:szCs w:val="24"/>
        </w:rPr>
        <w:t>2</w:t>
      </w:r>
      <w:r w:rsidR="005B23E4" w:rsidRPr="005B23E4">
        <w:rPr>
          <w:rFonts w:ascii="Times New Roman" w:hAnsi="Times New Roman" w:cs="Times New Roman"/>
          <w:sz w:val="24"/>
          <w:szCs w:val="24"/>
        </w:rPr>
        <w:t>0</w:t>
      </w:r>
      <w:r w:rsidR="007B34F0" w:rsidRPr="005B23E4">
        <w:rPr>
          <w:rFonts w:ascii="Times New Roman" w:hAnsi="Times New Roman" w:cs="Times New Roman"/>
          <w:sz w:val="24"/>
          <w:szCs w:val="24"/>
        </w:rPr>
        <w:t>,</w:t>
      </w:r>
      <w:r w:rsidR="005B23E4" w:rsidRPr="005B23E4">
        <w:rPr>
          <w:rFonts w:ascii="Times New Roman" w:hAnsi="Times New Roman" w:cs="Times New Roman"/>
          <w:sz w:val="24"/>
          <w:szCs w:val="24"/>
        </w:rPr>
        <w:t xml:space="preserve">9 </w:t>
      </w:r>
      <w:r w:rsidR="007B34F0" w:rsidRPr="005B23E4">
        <w:rPr>
          <w:rFonts w:ascii="Times New Roman" w:hAnsi="Times New Roman" w:cs="Times New Roman"/>
          <w:sz w:val="24"/>
          <w:szCs w:val="24"/>
        </w:rPr>
        <w:t>%, średnie</w:t>
      </w:r>
      <w:r w:rsidRPr="005B23E4">
        <w:rPr>
          <w:rFonts w:ascii="Times New Roman" w:hAnsi="Times New Roman" w:cs="Times New Roman"/>
          <w:sz w:val="24"/>
          <w:szCs w:val="24"/>
        </w:rPr>
        <w:t xml:space="preserve"> (21,1</w:t>
      </w:r>
      <w:r w:rsidR="005B23E4" w:rsidRPr="005B23E4">
        <w:rPr>
          <w:rFonts w:ascii="Times New Roman" w:hAnsi="Times New Roman" w:cs="Times New Roman"/>
          <w:sz w:val="24"/>
          <w:szCs w:val="24"/>
        </w:rPr>
        <w:t xml:space="preserve"> </w:t>
      </w:r>
      <w:r w:rsidRPr="005B23E4">
        <w:rPr>
          <w:rFonts w:ascii="Times New Roman" w:hAnsi="Times New Roman" w:cs="Times New Roman"/>
          <w:sz w:val="24"/>
          <w:szCs w:val="24"/>
        </w:rPr>
        <w:t>%) i</w:t>
      </w:r>
      <w:r w:rsidR="005B23E4" w:rsidRPr="005B23E4">
        <w:rPr>
          <w:rFonts w:ascii="Times New Roman" w:hAnsi="Times New Roman" w:cs="Times New Roman"/>
          <w:sz w:val="24"/>
          <w:szCs w:val="24"/>
        </w:rPr>
        <w:t> </w:t>
      </w:r>
      <w:r w:rsidR="007B34F0" w:rsidRPr="005B23E4">
        <w:rPr>
          <w:rFonts w:ascii="Times New Roman" w:hAnsi="Times New Roman" w:cs="Times New Roman"/>
          <w:sz w:val="24"/>
          <w:szCs w:val="24"/>
        </w:rPr>
        <w:t xml:space="preserve">duże </w:t>
      </w:r>
      <w:r w:rsidRPr="005B23E4">
        <w:rPr>
          <w:rFonts w:ascii="Times New Roman" w:hAnsi="Times New Roman" w:cs="Times New Roman"/>
          <w:sz w:val="24"/>
          <w:szCs w:val="24"/>
        </w:rPr>
        <w:t>czy</w:t>
      </w:r>
      <w:r w:rsidR="007B34F0" w:rsidRPr="005B23E4">
        <w:rPr>
          <w:rFonts w:ascii="Times New Roman" w:hAnsi="Times New Roman" w:cs="Times New Roman"/>
          <w:sz w:val="24"/>
          <w:szCs w:val="24"/>
        </w:rPr>
        <w:t xml:space="preserve"> wielkie – </w:t>
      </w:r>
      <w:r w:rsidRPr="005B23E4">
        <w:rPr>
          <w:rFonts w:ascii="Times New Roman" w:hAnsi="Times New Roman" w:cs="Times New Roman"/>
          <w:sz w:val="24"/>
          <w:szCs w:val="24"/>
        </w:rPr>
        <w:t>2</w:t>
      </w:r>
      <w:r w:rsidR="005B23E4" w:rsidRPr="005B23E4">
        <w:rPr>
          <w:rFonts w:ascii="Times New Roman" w:hAnsi="Times New Roman" w:cs="Times New Roman"/>
          <w:sz w:val="24"/>
          <w:szCs w:val="24"/>
        </w:rPr>
        <w:t>3</w:t>
      </w:r>
      <w:r w:rsidRPr="005B23E4">
        <w:rPr>
          <w:rFonts w:ascii="Times New Roman" w:hAnsi="Times New Roman" w:cs="Times New Roman"/>
          <w:sz w:val="24"/>
          <w:szCs w:val="24"/>
        </w:rPr>
        <w:t>,</w:t>
      </w:r>
      <w:r w:rsidR="005B23E4" w:rsidRPr="005B23E4">
        <w:rPr>
          <w:rFonts w:ascii="Times New Roman" w:hAnsi="Times New Roman" w:cs="Times New Roman"/>
          <w:sz w:val="24"/>
          <w:szCs w:val="24"/>
        </w:rPr>
        <w:t xml:space="preserve">1 </w:t>
      </w:r>
      <w:r w:rsidR="007B34F0" w:rsidRPr="005B23E4">
        <w:rPr>
          <w:rFonts w:ascii="Times New Roman" w:hAnsi="Times New Roman" w:cs="Times New Roman"/>
          <w:sz w:val="24"/>
          <w:szCs w:val="24"/>
        </w:rPr>
        <w:t>%.</w:t>
      </w:r>
      <w:r w:rsidRPr="005B23E4">
        <w:rPr>
          <w:rFonts w:ascii="Times New Roman" w:hAnsi="Times New Roman" w:cs="Times New Roman"/>
          <w:sz w:val="24"/>
          <w:szCs w:val="24"/>
        </w:rPr>
        <w:t xml:space="preserve"> </w:t>
      </w:r>
      <w:r w:rsidR="005B23E4" w:rsidRPr="005B23E4">
        <w:rPr>
          <w:rFonts w:ascii="Times New Roman" w:hAnsi="Times New Roman" w:cs="Times New Roman"/>
          <w:sz w:val="24"/>
          <w:szCs w:val="24"/>
        </w:rPr>
        <w:t xml:space="preserve">Odnotowano rozkład, który można zaklasyfikować do </w:t>
      </w:r>
      <w:r w:rsidRPr="005B23E4">
        <w:rPr>
          <w:rFonts w:ascii="Times New Roman" w:hAnsi="Times New Roman" w:cs="Times New Roman"/>
          <w:sz w:val="24"/>
          <w:szCs w:val="24"/>
        </w:rPr>
        <w:t>równomiern</w:t>
      </w:r>
      <w:r w:rsidR="005B23E4" w:rsidRPr="005B23E4">
        <w:rPr>
          <w:rFonts w:ascii="Times New Roman" w:hAnsi="Times New Roman" w:cs="Times New Roman"/>
          <w:sz w:val="24"/>
          <w:szCs w:val="24"/>
        </w:rPr>
        <w:t>ego</w:t>
      </w:r>
      <w:r w:rsidRPr="005B23E4">
        <w:rPr>
          <w:rFonts w:ascii="Times New Roman" w:hAnsi="Times New Roman" w:cs="Times New Roman"/>
          <w:sz w:val="24"/>
          <w:szCs w:val="24"/>
        </w:rPr>
        <w:t xml:space="preserve">. Akcent został przesunięty </w:t>
      </w:r>
      <w:r w:rsidR="005B23E4" w:rsidRPr="005B23E4">
        <w:rPr>
          <w:rFonts w:ascii="Times New Roman" w:hAnsi="Times New Roman" w:cs="Times New Roman"/>
          <w:sz w:val="24"/>
          <w:szCs w:val="24"/>
        </w:rPr>
        <w:t>w</w:t>
      </w:r>
      <w:r w:rsidRPr="005B23E4">
        <w:rPr>
          <w:rFonts w:ascii="Times New Roman" w:hAnsi="Times New Roman" w:cs="Times New Roman"/>
          <w:sz w:val="24"/>
          <w:szCs w:val="24"/>
        </w:rPr>
        <w:t xml:space="preserve"> stronę małych podmiotów</w:t>
      </w:r>
      <w:r w:rsidR="0098787A" w:rsidRPr="005B23E4">
        <w:rPr>
          <w:rFonts w:ascii="Times New Roman" w:hAnsi="Times New Roman" w:cs="Times New Roman"/>
          <w:sz w:val="24"/>
          <w:szCs w:val="24"/>
        </w:rPr>
        <w:t xml:space="preserve"> (zatrudniających do 49 pracowników),</w:t>
      </w:r>
      <w:r w:rsidRPr="005B23E4">
        <w:rPr>
          <w:rFonts w:ascii="Times New Roman" w:hAnsi="Times New Roman" w:cs="Times New Roman"/>
          <w:sz w:val="24"/>
          <w:szCs w:val="24"/>
        </w:rPr>
        <w:t xml:space="preserve"> które</w:t>
      </w:r>
      <w:r w:rsidR="0098787A" w:rsidRPr="005B23E4">
        <w:rPr>
          <w:rFonts w:ascii="Times New Roman" w:hAnsi="Times New Roman" w:cs="Times New Roman"/>
          <w:sz w:val="24"/>
          <w:szCs w:val="24"/>
        </w:rPr>
        <w:t xml:space="preserve"> </w:t>
      </w:r>
      <w:r w:rsidR="005B23E4" w:rsidRPr="005B23E4">
        <w:rPr>
          <w:rFonts w:ascii="Times New Roman" w:hAnsi="Times New Roman" w:cs="Times New Roman"/>
          <w:sz w:val="24"/>
          <w:szCs w:val="24"/>
        </w:rPr>
        <w:t xml:space="preserve">łącznie </w:t>
      </w:r>
      <w:r w:rsidRPr="005B23E4">
        <w:rPr>
          <w:rFonts w:ascii="Times New Roman" w:hAnsi="Times New Roman" w:cs="Times New Roman"/>
          <w:sz w:val="24"/>
          <w:szCs w:val="24"/>
        </w:rPr>
        <w:t>kumulują większość pracujących</w:t>
      </w:r>
      <w:r w:rsidR="001F30E0" w:rsidRPr="005B23E4">
        <w:rPr>
          <w:rFonts w:ascii="Times New Roman" w:hAnsi="Times New Roman" w:cs="Times New Roman"/>
          <w:sz w:val="24"/>
          <w:szCs w:val="24"/>
        </w:rPr>
        <w:t xml:space="preserve"> (</w:t>
      </w:r>
      <w:r w:rsidR="0098787A" w:rsidRPr="005B23E4">
        <w:rPr>
          <w:rFonts w:ascii="Times New Roman" w:hAnsi="Times New Roman" w:cs="Times New Roman"/>
          <w:sz w:val="24"/>
          <w:szCs w:val="24"/>
        </w:rPr>
        <w:t>5</w:t>
      </w:r>
      <w:r w:rsidR="005B23E4" w:rsidRPr="005B23E4">
        <w:rPr>
          <w:rFonts w:ascii="Times New Roman" w:hAnsi="Times New Roman" w:cs="Times New Roman"/>
          <w:sz w:val="24"/>
          <w:szCs w:val="24"/>
        </w:rPr>
        <w:t>5</w:t>
      </w:r>
      <w:r w:rsidR="0098787A" w:rsidRPr="005B23E4">
        <w:rPr>
          <w:rFonts w:ascii="Times New Roman" w:hAnsi="Times New Roman" w:cs="Times New Roman"/>
          <w:sz w:val="24"/>
          <w:szCs w:val="24"/>
        </w:rPr>
        <w:t>,</w:t>
      </w:r>
      <w:r w:rsidR="005B23E4" w:rsidRPr="005B23E4">
        <w:rPr>
          <w:rFonts w:ascii="Times New Roman" w:hAnsi="Times New Roman" w:cs="Times New Roman"/>
          <w:sz w:val="24"/>
          <w:szCs w:val="24"/>
        </w:rPr>
        <w:t xml:space="preserve">8 </w:t>
      </w:r>
      <w:r w:rsidR="0098787A" w:rsidRPr="005B23E4">
        <w:rPr>
          <w:rFonts w:ascii="Times New Roman" w:hAnsi="Times New Roman" w:cs="Times New Roman"/>
          <w:sz w:val="24"/>
          <w:szCs w:val="24"/>
        </w:rPr>
        <w:t>%)</w:t>
      </w:r>
      <w:r w:rsidRPr="005B23E4">
        <w:rPr>
          <w:rFonts w:ascii="Times New Roman" w:hAnsi="Times New Roman" w:cs="Times New Roman"/>
          <w:sz w:val="24"/>
          <w:szCs w:val="24"/>
        </w:rPr>
        <w:t>.</w:t>
      </w:r>
    </w:p>
    <w:p w:rsidR="00BD24F4" w:rsidRPr="00431F34" w:rsidRDefault="00BD24F4" w:rsidP="00BD24F4">
      <w:pPr>
        <w:spacing w:after="0" w:line="240" w:lineRule="auto"/>
        <w:jc w:val="both"/>
        <w:rPr>
          <w:rFonts w:ascii="Times New Roman" w:hAnsi="Times New Roman" w:cs="Times New Roman"/>
          <w:sz w:val="16"/>
          <w:szCs w:val="16"/>
        </w:rPr>
      </w:pPr>
    </w:p>
    <w:p w:rsidR="00B92E45" w:rsidRPr="00431F34" w:rsidRDefault="00D94BC3" w:rsidP="004C44AC">
      <w:pPr>
        <w:spacing w:after="0" w:line="360" w:lineRule="auto"/>
        <w:ind w:firstLine="709"/>
        <w:jc w:val="both"/>
        <w:rPr>
          <w:rFonts w:ascii="Times New Roman" w:hAnsi="Times New Roman" w:cs="Times New Roman"/>
          <w:sz w:val="24"/>
          <w:szCs w:val="24"/>
        </w:rPr>
      </w:pPr>
      <w:r w:rsidRPr="00431F34">
        <w:rPr>
          <w:rFonts w:ascii="Times New Roman" w:hAnsi="Times New Roman" w:cs="Times New Roman"/>
          <w:sz w:val="24"/>
          <w:szCs w:val="24"/>
        </w:rPr>
        <w:t>W 201</w:t>
      </w:r>
      <w:r w:rsidR="00DE772D" w:rsidRPr="00431F34">
        <w:rPr>
          <w:rFonts w:ascii="Times New Roman" w:hAnsi="Times New Roman" w:cs="Times New Roman"/>
          <w:sz w:val="24"/>
          <w:szCs w:val="24"/>
        </w:rPr>
        <w:t>7</w:t>
      </w:r>
      <w:r w:rsidR="006B6982" w:rsidRPr="00431F34">
        <w:rPr>
          <w:rFonts w:ascii="Times New Roman" w:hAnsi="Times New Roman" w:cs="Times New Roman"/>
          <w:sz w:val="24"/>
          <w:szCs w:val="24"/>
        </w:rPr>
        <w:t xml:space="preserve"> </w:t>
      </w:r>
      <w:r w:rsidRPr="00431F34">
        <w:rPr>
          <w:rFonts w:ascii="Times New Roman" w:hAnsi="Times New Roman" w:cs="Times New Roman"/>
          <w:sz w:val="24"/>
          <w:szCs w:val="24"/>
        </w:rPr>
        <w:t xml:space="preserve">r. </w:t>
      </w:r>
      <w:r w:rsidR="006B6982" w:rsidRPr="00431F34">
        <w:rPr>
          <w:rFonts w:ascii="Times New Roman" w:hAnsi="Times New Roman" w:cs="Times New Roman"/>
          <w:sz w:val="24"/>
          <w:szCs w:val="24"/>
        </w:rPr>
        <w:t>w woj.</w:t>
      </w:r>
      <w:r w:rsidRPr="00431F34">
        <w:rPr>
          <w:rFonts w:ascii="Times New Roman" w:hAnsi="Times New Roman" w:cs="Times New Roman"/>
          <w:sz w:val="24"/>
          <w:szCs w:val="24"/>
        </w:rPr>
        <w:t xml:space="preserve"> podkarpacki</w:t>
      </w:r>
      <w:r w:rsidR="006B6982" w:rsidRPr="00431F34">
        <w:rPr>
          <w:rFonts w:ascii="Times New Roman" w:hAnsi="Times New Roman" w:cs="Times New Roman"/>
          <w:sz w:val="24"/>
          <w:szCs w:val="24"/>
        </w:rPr>
        <w:t>m</w:t>
      </w:r>
      <w:r w:rsidRPr="00431F34">
        <w:rPr>
          <w:rFonts w:ascii="Times New Roman" w:hAnsi="Times New Roman" w:cs="Times New Roman"/>
          <w:sz w:val="24"/>
          <w:szCs w:val="24"/>
        </w:rPr>
        <w:t xml:space="preserve"> pracowało ogółem 8</w:t>
      </w:r>
      <w:r w:rsidR="00431F34" w:rsidRPr="00431F34">
        <w:rPr>
          <w:rFonts w:ascii="Times New Roman" w:hAnsi="Times New Roman" w:cs="Times New Roman"/>
          <w:sz w:val="24"/>
          <w:szCs w:val="24"/>
        </w:rPr>
        <w:t>52</w:t>
      </w:r>
      <w:r w:rsidR="00490284" w:rsidRPr="00431F34">
        <w:rPr>
          <w:rFonts w:ascii="Times New Roman" w:hAnsi="Times New Roman" w:cs="Times New Roman"/>
          <w:sz w:val="24"/>
          <w:szCs w:val="24"/>
        </w:rPr>
        <w:t> </w:t>
      </w:r>
      <w:r w:rsidR="00431F34" w:rsidRPr="00431F34">
        <w:rPr>
          <w:rFonts w:ascii="Times New Roman" w:hAnsi="Times New Roman" w:cs="Times New Roman"/>
          <w:sz w:val="24"/>
          <w:szCs w:val="24"/>
        </w:rPr>
        <w:t>388</w:t>
      </w:r>
      <w:r w:rsidR="00490284" w:rsidRPr="00431F34">
        <w:rPr>
          <w:rFonts w:ascii="Times New Roman" w:hAnsi="Times New Roman" w:cs="Times New Roman"/>
          <w:sz w:val="24"/>
          <w:szCs w:val="24"/>
        </w:rPr>
        <w:t xml:space="preserve"> osób</w:t>
      </w:r>
      <w:r w:rsidR="00677A91" w:rsidRPr="00431F34">
        <w:rPr>
          <w:rFonts w:ascii="Times New Roman" w:hAnsi="Times New Roman" w:cs="Times New Roman"/>
          <w:sz w:val="24"/>
          <w:szCs w:val="24"/>
        </w:rPr>
        <w:t xml:space="preserve"> tj.</w:t>
      </w:r>
      <w:r w:rsidR="00490284" w:rsidRPr="00431F34">
        <w:rPr>
          <w:rFonts w:ascii="Times New Roman" w:hAnsi="Times New Roman" w:cs="Times New Roman"/>
          <w:sz w:val="24"/>
          <w:szCs w:val="24"/>
        </w:rPr>
        <w:t xml:space="preserve"> </w:t>
      </w:r>
      <w:r w:rsidRPr="00431F34">
        <w:rPr>
          <w:rFonts w:ascii="Times New Roman" w:hAnsi="Times New Roman" w:cs="Times New Roman"/>
          <w:sz w:val="24"/>
          <w:szCs w:val="24"/>
        </w:rPr>
        <w:t>5,</w:t>
      </w:r>
      <w:r w:rsidR="00431F34" w:rsidRPr="00431F34">
        <w:rPr>
          <w:rFonts w:ascii="Times New Roman" w:hAnsi="Times New Roman" w:cs="Times New Roman"/>
          <w:sz w:val="24"/>
          <w:szCs w:val="24"/>
        </w:rPr>
        <w:t xml:space="preserve">5 </w:t>
      </w:r>
      <w:r w:rsidRPr="00431F34">
        <w:rPr>
          <w:rFonts w:ascii="Times New Roman" w:hAnsi="Times New Roman" w:cs="Times New Roman"/>
          <w:sz w:val="24"/>
          <w:szCs w:val="24"/>
        </w:rPr>
        <w:t>%</w:t>
      </w:r>
      <w:r w:rsidR="00490284" w:rsidRPr="00431F34">
        <w:rPr>
          <w:rFonts w:ascii="Times New Roman" w:hAnsi="Times New Roman" w:cs="Times New Roman"/>
          <w:sz w:val="24"/>
          <w:szCs w:val="24"/>
        </w:rPr>
        <w:t xml:space="preserve"> </w:t>
      </w:r>
      <w:r w:rsidRPr="00431F34">
        <w:rPr>
          <w:rFonts w:ascii="Times New Roman" w:hAnsi="Times New Roman" w:cs="Times New Roman"/>
          <w:sz w:val="24"/>
          <w:szCs w:val="24"/>
        </w:rPr>
        <w:t xml:space="preserve">pracujących w Polsce </w:t>
      </w:r>
      <w:r w:rsidR="00490284" w:rsidRPr="00431F34">
        <w:rPr>
          <w:rFonts w:ascii="Times New Roman" w:hAnsi="Times New Roman" w:cs="Times New Roman"/>
          <w:sz w:val="24"/>
          <w:szCs w:val="24"/>
        </w:rPr>
        <w:t xml:space="preserve">(w </w:t>
      </w:r>
      <w:r w:rsidR="00FF46AD" w:rsidRPr="00431F34">
        <w:rPr>
          <w:rFonts w:ascii="Times New Roman" w:hAnsi="Times New Roman" w:cs="Times New Roman"/>
          <w:sz w:val="24"/>
          <w:szCs w:val="24"/>
        </w:rPr>
        <w:t>‘</w:t>
      </w:r>
      <w:r w:rsidR="00490284" w:rsidRPr="00431F34">
        <w:rPr>
          <w:rFonts w:ascii="Times New Roman" w:hAnsi="Times New Roman" w:cs="Times New Roman"/>
          <w:sz w:val="24"/>
          <w:szCs w:val="24"/>
        </w:rPr>
        <w:t>1</w:t>
      </w:r>
      <w:r w:rsidR="00431F34" w:rsidRPr="00431F34">
        <w:rPr>
          <w:rFonts w:ascii="Times New Roman" w:hAnsi="Times New Roman" w:cs="Times New Roman"/>
          <w:sz w:val="24"/>
          <w:szCs w:val="24"/>
        </w:rPr>
        <w:t>6</w:t>
      </w:r>
      <w:r w:rsidR="00490284" w:rsidRPr="00431F34">
        <w:rPr>
          <w:rFonts w:ascii="Times New Roman" w:hAnsi="Times New Roman" w:cs="Times New Roman"/>
          <w:sz w:val="24"/>
          <w:szCs w:val="24"/>
        </w:rPr>
        <w:t xml:space="preserve"> r.</w:t>
      </w:r>
      <w:r w:rsidR="00431F34" w:rsidRPr="00431F34">
        <w:rPr>
          <w:rFonts w:ascii="Times New Roman" w:hAnsi="Times New Roman" w:cs="Times New Roman"/>
          <w:sz w:val="24"/>
          <w:szCs w:val="24"/>
        </w:rPr>
        <w:t xml:space="preserve"> </w:t>
      </w:r>
      <w:r w:rsidR="00490284" w:rsidRPr="00431F34">
        <w:rPr>
          <w:rFonts w:ascii="Times New Roman" w:hAnsi="Times New Roman" w:cs="Times New Roman"/>
          <w:sz w:val="24"/>
          <w:szCs w:val="24"/>
        </w:rPr>
        <w:t>–</w:t>
      </w:r>
      <w:r w:rsidR="00431F34" w:rsidRPr="00431F34">
        <w:rPr>
          <w:rFonts w:ascii="Times New Roman" w:hAnsi="Times New Roman" w:cs="Times New Roman"/>
          <w:sz w:val="24"/>
          <w:szCs w:val="24"/>
        </w:rPr>
        <w:t xml:space="preserve"> </w:t>
      </w:r>
      <w:r w:rsidR="00490284" w:rsidRPr="00431F34">
        <w:rPr>
          <w:rFonts w:ascii="Times New Roman" w:hAnsi="Times New Roman" w:cs="Times New Roman"/>
          <w:sz w:val="24"/>
          <w:szCs w:val="24"/>
        </w:rPr>
        <w:t>5,6</w:t>
      </w:r>
      <w:r w:rsidR="00431F34" w:rsidRPr="00431F34">
        <w:rPr>
          <w:rFonts w:ascii="Times New Roman" w:hAnsi="Times New Roman" w:cs="Times New Roman"/>
          <w:sz w:val="24"/>
          <w:szCs w:val="24"/>
        </w:rPr>
        <w:t xml:space="preserve"> </w:t>
      </w:r>
      <w:r w:rsidR="00490284" w:rsidRPr="00431F34">
        <w:rPr>
          <w:rFonts w:ascii="Times New Roman" w:hAnsi="Times New Roman" w:cs="Times New Roman"/>
          <w:sz w:val="24"/>
          <w:szCs w:val="24"/>
        </w:rPr>
        <w:t xml:space="preserve">%). </w:t>
      </w:r>
      <w:r w:rsidRPr="00431F34">
        <w:rPr>
          <w:rFonts w:ascii="Times New Roman" w:hAnsi="Times New Roman" w:cs="Times New Roman"/>
          <w:sz w:val="24"/>
          <w:szCs w:val="24"/>
        </w:rPr>
        <w:t>W ogólnej grupie pracujących (</w:t>
      </w:r>
      <w:r w:rsidR="00490284" w:rsidRPr="00431F34">
        <w:rPr>
          <w:rFonts w:ascii="Times New Roman" w:hAnsi="Times New Roman" w:cs="Times New Roman"/>
          <w:sz w:val="24"/>
          <w:szCs w:val="24"/>
        </w:rPr>
        <w:t>8</w:t>
      </w:r>
      <w:r w:rsidR="00431F34" w:rsidRPr="00431F34">
        <w:rPr>
          <w:rFonts w:ascii="Times New Roman" w:hAnsi="Times New Roman" w:cs="Times New Roman"/>
          <w:sz w:val="24"/>
          <w:szCs w:val="24"/>
        </w:rPr>
        <w:t>52</w:t>
      </w:r>
      <w:r w:rsidR="00490284" w:rsidRPr="00431F34">
        <w:rPr>
          <w:rFonts w:ascii="Times New Roman" w:hAnsi="Times New Roman" w:cs="Times New Roman"/>
          <w:sz w:val="24"/>
          <w:szCs w:val="24"/>
        </w:rPr>
        <w:t>,</w:t>
      </w:r>
      <w:r w:rsidR="00FF46AD" w:rsidRPr="00431F34">
        <w:rPr>
          <w:rFonts w:ascii="Times New Roman" w:hAnsi="Times New Roman" w:cs="Times New Roman"/>
          <w:sz w:val="24"/>
          <w:szCs w:val="24"/>
        </w:rPr>
        <w:t>4</w:t>
      </w:r>
      <w:r w:rsidR="00490284" w:rsidRPr="00431F34">
        <w:rPr>
          <w:rFonts w:ascii="Times New Roman" w:hAnsi="Times New Roman" w:cs="Times New Roman"/>
          <w:sz w:val="24"/>
          <w:szCs w:val="24"/>
        </w:rPr>
        <w:t xml:space="preserve"> tys.) kobiety </w:t>
      </w:r>
      <w:r w:rsidRPr="00431F34">
        <w:rPr>
          <w:rFonts w:ascii="Times New Roman" w:hAnsi="Times New Roman" w:cs="Times New Roman"/>
          <w:sz w:val="24"/>
          <w:szCs w:val="24"/>
        </w:rPr>
        <w:t>stanowiły 4</w:t>
      </w:r>
      <w:r w:rsidR="00431F34" w:rsidRPr="00431F34">
        <w:rPr>
          <w:rFonts w:ascii="Times New Roman" w:hAnsi="Times New Roman" w:cs="Times New Roman"/>
          <w:sz w:val="24"/>
          <w:szCs w:val="24"/>
        </w:rPr>
        <w:t xml:space="preserve">8,0 </w:t>
      </w:r>
      <w:r w:rsidRPr="00431F34">
        <w:rPr>
          <w:rFonts w:ascii="Times New Roman" w:hAnsi="Times New Roman" w:cs="Times New Roman"/>
          <w:sz w:val="24"/>
          <w:szCs w:val="24"/>
        </w:rPr>
        <w:t>%</w:t>
      </w:r>
      <w:r w:rsidR="00490284" w:rsidRPr="00431F34">
        <w:rPr>
          <w:rFonts w:ascii="Times New Roman" w:hAnsi="Times New Roman" w:cs="Times New Roman"/>
          <w:sz w:val="24"/>
          <w:szCs w:val="24"/>
        </w:rPr>
        <w:t xml:space="preserve"> (w 201</w:t>
      </w:r>
      <w:r w:rsidR="00431F34" w:rsidRPr="00431F34">
        <w:rPr>
          <w:rFonts w:ascii="Times New Roman" w:hAnsi="Times New Roman" w:cs="Times New Roman"/>
          <w:sz w:val="24"/>
          <w:szCs w:val="24"/>
        </w:rPr>
        <w:t>6</w:t>
      </w:r>
      <w:r w:rsidR="00490284" w:rsidRPr="00431F34">
        <w:rPr>
          <w:rFonts w:ascii="Times New Roman" w:hAnsi="Times New Roman" w:cs="Times New Roman"/>
          <w:sz w:val="24"/>
          <w:szCs w:val="24"/>
        </w:rPr>
        <w:t xml:space="preserve"> r.–4</w:t>
      </w:r>
      <w:r w:rsidR="00431F34" w:rsidRPr="00431F34">
        <w:rPr>
          <w:rFonts w:ascii="Times New Roman" w:hAnsi="Times New Roman" w:cs="Times New Roman"/>
          <w:sz w:val="24"/>
          <w:szCs w:val="24"/>
        </w:rPr>
        <w:t>7</w:t>
      </w:r>
      <w:r w:rsidR="00490284" w:rsidRPr="00431F34">
        <w:rPr>
          <w:rFonts w:ascii="Times New Roman" w:hAnsi="Times New Roman" w:cs="Times New Roman"/>
          <w:sz w:val="24"/>
          <w:szCs w:val="24"/>
        </w:rPr>
        <w:t>,</w:t>
      </w:r>
      <w:r w:rsidR="00431F34" w:rsidRPr="00431F34">
        <w:rPr>
          <w:rFonts w:ascii="Times New Roman" w:hAnsi="Times New Roman" w:cs="Times New Roman"/>
          <w:sz w:val="24"/>
          <w:szCs w:val="24"/>
        </w:rPr>
        <w:t xml:space="preserve">6 </w:t>
      </w:r>
      <w:r w:rsidR="00490284" w:rsidRPr="00431F34">
        <w:rPr>
          <w:rFonts w:ascii="Times New Roman" w:hAnsi="Times New Roman" w:cs="Times New Roman"/>
          <w:sz w:val="24"/>
          <w:szCs w:val="24"/>
        </w:rPr>
        <w:t>%)</w:t>
      </w:r>
      <w:r w:rsidRPr="00431F34">
        <w:rPr>
          <w:rFonts w:ascii="Times New Roman" w:hAnsi="Times New Roman" w:cs="Times New Roman"/>
          <w:sz w:val="24"/>
          <w:szCs w:val="24"/>
        </w:rPr>
        <w:t>.</w:t>
      </w:r>
      <w:r w:rsidR="00FF46AD" w:rsidRPr="00431F34">
        <w:rPr>
          <w:rFonts w:ascii="Times New Roman" w:hAnsi="Times New Roman" w:cs="Times New Roman"/>
          <w:sz w:val="24"/>
          <w:szCs w:val="24"/>
        </w:rPr>
        <w:t xml:space="preserve"> </w:t>
      </w:r>
      <w:r w:rsidR="00A84CFE" w:rsidRPr="00431F34">
        <w:rPr>
          <w:rFonts w:ascii="Times New Roman" w:hAnsi="Times New Roman" w:cs="Times New Roman"/>
          <w:sz w:val="24"/>
          <w:szCs w:val="24"/>
        </w:rPr>
        <w:t xml:space="preserve">Większość pracujących odnotowano </w:t>
      </w:r>
      <w:r w:rsidR="00677A91" w:rsidRPr="00431F34">
        <w:rPr>
          <w:rFonts w:ascii="Times New Roman" w:hAnsi="Times New Roman" w:cs="Times New Roman"/>
          <w:sz w:val="24"/>
          <w:szCs w:val="24"/>
        </w:rPr>
        <w:t>w</w:t>
      </w:r>
      <w:r w:rsidRPr="00431F34">
        <w:rPr>
          <w:rFonts w:ascii="Times New Roman" w:hAnsi="Times New Roman" w:cs="Times New Roman"/>
          <w:sz w:val="24"/>
          <w:szCs w:val="24"/>
        </w:rPr>
        <w:t xml:space="preserve"> </w:t>
      </w:r>
      <w:r w:rsidR="004C44AC" w:rsidRPr="00431F34">
        <w:rPr>
          <w:rFonts w:ascii="Times New Roman" w:hAnsi="Times New Roman" w:cs="Times New Roman"/>
          <w:sz w:val="24"/>
          <w:szCs w:val="24"/>
        </w:rPr>
        <w:t>sektorze</w:t>
      </w:r>
      <w:r w:rsidRPr="00431F34">
        <w:rPr>
          <w:rFonts w:ascii="Times New Roman" w:hAnsi="Times New Roman" w:cs="Times New Roman"/>
          <w:sz w:val="24"/>
          <w:szCs w:val="24"/>
        </w:rPr>
        <w:t xml:space="preserve"> </w:t>
      </w:r>
      <w:r w:rsidR="004C44AC" w:rsidRPr="00431F34">
        <w:rPr>
          <w:rFonts w:ascii="Times New Roman" w:hAnsi="Times New Roman" w:cs="Times New Roman"/>
          <w:sz w:val="24"/>
          <w:szCs w:val="24"/>
        </w:rPr>
        <w:t>prywatnym</w:t>
      </w:r>
      <w:r w:rsidR="00A84CFE" w:rsidRPr="00431F34">
        <w:rPr>
          <w:rFonts w:ascii="Times New Roman" w:hAnsi="Times New Roman" w:cs="Times New Roman"/>
          <w:sz w:val="24"/>
          <w:szCs w:val="24"/>
        </w:rPr>
        <w:t>.</w:t>
      </w:r>
    </w:p>
    <w:p w:rsidR="009F2C88" w:rsidRDefault="004C44AC" w:rsidP="00F0505E">
      <w:pPr>
        <w:pStyle w:val="Bezodstpw"/>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10ED1">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B92E45" w:rsidRPr="00C10ED1">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Tabela </w:t>
      </w:r>
      <w:r w:rsidR="00F0505E" w:rsidRPr="00C10ED1">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sidR="001707C3">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w:t>
      </w:r>
      <w:r w:rsidR="00B92E45" w:rsidRPr="00C10ED1">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797BAB" w:rsidRPr="00C10ED1">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w:t>
      </w:r>
      <w:r w:rsidR="00B92E45" w:rsidRPr="00C10ED1">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racujący</w:t>
      </w:r>
      <w:r w:rsidR="00AE5712" w:rsidRPr="00C10ED1">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t>
      </w:r>
      <w:r w:rsidR="00B92E45" w:rsidRPr="00C10ED1">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województwie podkarpackim</w:t>
      </w:r>
      <w:r w:rsidR="00490284" w:rsidRPr="00C10ED1">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stan w dniu 31 XII ‘</w:t>
      </w:r>
      <w:r w:rsidR="00B92E45" w:rsidRPr="00C10ED1">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sidR="00C10ED1" w:rsidRPr="00C10ED1">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7</w:t>
      </w:r>
      <w:r w:rsidR="00AE5712" w:rsidRPr="00C10ED1">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r.</w:t>
      </w:r>
    </w:p>
    <w:p w:rsidR="009F2C88" w:rsidRPr="009F2C88" w:rsidRDefault="009F2C88" w:rsidP="00F0505E">
      <w:pPr>
        <w:pStyle w:val="Bezodstpw"/>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bl>
      <w:tblPr>
        <w:tblStyle w:val="Tabela-Siatka"/>
        <w:tblW w:w="7854" w:type="dxa"/>
        <w:jc w:val="center"/>
        <w:tblInd w:w="1802" w:type="dxa"/>
        <w:tblLook w:val="04A0" w:firstRow="1" w:lastRow="0" w:firstColumn="1" w:lastColumn="0" w:noHBand="0" w:noVBand="1"/>
      </w:tblPr>
      <w:tblGrid>
        <w:gridCol w:w="483"/>
        <w:gridCol w:w="992"/>
        <w:gridCol w:w="3320"/>
        <w:gridCol w:w="1543"/>
        <w:gridCol w:w="1516"/>
      </w:tblGrid>
      <w:tr w:rsidR="00EF41CF" w:rsidRPr="00C75C71" w:rsidTr="009F2C88">
        <w:trPr>
          <w:jc w:val="center"/>
        </w:trPr>
        <w:tc>
          <w:tcPr>
            <w:tcW w:w="483" w:type="dxa"/>
            <w:shd w:val="clear" w:color="auto" w:fill="E5DFEC" w:themeFill="accent4" w:themeFillTint="33"/>
            <w:vAlign w:val="center"/>
          </w:tcPr>
          <w:p w:rsidR="00EF41CF" w:rsidRPr="00D06869" w:rsidRDefault="00EF41CF" w:rsidP="00EF41CF">
            <w:pPr>
              <w:pStyle w:val="Default"/>
              <w:jc w:val="center"/>
              <w:rPr>
                <w:b/>
                <w:sz w:val="16"/>
                <w:szCs w:val="16"/>
              </w:rPr>
            </w:pPr>
            <w:r>
              <w:rPr>
                <w:b/>
                <w:sz w:val="16"/>
                <w:szCs w:val="16"/>
              </w:rPr>
              <w:t>LP</w:t>
            </w:r>
          </w:p>
        </w:tc>
        <w:tc>
          <w:tcPr>
            <w:tcW w:w="992" w:type="dxa"/>
            <w:shd w:val="clear" w:color="auto" w:fill="E5DFEC" w:themeFill="accent4" w:themeFillTint="33"/>
            <w:vAlign w:val="center"/>
          </w:tcPr>
          <w:p w:rsidR="00EF41CF" w:rsidRPr="00D06869" w:rsidRDefault="00EF41CF" w:rsidP="00EF41CF">
            <w:pPr>
              <w:pStyle w:val="Default"/>
              <w:jc w:val="center"/>
              <w:rPr>
                <w:b/>
                <w:sz w:val="16"/>
                <w:szCs w:val="16"/>
              </w:rPr>
            </w:pPr>
            <w:r>
              <w:rPr>
                <w:b/>
                <w:sz w:val="16"/>
                <w:szCs w:val="16"/>
              </w:rPr>
              <w:t>KOD</w:t>
            </w:r>
          </w:p>
        </w:tc>
        <w:tc>
          <w:tcPr>
            <w:tcW w:w="3320" w:type="dxa"/>
            <w:shd w:val="clear" w:color="auto" w:fill="E5DFEC" w:themeFill="accent4" w:themeFillTint="33"/>
            <w:vAlign w:val="center"/>
          </w:tcPr>
          <w:p w:rsidR="00D11E6C" w:rsidRDefault="00EF41CF" w:rsidP="00EF41CF">
            <w:pPr>
              <w:pStyle w:val="Default"/>
              <w:jc w:val="center"/>
              <w:rPr>
                <w:b/>
                <w:sz w:val="16"/>
                <w:szCs w:val="16"/>
              </w:rPr>
            </w:pPr>
            <w:r w:rsidRPr="00D06869">
              <w:rPr>
                <w:b/>
                <w:sz w:val="16"/>
                <w:szCs w:val="16"/>
              </w:rPr>
              <w:t>Sektory PKD</w:t>
            </w:r>
          </w:p>
          <w:p w:rsidR="00EF41CF" w:rsidRPr="00D06869" w:rsidRDefault="00EF41CF" w:rsidP="00EF41CF">
            <w:pPr>
              <w:pStyle w:val="Default"/>
              <w:jc w:val="center"/>
              <w:rPr>
                <w:b/>
                <w:sz w:val="16"/>
                <w:szCs w:val="16"/>
              </w:rPr>
            </w:pPr>
            <w:r w:rsidRPr="00D06869">
              <w:rPr>
                <w:b/>
                <w:sz w:val="16"/>
                <w:szCs w:val="16"/>
              </w:rPr>
              <w:t>Polskiej Klasyfikacji Działalności</w:t>
            </w:r>
          </w:p>
        </w:tc>
        <w:tc>
          <w:tcPr>
            <w:tcW w:w="1543" w:type="dxa"/>
            <w:shd w:val="clear" w:color="auto" w:fill="E5DFEC" w:themeFill="accent4" w:themeFillTint="33"/>
            <w:vAlign w:val="center"/>
          </w:tcPr>
          <w:p w:rsidR="00EF41CF" w:rsidRPr="00D06869" w:rsidRDefault="00EF41CF" w:rsidP="00EF41CF">
            <w:pPr>
              <w:pStyle w:val="Default"/>
              <w:jc w:val="center"/>
              <w:rPr>
                <w:b/>
                <w:sz w:val="16"/>
                <w:szCs w:val="16"/>
              </w:rPr>
            </w:pPr>
            <w:r w:rsidRPr="00D06869">
              <w:rPr>
                <w:b/>
                <w:sz w:val="16"/>
                <w:szCs w:val="16"/>
              </w:rPr>
              <w:t>Liczba pracujących</w:t>
            </w:r>
          </w:p>
        </w:tc>
        <w:tc>
          <w:tcPr>
            <w:tcW w:w="1516" w:type="dxa"/>
            <w:shd w:val="clear" w:color="auto" w:fill="E5DFEC" w:themeFill="accent4" w:themeFillTint="33"/>
            <w:vAlign w:val="center"/>
          </w:tcPr>
          <w:p w:rsidR="00EF41CF" w:rsidRPr="00D06869" w:rsidRDefault="00EF41CF" w:rsidP="00EF41CF">
            <w:pPr>
              <w:pStyle w:val="Default"/>
              <w:jc w:val="center"/>
              <w:rPr>
                <w:b/>
                <w:sz w:val="16"/>
                <w:szCs w:val="16"/>
              </w:rPr>
            </w:pPr>
            <w:r w:rsidRPr="00D06869">
              <w:rPr>
                <w:b/>
                <w:sz w:val="16"/>
                <w:szCs w:val="16"/>
              </w:rPr>
              <w:t>Odsetek</w:t>
            </w:r>
          </w:p>
          <w:p w:rsidR="00EF41CF" w:rsidRPr="00D06869" w:rsidRDefault="00EF41CF" w:rsidP="00EF41CF">
            <w:pPr>
              <w:pStyle w:val="Default"/>
              <w:jc w:val="center"/>
              <w:rPr>
                <w:b/>
                <w:sz w:val="16"/>
                <w:szCs w:val="16"/>
              </w:rPr>
            </w:pPr>
            <w:r w:rsidRPr="00D06869">
              <w:rPr>
                <w:b/>
                <w:sz w:val="16"/>
                <w:szCs w:val="16"/>
              </w:rPr>
              <w:t>w ogólnej liczbie pracujących</w:t>
            </w:r>
          </w:p>
        </w:tc>
      </w:tr>
      <w:tr w:rsidR="00EF41CF" w:rsidRPr="00C75C71" w:rsidTr="009F2C88">
        <w:trPr>
          <w:jc w:val="center"/>
        </w:trPr>
        <w:tc>
          <w:tcPr>
            <w:tcW w:w="483" w:type="dxa"/>
            <w:tcBorders>
              <w:bottom w:val="single" w:sz="4" w:space="0" w:color="auto"/>
            </w:tcBorders>
            <w:vAlign w:val="center"/>
          </w:tcPr>
          <w:p w:rsidR="009F2C88" w:rsidRPr="00A202E2" w:rsidRDefault="00EF41CF" w:rsidP="009F2C88">
            <w:pPr>
              <w:pStyle w:val="Default"/>
              <w:jc w:val="center"/>
              <w:rPr>
                <w:b/>
                <w:sz w:val="16"/>
                <w:szCs w:val="16"/>
              </w:rPr>
            </w:pPr>
            <w:r w:rsidRPr="00A202E2">
              <w:rPr>
                <w:b/>
                <w:sz w:val="16"/>
                <w:szCs w:val="16"/>
              </w:rPr>
              <w:t>1</w:t>
            </w:r>
          </w:p>
        </w:tc>
        <w:tc>
          <w:tcPr>
            <w:tcW w:w="992" w:type="dxa"/>
            <w:tcBorders>
              <w:bottom w:val="single" w:sz="4" w:space="0" w:color="auto"/>
            </w:tcBorders>
            <w:vAlign w:val="center"/>
          </w:tcPr>
          <w:p w:rsidR="00EF41CF" w:rsidRPr="00A202E2" w:rsidRDefault="00A202E2" w:rsidP="009F2C88">
            <w:pPr>
              <w:pStyle w:val="Default"/>
              <w:jc w:val="center"/>
              <w:rPr>
                <w:b/>
                <w:sz w:val="16"/>
                <w:szCs w:val="16"/>
              </w:rPr>
            </w:pPr>
            <w:r>
              <w:rPr>
                <w:b/>
                <w:sz w:val="16"/>
                <w:szCs w:val="16"/>
              </w:rPr>
              <w:t>OGÓŁEM</w:t>
            </w:r>
          </w:p>
        </w:tc>
        <w:tc>
          <w:tcPr>
            <w:tcW w:w="3320" w:type="dxa"/>
            <w:tcBorders>
              <w:bottom w:val="single" w:sz="4" w:space="0" w:color="auto"/>
            </w:tcBorders>
            <w:shd w:val="clear" w:color="auto" w:fill="auto"/>
            <w:vAlign w:val="center"/>
          </w:tcPr>
          <w:p w:rsidR="00EF41CF" w:rsidRPr="00A202E2" w:rsidRDefault="00EF41CF" w:rsidP="009F2C88">
            <w:pPr>
              <w:pStyle w:val="Default"/>
              <w:jc w:val="center"/>
              <w:rPr>
                <w:b/>
                <w:sz w:val="16"/>
                <w:szCs w:val="16"/>
              </w:rPr>
            </w:pPr>
            <w:r w:rsidRPr="00A202E2">
              <w:rPr>
                <w:b/>
                <w:sz w:val="16"/>
                <w:szCs w:val="16"/>
              </w:rPr>
              <w:t>Łącznie osób pracujących w województwie </w:t>
            </w:r>
            <w:r w:rsidRPr="00A202E2">
              <w:rPr>
                <w:rStyle w:val="Odwoanieprzypisudolnego"/>
                <w:b/>
                <w:sz w:val="16"/>
                <w:szCs w:val="16"/>
              </w:rPr>
              <w:footnoteReference w:id="12"/>
            </w:r>
          </w:p>
        </w:tc>
        <w:tc>
          <w:tcPr>
            <w:tcW w:w="1543" w:type="dxa"/>
            <w:tcBorders>
              <w:bottom w:val="single" w:sz="4" w:space="0" w:color="auto"/>
            </w:tcBorders>
            <w:vAlign w:val="center"/>
          </w:tcPr>
          <w:p w:rsidR="00EF41CF" w:rsidRPr="00A202E2" w:rsidRDefault="00EF41CF" w:rsidP="009F2C88">
            <w:pPr>
              <w:pStyle w:val="Default"/>
              <w:jc w:val="center"/>
              <w:rPr>
                <w:b/>
                <w:sz w:val="16"/>
                <w:szCs w:val="16"/>
                <w:highlight w:val="yellow"/>
              </w:rPr>
            </w:pPr>
            <w:r w:rsidRPr="00A202E2">
              <w:rPr>
                <w:b/>
                <w:sz w:val="16"/>
                <w:szCs w:val="16"/>
              </w:rPr>
              <w:t>852 388</w:t>
            </w:r>
          </w:p>
        </w:tc>
        <w:tc>
          <w:tcPr>
            <w:tcW w:w="1516" w:type="dxa"/>
            <w:tcBorders>
              <w:bottom w:val="single" w:sz="4" w:space="0" w:color="auto"/>
            </w:tcBorders>
            <w:shd w:val="clear" w:color="auto" w:fill="auto"/>
            <w:vAlign w:val="center"/>
          </w:tcPr>
          <w:p w:rsidR="00EF41CF" w:rsidRPr="00A202E2" w:rsidRDefault="00EF41CF" w:rsidP="009F2C88">
            <w:pPr>
              <w:pStyle w:val="Default"/>
              <w:jc w:val="center"/>
              <w:rPr>
                <w:b/>
                <w:sz w:val="16"/>
                <w:szCs w:val="16"/>
                <w:highlight w:val="yellow"/>
              </w:rPr>
            </w:pPr>
            <w:r w:rsidRPr="00A202E2">
              <w:rPr>
                <w:b/>
                <w:sz w:val="16"/>
                <w:szCs w:val="16"/>
              </w:rPr>
              <w:t>100,0</w:t>
            </w:r>
          </w:p>
        </w:tc>
      </w:tr>
      <w:tr w:rsidR="00A202E2" w:rsidRPr="00C75C71" w:rsidTr="009F2C88">
        <w:trPr>
          <w:jc w:val="center"/>
        </w:trPr>
        <w:tc>
          <w:tcPr>
            <w:tcW w:w="483" w:type="dxa"/>
            <w:shd w:val="clear" w:color="auto" w:fill="auto"/>
            <w:vAlign w:val="center"/>
          </w:tcPr>
          <w:p w:rsidR="00EF41CF" w:rsidRPr="001045D9" w:rsidRDefault="00EF41CF" w:rsidP="00EF41CF">
            <w:pPr>
              <w:pStyle w:val="Default"/>
              <w:jc w:val="center"/>
              <w:rPr>
                <w:b/>
                <w:sz w:val="16"/>
                <w:szCs w:val="16"/>
              </w:rPr>
            </w:pPr>
            <w:r w:rsidRPr="001045D9">
              <w:rPr>
                <w:b/>
                <w:sz w:val="16"/>
                <w:szCs w:val="16"/>
              </w:rPr>
              <w:t>2</w:t>
            </w:r>
          </w:p>
        </w:tc>
        <w:tc>
          <w:tcPr>
            <w:tcW w:w="992" w:type="dxa"/>
            <w:shd w:val="clear" w:color="auto" w:fill="auto"/>
            <w:vAlign w:val="center"/>
          </w:tcPr>
          <w:p w:rsidR="00EF41CF" w:rsidRPr="001045D9" w:rsidRDefault="00EF41CF" w:rsidP="00EF41CF">
            <w:pPr>
              <w:pStyle w:val="Bezodstpw"/>
              <w:shd w:val="clear" w:color="auto" w:fill="FFFFFF" w:themeFill="background1"/>
              <w:jc w:val="center"/>
              <w:rPr>
                <w:rFonts w:ascii="Times New Roman" w:hAnsi="Times New Roman" w:cs="Times New Roman"/>
                <w:b/>
                <w:color w:val="000000" w:themeColor="text1"/>
                <w:sz w:val="16"/>
                <w:szCs w:val="16"/>
              </w:rPr>
            </w:pPr>
            <w:r w:rsidRPr="001045D9">
              <w:rPr>
                <w:rFonts w:ascii="Times New Roman" w:hAnsi="Times New Roman" w:cs="Times New Roman"/>
                <w:b/>
                <w:color w:val="000000" w:themeColor="text1"/>
                <w:sz w:val="16"/>
                <w:szCs w:val="16"/>
              </w:rPr>
              <w:t>A</w:t>
            </w:r>
          </w:p>
        </w:tc>
        <w:tc>
          <w:tcPr>
            <w:tcW w:w="3320" w:type="dxa"/>
            <w:shd w:val="clear" w:color="auto" w:fill="auto"/>
            <w:vAlign w:val="center"/>
          </w:tcPr>
          <w:p w:rsidR="00EF41CF" w:rsidRPr="001045D9" w:rsidRDefault="00EF41CF" w:rsidP="00EF41CF">
            <w:pPr>
              <w:pStyle w:val="Bezodstpw"/>
              <w:shd w:val="clear" w:color="auto" w:fill="FFFFFF" w:themeFill="background1"/>
              <w:rPr>
                <w:rFonts w:ascii="Times New Roman" w:hAnsi="Times New Roman" w:cs="Times New Roman"/>
                <w:b/>
                <w:color w:val="000000" w:themeColor="text1"/>
                <w:sz w:val="16"/>
                <w:szCs w:val="16"/>
              </w:rPr>
            </w:pPr>
            <w:r w:rsidRPr="001045D9">
              <w:rPr>
                <w:rFonts w:ascii="Times New Roman" w:hAnsi="Times New Roman" w:cs="Times New Roman"/>
                <w:b/>
                <w:color w:val="000000" w:themeColor="text1"/>
                <w:sz w:val="16"/>
                <w:szCs w:val="16"/>
              </w:rPr>
              <w:t>Rolnictwo, leśnictwo, łowiectwo i rybactwo</w:t>
            </w:r>
          </w:p>
        </w:tc>
        <w:tc>
          <w:tcPr>
            <w:tcW w:w="1543" w:type="dxa"/>
            <w:shd w:val="clear" w:color="auto" w:fill="auto"/>
            <w:vAlign w:val="center"/>
          </w:tcPr>
          <w:p w:rsidR="00EF41CF" w:rsidRPr="001045D9" w:rsidRDefault="00EF41CF" w:rsidP="00EF41CF">
            <w:pPr>
              <w:jc w:val="center"/>
              <w:rPr>
                <w:rFonts w:ascii="Times New Roman" w:hAnsi="Times New Roman" w:cs="Times New Roman"/>
                <w:b/>
                <w:sz w:val="16"/>
                <w:szCs w:val="16"/>
              </w:rPr>
            </w:pPr>
            <w:r w:rsidRPr="001045D9">
              <w:rPr>
                <w:rFonts w:ascii="Times New Roman" w:hAnsi="Times New Roman" w:cs="Times New Roman"/>
                <w:b/>
                <w:sz w:val="16"/>
                <w:szCs w:val="16"/>
              </w:rPr>
              <w:t>259 952</w:t>
            </w:r>
          </w:p>
        </w:tc>
        <w:tc>
          <w:tcPr>
            <w:tcW w:w="1516" w:type="dxa"/>
            <w:shd w:val="clear" w:color="auto" w:fill="auto"/>
            <w:vAlign w:val="center"/>
          </w:tcPr>
          <w:p w:rsidR="00EF41CF" w:rsidRPr="001045D9" w:rsidRDefault="00EF41CF" w:rsidP="00EF41CF">
            <w:pPr>
              <w:jc w:val="center"/>
              <w:rPr>
                <w:rFonts w:ascii="Times New Roman" w:hAnsi="Times New Roman" w:cs="Times New Roman"/>
                <w:b/>
                <w:sz w:val="16"/>
                <w:szCs w:val="16"/>
              </w:rPr>
            </w:pPr>
            <w:r w:rsidRPr="001045D9">
              <w:rPr>
                <w:rFonts w:ascii="Times New Roman" w:hAnsi="Times New Roman" w:cs="Times New Roman"/>
                <w:b/>
                <w:sz w:val="16"/>
                <w:szCs w:val="16"/>
              </w:rPr>
              <w:t>30,5</w:t>
            </w:r>
          </w:p>
        </w:tc>
      </w:tr>
      <w:tr w:rsidR="00EF41CF" w:rsidRPr="00C75C71" w:rsidTr="009F2C88">
        <w:trPr>
          <w:jc w:val="center"/>
        </w:trPr>
        <w:tc>
          <w:tcPr>
            <w:tcW w:w="483" w:type="dxa"/>
            <w:shd w:val="clear" w:color="auto" w:fill="auto"/>
            <w:vAlign w:val="center"/>
          </w:tcPr>
          <w:p w:rsidR="00EF41CF" w:rsidRPr="00A202E2" w:rsidRDefault="00EF41CF" w:rsidP="00EF41CF">
            <w:pPr>
              <w:pStyle w:val="Default"/>
              <w:jc w:val="center"/>
              <w:rPr>
                <w:sz w:val="16"/>
                <w:szCs w:val="16"/>
              </w:rPr>
            </w:pPr>
            <w:r w:rsidRPr="00A202E2">
              <w:rPr>
                <w:sz w:val="16"/>
                <w:szCs w:val="16"/>
              </w:rPr>
              <w:t>3</w:t>
            </w:r>
          </w:p>
        </w:tc>
        <w:tc>
          <w:tcPr>
            <w:tcW w:w="992" w:type="dxa"/>
            <w:shd w:val="clear" w:color="auto" w:fill="auto"/>
            <w:vAlign w:val="center"/>
          </w:tcPr>
          <w:p w:rsidR="00EF41CF" w:rsidRPr="00A202E2" w:rsidRDefault="00EF41CF" w:rsidP="00EF41CF">
            <w:pPr>
              <w:pStyle w:val="Bezodstpw"/>
              <w:shd w:val="clear" w:color="auto" w:fill="FFFFFF" w:themeFill="background1"/>
              <w:jc w:val="center"/>
              <w:rPr>
                <w:rFonts w:ascii="Times New Roman" w:hAnsi="Times New Roman" w:cs="Times New Roman"/>
                <w:color w:val="000000" w:themeColor="text1"/>
                <w:sz w:val="16"/>
                <w:szCs w:val="16"/>
              </w:rPr>
            </w:pPr>
            <w:r w:rsidRPr="00A202E2">
              <w:rPr>
                <w:rFonts w:ascii="Times New Roman" w:hAnsi="Times New Roman" w:cs="Times New Roman"/>
                <w:color w:val="000000" w:themeColor="text1"/>
                <w:sz w:val="16"/>
                <w:szCs w:val="16"/>
              </w:rPr>
              <w:t>B</w:t>
            </w:r>
          </w:p>
        </w:tc>
        <w:tc>
          <w:tcPr>
            <w:tcW w:w="3320" w:type="dxa"/>
            <w:shd w:val="clear" w:color="auto" w:fill="auto"/>
            <w:vAlign w:val="center"/>
          </w:tcPr>
          <w:p w:rsidR="00EF41CF" w:rsidRPr="00A202E2" w:rsidRDefault="00EF41CF" w:rsidP="00A0573C">
            <w:pPr>
              <w:pStyle w:val="Bezodstpw"/>
              <w:shd w:val="clear" w:color="auto" w:fill="FFFFFF" w:themeFill="background1"/>
              <w:rPr>
                <w:rFonts w:ascii="Times New Roman" w:hAnsi="Times New Roman" w:cs="Times New Roman"/>
                <w:color w:val="000000" w:themeColor="text1"/>
                <w:sz w:val="16"/>
                <w:szCs w:val="16"/>
              </w:rPr>
            </w:pPr>
            <w:r w:rsidRPr="00A202E2">
              <w:rPr>
                <w:rFonts w:ascii="Times New Roman" w:hAnsi="Times New Roman" w:cs="Times New Roman"/>
                <w:color w:val="000000" w:themeColor="text1"/>
                <w:sz w:val="16"/>
                <w:szCs w:val="16"/>
              </w:rPr>
              <w:t>Górnictwo i wydobywanie</w:t>
            </w:r>
          </w:p>
        </w:tc>
        <w:tc>
          <w:tcPr>
            <w:tcW w:w="1543" w:type="dxa"/>
            <w:shd w:val="clear" w:color="auto" w:fill="auto"/>
            <w:vAlign w:val="center"/>
          </w:tcPr>
          <w:p w:rsidR="00EF41CF" w:rsidRPr="00A202E2" w:rsidRDefault="00EF41CF" w:rsidP="00EF41CF">
            <w:pPr>
              <w:jc w:val="center"/>
              <w:rPr>
                <w:rFonts w:ascii="Times New Roman" w:hAnsi="Times New Roman" w:cs="Times New Roman"/>
                <w:sz w:val="16"/>
                <w:szCs w:val="16"/>
              </w:rPr>
            </w:pPr>
            <w:r w:rsidRPr="00A202E2">
              <w:rPr>
                <w:rFonts w:ascii="Times New Roman" w:hAnsi="Times New Roman" w:cs="Times New Roman"/>
                <w:sz w:val="16"/>
                <w:szCs w:val="16"/>
              </w:rPr>
              <w:t>3 244</w:t>
            </w:r>
          </w:p>
        </w:tc>
        <w:tc>
          <w:tcPr>
            <w:tcW w:w="1516" w:type="dxa"/>
            <w:shd w:val="clear" w:color="auto" w:fill="auto"/>
            <w:vAlign w:val="center"/>
          </w:tcPr>
          <w:p w:rsidR="00EF41CF" w:rsidRPr="00A202E2" w:rsidRDefault="00EF41CF" w:rsidP="00EF41CF">
            <w:pPr>
              <w:jc w:val="center"/>
              <w:rPr>
                <w:rFonts w:ascii="Times New Roman" w:hAnsi="Times New Roman" w:cs="Times New Roman"/>
                <w:sz w:val="16"/>
                <w:szCs w:val="16"/>
              </w:rPr>
            </w:pPr>
            <w:r w:rsidRPr="00A202E2">
              <w:rPr>
                <w:rFonts w:ascii="Times New Roman" w:hAnsi="Times New Roman" w:cs="Times New Roman"/>
                <w:sz w:val="16"/>
                <w:szCs w:val="16"/>
              </w:rPr>
              <w:t>0,4</w:t>
            </w:r>
          </w:p>
        </w:tc>
      </w:tr>
      <w:tr w:rsidR="00EF41CF" w:rsidRPr="00C75C71" w:rsidTr="009F2C88">
        <w:trPr>
          <w:jc w:val="center"/>
        </w:trPr>
        <w:tc>
          <w:tcPr>
            <w:tcW w:w="483" w:type="dxa"/>
            <w:shd w:val="clear" w:color="auto" w:fill="auto"/>
            <w:vAlign w:val="center"/>
          </w:tcPr>
          <w:p w:rsidR="00EF41CF" w:rsidRPr="001045D9" w:rsidRDefault="00EF41CF" w:rsidP="00EF41CF">
            <w:pPr>
              <w:jc w:val="center"/>
              <w:rPr>
                <w:rFonts w:ascii="Times New Roman" w:hAnsi="Times New Roman" w:cs="Times New Roman"/>
                <w:b/>
                <w:color w:val="000000"/>
                <w:sz w:val="16"/>
                <w:szCs w:val="16"/>
              </w:rPr>
            </w:pPr>
            <w:r w:rsidRPr="001045D9">
              <w:rPr>
                <w:rFonts w:ascii="Times New Roman" w:hAnsi="Times New Roman" w:cs="Times New Roman"/>
                <w:b/>
                <w:color w:val="000000"/>
                <w:sz w:val="16"/>
                <w:szCs w:val="16"/>
              </w:rPr>
              <w:t>4</w:t>
            </w:r>
          </w:p>
        </w:tc>
        <w:tc>
          <w:tcPr>
            <w:tcW w:w="992" w:type="dxa"/>
            <w:shd w:val="clear" w:color="auto" w:fill="auto"/>
            <w:vAlign w:val="center"/>
          </w:tcPr>
          <w:p w:rsidR="00EF41CF" w:rsidRPr="001045D9" w:rsidRDefault="00EF41CF" w:rsidP="00EF41CF">
            <w:pPr>
              <w:pStyle w:val="Bezodstpw"/>
              <w:shd w:val="clear" w:color="auto" w:fill="FFFFFF" w:themeFill="background1"/>
              <w:jc w:val="center"/>
              <w:rPr>
                <w:rFonts w:ascii="Times New Roman" w:hAnsi="Times New Roman" w:cs="Times New Roman"/>
                <w:b/>
                <w:color w:val="000000" w:themeColor="text1"/>
                <w:sz w:val="16"/>
                <w:szCs w:val="16"/>
              </w:rPr>
            </w:pPr>
            <w:r w:rsidRPr="001045D9">
              <w:rPr>
                <w:rFonts w:ascii="Times New Roman" w:hAnsi="Times New Roman" w:cs="Times New Roman"/>
                <w:b/>
                <w:color w:val="000000" w:themeColor="text1"/>
                <w:sz w:val="16"/>
                <w:szCs w:val="16"/>
              </w:rPr>
              <w:t>C</w:t>
            </w:r>
          </w:p>
        </w:tc>
        <w:tc>
          <w:tcPr>
            <w:tcW w:w="3320" w:type="dxa"/>
            <w:shd w:val="clear" w:color="auto" w:fill="auto"/>
            <w:vAlign w:val="center"/>
          </w:tcPr>
          <w:p w:rsidR="00EF41CF" w:rsidRPr="001045D9" w:rsidRDefault="00EF41CF" w:rsidP="00EF41CF">
            <w:pPr>
              <w:pStyle w:val="Bezodstpw"/>
              <w:shd w:val="clear" w:color="auto" w:fill="FFFFFF" w:themeFill="background1"/>
              <w:rPr>
                <w:rFonts w:ascii="Times New Roman" w:hAnsi="Times New Roman" w:cs="Times New Roman"/>
                <w:b/>
                <w:color w:val="000000" w:themeColor="text1"/>
                <w:sz w:val="16"/>
                <w:szCs w:val="16"/>
              </w:rPr>
            </w:pPr>
            <w:r w:rsidRPr="001045D9">
              <w:rPr>
                <w:rFonts w:ascii="Times New Roman" w:hAnsi="Times New Roman" w:cs="Times New Roman"/>
                <w:b/>
                <w:color w:val="000000" w:themeColor="text1"/>
                <w:sz w:val="16"/>
                <w:szCs w:val="16"/>
              </w:rPr>
              <w:t>Przetwórstwo przemysłowe</w:t>
            </w:r>
          </w:p>
        </w:tc>
        <w:tc>
          <w:tcPr>
            <w:tcW w:w="1543" w:type="dxa"/>
            <w:shd w:val="clear" w:color="auto" w:fill="auto"/>
            <w:vAlign w:val="center"/>
          </w:tcPr>
          <w:p w:rsidR="00EF41CF" w:rsidRPr="001045D9" w:rsidRDefault="00EF41CF" w:rsidP="00EF41CF">
            <w:pPr>
              <w:jc w:val="center"/>
              <w:rPr>
                <w:rFonts w:ascii="Times New Roman" w:hAnsi="Times New Roman" w:cs="Times New Roman"/>
                <w:b/>
                <w:sz w:val="16"/>
                <w:szCs w:val="16"/>
              </w:rPr>
            </w:pPr>
            <w:r w:rsidRPr="001045D9">
              <w:rPr>
                <w:rFonts w:ascii="Times New Roman" w:hAnsi="Times New Roman" w:cs="Times New Roman"/>
                <w:b/>
                <w:sz w:val="16"/>
                <w:szCs w:val="16"/>
              </w:rPr>
              <w:t>158 575</w:t>
            </w:r>
          </w:p>
        </w:tc>
        <w:tc>
          <w:tcPr>
            <w:tcW w:w="1516" w:type="dxa"/>
            <w:shd w:val="clear" w:color="auto" w:fill="auto"/>
            <w:vAlign w:val="center"/>
          </w:tcPr>
          <w:p w:rsidR="00EF41CF" w:rsidRPr="001045D9" w:rsidRDefault="00EF41CF" w:rsidP="00EF41CF">
            <w:pPr>
              <w:jc w:val="center"/>
              <w:rPr>
                <w:rFonts w:ascii="Times New Roman" w:hAnsi="Times New Roman" w:cs="Times New Roman"/>
                <w:b/>
                <w:sz w:val="16"/>
                <w:szCs w:val="16"/>
              </w:rPr>
            </w:pPr>
            <w:r w:rsidRPr="001045D9">
              <w:rPr>
                <w:rFonts w:ascii="Times New Roman" w:hAnsi="Times New Roman" w:cs="Times New Roman"/>
                <w:b/>
                <w:sz w:val="16"/>
                <w:szCs w:val="16"/>
              </w:rPr>
              <w:t>18,6</w:t>
            </w:r>
          </w:p>
        </w:tc>
      </w:tr>
      <w:tr w:rsidR="00EF41CF" w:rsidRPr="00C75C71" w:rsidTr="009F2C88">
        <w:trPr>
          <w:jc w:val="center"/>
        </w:trPr>
        <w:tc>
          <w:tcPr>
            <w:tcW w:w="483" w:type="dxa"/>
            <w:shd w:val="clear" w:color="auto" w:fill="auto"/>
            <w:vAlign w:val="center"/>
          </w:tcPr>
          <w:p w:rsidR="00EF41CF" w:rsidRPr="00A202E2" w:rsidRDefault="00EF41CF" w:rsidP="00EF41CF">
            <w:pPr>
              <w:jc w:val="center"/>
              <w:rPr>
                <w:rFonts w:ascii="Times New Roman" w:hAnsi="Times New Roman" w:cs="Times New Roman"/>
                <w:bCs/>
                <w:color w:val="000000"/>
                <w:sz w:val="16"/>
                <w:szCs w:val="16"/>
              </w:rPr>
            </w:pPr>
            <w:r w:rsidRPr="00A202E2">
              <w:rPr>
                <w:rFonts w:ascii="Times New Roman" w:hAnsi="Times New Roman" w:cs="Times New Roman"/>
                <w:bCs/>
                <w:color w:val="000000"/>
                <w:sz w:val="16"/>
                <w:szCs w:val="16"/>
              </w:rPr>
              <w:t>5</w:t>
            </w:r>
          </w:p>
        </w:tc>
        <w:tc>
          <w:tcPr>
            <w:tcW w:w="992" w:type="dxa"/>
            <w:shd w:val="clear" w:color="auto" w:fill="auto"/>
            <w:vAlign w:val="center"/>
          </w:tcPr>
          <w:p w:rsidR="00EF41CF" w:rsidRPr="00A202E2" w:rsidRDefault="00EF41CF" w:rsidP="00EF41CF">
            <w:pPr>
              <w:pStyle w:val="Bezodstpw"/>
              <w:shd w:val="clear" w:color="auto" w:fill="FFFFFF" w:themeFill="background1"/>
              <w:jc w:val="center"/>
              <w:rPr>
                <w:rFonts w:ascii="Times New Roman" w:hAnsi="Times New Roman" w:cs="Times New Roman"/>
                <w:color w:val="000000" w:themeColor="text1"/>
                <w:sz w:val="16"/>
                <w:szCs w:val="16"/>
              </w:rPr>
            </w:pPr>
            <w:r w:rsidRPr="00A202E2">
              <w:rPr>
                <w:rFonts w:ascii="Times New Roman" w:hAnsi="Times New Roman" w:cs="Times New Roman"/>
                <w:color w:val="000000" w:themeColor="text1"/>
                <w:sz w:val="16"/>
                <w:szCs w:val="16"/>
              </w:rPr>
              <w:t>D</w:t>
            </w:r>
          </w:p>
        </w:tc>
        <w:tc>
          <w:tcPr>
            <w:tcW w:w="3320" w:type="dxa"/>
            <w:shd w:val="clear" w:color="auto" w:fill="auto"/>
            <w:vAlign w:val="center"/>
          </w:tcPr>
          <w:p w:rsidR="00EF41CF" w:rsidRPr="00A202E2" w:rsidRDefault="00EF41CF" w:rsidP="00A0573C">
            <w:pPr>
              <w:pStyle w:val="Bezodstpw"/>
              <w:shd w:val="clear" w:color="auto" w:fill="FFFFFF" w:themeFill="background1"/>
              <w:rPr>
                <w:rFonts w:ascii="Times New Roman" w:hAnsi="Times New Roman" w:cs="Times New Roman"/>
                <w:color w:val="000000" w:themeColor="text1"/>
                <w:sz w:val="16"/>
                <w:szCs w:val="16"/>
              </w:rPr>
            </w:pPr>
            <w:r w:rsidRPr="00A202E2">
              <w:rPr>
                <w:rFonts w:ascii="Times New Roman" w:hAnsi="Times New Roman" w:cs="Times New Roman"/>
                <w:color w:val="000000" w:themeColor="text1"/>
                <w:sz w:val="16"/>
                <w:szCs w:val="16"/>
              </w:rPr>
              <w:t>Wytwarzanie i zaopatrywanie w energię elektryczną, gaz, parę wodną, gorącą wodę i powietrze do układów klimatyzacyjnych</w:t>
            </w:r>
          </w:p>
        </w:tc>
        <w:tc>
          <w:tcPr>
            <w:tcW w:w="1543" w:type="dxa"/>
            <w:shd w:val="clear" w:color="auto" w:fill="auto"/>
            <w:vAlign w:val="center"/>
          </w:tcPr>
          <w:p w:rsidR="00EF41CF" w:rsidRPr="00A202E2" w:rsidRDefault="00EF41CF" w:rsidP="00EF41CF">
            <w:pPr>
              <w:jc w:val="center"/>
              <w:rPr>
                <w:rFonts w:ascii="Times New Roman" w:hAnsi="Times New Roman" w:cs="Times New Roman"/>
                <w:sz w:val="16"/>
                <w:szCs w:val="16"/>
              </w:rPr>
            </w:pPr>
            <w:r w:rsidRPr="00A202E2">
              <w:rPr>
                <w:rFonts w:ascii="Times New Roman" w:hAnsi="Times New Roman" w:cs="Times New Roman"/>
                <w:sz w:val="16"/>
                <w:szCs w:val="16"/>
              </w:rPr>
              <w:t>5 727</w:t>
            </w:r>
          </w:p>
        </w:tc>
        <w:tc>
          <w:tcPr>
            <w:tcW w:w="1516" w:type="dxa"/>
            <w:shd w:val="clear" w:color="auto" w:fill="auto"/>
            <w:vAlign w:val="center"/>
          </w:tcPr>
          <w:p w:rsidR="00EF41CF" w:rsidRPr="00A202E2" w:rsidRDefault="00EF41CF" w:rsidP="00EF41CF">
            <w:pPr>
              <w:jc w:val="center"/>
              <w:rPr>
                <w:rFonts w:ascii="Times New Roman" w:hAnsi="Times New Roman" w:cs="Times New Roman"/>
                <w:sz w:val="16"/>
                <w:szCs w:val="16"/>
              </w:rPr>
            </w:pPr>
            <w:r w:rsidRPr="00A202E2">
              <w:rPr>
                <w:rFonts w:ascii="Times New Roman" w:hAnsi="Times New Roman" w:cs="Times New Roman"/>
                <w:sz w:val="16"/>
                <w:szCs w:val="16"/>
              </w:rPr>
              <w:t>0,7</w:t>
            </w:r>
          </w:p>
        </w:tc>
      </w:tr>
      <w:tr w:rsidR="00EF41CF" w:rsidRPr="00C75C71" w:rsidTr="009F2C88">
        <w:trPr>
          <w:jc w:val="center"/>
        </w:trPr>
        <w:tc>
          <w:tcPr>
            <w:tcW w:w="483" w:type="dxa"/>
            <w:vAlign w:val="center"/>
          </w:tcPr>
          <w:p w:rsidR="00EF41CF" w:rsidRPr="00A202E2" w:rsidRDefault="00EF41CF" w:rsidP="00EF41CF">
            <w:pPr>
              <w:jc w:val="center"/>
              <w:rPr>
                <w:rFonts w:ascii="Times New Roman" w:hAnsi="Times New Roman" w:cs="Times New Roman"/>
                <w:color w:val="000000"/>
                <w:sz w:val="16"/>
                <w:szCs w:val="16"/>
              </w:rPr>
            </w:pPr>
            <w:r w:rsidRPr="00A202E2">
              <w:rPr>
                <w:rFonts w:ascii="Times New Roman" w:hAnsi="Times New Roman" w:cs="Times New Roman"/>
                <w:color w:val="000000"/>
                <w:sz w:val="16"/>
                <w:szCs w:val="16"/>
              </w:rPr>
              <w:t>6</w:t>
            </w:r>
          </w:p>
        </w:tc>
        <w:tc>
          <w:tcPr>
            <w:tcW w:w="992" w:type="dxa"/>
            <w:vAlign w:val="center"/>
          </w:tcPr>
          <w:p w:rsidR="00EF41CF" w:rsidRPr="00A202E2" w:rsidRDefault="00EF41CF" w:rsidP="00EF41CF">
            <w:pPr>
              <w:pStyle w:val="Bezodstpw"/>
              <w:shd w:val="clear" w:color="auto" w:fill="FFFFFF" w:themeFill="background1"/>
              <w:jc w:val="center"/>
              <w:rPr>
                <w:rFonts w:ascii="Times New Roman" w:hAnsi="Times New Roman" w:cs="Times New Roman"/>
                <w:color w:val="000000" w:themeColor="text1"/>
                <w:sz w:val="16"/>
                <w:szCs w:val="16"/>
              </w:rPr>
            </w:pPr>
            <w:r w:rsidRPr="00A202E2">
              <w:rPr>
                <w:rFonts w:ascii="Times New Roman" w:hAnsi="Times New Roman" w:cs="Times New Roman"/>
                <w:color w:val="000000" w:themeColor="text1"/>
                <w:sz w:val="16"/>
                <w:szCs w:val="16"/>
              </w:rPr>
              <w:t>E</w:t>
            </w:r>
          </w:p>
        </w:tc>
        <w:tc>
          <w:tcPr>
            <w:tcW w:w="3320" w:type="dxa"/>
            <w:shd w:val="clear" w:color="auto" w:fill="auto"/>
            <w:vAlign w:val="center"/>
          </w:tcPr>
          <w:p w:rsidR="00EF41CF" w:rsidRPr="00A202E2" w:rsidRDefault="00EF41CF" w:rsidP="00A0573C">
            <w:pPr>
              <w:pStyle w:val="Bezodstpw"/>
              <w:shd w:val="clear" w:color="auto" w:fill="FFFFFF" w:themeFill="background1"/>
              <w:rPr>
                <w:rFonts w:ascii="Times New Roman" w:hAnsi="Times New Roman" w:cs="Times New Roman"/>
                <w:color w:val="000000" w:themeColor="text1"/>
                <w:sz w:val="16"/>
                <w:szCs w:val="16"/>
              </w:rPr>
            </w:pPr>
            <w:r w:rsidRPr="00A202E2">
              <w:rPr>
                <w:rFonts w:ascii="Times New Roman" w:hAnsi="Times New Roman" w:cs="Times New Roman"/>
                <w:color w:val="000000" w:themeColor="text1"/>
                <w:sz w:val="16"/>
                <w:szCs w:val="16"/>
              </w:rPr>
              <w:t>Dostawa wody; gospodarowanie ściekami i odpadami oraz działalność związana z rekultywacją</w:t>
            </w:r>
          </w:p>
        </w:tc>
        <w:tc>
          <w:tcPr>
            <w:tcW w:w="1543" w:type="dxa"/>
            <w:shd w:val="clear" w:color="auto" w:fill="auto"/>
            <w:vAlign w:val="center"/>
          </w:tcPr>
          <w:p w:rsidR="00EF41CF" w:rsidRPr="00A202E2" w:rsidRDefault="00EF41CF" w:rsidP="00EF41CF">
            <w:pPr>
              <w:jc w:val="center"/>
              <w:rPr>
                <w:rFonts w:ascii="Times New Roman" w:hAnsi="Times New Roman" w:cs="Times New Roman"/>
                <w:sz w:val="16"/>
                <w:szCs w:val="16"/>
              </w:rPr>
            </w:pPr>
            <w:r w:rsidRPr="00A202E2">
              <w:rPr>
                <w:rFonts w:ascii="Times New Roman" w:hAnsi="Times New Roman" w:cs="Times New Roman"/>
                <w:sz w:val="16"/>
                <w:szCs w:val="16"/>
              </w:rPr>
              <w:t>7 195</w:t>
            </w:r>
          </w:p>
        </w:tc>
        <w:tc>
          <w:tcPr>
            <w:tcW w:w="1516" w:type="dxa"/>
            <w:shd w:val="clear" w:color="auto" w:fill="auto"/>
            <w:vAlign w:val="center"/>
          </w:tcPr>
          <w:p w:rsidR="00EF41CF" w:rsidRPr="00A202E2" w:rsidRDefault="00EF41CF" w:rsidP="00EF41CF">
            <w:pPr>
              <w:jc w:val="center"/>
              <w:rPr>
                <w:rFonts w:ascii="Times New Roman" w:hAnsi="Times New Roman" w:cs="Times New Roman"/>
                <w:sz w:val="16"/>
                <w:szCs w:val="16"/>
              </w:rPr>
            </w:pPr>
            <w:r w:rsidRPr="00A202E2">
              <w:rPr>
                <w:rFonts w:ascii="Times New Roman" w:hAnsi="Times New Roman" w:cs="Times New Roman"/>
                <w:sz w:val="16"/>
                <w:szCs w:val="16"/>
              </w:rPr>
              <w:t>0,8</w:t>
            </w:r>
          </w:p>
        </w:tc>
      </w:tr>
      <w:tr w:rsidR="00EF41CF" w:rsidRPr="00C75C71" w:rsidTr="009F2C88">
        <w:trPr>
          <w:jc w:val="center"/>
        </w:trPr>
        <w:tc>
          <w:tcPr>
            <w:tcW w:w="483" w:type="dxa"/>
            <w:vAlign w:val="center"/>
          </w:tcPr>
          <w:p w:rsidR="00EF41CF" w:rsidRPr="00A202E2" w:rsidRDefault="00EF41CF" w:rsidP="00EF41CF">
            <w:pPr>
              <w:jc w:val="center"/>
              <w:rPr>
                <w:rFonts w:ascii="Times New Roman" w:hAnsi="Times New Roman" w:cs="Times New Roman"/>
                <w:color w:val="000000"/>
                <w:sz w:val="16"/>
                <w:szCs w:val="16"/>
              </w:rPr>
            </w:pPr>
            <w:r w:rsidRPr="00A202E2">
              <w:rPr>
                <w:rFonts w:ascii="Times New Roman" w:hAnsi="Times New Roman" w:cs="Times New Roman"/>
                <w:color w:val="000000"/>
                <w:sz w:val="16"/>
                <w:szCs w:val="16"/>
              </w:rPr>
              <w:t>7</w:t>
            </w:r>
          </w:p>
        </w:tc>
        <w:tc>
          <w:tcPr>
            <w:tcW w:w="992" w:type="dxa"/>
            <w:vAlign w:val="center"/>
          </w:tcPr>
          <w:p w:rsidR="00EF41CF" w:rsidRPr="00A202E2" w:rsidRDefault="00EF41CF" w:rsidP="00EF41CF">
            <w:pPr>
              <w:pStyle w:val="Bezodstpw"/>
              <w:shd w:val="clear" w:color="auto" w:fill="FFFFFF" w:themeFill="background1"/>
              <w:jc w:val="center"/>
              <w:rPr>
                <w:rFonts w:ascii="Times New Roman" w:hAnsi="Times New Roman" w:cs="Times New Roman"/>
                <w:color w:val="000000" w:themeColor="text1"/>
                <w:sz w:val="16"/>
                <w:szCs w:val="16"/>
              </w:rPr>
            </w:pPr>
            <w:r w:rsidRPr="00A202E2">
              <w:rPr>
                <w:rFonts w:ascii="Times New Roman" w:hAnsi="Times New Roman" w:cs="Times New Roman"/>
                <w:color w:val="000000" w:themeColor="text1"/>
                <w:sz w:val="16"/>
                <w:szCs w:val="16"/>
              </w:rPr>
              <w:t>F</w:t>
            </w:r>
          </w:p>
        </w:tc>
        <w:tc>
          <w:tcPr>
            <w:tcW w:w="3320" w:type="dxa"/>
            <w:shd w:val="clear" w:color="auto" w:fill="auto"/>
            <w:vAlign w:val="center"/>
          </w:tcPr>
          <w:p w:rsidR="00EF41CF" w:rsidRPr="00A202E2" w:rsidRDefault="00EF41CF" w:rsidP="00A0573C">
            <w:pPr>
              <w:pStyle w:val="Bezodstpw"/>
              <w:shd w:val="clear" w:color="auto" w:fill="FFFFFF" w:themeFill="background1"/>
              <w:rPr>
                <w:rFonts w:ascii="Times New Roman" w:hAnsi="Times New Roman" w:cs="Times New Roman"/>
                <w:color w:val="000000" w:themeColor="text1"/>
                <w:sz w:val="16"/>
                <w:szCs w:val="16"/>
              </w:rPr>
            </w:pPr>
            <w:r w:rsidRPr="00A202E2">
              <w:rPr>
                <w:rFonts w:ascii="Times New Roman" w:hAnsi="Times New Roman" w:cs="Times New Roman"/>
                <w:color w:val="000000" w:themeColor="text1"/>
                <w:sz w:val="16"/>
                <w:szCs w:val="16"/>
              </w:rPr>
              <w:t>Budownictwo</w:t>
            </w:r>
          </w:p>
        </w:tc>
        <w:tc>
          <w:tcPr>
            <w:tcW w:w="1543" w:type="dxa"/>
            <w:shd w:val="clear" w:color="auto" w:fill="FFFFFF" w:themeFill="background1"/>
            <w:vAlign w:val="center"/>
          </w:tcPr>
          <w:p w:rsidR="00EF41CF" w:rsidRPr="00A202E2" w:rsidRDefault="00EF41CF" w:rsidP="00EF41CF">
            <w:pPr>
              <w:jc w:val="center"/>
              <w:rPr>
                <w:rFonts w:ascii="Times New Roman" w:hAnsi="Times New Roman" w:cs="Times New Roman"/>
                <w:sz w:val="16"/>
                <w:szCs w:val="16"/>
              </w:rPr>
            </w:pPr>
            <w:r w:rsidRPr="00A202E2">
              <w:rPr>
                <w:rFonts w:ascii="Times New Roman" w:hAnsi="Times New Roman" w:cs="Times New Roman"/>
                <w:sz w:val="16"/>
                <w:szCs w:val="16"/>
              </w:rPr>
              <w:t>41 002</w:t>
            </w:r>
          </w:p>
        </w:tc>
        <w:tc>
          <w:tcPr>
            <w:tcW w:w="1516" w:type="dxa"/>
            <w:shd w:val="clear" w:color="auto" w:fill="FFFFFF" w:themeFill="background1"/>
            <w:vAlign w:val="center"/>
          </w:tcPr>
          <w:p w:rsidR="00EF41CF" w:rsidRPr="00A202E2" w:rsidRDefault="00EF41CF" w:rsidP="00EF41CF">
            <w:pPr>
              <w:jc w:val="center"/>
              <w:rPr>
                <w:rFonts w:ascii="Times New Roman" w:hAnsi="Times New Roman" w:cs="Times New Roman"/>
                <w:sz w:val="16"/>
                <w:szCs w:val="16"/>
              </w:rPr>
            </w:pPr>
            <w:r w:rsidRPr="00A202E2">
              <w:rPr>
                <w:rFonts w:ascii="Times New Roman" w:hAnsi="Times New Roman" w:cs="Times New Roman"/>
                <w:sz w:val="16"/>
                <w:szCs w:val="16"/>
              </w:rPr>
              <w:t>4,8</w:t>
            </w:r>
          </w:p>
        </w:tc>
      </w:tr>
      <w:tr w:rsidR="00EF41CF" w:rsidRPr="00C75C71" w:rsidTr="009F2C88">
        <w:trPr>
          <w:jc w:val="center"/>
        </w:trPr>
        <w:tc>
          <w:tcPr>
            <w:tcW w:w="483" w:type="dxa"/>
            <w:vAlign w:val="center"/>
          </w:tcPr>
          <w:p w:rsidR="00EF41CF" w:rsidRPr="001045D9" w:rsidRDefault="00EF41CF" w:rsidP="00EF41CF">
            <w:pPr>
              <w:jc w:val="center"/>
              <w:rPr>
                <w:rFonts w:ascii="Times New Roman" w:hAnsi="Times New Roman" w:cs="Times New Roman"/>
                <w:b/>
                <w:color w:val="000000"/>
                <w:sz w:val="16"/>
                <w:szCs w:val="16"/>
              </w:rPr>
            </w:pPr>
            <w:r w:rsidRPr="001045D9">
              <w:rPr>
                <w:rFonts w:ascii="Times New Roman" w:hAnsi="Times New Roman" w:cs="Times New Roman"/>
                <w:b/>
                <w:color w:val="000000"/>
                <w:sz w:val="16"/>
                <w:szCs w:val="16"/>
              </w:rPr>
              <w:t>8</w:t>
            </w:r>
          </w:p>
        </w:tc>
        <w:tc>
          <w:tcPr>
            <w:tcW w:w="992" w:type="dxa"/>
            <w:vAlign w:val="center"/>
          </w:tcPr>
          <w:p w:rsidR="00EF41CF" w:rsidRPr="001045D9" w:rsidRDefault="00EF41CF" w:rsidP="00EF41CF">
            <w:pPr>
              <w:pStyle w:val="Bezodstpw"/>
              <w:shd w:val="clear" w:color="auto" w:fill="FFFFFF" w:themeFill="background1"/>
              <w:jc w:val="center"/>
              <w:rPr>
                <w:rFonts w:ascii="Times New Roman" w:hAnsi="Times New Roman" w:cs="Times New Roman"/>
                <w:b/>
                <w:color w:val="000000" w:themeColor="text1"/>
                <w:sz w:val="16"/>
                <w:szCs w:val="16"/>
              </w:rPr>
            </w:pPr>
            <w:r w:rsidRPr="001045D9">
              <w:rPr>
                <w:rFonts w:ascii="Times New Roman" w:hAnsi="Times New Roman" w:cs="Times New Roman"/>
                <w:b/>
                <w:color w:val="000000" w:themeColor="text1"/>
                <w:sz w:val="16"/>
                <w:szCs w:val="16"/>
              </w:rPr>
              <w:t>G</w:t>
            </w:r>
          </w:p>
        </w:tc>
        <w:tc>
          <w:tcPr>
            <w:tcW w:w="3320" w:type="dxa"/>
            <w:shd w:val="clear" w:color="auto" w:fill="auto"/>
            <w:vAlign w:val="center"/>
          </w:tcPr>
          <w:p w:rsidR="00EF41CF" w:rsidRPr="001045D9" w:rsidRDefault="00EF41CF" w:rsidP="00A0573C">
            <w:pPr>
              <w:pStyle w:val="Bezodstpw"/>
              <w:shd w:val="clear" w:color="auto" w:fill="FFFFFF" w:themeFill="background1"/>
              <w:rPr>
                <w:rFonts w:ascii="Times New Roman" w:hAnsi="Times New Roman" w:cs="Times New Roman"/>
                <w:b/>
                <w:color w:val="000000" w:themeColor="text1"/>
                <w:sz w:val="16"/>
                <w:szCs w:val="16"/>
              </w:rPr>
            </w:pPr>
            <w:r w:rsidRPr="001045D9">
              <w:rPr>
                <w:rFonts w:ascii="Times New Roman" w:hAnsi="Times New Roman" w:cs="Times New Roman"/>
                <w:b/>
                <w:color w:val="000000" w:themeColor="text1"/>
                <w:sz w:val="16"/>
                <w:szCs w:val="16"/>
              </w:rPr>
              <w:t>Handel hurtowy i detaliczny; naprawa pojazdów samochodowych, włączając motocykle</w:t>
            </w:r>
          </w:p>
        </w:tc>
        <w:tc>
          <w:tcPr>
            <w:tcW w:w="1543" w:type="dxa"/>
            <w:shd w:val="clear" w:color="auto" w:fill="FFFFFF" w:themeFill="background1"/>
            <w:vAlign w:val="center"/>
          </w:tcPr>
          <w:p w:rsidR="00EF41CF" w:rsidRPr="001045D9" w:rsidRDefault="00EF41CF" w:rsidP="00EF41CF">
            <w:pPr>
              <w:jc w:val="center"/>
              <w:rPr>
                <w:rFonts w:ascii="Times New Roman" w:hAnsi="Times New Roman" w:cs="Times New Roman"/>
                <w:b/>
                <w:sz w:val="16"/>
                <w:szCs w:val="16"/>
              </w:rPr>
            </w:pPr>
            <w:r w:rsidRPr="001045D9">
              <w:rPr>
                <w:rFonts w:ascii="Times New Roman" w:hAnsi="Times New Roman" w:cs="Times New Roman"/>
                <w:b/>
                <w:sz w:val="16"/>
                <w:szCs w:val="16"/>
              </w:rPr>
              <w:t>103 941</w:t>
            </w:r>
          </w:p>
        </w:tc>
        <w:tc>
          <w:tcPr>
            <w:tcW w:w="1516" w:type="dxa"/>
            <w:shd w:val="clear" w:color="auto" w:fill="FFFFFF" w:themeFill="background1"/>
            <w:vAlign w:val="center"/>
          </w:tcPr>
          <w:p w:rsidR="00EF41CF" w:rsidRPr="001045D9" w:rsidRDefault="00EF41CF" w:rsidP="00EF41CF">
            <w:pPr>
              <w:jc w:val="center"/>
              <w:rPr>
                <w:rFonts w:ascii="Times New Roman" w:hAnsi="Times New Roman" w:cs="Times New Roman"/>
                <w:b/>
                <w:sz w:val="16"/>
                <w:szCs w:val="16"/>
              </w:rPr>
            </w:pPr>
            <w:r w:rsidRPr="001045D9">
              <w:rPr>
                <w:rFonts w:ascii="Times New Roman" w:hAnsi="Times New Roman" w:cs="Times New Roman"/>
                <w:b/>
                <w:sz w:val="16"/>
                <w:szCs w:val="16"/>
              </w:rPr>
              <w:t>12,2</w:t>
            </w:r>
          </w:p>
        </w:tc>
      </w:tr>
      <w:tr w:rsidR="00EF41CF" w:rsidRPr="00C75C71" w:rsidTr="009F2C88">
        <w:trPr>
          <w:jc w:val="center"/>
        </w:trPr>
        <w:tc>
          <w:tcPr>
            <w:tcW w:w="483" w:type="dxa"/>
            <w:vAlign w:val="center"/>
          </w:tcPr>
          <w:p w:rsidR="00EF41CF" w:rsidRPr="00A202E2" w:rsidRDefault="00EF41CF" w:rsidP="00EF41CF">
            <w:pPr>
              <w:jc w:val="center"/>
              <w:rPr>
                <w:rFonts w:ascii="Times New Roman" w:hAnsi="Times New Roman" w:cs="Times New Roman"/>
                <w:color w:val="000000"/>
                <w:sz w:val="16"/>
                <w:szCs w:val="16"/>
              </w:rPr>
            </w:pPr>
            <w:r w:rsidRPr="00A202E2">
              <w:rPr>
                <w:rFonts w:ascii="Times New Roman" w:hAnsi="Times New Roman" w:cs="Times New Roman"/>
                <w:color w:val="000000"/>
                <w:sz w:val="16"/>
                <w:szCs w:val="16"/>
              </w:rPr>
              <w:t>9</w:t>
            </w:r>
          </w:p>
        </w:tc>
        <w:tc>
          <w:tcPr>
            <w:tcW w:w="992" w:type="dxa"/>
            <w:vAlign w:val="center"/>
          </w:tcPr>
          <w:p w:rsidR="00EF41CF" w:rsidRPr="00A202E2" w:rsidRDefault="00EF41CF" w:rsidP="00EF41CF">
            <w:pPr>
              <w:pStyle w:val="Bezodstpw"/>
              <w:shd w:val="clear" w:color="auto" w:fill="FFFFFF" w:themeFill="background1"/>
              <w:jc w:val="center"/>
              <w:rPr>
                <w:rFonts w:ascii="Times New Roman" w:hAnsi="Times New Roman" w:cs="Times New Roman"/>
                <w:color w:val="000000" w:themeColor="text1"/>
                <w:sz w:val="16"/>
                <w:szCs w:val="16"/>
              </w:rPr>
            </w:pPr>
            <w:r w:rsidRPr="00A202E2">
              <w:rPr>
                <w:rFonts w:ascii="Times New Roman" w:hAnsi="Times New Roman" w:cs="Times New Roman"/>
                <w:color w:val="000000" w:themeColor="text1"/>
                <w:sz w:val="16"/>
                <w:szCs w:val="16"/>
              </w:rPr>
              <w:t>H</w:t>
            </w:r>
          </w:p>
        </w:tc>
        <w:tc>
          <w:tcPr>
            <w:tcW w:w="3320" w:type="dxa"/>
            <w:shd w:val="clear" w:color="auto" w:fill="auto"/>
            <w:vAlign w:val="center"/>
          </w:tcPr>
          <w:p w:rsidR="00EF41CF" w:rsidRPr="00A202E2" w:rsidRDefault="00EF41CF" w:rsidP="00A0573C">
            <w:pPr>
              <w:pStyle w:val="Bezodstpw"/>
              <w:shd w:val="clear" w:color="auto" w:fill="FFFFFF" w:themeFill="background1"/>
              <w:rPr>
                <w:rFonts w:ascii="Times New Roman" w:hAnsi="Times New Roman" w:cs="Times New Roman"/>
                <w:color w:val="000000" w:themeColor="text1"/>
                <w:sz w:val="16"/>
                <w:szCs w:val="16"/>
              </w:rPr>
            </w:pPr>
            <w:r w:rsidRPr="00A202E2">
              <w:rPr>
                <w:rFonts w:ascii="Times New Roman" w:hAnsi="Times New Roman" w:cs="Times New Roman"/>
                <w:color w:val="000000" w:themeColor="text1"/>
                <w:sz w:val="16"/>
                <w:szCs w:val="16"/>
              </w:rPr>
              <w:t>Transport i gospodarka magazynowa</w:t>
            </w:r>
          </w:p>
        </w:tc>
        <w:tc>
          <w:tcPr>
            <w:tcW w:w="1543" w:type="dxa"/>
            <w:shd w:val="clear" w:color="auto" w:fill="FFFFFF" w:themeFill="background1"/>
            <w:vAlign w:val="center"/>
          </w:tcPr>
          <w:p w:rsidR="00EF41CF" w:rsidRPr="00A202E2" w:rsidRDefault="00EF41CF" w:rsidP="00EF41CF">
            <w:pPr>
              <w:jc w:val="center"/>
              <w:rPr>
                <w:rFonts w:ascii="Times New Roman" w:hAnsi="Times New Roman" w:cs="Times New Roman"/>
                <w:sz w:val="16"/>
                <w:szCs w:val="16"/>
              </w:rPr>
            </w:pPr>
            <w:r w:rsidRPr="00A202E2">
              <w:rPr>
                <w:rFonts w:ascii="Times New Roman" w:hAnsi="Times New Roman" w:cs="Times New Roman"/>
                <w:sz w:val="16"/>
                <w:szCs w:val="16"/>
              </w:rPr>
              <w:t>31 629</w:t>
            </w:r>
          </w:p>
        </w:tc>
        <w:tc>
          <w:tcPr>
            <w:tcW w:w="1516" w:type="dxa"/>
            <w:shd w:val="clear" w:color="auto" w:fill="FFFFFF" w:themeFill="background1"/>
            <w:vAlign w:val="center"/>
          </w:tcPr>
          <w:p w:rsidR="00EF41CF" w:rsidRPr="00A202E2" w:rsidRDefault="00EF41CF" w:rsidP="00EF41CF">
            <w:pPr>
              <w:jc w:val="center"/>
              <w:rPr>
                <w:rFonts w:ascii="Times New Roman" w:hAnsi="Times New Roman" w:cs="Times New Roman"/>
                <w:sz w:val="16"/>
                <w:szCs w:val="16"/>
              </w:rPr>
            </w:pPr>
            <w:r w:rsidRPr="00A202E2">
              <w:rPr>
                <w:rFonts w:ascii="Times New Roman" w:hAnsi="Times New Roman" w:cs="Times New Roman"/>
                <w:sz w:val="16"/>
                <w:szCs w:val="16"/>
              </w:rPr>
              <w:t>3,7</w:t>
            </w:r>
          </w:p>
        </w:tc>
      </w:tr>
      <w:tr w:rsidR="00EF41CF" w:rsidRPr="00C75C71" w:rsidTr="009F2C88">
        <w:trPr>
          <w:jc w:val="center"/>
        </w:trPr>
        <w:tc>
          <w:tcPr>
            <w:tcW w:w="483" w:type="dxa"/>
            <w:vAlign w:val="center"/>
          </w:tcPr>
          <w:p w:rsidR="00EF41CF" w:rsidRPr="00431F34" w:rsidRDefault="00EF41CF" w:rsidP="00EF41CF">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992" w:type="dxa"/>
            <w:vAlign w:val="center"/>
          </w:tcPr>
          <w:p w:rsidR="00EF41CF" w:rsidRPr="0085431A" w:rsidRDefault="00EF41CF" w:rsidP="00EF41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I</w:t>
            </w:r>
          </w:p>
        </w:tc>
        <w:tc>
          <w:tcPr>
            <w:tcW w:w="3320" w:type="dxa"/>
            <w:shd w:val="clear" w:color="auto" w:fill="auto"/>
            <w:vAlign w:val="center"/>
          </w:tcPr>
          <w:p w:rsidR="00EF41CF" w:rsidRPr="0085431A" w:rsidRDefault="00EF41CF" w:rsidP="00A0573C">
            <w:pPr>
              <w:pStyle w:val="Bezodstpw"/>
              <w:shd w:val="clear" w:color="auto" w:fill="FFFFFF" w:themeFill="background1"/>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w:t>
            </w:r>
            <w:r w:rsidRPr="0085431A">
              <w:rPr>
                <w:rFonts w:ascii="Times New Roman" w:hAnsi="Times New Roman" w:cs="Times New Roman"/>
                <w:color w:val="000000" w:themeColor="text1"/>
                <w:sz w:val="16"/>
                <w:szCs w:val="16"/>
              </w:rPr>
              <w:t>ziałalność związana z zakwaterowaniem i usługami gastronomicznymi</w:t>
            </w:r>
          </w:p>
        </w:tc>
        <w:tc>
          <w:tcPr>
            <w:tcW w:w="1543" w:type="dxa"/>
            <w:shd w:val="clear" w:color="auto" w:fill="FFFFFF" w:themeFill="background1"/>
            <w:vAlign w:val="center"/>
          </w:tcPr>
          <w:p w:rsidR="00EF41CF" w:rsidRPr="00EF41CF" w:rsidRDefault="00EF41CF" w:rsidP="00EF41CF">
            <w:pPr>
              <w:jc w:val="center"/>
              <w:rPr>
                <w:rFonts w:ascii="Times New Roman" w:hAnsi="Times New Roman" w:cs="Times New Roman"/>
                <w:sz w:val="16"/>
                <w:szCs w:val="16"/>
              </w:rPr>
            </w:pPr>
            <w:r w:rsidRPr="00EF41CF">
              <w:rPr>
                <w:rFonts w:ascii="Times New Roman" w:hAnsi="Times New Roman" w:cs="Times New Roman"/>
                <w:sz w:val="16"/>
                <w:szCs w:val="16"/>
              </w:rPr>
              <w:t>10 617</w:t>
            </w:r>
          </w:p>
        </w:tc>
        <w:tc>
          <w:tcPr>
            <w:tcW w:w="1516" w:type="dxa"/>
            <w:shd w:val="clear" w:color="auto" w:fill="FFFFFF" w:themeFill="background1"/>
            <w:vAlign w:val="center"/>
          </w:tcPr>
          <w:p w:rsidR="00EF41CF" w:rsidRPr="00EF41CF" w:rsidRDefault="00EF41CF" w:rsidP="00EF41CF">
            <w:pPr>
              <w:jc w:val="center"/>
              <w:rPr>
                <w:rFonts w:ascii="Times New Roman" w:hAnsi="Times New Roman" w:cs="Times New Roman"/>
                <w:sz w:val="16"/>
                <w:szCs w:val="16"/>
              </w:rPr>
            </w:pPr>
            <w:r w:rsidRPr="00EF41CF">
              <w:rPr>
                <w:rFonts w:ascii="Times New Roman" w:hAnsi="Times New Roman" w:cs="Times New Roman"/>
                <w:sz w:val="16"/>
                <w:szCs w:val="16"/>
              </w:rPr>
              <w:t>1,2</w:t>
            </w:r>
          </w:p>
        </w:tc>
      </w:tr>
      <w:tr w:rsidR="00EF41CF" w:rsidRPr="00C75C71" w:rsidTr="009F2C88">
        <w:trPr>
          <w:jc w:val="center"/>
        </w:trPr>
        <w:tc>
          <w:tcPr>
            <w:tcW w:w="483" w:type="dxa"/>
            <w:vAlign w:val="center"/>
          </w:tcPr>
          <w:p w:rsidR="00EF41CF" w:rsidRPr="00431F34" w:rsidRDefault="00EF41CF" w:rsidP="00EF41CF">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992" w:type="dxa"/>
            <w:vAlign w:val="center"/>
          </w:tcPr>
          <w:p w:rsidR="00EF41CF" w:rsidRPr="0085431A" w:rsidRDefault="00EF41CF" w:rsidP="00EF41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J</w:t>
            </w:r>
          </w:p>
        </w:tc>
        <w:tc>
          <w:tcPr>
            <w:tcW w:w="3320" w:type="dxa"/>
            <w:shd w:val="clear" w:color="auto" w:fill="auto"/>
            <w:vAlign w:val="center"/>
          </w:tcPr>
          <w:p w:rsidR="00EF41CF" w:rsidRPr="0085431A" w:rsidRDefault="00EF41CF" w:rsidP="00A0573C">
            <w:pPr>
              <w:pStyle w:val="Bezodstpw"/>
              <w:shd w:val="clear" w:color="auto" w:fill="FFFFFF" w:themeFill="background1"/>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w:t>
            </w:r>
            <w:r w:rsidRPr="0085431A">
              <w:rPr>
                <w:rFonts w:ascii="Times New Roman" w:hAnsi="Times New Roman" w:cs="Times New Roman"/>
                <w:color w:val="000000" w:themeColor="text1"/>
                <w:sz w:val="16"/>
                <w:szCs w:val="16"/>
              </w:rPr>
              <w:t>nformacja i komunikacja</w:t>
            </w:r>
          </w:p>
        </w:tc>
        <w:tc>
          <w:tcPr>
            <w:tcW w:w="1543" w:type="dxa"/>
            <w:shd w:val="clear" w:color="auto" w:fill="FFFFFF" w:themeFill="background1"/>
            <w:vAlign w:val="center"/>
          </w:tcPr>
          <w:p w:rsidR="00EF41CF" w:rsidRPr="00EF41CF" w:rsidRDefault="00EF41CF" w:rsidP="00EF41CF">
            <w:pPr>
              <w:jc w:val="center"/>
              <w:rPr>
                <w:rFonts w:ascii="Times New Roman" w:hAnsi="Times New Roman" w:cs="Times New Roman"/>
                <w:sz w:val="16"/>
                <w:szCs w:val="16"/>
              </w:rPr>
            </w:pPr>
            <w:r w:rsidRPr="00EF41CF">
              <w:rPr>
                <w:rFonts w:ascii="Times New Roman" w:hAnsi="Times New Roman" w:cs="Times New Roman"/>
                <w:sz w:val="16"/>
                <w:szCs w:val="16"/>
              </w:rPr>
              <w:t>9 131</w:t>
            </w:r>
          </w:p>
        </w:tc>
        <w:tc>
          <w:tcPr>
            <w:tcW w:w="1516" w:type="dxa"/>
            <w:shd w:val="clear" w:color="auto" w:fill="FFFFFF" w:themeFill="background1"/>
            <w:vAlign w:val="center"/>
          </w:tcPr>
          <w:p w:rsidR="00EF41CF" w:rsidRPr="00EF41CF" w:rsidRDefault="00EF41CF" w:rsidP="00EF41CF">
            <w:pPr>
              <w:jc w:val="center"/>
              <w:rPr>
                <w:rFonts w:ascii="Times New Roman" w:hAnsi="Times New Roman" w:cs="Times New Roman"/>
                <w:sz w:val="16"/>
                <w:szCs w:val="16"/>
              </w:rPr>
            </w:pPr>
            <w:r w:rsidRPr="00EF41CF">
              <w:rPr>
                <w:rFonts w:ascii="Times New Roman" w:hAnsi="Times New Roman" w:cs="Times New Roman"/>
                <w:sz w:val="16"/>
                <w:szCs w:val="16"/>
              </w:rPr>
              <w:t>1,1</w:t>
            </w:r>
          </w:p>
        </w:tc>
      </w:tr>
      <w:tr w:rsidR="00EF41CF" w:rsidRPr="00C75C71" w:rsidTr="009F2C88">
        <w:trPr>
          <w:jc w:val="center"/>
        </w:trPr>
        <w:tc>
          <w:tcPr>
            <w:tcW w:w="483" w:type="dxa"/>
            <w:vAlign w:val="center"/>
          </w:tcPr>
          <w:p w:rsidR="00EF41CF" w:rsidRPr="00431F34" w:rsidRDefault="00EF41CF" w:rsidP="00EF41CF">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992" w:type="dxa"/>
            <w:vAlign w:val="center"/>
          </w:tcPr>
          <w:p w:rsidR="00EF41CF" w:rsidRPr="0085431A" w:rsidRDefault="00EF41CF" w:rsidP="00EF41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K</w:t>
            </w:r>
          </w:p>
        </w:tc>
        <w:tc>
          <w:tcPr>
            <w:tcW w:w="3320" w:type="dxa"/>
            <w:shd w:val="clear" w:color="auto" w:fill="auto"/>
            <w:vAlign w:val="center"/>
          </w:tcPr>
          <w:p w:rsidR="00EF41CF" w:rsidRPr="0085431A" w:rsidRDefault="00EF41CF" w:rsidP="00A0573C">
            <w:pPr>
              <w:pStyle w:val="Bezodstpw"/>
              <w:shd w:val="clear" w:color="auto" w:fill="FFFFFF" w:themeFill="background1"/>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w:t>
            </w:r>
            <w:r w:rsidRPr="0085431A">
              <w:rPr>
                <w:rFonts w:ascii="Times New Roman" w:hAnsi="Times New Roman" w:cs="Times New Roman"/>
                <w:color w:val="000000" w:themeColor="text1"/>
                <w:sz w:val="16"/>
                <w:szCs w:val="16"/>
              </w:rPr>
              <w:t>ziałalność finansowa i ubezpieczeniowa</w:t>
            </w:r>
          </w:p>
        </w:tc>
        <w:tc>
          <w:tcPr>
            <w:tcW w:w="1543" w:type="dxa"/>
            <w:shd w:val="clear" w:color="auto" w:fill="FFFFFF" w:themeFill="background1"/>
            <w:vAlign w:val="center"/>
          </w:tcPr>
          <w:p w:rsidR="00EF41CF" w:rsidRPr="00EF41CF" w:rsidRDefault="00EF41CF" w:rsidP="00EF41CF">
            <w:pPr>
              <w:jc w:val="center"/>
              <w:rPr>
                <w:rFonts w:ascii="Times New Roman" w:hAnsi="Times New Roman" w:cs="Times New Roman"/>
                <w:sz w:val="16"/>
                <w:szCs w:val="16"/>
              </w:rPr>
            </w:pPr>
            <w:r w:rsidRPr="00EF41CF">
              <w:rPr>
                <w:rFonts w:ascii="Times New Roman" w:hAnsi="Times New Roman" w:cs="Times New Roman"/>
                <w:sz w:val="16"/>
                <w:szCs w:val="16"/>
              </w:rPr>
              <w:t>9 233</w:t>
            </w:r>
          </w:p>
        </w:tc>
        <w:tc>
          <w:tcPr>
            <w:tcW w:w="1516" w:type="dxa"/>
            <w:shd w:val="clear" w:color="auto" w:fill="FFFFFF" w:themeFill="background1"/>
            <w:vAlign w:val="center"/>
          </w:tcPr>
          <w:p w:rsidR="00EF41CF" w:rsidRPr="00EF41CF" w:rsidRDefault="00EF41CF" w:rsidP="00EF41CF">
            <w:pPr>
              <w:jc w:val="center"/>
              <w:rPr>
                <w:rFonts w:ascii="Times New Roman" w:hAnsi="Times New Roman" w:cs="Times New Roman"/>
                <w:sz w:val="16"/>
                <w:szCs w:val="16"/>
              </w:rPr>
            </w:pPr>
            <w:r w:rsidRPr="00EF41CF">
              <w:rPr>
                <w:rFonts w:ascii="Times New Roman" w:hAnsi="Times New Roman" w:cs="Times New Roman"/>
                <w:sz w:val="16"/>
                <w:szCs w:val="16"/>
              </w:rPr>
              <w:t>1,1</w:t>
            </w:r>
          </w:p>
        </w:tc>
      </w:tr>
      <w:tr w:rsidR="00EF41CF" w:rsidRPr="00C75C71" w:rsidTr="009F2C88">
        <w:trPr>
          <w:jc w:val="center"/>
        </w:trPr>
        <w:tc>
          <w:tcPr>
            <w:tcW w:w="483" w:type="dxa"/>
            <w:vAlign w:val="center"/>
          </w:tcPr>
          <w:p w:rsidR="00EF41CF" w:rsidRPr="00431F34" w:rsidRDefault="00EF41CF" w:rsidP="00EF41CF">
            <w:pPr>
              <w:jc w:val="center"/>
              <w:rPr>
                <w:rFonts w:ascii="Times New Roman" w:hAnsi="Times New Roman" w:cs="Times New Roman"/>
                <w:color w:val="000000"/>
                <w:sz w:val="16"/>
                <w:szCs w:val="16"/>
              </w:rPr>
            </w:pPr>
            <w:r>
              <w:rPr>
                <w:rFonts w:ascii="Times New Roman" w:hAnsi="Times New Roman" w:cs="Times New Roman"/>
                <w:color w:val="000000"/>
                <w:sz w:val="16"/>
                <w:szCs w:val="16"/>
              </w:rPr>
              <w:t>13</w:t>
            </w:r>
          </w:p>
        </w:tc>
        <w:tc>
          <w:tcPr>
            <w:tcW w:w="992" w:type="dxa"/>
            <w:vAlign w:val="center"/>
          </w:tcPr>
          <w:p w:rsidR="00EF41CF" w:rsidRPr="0085431A" w:rsidRDefault="00EF41CF" w:rsidP="00EF41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L</w:t>
            </w:r>
          </w:p>
        </w:tc>
        <w:tc>
          <w:tcPr>
            <w:tcW w:w="3320" w:type="dxa"/>
            <w:shd w:val="clear" w:color="auto" w:fill="auto"/>
            <w:vAlign w:val="center"/>
          </w:tcPr>
          <w:p w:rsidR="00EF41CF" w:rsidRPr="0085431A" w:rsidRDefault="00EF41CF" w:rsidP="00A0573C">
            <w:pPr>
              <w:pStyle w:val="Bezodstpw"/>
              <w:shd w:val="clear" w:color="auto" w:fill="FFFFFF" w:themeFill="background1"/>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w:t>
            </w:r>
            <w:r w:rsidRPr="0085431A">
              <w:rPr>
                <w:rFonts w:ascii="Times New Roman" w:hAnsi="Times New Roman" w:cs="Times New Roman"/>
                <w:color w:val="000000" w:themeColor="text1"/>
                <w:sz w:val="16"/>
                <w:szCs w:val="16"/>
              </w:rPr>
              <w:t>ziałalność związana z obsługą rynku nieruchomości</w:t>
            </w:r>
          </w:p>
        </w:tc>
        <w:tc>
          <w:tcPr>
            <w:tcW w:w="1543" w:type="dxa"/>
            <w:shd w:val="clear" w:color="auto" w:fill="FFFFFF" w:themeFill="background1"/>
            <w:vAlign w:val="center"/>
          </w:tcPr>
          <w:p w:rsidR="00EF41CF" w:rsidRPr="00EF41CF" w:rsidRDefault="00EF41CF" w:rsidP="00EF41CF">
            <w:pPr>
              <w:jc w:val="center"/>
              <w:rPr>
                <w:rFonts w:ascii="Times New Roman" w:hAnsi="Times New Roman" w:cs="Times New Roman"/>
                <w:sz w:val="16"/>
                <w:szCs w:val="16"/>
              </w:rPr>
            </w:pPr>
            <w:r w:rsidRPr="00EF41CF">
              <w:rPr>
                <w:rFonts w:ascii="Times New Roman" w:hAnsi="Times New Roman" w:cs="Times New Roman"/>
                <w:sz w:val="16"/>
                <w:szCs w:val="16"/>
              </w:rPr>
              <w:t>6 664</w:t>
            </w:r>
          </w:p>
        </w:tc>
        <w:tc>
          <w:tcPr>
            <w:tcW w:w="1516" w:type="dxa"/>
            <w:shd w:val="clear" w:color="auto" w:fill="FFFFFF" w:themeFill="background1"/>
            <w:vAlign w:val="center"/>
          </w:tcPr>
          <w:p w:rsidR="00EF41CF" w:rsidRPr="00EF41CF" w:rsidRDefault="00EF41CF" w:rsidP="00EF41CF">
            <w:pPr>
              <w:jc w:val="center"/>
              <w:rPr>
                <w:rFonts w:ascii="Times New Roman" w:hAnsi="Times New Roman" w:cs="Times New Roman"/>
                <w:sz w:val="16"/>
                <w:szCs w:val="16"/>
              </w:rPr>
            </w:pPr>
            <w:r w:rsidRPr="00EF41CF">
              <w:rPr>
                <w:rFonts w:ascii="Times New Roman" w:hAnsi="Times New Roman" w:cs="Times New Roman"/>
                <w:sz w:val="16"/>
                <w:szCs w:val="16"/>
              </w:rPr>
              <w:t>0,8</w:t>
            </w:r>
          </w:p>
        </w:tc>
      </w:tr>
      <w:tr w:rsidR="00EF41CF" w:rsidRPr="00C75C71" w:rsidTr="009F2C88">
        <w:trPr>
          <w:jc w:val="center"/>
        </w:trPr>
        <w:tc>
          <w:tcPr>
            <w:tcW w:w="483" w:type="dxa"/>
            <w:vAlign w:val="center"/>
          </w:tcPr>
          <w:p w:rsidR="00EF41CF" w:rsidRPr="00431F34" w:rsidRDefault="00EF41CF" w:rsidP="00EF41CF">
            <w:pPr>
              <w:jc w:val="center"/>
              <w:rPr>
                <w:rFonts w:ascii="Times New Roman" w:hAnsi="Times New Roman" w:cs="Times New Roman"/>
                <w:color w:val="000000"/>
                <w:sz w:val="16"/>
                <w:szCs w:val="16"/>
              </w:rPr>
            </w:pPr>
            <w:r>
              <w:rPr>
                <w:rFonts w:ascii="Times New Roman" w:hAnsi="Times New Roman" w:cs="Times New Roman"/>
                <w:color w:val="000000"/>
                <w:sz w:val="16"/>
                <w:szCs w:val="16"/>
              </w:rPr>
              <w:t>14</w:t>
            </w:r>
          </w:p>
        </w:tc>
        <w:tc>
          <w:tcPr>
            <w:tcW w:w="992" w:type="dxa"/>
            <w:vAlign w:val="center"/>
          </w:tcPr>
          <w:p w:rsidR="00EF41CF" w:rsidRPr="0085431A" w:rsidRDefault="00EF41CF" w:rsidP="00EF41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M</w:t>
            </w:r>
          </w:p>
        </w:tc>
        <w:tc>
          <w:tcPr>
            <w:tcW w:w="3320" w:type="dxa"/>
            <w:shd w:val="clear" w:color="auto" w:fill="auto"/>
            <w:vAlign w:val="center"/>
          </w:tcPr>
          <w:p w:rsidR="00EF41CF" w:rsidRPr="0085431A" w:rsidRDefault="00EF41CF" w:rsidP="00A0573C">
            <w:pPr>
              <w:pStyle w:val="Bezodstpw"/>
              <w:shd w:val="clear" w:color="auto" w:fill="FFFFFF" w:themeFill="background1"/>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w:t>
            </w:r>
            <w:r w:rsidRPr="0085431A">
              <w:rPr>
                <w:rFonts w:ascii="Times New Roman" w:hAnsi="Times New Roman" w:cs="Times New Roman"/>
                <w:color w:val="000000" w:themeColor="text1"/>
                <w:sz w:val="16"/>
                <w:szCs w:val="16"/>
              </w:rPr>
              <w:t xml:space="preserve">ziałalność profesjonalna, naukowa </w:t>
            </w:r>
            <w:r w:rsidRPr="0085431A">
              <w:rPr>
                <w:rFonts w:ascii="Times New Roman" w:hAnsi="Times New Roman" w:cs="Times New Roman"/>
                <w:color w:val="000000" w:themeColor="text1"/>
                <w:sz w:val="16"/>
                <w:szCs w:val="16"/>
              </w:rPr>
              <w:lastRenderedPageBreak/>
              <w:t>i techniczna</w:t>
            </w:r>
          </w:p>
        </w:tc>
        <w:tc>
          <w:tcPr>
            <w:tcW w:w="1543" w:type="dxa"/>
            <w:shd w:val="clear" w:color="auto" w:fill="FFFFFF" w:themeFill="background1"/>
            <w:vAlign w:val="center"/>
          </w:tcPr>
          <w:p w:rsidR="00EF41CF" w:rsidRPr="00EF41CF" w:rsidRDefault="00EF41CF" w:rsidP="00EF41CF">
            <w:pPr>
              <w:jc w:val="center"/>
              <w:rPr>
                <w:rFonts w:ascii="Times New Roman" w:hAnsi="Times New Roman" w:cs="Times New Roman"/>
                <w:sz w:val="16"/>
                <w:szCs w:val="16"/>
              </w:rPr>
            </w:pPr>
            <w:r w:rsidRPr="00EF41CF">
              <w:rPr>
                <w:rFonts w:ascii="Times New Roman" w:hAnsi="Times New Roman" w:cs="Times New Roman"/>
                <w:sz w:val="16"/>
                <w:szCs w:val="16"/>
              </w:rPr>
              <w:lastRenderedPageBreak/>
              <w:t>18 797</w:t>
            </w:r>
          </w:p>
        </w:tc>
        <w:tc>
          <w:tcPr>
            <w:tcW w:w="1516" w:type="dxa"/>
            <w:shd w:val="clear" w:color="auto" w:fill="FFFFFF" w:themeFill="background1"/>
            <w:vAlign w:val="center"/>
          </w:tcPr>
          <w:p w:rsidR="00EF41CF" w:rsidRPr="00EF41CF" w:rsidRDefault="00EF41CF" w:rsidP="00EF41CF">
            <w:pPr>
              <w:jc w:val="center"/>
              <w:rPr>
                <w:rFonts w:ascii="Times New Roman" w:hAnsi="Times New Roman" w:cs="Times New Roman"/>
                <w:sz w:val="16"/>
                <w:szCs w:val="16"/>
              </w:rPr>
            </w:pPr>
            <w:r w:rsidRPr="00EF41CF">
              <w:rPr>
                <w:rFonts w:ascii="Times New Roman" w:hAnsi="Times New Roman" w:cs="Times New Roman"/>
                <w:sz w:val="16"/>
                <w:szCs w:val="16"/>
              </w:rPr>
              <w:t>2,2</w:t>
            </w:r>
          </w:p>
        </w:tc>
      </w:tr>
      <w:tr w:rsidR="00EF41CF" w:rsidRPr="00C75C71" w:rsidTr="009F2C88">
        <w:trPr>
          <w:jc w:val="center"/>
        </w:trPr>
        <w:tc>
          <w:tcPr>
            <w:tcW w:w="483" w:type="dxa"/>
            <w:vAlign w:val="center"/>
          </w:tcPr>
          <w:p w:rsidR="00EF41CF" w:rsidRPr="00431F34" w:rsidRDefault="00EF41CF" w:rsidP="00EF41CF">
            <w:pPr>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15</w:t>
            </w:r>
          </w:p>
        </w:tc>
        <w:tc>
          <w:tcPr>
            <w:tcW w:w="992" w:type="dxa"/>
            <w:vAlign w:val="center"/>
          </w:tcPr>
          <w:p w:rsidR="00EF41CF" w:rsidRPr="0085431A" w:rsidRDefault="00EF41CF" w:rsidP="00EF41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N</w:t>
            </w:r>
          </w:p>
        </w:tc>
        <w:tc>
          <w:tcPr>
            <w:tcW w:w="3320" w:type="dxa"/>
            <w:shd w:val="clear" w:color="auto" w:fill="auto"/>
            <w:vAlign w:val="center"/>
          </w:tcPr>
          <w:p w:rsidR="00EF41CF" w:rsidRPr="0085431A" w:rsidRDefault="00EF41CF" w:rsidP="00A0573C">
            <w:pPr>
              <w:pStyle w:val="Bezodstpw"/>
              <w:shd w:val="clear" w:color="auto" w:fill="FFFFFF" w:themeFill="background1"/>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w:t>
            </w:r>
            <w:r w:rsidRPr="0085431A">
              <w:rPr>
                <w:rFonts w:ascii="Times New Roman" w:hAnsi="Times New Roman" w:cs="Times New Roman"/>
                <w:color w:val="000000" w:themeColor="text1"/>
                <w:sz w:val="16"/>
                <w:szCs w:val="16"/>
              </w:rPr>
              <w:t>ziałalność w zakresie usług administrowania i działalność wspierając</w:t>
            </w:r>
          </w:p>
        </w:tc>
        <w:tc>
          <w:tcPr>
            <w:tcW w:w="1543" w:type="dxa"/>
            <w:shd w:val="clear" w:color="auto" w:fill="FFFFFF" w:themeFill="background1"/>
            <w:vAlign w:val="center"/>
          </w:tcPr>
          <w:p w:rsidR="00EF41CF" w:rsidRPr="00EF41CF" w:rsidRDefault="00EF41CF" w:rsidP="00EF41CF">
            <w:pPr>
              <w:jc w:val="center"/>
              <w:rPr>
                <w:rFonts w:ascii="Times New Roman" w:hAnsi="Times New Roman" w:cs="Times New Roman"/>
                <w:sz w:val="16"/>
                <w:szCs w:val="16"/>
              </w:rPr>
            </w:pPr>
            <w:r w:rsidRPr="00EF41CF">
              <w:rPr>
                <w:rFonts w:ascii="Times New Roman" w:hAnsi="Times New Roman" w:cs="Times New Roman"/>
                <w:sz w:val="16"/>
                <w:szCs w:val="16"/>
              </w:rPr>
              <w:t>23 306</w:t>
            </w:r>
          </w:p>
        </w:tc>
        <w:tc>
          <w:tcPr>
            <w:tcW w:w="1516" w:type="dxa"/>
            <w:shd w:val="clear" w:color="auto" w:fill="FFFFFF" w:themeFill="background1"/>
            <w:vAlign w:val="center"/>
          </w:tcPr>
          <w:p w:rsidR="00EF41CF" w:rsidRPr="00EF41CF" w:rsidRDefault="00EF41CF" w:rsidP="00EF41CF">
            <w:pPr>
              <w:jc w:val="center"/>
              <w:rPr>
                <w:rFonts w:ascii="Times New Roman" w:hAnsi="Times New Roman" w:cs="Times New Roman"/>
                <w:sz w:val="16"/>
                <w:szCs w:val="16"/>
              </w:rPr>
            </w:pPr>
            <w:r w:rsidRPr="00EF41CF">
              <w:rPr>
                <w:rFonts w:ascii="Times New Roman" w:hAnsi="Times New Roman" w:cs="Times New Roman"/>
                <w:sz w:val="16"/>
                <w:szCs w:val="16"/>
              </w:rPr>
              <w:t>2,7</w:t>
            </w:r>
          </w:p>
        </w:tc>
      </w:tr>
      <w:tr w:rsidR="00EF41CF" w:rsidRPr="00C75C71" w:rsidTr="009F2C88">
        <w:trPr>
          <w:jc w:val="center"/>
        </w:trPr>
        <w:tc>
          <w:tcPr>
            <w:tcW w:w="483" w:type="dxa"/>
            <w:vAlign w:val="center"/>
          </w:tcPr>
          <w:p w:rsidR="00EF41CF" w:rsidRPr="00431F34" w:rsidRDefault="00EF41CF" w:rsidP="00EF41CF">
            <w:pPr>
              <w:jc w:val="center"/>
              <w:rPr>
                <w:rFonts w:ascii="Times New Roman" w:hAnsi="Times New Roman" w:cs="Times New Roman"/>
                <w:color w:val="000000"/>
                <w:sz w:val="16"/>
                <w:szCs w:val="16"/>
              </w:rPr>
            </w:pPr>
            <w:r>
              <w:rPr>
                <w:rFonts w:ascii="Times New Roman" w:hAnsi="Times New Roman" w:cs="Times New Roman"/>
                <w:color w:val="000000"/>
                <w:sz w:val="16"/>
                <w:szCs w:val="16"/>
              </w:rPr>
              <w:t>16</w:t>
            </w:r>
          </w:p>
        </w:tc>
        <w:tc>
          <w:tcPr>
            <w:tcW w:w="992" w:type="dxa"/>
            <w:vAlign w:val="center"/>
          </w:tcPr>
          <w:p w:rsidR="00EF41CF" w:rsidRPr="0085431A" w:rsidRDefault="00EF41CF" w:rsidP="00EF41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O</w:t>
            </w:r>
          </w:p>
        </w:tc>
        <w:tc>
          <w:tcPr>
            <w:tcW w:w="3320" w:type="dxa"/>
            <w:shd w:val="clear" w:color="auto" w:fill="auto"/>
            <w:vAlign w:val="center"/>
          </w:tcPr>
          <w:p w:rsidR="00EF41CF" w:rsidRPr="0085431A" w:rsidRDefault="00EF41CF" w:rsidP="00A0573C">
            <w:pPr>
              <w:pStyle w:val="Bezodstpw"/>
              <w:shd w:val="clear" w:color="auto" w:fill="FFFFFF" w:themeFill="background1"/>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w:t>
            </w:r>
            <w:r w:rsidRPr="0085431A">
              <w:rPr>
                <w:rFonts w:ascii="Times New Roman" w:hAnsi="Times New Roman" w:cs="Times New Roman"/>
                <w:color w:val="000000" w:themeColor="text1"/>
                <w:sz w:val="16"/>
                <w:szCs w:val="16"/>
              </w:rPr>
              <w:t>dministracja publiczna i obrona narodowa; obowiązkowe zabezpieczenia społeczne</w:t>
            </w:r>
          </w:p>
        </w:tc>
        <w:tc>
          <w:tcPr>
            <w:tcW w:w="1543" w:type="dxa"/>
            <w:shd w:val="clear" w:color="auto" w:fill="FFFFFF" w:themeFill="background1"/>
            <w:vAlign w:val="center"/>
          </w:tcPr>
          <w:p w:rsidR="00EF41CF" w:rsidRPr="00EF41CF" w:rsidRDefault="00EF41CF" w:rsidP="00EF41CF">
            <w:pPr>
              <w:jc w:val="center"/>
              <w:rPr>
                <w:rFonts w:ascii="Times New Roman" w:hAnsi="Times New Roman" w:cs="Times New Roman"/>
                <w:sz w:val="16"/>
                <w:szCs w:val="16"/>
              </w:rPr>
            </w:pPr>
            <w:r w:rsidRPr="00EF41CF">
              <w:rPr>
                <w:rFonts w:ascii="Times New Roman" w:hAnsi="Times New Roman" w:cs="Times New Roman"/>
                <w:sz w:val="16"/>
                <w:szCs w:val="16"/>
              </w:rPr>
              <w:t>32 738</w:t>
            </w:r>
          </w:p>
        </w:tc>
        <w:tc>
          <w:tcPr>
            <w:tcW w:w="1516" w:type="dxa"/>
            <w:shd w:val="clear" w:color="auto" w:fill="FFFFFF" w:themeFill="background1"/>
            <w:vAlign w:val="center"/>
          </w:tcPr>
          <w:p w:rsidR="00EF41CF" w:rsidRPr="00EF41CF" w:rsidRDefault="00EF41CF" w:rsidP="00EF41CF">
            <w:pPr>
              <w:jc w:val="center"/>
              <w:rPr>
                <w:rFonts w:ascii="Times New Roman" w:hAnsi="Times New Roman" w:cs="Times New Roman"/>
                <w:sz w:val="16"/>
                <w:szCs w:val="16"/>
              </w:rPr>
            </w:pPr>
            <w:r w:rsidRPr="00EF41CF">
              <w:rPr>
                <w:rFonts w:ascii="Times New Roman" w:hAnsi="Times New Roman" w:cs="Times New Roman"/>
                <w:sz w:val="16"/>
                <w:szCs w:val="16"/>
              </w:rPr>
              <w:t>3,8</w:t>
            </w:r>
          </w:p>
        </w:tc>
      </w:tr>
      <w:tr w:rsidR="00EF41CF" w:rsidRPr="00C75C71" w:rsidTr="009F2C88">
        <w:trPr>
          <w:jc w:val="center"/>
        </w:trPr>
        <w:tc>
          <w:tcPr>
            <w:tcW w:w="483" w:type="dxa"/>
            <w:vAlign w:val="center"/>
          </w:tcPr>
          <w:p w:rsidR="00EF41CF" w:rsidRPr="00431F34" w:rsidRDefault="00EF41CF" w:rsidP="00EF41CF">
            <w:pPr>
              <w:jc w:val="center"/>
              <w:rPr>
                <w:rFonts w:ascii="Times New Roman" w:hAnsi="Times New Roman" w:cs="Times New Roman"/>
                <w:color w:val="000000"/>
                <w:sz w:val="16"/>
                <w:szCs w:val="16"/>
              </w:rPr>
            </w:pPr>
            <w:r>
              <w:rPr>
                <w:rFonts w:ascii="Times New Roman" w:hAnsi="Times New Roman" w:cs="Times New Roman"/>
                <w:color w:val="000000"/>
                <w:sz w:val="16"/>
                <w:szCs w:val="16"/>
              </w:rPr>
              <w:t>17</w:t>
            </w:r>
          </w:p>
        </w:tc>
        <w:tc>
          <w:tcPr>
            <w:tcW w:w="992" w:type="dxa"/>
            <w:vAlign w:val="center"/>
          </w:tcPr>
          <w:p w:rsidR="00EF41CF" w:rsidRPr="0085431A" w:rsidRDefault="00EF41CF" w:rsidP="00EF41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P</w:t>
            </w:r>
          </w:p>
        </w:tc>
        <w:tc>
          <w:tcPr>
            <w:tcW w:w="3320" w:type="dxa"/>
            <w:shd w:val="clear" w:color="auto" w:fill="auto"/>
            <w:vAlign w:val="center"/>
          </w:tcPr>
          <w:p w:rsidR="00EF41CF" w:rsidRPr="0085431A" w:rsidRDefault="00EF41CF" w:rsidP="00A0573C">
            <w:pPr>
              <w:pStyle w:val="Bezodstpw"/>
              <w:shd w:val="clear" w:color="auto" w:fill="FFFFFF" w:themeFill="background1"/>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E</w:t>
            </w:r>
            <w:r w:rsidRPr="0085431A">
              <w:rPr>
                <w:rFonts w:ascii="Times New Roman" w:hAnsi="Times New Roman" w:cs="Times New Roman"/>
                <w:color w:val="000000" w:themeColor="text1"/>
                <w:sz w:val="16"/>
                <w:szCs w:val="16"/>
              </w:rPr>
              <w:t>dukacja</w:t>
            </w:r>
          </w:p>
        </w:tc>
        <w:tc>
          <w:tcPr>
            <w:tcW w:w="1543" w:type="dxa"/>
            <w:shd w:val="clear" w:color="auto" w:fill="FFFFFF" w:themeFill="background1"/>
            <w:vAlign w:val="center"/>
          </w:tcPr>
          <w:p w:rsidR="00EF41CF" w:rsidRPr="00EF41CF" w:rsidRDefault="00EF41CF" w:rsidP="00EF41CF">
            <w:pPr>
              <w:jc w:val="center"/>
              <w:rPr>
                <w:rFonts w:ascii="Times New Roman" w:hAnsi="Times New Roman" w:cs="Times New Roman"/>
                <w:sz w:val="16"/>
                <w:szCs w:val="16"/>
              </w:rPr>
            </w:pPr>
            <w:r w:rsidRPr="00EF41CF">
              <w:rPr>
                <w:rFonts w:ascii="Times New Roman" w:hAnsi="Times New Roman" w:cs="Times New Roman"/>
                <w:sz w:val="16"/>
                <w:szCs w:val="16"/>
              </w:rPr>
              <w:t>59 769</w:t>
            </w:r>
          </w:p>
        </w:tc>
        <w:tc>
          <w:tcPr>
            <w:tcW w:w="1516" w:type="dxa"/>
            <w:shd w:val="clear" w:color="auto" w:fill="FFFFFF" w:themeFill="background1"/>
            <w:vAlign w:val="center"/>
          </w:tcPr>
          <w:p w:rsidR="00EF41CF" w:rsidRPr="00EF41CF" w:rsidRDefault="00EF41CF" w:rsidP="00EF41CF">
            <w:pPr>
              <w:jc w:val="center"/>
              <w:rPr>
                <w:rFonts w:ascii="Times New Roman" w:hAnsi="Times New Roman" w:cs="Times New Roman"/>
                <w:sz w:val="16"/>
                <w:szCs w:val="16"/>
              </w:rPr>
            </w:pPr>
            <w:r w:rsidRPr="00EF41CF">
              <w:rPr>
                <w:rFonts w:ascii="Times New Roman" w:hAnsi="Times New Roman" w:cs="Times New Roman"/>
                <w:sz w:val="16"/>
                <w:szCs w:val="16"/>
              </w:rPr>
              <w:t>7,0</w:t>
            </w:r>
          </w:p>
        </w:tc>
      </w:tr>
      <w:tr w:rsidR="00EF41CF" w:rsidRPr="00C75C71" w:rsidTr="009F2C88">
        <w:trPr>
          <w:jc w:val="center"/>
        </w:trPr>
        <w:tc>
          <w:tcPr>
            <w:tcW w:w="483" w:type="dxa"/>
            <w:vAlign w:val="center"/>
          </w:tcPr>
          <w:p w:rsidR="00EF41CF" w:rsidRPr="00431F34" w:rsidRDefault="00EF41CF" w:rsidP="00EF41CF">
            <w:pPr>
              <w:jc w:val="center"/>
              <w:rPr>
                <w:rFonts w:ascii="Times New Roman" w:hAnsi="Times New Roman" w:cs="Times New Roman"/>
                <w:color w:val="000000"/>
                <w:sz w:val="16"/>
                <w:szCs w:val="16"/>
              </w:rPr>
            </w:pPr>
            <w:r>
              <w:rPr>
                <w:rFonts w:ascii="Times New Roman" w:hAnsi="Times New Roman" w:cs="Times New Roman"/>
                <w:color w:val="000000"/>
                <w:sz w:val="16"/>
                <w:szCs w:val="16"/>
              </w:rPr>
              <w:t>18</w:t>
            </w:r>
          </w:p>
        </w:tc>
        <w:tc>
          <w:tcPr>
            <w:tcW w:w="992" w:type="dxa"/>
            <w:vAlign w:val="center"/>
          </w:tcPr>
          <w:p w:rsidR="00EF41CF" w:rsidRPr="0085431A" w:rsidRDefault="00EF41CF" w:rsidP="00EF41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Q</w:t>
            </w:r>
          </w:p>
        </w:tc>
        <w:tc>
          <w:tcPr>
            <w:tcW w:w="3320" w:type="dxa"/>
            <w:shd w:val="clear" w:color="auto" w:fill="auto"/>
            <w:vAlign w:val="center"/>
          </w:tcPr>
          <w:p w:rsidR="00EF41CF" w:rsidRPr="0085431A" w:rsidRDefault="00EF41CF" w:rsidP="00A0573C">
            <w:pPr>
              <w:pStyle w:val="Bezodstpw"/>
              <w:shd w:val="clear" w:color="auto" w:fill="FFFFFF" w:themeFill="background1"/>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O</w:t>
            </w:r>
            <w:r w:rsidRPr="0085431A">
              <w:rPr>
                <w:rFonts w:ascii="Times New Roman" w:hAnsi="Times New Roman" w:cs="Times New Roman"/>
                <w:color w:val="000000" w:themeColor="text1"/>
                <w:sz w:val="16"/>
                <w:szCs w:val="16"/>
              </w:rPr>
              <w:t>pieka zdrowotna i pomoc społeczna</w:t>
            </w:r>
          </w:p>
        </w:tc>
        <w:tc>
          <w:tcPr>
            <w:tcW w:w="1543" w:type="dxa"/>
            <w:shd w:val="clear" w:color="auto" w:fill="FFFFFF" w:themeFill="background1"/>
            <w:vAlign w:val="center"/>
          </w:tcPr>
          <w:p w:rsidR="00EF41CF" w:rsidRPr="00EF41CF" w:rsidRDefault="00EF41CF" w:rsidP="00EF41CF">
            <w:pPr>
              <w:jc w:val="center"/>
              <w:rPr>
                <w:rFonts w:ascii="Times New Roman" w:hAnsi="Times New Roman" w:cs="Times New Roman"/>
                <w:sz w:val="16"/>
                <w:szCs w:val="16"/>
              </w:rPr>
            </w:pPr>
            <w:r w:rsidRPr="00EF41CF">
              <w:rPr>
                <w:rFonts w:ascii="Times New Roman" w:hAnsi="Times New Roman" w:cs="Times New Roman"/>
                <w:sz w:val="16"/>
                <w:szCs w:val="16"/>
              </w:rPr>
              <w:t>50 179</w:t>
            </w:r>
          </w:p>
        </w:tc>
        <w:tc>
          <w:tcPr>
            <w:tcW w:w="1516" w:type="dxa"/>
            <w:shd w:val="clear" w:color="auto" w:fill="FFFFFF" w:themeFill="background1"/>
            <w:vAlign w:val="center"/>
          </w:tcPr>
          <w:p w:rsidR="00EF41CF" w:rsidRPr="00EF41CF" w:rsidRDefault="00EF41CF" w:rsidP="00EF41CF">
            <w:pPr>
              <w:jc w:val="center"/>
              <w:rPr>
                <w:rFonts w:ascii="Times New Roman" w:hAnsi="Times New Roman" w:cs="Times New Roman"/>
                <w:sz w:val="16"/>
                <w:szCs w:val="16"/>
              </w:rPr>
            </w:pPr>
            <w:r w:rsidRPr="00EF41CF">
              <w:rPr>
                <w:rFonts w:ascii="Times New Roman" w:hAnsi="Times New Roman" w:cs="Times New Roman"/>
                <w:sz w:val="16"/>
                <w:szCs w:val="16"/>
              </w:rPr>
              <w:t>5,9</w:t>
            </w:r>
          </w:p>
        </w:tc>
      </w:tr>
      <w:tr w:rsidR="00EF41CF" w:rsidRPr="00C75C71" w:rsidTr="009F2C88">
        <w:trPr>
          <w:jc w:val="center"/>
        </w:trPr>
        <w:tc>
          <w:tcPr>
            <w:tcW w:w="483" w:type="dxa"/>
            <w:vAlign w:val="center"/>
          </w:tcPr>
          <w:p w:rsidR="00EF41CF" w:rsidRPr="00431F34" w:rsidRDefault="00EF41CF" w:rsidP="00EF41CF">
            <w:pPr>
              <w:jc w:val="center"/>
              <w:rPr>
                <w:rFonts w:ascii="Times New Roman" w:hAnsi="Times New Roman" w:cs="Times New Roman"/>
                <w:color w:val="000000"/>
                <w:sz w:val="16"/>
                <w:szCs w:val="16"/>
              </w:rPr>
            </w:pPr>
            <w:r>
              <w:rPr>
                <w:rFonts w:ascii="Times New Roman" w:hAnsi="Times New Roman" w:cs="Times New Roman"/>
                <w:color w:val="000000"/>
                <w:sz w:val="16"/>
                <w:szCs w:val="16"/>
              </w:rPr>
              <w:t>19</w:t>
            </w:r>
          </w:p>
        </w:tc>
        <w:tc>
          <w:tcPr>
            <w:tcW w:w="992" w:type="dxa"/>
            <w:vAlign w:val="center"/>
          </w:tcPr>
          <w:p w:rsidR="00EF41CF" w:rsidRPr="0085431A" w:rsidRDefault="00EF41CF" w:rsidP="00EF41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R</w:t>
            </w:r>
          </w:p>
        </w:tc>
        <w:tc>
          <w:tcPr>
            <w:tcW w:w="3320" w:type="dxa"/>
            <w:shd w:val="clear" w:color="auto" w:fill="auto"/>
            <w:vAlign w:val="center"/>
          </w:tcPr>
          <w:p w:rsidR="00EF41CF" w:rsidRPr="0085431A" w:rsidRDefault="00EF41CF" w:rsidP="00A0573C">
            <w:pPr>
              <w:pStyle w:val="Bezodstpw"/>
              <w:shd w:val="clear" w:color="auto" w:fill="FFFFFF" w:themeFill="background1"/>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w:t>
            </w:r>
            <w:r w:rsidRPr="0085431A">
              <w:rPr>
                <w:rFonts w:ascii="Times New Roman" w:hAnsi="Times New Roman" w:cs="Times New Roman"/>
                <w:color w:val="000000" w:themeColor="text1"/>
                <w:sz w:val="16"/>
                <w:szCs w:val="16"/>
              </w:rPr>
              <w:t>ziałalność związana z kulturą, rozrywką i rekreacją</w:t>
            </w:r>
          </w:p>
        </w:tc>
        <w:tc>
          <w:tcPr>
            <w:tcW w:w="1543" w:type="dxa"/>
            <w:shd w:val="clear" w:color="auto" w:fill="FFFFFF" w:themeFill="background1"/>
            <w:vAlign w:val="center"/>
          </w:tcPr>
          <w:p w:rsidR="00EF41CF" w:rsidRPr="00EF41CF" w:rsidRDefault="00EF41CF" w:rsidP="00EF41CF">
            <w:pPr>
              <w:jc w:val="center"/>
              <w:rPr>
                <w:rFonts w:ascii="Times New Roman" w:hAnsi="Times New Roman" w:cs="Times New Roman"/>
                <w:sz w:val="16"/>
                <w:szCs w:val="16"/>
              </w:rPr>
            </w:pPr>
            <w:r w:rsidRPr="00EF41CF">
              <w:rPr>
                <w:rFonts w:ascii="Times New Roman" w:hAnsi="Times New Roman" w:cs="Times New Roman"/>
                <w:sz w:val="16"/>
                <w:szCs w:val="16"/>
              </w:rPr>
              <w:t>6 969</w:t>
            </w:r>
          </w:p>
        </w:tc>
        <w:tc>
          <w:tcPr>
            <w:tcW w:w="1516" w:type="dxa"/>
            <w:shd w:val="clear" w:color="auto" w:fill="FFFFFF" w:themeFill="background1"/>
            <w:vAlign w:val="center"/>
          </w:tcPr>
          <w:p w:rsidR="00EF41CF" w:rsidRPr="00EF41CF" w:rsidRDefault="00EF41CF" w:rsidP="00EF41CF">
            <w:pPr>
              <w:jc w:val="center"/>
              <w:rPr>
                <w:rFonts w:ascii="Times New Roman" w:hAnsi="Times New Roman" w:cs="Times New Roman"/>
                <w:sz w:val="16"/>
                <w:szCs w:val="16"/>
              </w:rPr>
            </w:pPr>
            <w:r w:rsidRPr="00EF41CF">
              <w:rPr>
                <w:rFonts w:ascii="Times New Roman" w:hAnsi="Times New Roman" w:cs="Times New Roman"/>
                <w:sz w:val="16"/>
                <w:szCs w:val="16"/>
              </w:rPr>
              <w:t>0,8</w:t>
            </w:r>
          </w:p>
        </w:tc>
      </w:tr>
      <w:tr w:rsidR="00EF41CF" w:rsidRPr="00C75C71" w:rsidTr="009F2C88">
        <w:trPr>
          <w:jc w:val="center"/>
        </w:trPr>
        <w:tc>
          <w:tcPr>
            <w:tcW w:w="483" w:type="dxa"/>
            <w:vAlign w:val="center"/>
          </w:tcPr>
          <w:p w:rsidR="00EF41CF" w:rsidRPr="00431F34" w:rsidRDefault="00EF41CF" w:rsidP="00EF41CF">
            <w:pPr>
              <w:jc w:val="center"/>
              <w:rPr>
                <w:rFonts w:ascii="Times New Roman" w:hAnsi="Times New Roman" w:cs="Times New Roman"/>
                <w:color w:val="000000"/>
                <w:sz w:val="16"/>
                <w:szCs w:val="16"/>
              </w:rPr>
            </w:pPr>
            <w:r>
              <w:rPr>
                <w:rFonts w:ascii="Times New Roman" w:hAnsi="Times New Roman" w:cs="Times New Roman"/>
                <w:color w:val="000000"/>
                <w:sz w:val="16"/>
                <w:szCs w:val="16"/>
              </w:rPr>
              <w:t>20</w:t>
            </w:r>
          </w:p>
        </w:tc>
        <w:tc>
          <w:tcPr>
            <w:tcW w:w="992" w:type="dxa"/>
            <w:vAlign w:val="center"/>
          </w:tcPr>
          <w:p w:rsidR="00EF41CF" w:rsidRPr="0085431A" w:rsidRDefault="00EF41CF" w:rsidP="00EF41CF">
            <w:pPr>
              <w:pStyle w:val="Bezodstpw"/>
              <w:shd w:val="clear" w:color="auto" w:fill="FFFFFF" w:themeFill="background1"/>
              <w:jc w:val="center"/>
              <w:rPr>
                <w:rFonts w:ascii="Times New Roman" w:hAnsi="Times New Roman" w:cs="Times New Roman"/>
                <w:color w:val="000000" w:themeColor="text1"/>
                <w:sz w:val="16"/>
                <w:szCs w:val="16"/>
              </w:rPr>
            </w:pPr>
            <w:r w:rsidRPr="0085431A">
              <w:rPr>
                <w:rFonts w:ascii="Times New Roman" w:hAnsi="Times New Roman" w:cs="Times New Roman"/>
                <w:color w:val="000000" w:themeColor="text1"/>
                <w:sz w:val="16"/>
                <w:szCs w:val="16"/>
              </w:rPr>
              <w:t>S</w:t>
            </w:r>
            <w:r>
              <w:rPr>
                <w:rFonts w:ascii="Times New Roman" w:hAnsi="Times New Roman" w:cs="Times New Roman"/>
                <w:color w:val="000000" w:themeColor="text1"/>
                <w:sz w:val="16"/>
                <w:szCs w:val="16"/>
              </w:rPr>
              <w:t>, T, U</w:t>
            </w:r>
          </w:p>
        </w:tc>
        <w:tc>
          <w:tcPr>
            <w:tcW w:w="3320" w:type="dxa"/>
            <w:shd w:val="clear" w:color="auto" w:fill="auto"/>
            <w:vAlign w:val="center"/>
          </w:tcPr>
          <w:p w:rsidR="00EF41CF" w:rsidRPr="0085431A" w:rsidRDefault="00EF41CF" w:rsidP="00A0573C">
            <w:pPr>
              <w:pStyle w:val="Bezodstpw"/>
              <w:shd w:val="clear" w:color="auto" w:fill="FFFFFF" w:themeFill="background1"/>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w:t>
            </w:r>
            <w:r w:rsidRPr="0085431A">
              <w:rPr>
                <w:rFonts w:ascii="Times New Roman" w:hAnsi="Times New Roman" w:cs="Times New Roman"/>
                <w:color w:val="000000" w:themeColor="text1"/>
                <w:sz w:val="16"/>
                <w:szCs w:val="16"/>
              </w:rPr>
              <w:t>ozostała działalność usługowa</w:t>
            </w:r>
          </w:p>
        </w:tc>
        <w:tc>
          <w:tcPr>
            <w:tcW w:w="1543" w:type="dxa"/>
            <w:shd w:val="clear" w:color="auto" w:fill="FFFFFF" w:themeFill="background1"/>
            <w:vAlign w:val="center"/>
          </w:tcPr>
          <w:p w:rsidR="00EF41CF" w:rsidRPr="00EF41CF" w:rsidRDefault="00EF41CF" w:rsidP="00EF41CF">
            <w:pPr>
              <w:jc w:val="center"/>
              <w:rPr>
                <w:rFonts w:ascii="Times New Roman" w:hAnsi="Times New Roman" w:cs="Times New Roman"/>
                <w:sz w:val="16"/>
                <w:szCs w:val="16"/>
              </w:rPr>
            </w:pPr>
            <w:r w:rsidRPr="00EF41CF">
              <w:rPr>
                <w:rFonts w:ascii="Times New Roman" w:hAnsi="Times New Roman" w:cs="Times New Roman"/>
                <w:sz w:val="16"/>
                <w:szCs w:val="16"/>
              </w:rPr>
              <w:t>13 720</w:t>
            </w:r>
          </w:p>
        </w:tc>
        <w:tc>
          <w:tcPr>
            <w:tcW w:w="1516" w:type="dxa"/>
            <w:shd w:val="clear" w:color="auto" w:fill="FFFFFF" w:themeFill="background1"/>
            <w:vAlign w:val="center"/>
          </w:tcPr>
          <w:p w:rsidR="00EF41CF" w:rsidRPr="00EF41CF" w:rsidRDefault="00EF41CF" w:rsidP="00EF41CF">
            <w:pPr>
              <w:jc w:val="center"/>
              <w:rPr>
                <w:rFonts w:ascii="Times New Roman" w:hAnsi="Times New Roman" w:cs="Times New Roman"/>
                <w:sz w:val="16"/>
                <w:szCs w:val="16"/>
              </w:rPr>
            </w:pPr>
            <w:r w:rsidRPr="00EF41CF">
              <w:rPr>
                <w:rFonts w:ascii="Times New Roman" w:hAnsi="Times New Roman" w:cs="Times New Roman"/>
                <w:sz w:val="16"/>
                <w:szCs w:val="16"/>
              </w:rPr>
              <w:t>1,6</w:t>
            </w:r>
          </w:p>
        </w:tc>
      </w:tr>
    </w:tbl>
    <w:p w:rsidR="00956101" w:rsidRPr="002E66D9" w:rsidRDefault="00956101" w:rsidP="00DB3AFB">
      <w:pPr>
        <w:pStyle w:val="Default"/>
        <w:jc w:val="both"/>
        <w:rPr>
          <w:bCs/>
          <w:sz w:val="16"/>
          <w:szCs w:val="16"/>
        </w:rPr>
      </w:pPr>
      <w:r w:rsidRPr="002E66D9">
        <w:rPr>
          <w:bCs/>
          <w:sz w:val="16"/>
          <w:szCs w:val="16"/>
        </w:rPr>
        <w:t xml:space="preserve">  * Dotyczy: wynajmu, dzierżawy, działalności turystycznej, detektywistycznej, ochroniarskiej, utrzymani</w:t>
      </w:r>
      <w:r w:rsidR="007F6C4B" w:rsidRPr="002E66D9">
        <w:rPr>
          <w:bCs/>
          <w:sz w:val="16"/>
          <w:szCs w:val="16"/>
        </w:rPr>
        <w:t xml:space="preserve">u </w:t>
      </w:r>
      <w:r w:rsidRPr="002E66D9">
        <w:rPr>
          <w:bCs/>
          <w:sz w:val="16"/>
          <w:szCs w:val="16"/>
        </w:rPr>
        <w:t>porządku w budynkach,</w:t>
      </w:r>
    </w:p>
    <w:p w:rsidR="004C44AC" w:rsidRPr="002E66D9" w:rsidRDefault="00956101" w:rsidP="00DB3AFB">
      <w:pPr>
        <w:pStyle w:val="Default"/>
        <w:jc w:val="both"/>
        <w:rPr>
          <w:bCs/>
          <w:sz w:val="16"/>
          <w:szCs w:val="16"/>
        </w:rPr>
      </w:pPr>
      <w:r w:rsidRPr="002E66D9">
        <w:rPr>
          <w:bCs/>
          <w:sz w:val="16"/>
          <w:szCs w:val="16"/>
        </w:rPr>
        <w:t xml:space="preserve">     </w:t>
      </w:r>
      <w:r w:rsidR="007F6C4B" w:rsidRPr="002E66D9">
        <w:rPr>
          <w:bCs/>
          <w:sz w:val="16"/>
          <w:szCs w:val="16"/>
        </w:rPr>
        <w:t xml:space="preserve"> </w:t>
      </w:r>
      <w:r w:rsidRPr="002E66D9">
        <w:rPr>
          <w:bCs/>
          <w:sz w:val="16"/>
          <w:szCs w:val="16"/>
        </w:rPr>
        <w:t>administracyjnej obsłudze biura i pozostałych czynnoś</w:t>
      </w:r>
      <w:r w:rsidR="007F6C4B" w:rsidRPr="002E66D9">
        <w:rPr>
          <w:bCs/>
          <w:sz w:val="16"/>
          <w:szCs w:val="16"/>
        </w:rPr>
        <w:t>ciach</w:t>
      </w:r>
      <w:r w:rsidRPr="002E66D9">
        <w:rPr>
          <w:bCs/>
          <w:sz w:val="16"/>
          <w:szCs w:val="16"/>
        </w:rPr>
        <w:t xml:space="preserve"> </w:t>
      </w:r>
      <w:r w:rsidR="007F6C4B" w:rsidRPr="002E66D9">
        <w:rPr>
          <w:bCs/>
          <w:sz w:val="16"/>
          <w:szCs w:val="16"/>
        </w:rPr>
        <w:t xml:space="preserve">wspomagających </w:t>
      </w:r>
      <w:r w:rsidRPr="002E66D9">
        <w:rPr>
          <w:bCs/>
          <w:sz w:val="16"/>
          <w:szCs w:val="16"/>
        </w:rPr>
        <w:t xml:space="preserve">prowadzenie działalności gospodarczej. </w:t>
      </w:r>
    </w:p>
    <w:p w:rsidR="002E66D9" w:rsidRDefault="002E66D9" w:rsidP="002E66D9">
      <w:pPr>
        <w:pStyle w:val="Default"/>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255A9E" w:rsidRPr="00C75C71" w:rsidRDefault="002E66D9" w:rsidP="002E66D9">
      <w:pPr>
        <w:pStyle w:val="Default"/>
        <w:spacing w:line="360" w:lineRule="auto"/>
        <w:ind w:firstLine="709"/>
        <w:jc w:val="center"/>
        <w:rPr>
          <w:bCs/>
          <w:sz w:val="16"/>
          <w:szCs w:val="16"/>
          <w:highlight w:val="yellow"/>
        </w:rPr>
      </w:pPr>
      <w:r>
        <w:rPr>
          <w:noProof/>
          <w:lang w:eastAsia="pl-PL"/>
        </w:rPr>
        <w:drawing>
          <wp:anchor distT="0" distB="0" distL="114300" distR="114300" simplePos="0" relativeHeight="251804672" behindDoc="1" locked="0" layoutInCell="1" allowOverlap="1" wp14:anchorId="616B9923" wp14:editId="77DEAF59">
            <wp:simplePos x="0" y="0"/>
            <wp:positionH relativeFrom="column">
              <wp:posOffset>-63500</wp:posOffset>
            </wp:positionH>
            <wp:positionV relativeFrom="paragraph">
              <wp:posOffset>175895</wp:posOffset>
            </wp:positionV>
            <wp:extent cx="5931535" cy="2047875"/>
            <wp:effectExtent l="0" t="0" r="0" b="0"/>
            <wp:wrapThrough wrapText="bothSides">
              <wp:wrapPolygon edited="0">
                <wp:start x="3538" y="0"/>
                <wp:lineTo x="0" y="603"/>
                <wp:lineTo x="0" y="3617"/>
                <wp:lineTo x="10753" y="3617"/>
                <wp:lineTo x="0" y="4822"/>
                <wp:lineTo x="0" y="5626"/>
                <wp:lineTo x="10753" y="6832"/>
                <wp:lineTo x="0" y="6832"/>
                <wp:lineTo x="0" y="9846"/>
                <wp:lineTo x="10753" y="10047"/>
                <wp:lineTo x="277" y="10850"/>
                <wp:lineTo x="0" y="11252"/>
                <wp:lineTo x="139" y="15673"/>
                <wp:lineTo x="486" y="16476"/>
                <wp:lineTo x="1526" y="16476"/>
                <wp:lineTo x="277" y="17280"/>
                <wp:lineTo x="139" y="17682"/>
                <wp:lineTo x="139" y="19892"/>
                <wp:lineTo x="1249" y="20897"/>
                <wp:lineTo x="1387" y="21299"/>
                <wp:lineTo x="21366" y="21299"/>
                <wp:lineTo x="21505" y="20294"/>
                <wp:lineTo x="1734" y="19691"/>
                <wp:lineTo x="3052" y="16476"/>
                <wp:lineTo x="21505" y="13462"/>
                <wp:lineTo x="21505" y="12659"/>
                <wp:lineTo x="16164" y="11252"/>
                <wp:lineTo x="10753" y="10047"/>
                <wp:lineTo x="17204" y="9444"/>
                <wp:lineTo x="17204" y="7836"/>
                <wp:lineTo x="10753" y="6832"/>
                <wp:lineTo x="21505" y="6229"/>
                <wp:lineTo x="21505" y="5425"/>
                <wp:lineTo x="10753" y="3617"/>
                <wp:lineTo x="21505" y="2009"/>
                <wp:lineTo x="21505" y="603"/>
                <wp:lineTo x="7353" y="0"/>
                <wp:lineTo x="3538" y="0"/>
              </wp:wrapPolygon>
            </wp:wrapThrough>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793402" w:rsidRPr="00431F34">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w:t>
      </w:r>
      <w:r w:rsidR="0061191F" w:rsidRPr="00431F34">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7</w:t>
      </w:r>
      <w:r w:rsidR="006B7938" w:rsidRPr="00431F34">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793402" w:rsidRPr="00431F34">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255A9E" w:rsidRPr="00431F34">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Pracujący (faktyczne miejsce pracy)</w:t>
      </w:r>
    </w:p>
    <w:p w:rsidR="00255A9E" w:rsidRPr="00C75C71" w:rsidRDefault="00255A9E" w:rsidP="00793402">
      <w:pPr>
        <w:pStyle w:val="Default"/>
        <w:jc w:val="both"/>
        <w:rPr>
          <w:bCs/>
          <w:sz w:val="16"/>
          <w:szCs w:val="16"/>
          <w:highlight w:val="yellow"/>
        </w:rPr>
      </w:pPr>
    </w:p>
    <w:p w:rsidR="00255A9E" w:rsidRPr="00C75C71" w:rsidRDefault="00255A9E" w:rsidP="00793402">
      <w:pPr>
        <w:pStyle w:val="Default"/>
        <w:jc w:val="both"/>
        <w:rPr>
          <w:bCs/>
          <w:highlight w:val="yellow"/>
        </w:rPr>
      </w:pPr>
    </w:p>
    <w:p w:rsidR="00255A9E" w:rsidRPr="00C75C71" w:rsidRDefault="00255A9E" w:rsidP="00793402">
      <w:pPr>
        <w:pStyle w:val="Default"/>
        <w:jc w:val="both"/>
        <w:rPr>
          <w:bCs/>
          <w:highlight w:val="yellow"/>
        </w:rPr>
      </w:pPr>
    </w:p>
    <w:p w:rsidR="00255A9E" w:rsidRPr="00C75C71" w:rsidRDefault="00255A9E" w:rsidP="00793402">
      <w:pPr>
        <w:pStyle w:val="Default"/>
        <w:jc w:val="both"/>
        <w:rPr>
          <w:bCs/>
          <w:highlight w:val="yellow"/>
        </w:rPr>
      </w:pPr>
    </w:p>
    <w:p w:rsidR="00255A9E" w:rsidRPr="00C75C71" w:rsidRDefault="00255A9E" w:rsidP="00793402">
      <w:pPr>
        <w:pStyle w:val="Default"/>
        <w:jc w:val="both"/>
        <w:rPr>
          <w:bCs/>
          <w:highlight w:val="yellow"/>
        </w:rPr>
      </w:pPr>
    </w:p>
    <w:p w:rsidR="00792192" w:rsidRDefault="006B7938">
      <w:pPr>
        <w:rPr>
          <w:rFonts w:ascii="Times New Roman" w:hAnsi="Times New Roman" w:cs="Times New Roman"/>
          <w:sz w:val="16"/>
          <w:szCs w:val="16"/>
          <w:highlight w:val="yellow"/>
        </w:rPr>
      </w:pPr>
      <w:r w:rsidRPr="00C75C71">
        <w:rPr>
          <w:rFonts w:ascii="Times New Roman" w:hAnsi="Times New Roman" w:cs="Times New Roman"/>
          <w:sz w:val="16"/>
          <w:szCs w:val="16"/>
          <w:highlight w:val="yellow"/>
        </w:rPr>
        <w:t xml:space="preserve"> </w:t>
      </w:r>
    </w:p>
    <w:p w:rsidR="00793402" w:rsidRPr="002E66D9" w:rsidRDefault="006B7938">
      <w:pPr>
        <w:rPr>
          <w:rFonts w:ascii="Times New Roman" w:hAnsi="Times New Roman" w:cs="Times New Roman"/>
          <w:bCs/>
          <w:color w:val="000000"/>
          <w:sz w:val="24"/>
          <w:szCs w:val="24"/>
        </w:rPr>
      </w:pPr>
      <w:r w:rsidRPr="00792192">
        <w:rPr>
          <w:rFonts w:ascii="Times New Roman" w:hAnsi="Times New Roman" w:cs="Times New Roman"/>
          <w:sz w:val="16"/>
          <w:szCs w:val="16"/>
        </w:rPr>
        <w:t xml:space="preserve">             Źródło: Dane GUS, BDL, pracujący wg faktycznego miejsca pracy i PKD</w:t>
      </w:r>
    </w:p>
    <w:p w:rsidR="00A93F05" w:rsidRPr="00D5788D" w:rsidRDefault="00242C45" w:rsidP="002448AB">
      <w:pPr>
        <w:pStyle w:val="Default"/>
        <w:pBdr>
          <w:bottom w:val="single" w:sz="4" w:space="1" w:color="auto"/>
        </w:pBdr>
        <w:jc w:val="both"/>
        <w:rPr>
          <w:bCs/>
        </w:rPr>
      </w:pPr>
      <w:r w:rsidRPr="00D5788D">
        <w:rPr>
          <w:bCs/>
        </w:rPr>
        <w:t>Wnioski</w:t>
      </w:r>
      <w:r w:rsidR="00A93F05" w:rsidRPr="00D5788D">
        <w:rPr>
          <w:bCs/>
        </w:rPr>
        <w:t>:</w:t>
      </w:r>
    </w:p>
    <w:p w:rsidR="00242C45" w:rsidRPr="002448AB" w:rsidRDefault="00A93F05" w:rsidP="00242C45">
      <w:pPr>
        <w:pStyle w:val="Default"/>
        <w:spacing w:line="360" w:lineRule="auto"/>
        <w:jc w:val="both"/>
        <w:rPr>
          <w:bCs/>
          <w:sz w:val="18"/>
          <w:szCs w:val="18"/>
        </w:rPr>
      </w:pPr>
      <w:r w:rsidRPr="002448AB">
        <w:rPr>
          <w:bCs/>
          <w:sz w:val="18"/>
          <w:szCs w:val="18"/>
        </w:rPr>
        <w:t xml:space="preserve">(na podstawie </w:t>
      </w:r>
      <w:r w:rsidR="00807C86" w:rsidRPr="002448AB">
        <w:rPr>
          <w:bCs/>
          <w:sz w:val="18"/>
          <w:szCs w:val="18"/>
        </w:rPr>
        <w:t>t</w:t>
      </w:r>
      <w:r w:rsidRPr="002448AB">
        <w:rPr>
          <w:bCs/>
          <w:sz w:val="18"/>
          <w:szCs w:val="18"/>
        </w:rPr>
        <w:t>abeli 1</w:t>
      </w:r>
      <w:r w:rsidR="001707C3">
        <w:rPr>
          <w:bCs/>
          <w:sz w:val="18"/>
          <w:szCs w:val="18"/>
        </w:rPr>
        <w:t>2</w:t>
      </w:r>
      <w:r w:rsidR="006B7938" w:rsidRPr="002448AB">
        <w:rPr>
          <w:bCs/>
          <w:sz w:val="18"/>
          <w:szCs w:val="18"/>
        </w:rPr>
        <w:t xml:space="preserve"> i wykresu </w:t>
      </w:r>
      <w:r w:rsidR="002448AB">
        <w:rPr>
          <w:bCs/>
          <w:sz w:val="18"/>
          <w:szCs w:val="18"/>
        </w:rPr>
        <w:t>7</w:t>
      </w:r>
      <w:r w:rsidRPr="002448AB">
        <w:rPr>
          <w:bCs/>
          <w:sz w:val="18"/>
          <w:szCs w:val="18"/>
        </w:rPr>
        <w:t>)</w:t>
      </w:r>
    </w:p>
    <w:p w:rsidR="009014E1" w:rsidRPr="001045D9" w:rsidRDefault="009014E1" w:rsidP="009014E1">
      <w:pPr>
        <w:pStyle w:val="Akapitzlist"/>
        <w:numPr>
          <w:ilvl w:val="0"/>
          <w:numId w:val="19"/>
        </w:numPr>
        <w:spacing w:after="0" w:line="360" w:lineRule="auto"/>
        <w:jc w:val="both"/>
        <w:rPr>
          <w:rFonts w:ascii="Times New Roman" w:hAnsi="Times New Roman" w:cs="Times New Roman"/>
          <w:bCs/>
          <w:sz w:val="24"/>
          <w:szCs w:val="24"/>
        </w:rPr>
      </w:pPr>
      <w:r w:rsidRPr="001045D9">
        <w:rPr>
          <w:rFonts w:ascii="Times New Roman" w:hAnsi="Times New Roman" w:cs="Times New Roman"/>
          <w:bCs/>
          <w:sz w:val="24"/>
          <w:szCs w:val="24"/>
        </w:rPr>
        <w:t>Następuje wzrost liczby osób pracujących</w:t>
      </w:r>
      <w:r w:rsidR="00874F65" w:rsidRPr="001045D9">
        <w:rPr>
          <w:rFonts w:ascii="Times New Roman" w:hAnsi="Times New Roman" w:cs="Times New Roman"/>
          <w:bCs/>
          <w:sz w:val="24"/>
          <w:szCs w:val="24"/>
        </w:rPr>
        <w:t xml:space="preserve"> (w porównaniu </w:t>
      </w:r>
      <w:r w:rsidR="001045D9" w:rsidRPr="001045D9">
        <w:rPr>
          <w:rFonts w:ascii="Times New Roman" w:hAnsi="Times New Roman" w:cs="Times New Roman"/>
          <w:bCs/>
          <w:sz w:val="24"/>
          <w:szCs w:val="24"/>
        </w:rPr>
        <w:t>rdr</w:t>
      </w:r>
      <w:r w:rsidR="00874F65" w:rsidRPr="001045D9">
        <w:rPr>
          <w:rFonts w:ascii="Times New Roman" w:hAnsi="Times New Roman" w:cs="Times New Roman"/>
          <w:bCs/>
          <w:sz w:val="24"/>
          <w:szCs w:val="24"/>
        </w:rPr>
        <w:t>. o 2</w:t>
      </w:r>
      <w:r w:rsidR="001045D9" w:rsidRPr="001045D9">
        <w:rPr>
          <w:rFonts w:ascii="Times New Roman" w:hAnsi="Times New Roman" w:cs="Times New Roman"/>
          <w:bCs/>
          <w:sz w:val="24"/>
          <w:szCs w:val="24"/>
        </w:rPr>
        <w:t>0</w:t>
      </w:r>
      <w:r w:rsidR="00874F65" w:rsidRPr="001045D9">
        <w:rPr>
          <w:rFonts w:ascii="Times New Roman" w:hAnsi="Times New Roman" w:cs="Times New Roman"/>
          <w:bCs/>
          <w:sz w:val="24"/>
          <w:szCs w:val="24"/>
        </w:rPr>
        <w:t> </w:t>
      </w:r>
      <w:r w:rsidR="001045D9" w:rsidRPr="001045D9">
        <w:rPr>
          <w:rFonts w:ascii="Times New Roman" w:hAnsi="Times New Roman" w:cs="Times New Roman"/>
          <w:bCs/>
          <w:sz w:val="24"/>
          <w:szCs w:val="24"/>
        </w:rPr>
        <w:t>963</w:t>
      </w:r>
      <w:r w:rsidR="00874F65" w:rsidRPr="001045D9">
        <w:rPr>
          <w:rFonts w:ascii="Times New Roman" w:hAnsi="Times New Roman" w:cs="Times New Roman"/>
          <w:bCs/>
          <w:sz w:val="24"/>
          <w:szCs w:val="24"/>
        </w:rPr>
        <w:t xml:space="preserve"> tj. 2</w:t>
      </w:r>
      <w:r w:rsidR="001045D9" w:rsidRPr="001045D9">
        <w:rPr>
          <w:rFonts w:ascii="Times New Roman" w:hAnsi="Times New Roman" w:cs="Times New Roman"/>
          <w:bCs/>
          <w:sz w:val="24"/>
          <w:szCs w:val="24"/>
        </w:rPr>
        <w:t xml:space="preserve">,5 </w:t>
      </w:r>
      <w:r w:rsidR="00874F65" w:rsidRPr="001045D9">
        <w:rPr>
          <w:rFonts w:ascii="Times New Roman" w:hAnsi="Times New Roman" w:cs="Times New Roman"/>
          <w:bCs/>
          <w:sz w:val="24"/>
          <w:szCs w:val="24"/>
        </w:rPr>
        <w:t>%),</w:t>
      </w:r>
    </w:p>
    <w:p w:rsidR="001E2C87" w:rsidRPr="006A0F20" w:rsidRDefault="009F2C88" w:rsidP="009014E1">
      <w:pPr>
        <w:pStyle w:val="Akapitzlist"/>
        <w:numPr>
          <w:ilvl w:val="0"/>
          <w:numId w:val="19"/>
        </w:numPr>
        <w:spacing w:after="0" w:line="360" w:lineRule="auto"/>
        <w:jc w:val="both"/>
        <w:rPr>
          <w:rFonts w:ascii="Times New Roman" w:hAnsi="Times New Roman" w:cs="Times New Roman"/>
          <w:bCs/>
          <w:sz w:val="24"/>
          <w:szCs w:val="24"/>
        </w:rPr>
      </w:pPr>
      <w:r w:rsidRPr="006A0F20">
        <w:rPr>
          <w:rFonts w:ascii="Times New Roman" w:hAnsi="Times New Roman" w:cs="Times New Roman"/>
          <w:bCs/>
          <w:sz w:val="24"/>
          <w:szCs w:val="24"/>
        </w:rPr>
        <w:t xml:space="preserve">Kumulacje są związane z następującymi sekcjami: rolnictwem (łącznie z leśnictwem, łowiectwem i rybactwem), przetwórstwem przemysłowym i handlem. </w:t>
      </w:r>
      <w:r w:rsidR="00F1012E" w:rsidRPr="006A0F20">
        <w:rPr>
          <w:rFonts w:ascii="Times New Roman" w:hAnsi="Times New Roman" w:cs="Times New Roman"/>
          <w:bCs/>
          <w:sz w:val="24"/>
          <w:szCs w:val="24"/>
        </w:rPr>
        <w:t>Największy wzrost nastąpił w przetwórstw</w:t>
      </w:r>
      <w:r w:rsidRPr="006A0F20">
        <w:rPr>
          <w:rFonts w:ascii="Times New Roman" w:hAnsi="Times New Roman" w:cs="Times New Roman"/>
          <w:bCs/>
          <w:sz w:val="24"/>
          <w:szCs w:val="24"/>
        </w:rPr>
        <w:t>ie</w:t>
      </w:r>
      <w:r w:rsidR="00F1012E" w:rsidRPr="006A0F20">
        <w:rPr>
          <w:rFonts w:ascii="Times New Roman" w:hAnsi="Times New Roman" w:cs="Times New Roman"/>
          <w:bCs/>
          <w:sz w:val="24"/>
          <w:szCs w:val="24"/>
        </w:rPr>
        <w:t xml:space="preserve"> przemysłow</w:t>
      </w:r>
      <w:r w:rsidRPr="006A0F20">
        <w:rPr>
          <w:rFonts w:ascii="Times New Roman" w:hAnsi="Times New Roman" w:cs="Times New Roman"/>
          <w:bCs/>
          <w:sz w:val="24"/>
          <w:szCs w:val="24"/>
        </w:rPr>
        <w:t>ym</w:t>
      </w:r>
      <w:r w:rsidR="00F1012E" w:rsidRPr="006A0F20">
        <w:rPr>
          <w:rFonts w:ascii="Times New Roman" w:hAnsi="Times New Roman" w:cs="Times New Roman"/>
          <w:bCs/>
          <w:sz w:val="24"/>
          <w:szCs w:val="24"/>
        </w:rPr>
        <w:t xml:space="preserve"> i w </w:t>
      </w:r>
      <w:r w:rsidR="006A0F20" w:rsidRPr="006A0F20">
        <w:rPr>
          <w:rFonts w:ascii="Times New Roman" w:hAnsi="Times New Roman" w:cs="Times New Roman"/>
          <w:bCs/>
          <w:sz w:val="24"/>
          <w:szCs w:val="24"/>
        </w:rPr>
        <w:t>budownictwie</w:t>
      </w:r>
      <w:r w:rsidR="00F1012E" w:rsidRPr="006A0F20">
        <w:rPr>
          <w:rFonts w:ascii="Times New Roman" w:hAnsi="Times New Roman" w:cs="Times New Roman"/>
          <w:bCs/>
          <w:sz w:val="24"/>
          <w:szCs w:val="24"/>
        </w:rPr>
        <w:t>.</w:t>
      </w:r>
    </w:p>
    <w:p w:rsidR="00242C45" w:rsidRPr="00D36943" w:rsidRDefault="00242C45" w:rsidP="00160DBC">
      <w:pPr>
        <w:pStyle w:val="Akapitzlist"/>
        <w:numPr>
          <w:ilvl w:val="0"/>
          <w:numId w:val="19"/>
        </w:numPr>
        <w:spacing w:after="0" w:line="360" w:lineRule="auto"/>
        <w:jc w:val="both"/>
        <w:rPr>
          <w:rFonts w:ascii="Times New Roman" w:hAnsi="Times New Roman" w:cs="Times New Roman"/>
          <w:bCs/>
          <w:sz w:val="24"/>
          <w:szCs w:val="24"/>
        </w:rPr>
      </w:pPr>
      <w:r w:rsidRPr="00D36943">
        <w:rPr>
          <w:rFonts w:ascii="Times New Roman" w:hAnsi="Times New Roman" w:cs="Times New Roman"/>
          <w:bCs/>
          <w:sz w:val="24"/>
          <w:szCs w:val="24"/>
        </w:rPr>
        <w:t>Sektory</w:t>
      </w:r>
      <w:r w:rsidR="000408F3" w:rsidRPr="00D36943">
        <w:rPr>
          <w:rFonts w:ascii="Times New Roman" w:hAnsi="Times New Roman" w:cs="Times New Roman"/>
          <w:bCs/>
          <w:sz w:val="24"/>
          <w:szCs w:val="24"/>
        </w:rPr>
        <w:t xml:space="preserve"> </w:t>
      </w:r>
      <w:r w:rsidRPr="00D36943">
        <w:rPr>
          <w:rFonts w:ascii="Times New Roman" w:hAnsi="Times New Roman" w:cs="Times New Roman"/>
          <w:bCs/>
          <w:sz w:val="24"/>
          <w:szCs w:val="24"/>
        </w:rPr>
        <w:t>przemysł</w:t>
      </w:r>
      <w:r w:rsidR="000408F3" w:rsidRPr="00D36943">
        <w:rPr>
          <w:rFonts w:ascii="Times New Roman" w:hAnsi="Times New Roman" w:cs="Times New Roman"/>
          <w:bCs/>
          <w:sz w:val="24"/>
          <w:szCs w:val="24"/>
        </w:rPr>
        <w:t xml:space="preserve"> </w:t>
      </w:r>
      <w:r w:rsidR="00AE5712" w:rsidRPr="00D36943">
        <w:rPr>
          <w:rFonts w:ascii="Times New Roman" w:hAnsi="Times New Roman" w:cs="Times New Roman"/>
          <w:bCs/>
          <w:sz w:val="24"/>
          <w:szCs w:val="24"/>
        </w:rPr>
        <w:t>i</w:t>
      </w:r>
      <w:r w:rsidR="000408F3" w:rsidRPr="00D36943">
        <w:rPr>
          <w:rFonts w:ascii="Times New Roman" w:hAnsi="Times New Roman" w:cs="Times New Roman"/>
          <w:bCs/>
          <w:sz w:val="24"/>
          <w:szCs w:val="24"/>
        </w:rPr>
        <w:t xml:space="preserve"> </w:t>
      </w:r>
      <w:r w:rsidRPr="00D36943">
        <w:rPr>
          <w:rFonts w:ascii="Times New Roman" w:hAnsi="Times New Roman" w:cs="Times New Roman"/>
          <w:bCs/>
          <w:sz w:val="24"/>
          <w:szCs w:val="24"/>
        </w:rPr>
        <w:t>budow</w:t>
      </w:r>
      <w:r w:rsidR="00F1012E" w:rsidRPr="00D36943">
        <w:rPr>
          <w:rFonts w:ascii="Times New Roman" w:hAnsi="Times New Roman" w:cs="Times New Roman"/>
          <w:bCs/>
          <w:sz w:val="24"/>
          <w:szCs w:val="24"/>
        </w:rPr>
        <w:t>nictwo</w:t>
      </w:r>
      <w:r w:rsidR="000408F3" w:rsidRPr="00D36943">
        <w:rPr>
          <w:rFonts w:ascii="Times New Roman" w:hAnsi="Times New Roman" w:cs="Times New Roman"/>
          <w:bCs/>
          <w:sz w:val="24"/>
          <w:szCs w:val="24"/>
        </w:rPr>
        <w:t xml:space="preserve"> </w:t>
      </w:r>
      <w:r w:rsidRPr="00D36943">
        <w:rPr>
          <w:rFonts w:ascii="Times New Roman" w:hAnsi="Times New Roman" w:cs="Times New Roman"/>
          <w:bCs/>
          <w:sz w:val="24"/>
          <w:szCs w:val="24"/>
        </w:rPr>
        <w:t xml:space="preserve">skupiają łącznie blisko </w:t>
      </w:r>
      <w:r w:rsidR="00F1012E" w:rsidRPr="00D36943">
        <w:rPr>
          <w:rFonts w:ascii="Times New Roman" w:hAnsi="Times New Roman" w:cs="Times New Roman"/>
          <w:bCs/>
          <w:sz w:val="24"/>
          <w:szCs w:val="24"/>
        </w:rPr>
        <w:t xml:space="preserve">¼ </w:t>
      </w:r>
      <w:r w:rsidRPr="00D36943">
        <w:rPr>
          <w:rFonts w:ascii="Times New Roman" w:hAnsi="Times New Roman" w:cs="Times New Roman"/>
          <w:bCs/>
          <w:sz w:val="24"/>
          <w:szCs w:val="24"/>
        </w:rPr>
        <w:t>pracujących</w:t>
      </w:r>
      <w:r w:rsidR="00F1012E" w:rsidRPr="00D36943">
        <w:rPr>
          <w:rFonts w:ascii="Times New Roman" w:hAnsi="Times New Roman" w:cs="Times New Roman"/>
          <w:bCs/>
          <w:sz w:val="24"/>
          <w:szCs w:val="24"/>
        </w:rPr>
        <w:t xml:space="preserve"> (2</w:t>
      </w:r>
      <w:r w:rsidR="00D36943" w:rsidRPr="00D36943">
        <w:rPr>
          <w:rFonts w:ascii="Times New Roman" w:hAnsi="Times New Roman" w:cs="Times New Roman"/>
          <w:bCs/>
          <w:sz w:val="24"/>
          <w:szCs w:val="24"/>
        </w:rPr>
        <w:t>5</w:t>
      </w:r>
      <w:r w:rsidR="00F1012E" w:rsidRPr="00D36943">
        <w:rPr>
          <w:rFonts w:ascii="Times New Roman" w:hAnsi="Times New Roman" w:cs="Times New Roman"/>
          <w:bCs/>
          <w:sz w:val="24"/>
          <w:szCs w:val="24"/>
        </w:rPr>
        <w:t>,</w:t>
      </w:r>
      <w:r w:rsidR="00D36943" w:rsidRPr="00D36943">
        <w:rPr>
          <w:rFonts w:ascii="Times New Roman" w:hAnsi="Times New Roman" w:cs="Times New Roman"/>
          <w:bCs/>
          <w:sz w:val="24"/>
          <w:szCs w:val="24"/>
        </w:rPr>
        <w:t xml:space="preserve">3 </w:t>
      </w:r>
      <w:r w:rsidR="00F1012E" w:rsidRPr="00D36943">
        <w:rPr>
          <w:rFonts w:ascii="Times New Roman" w:hAnsi="Times New Roman" w:cs="Times New Roman"/>
          <w:bCs/>
          <w:sz w:val="24"/>
          <w:szCs w:val="24"/>
        </w:rPr>
        <w:t>%). W 201</w:t>
      </w:r>
      <w:r w:rsidR="00D36943" w:rsidRPr="00D36943">
        <w:rPr>
          <w:rFonts w:ascii="Times New Roman" w:hAnsi="Times New Roman" w:cs="Times New Roman"/>
          <w:bCs/>
          <w:sz w:val="24"/>
          <w:szCs w:val="24"/>
        </w:rPr>
        <w:t>6</w:t>
      </w:r>
      <w:r w:rsidR="00F1012E" w:rsidRPr="00D36943">
        <w:rPr>
          <w:rFonts w:ascii="Times New Roman" w:hAnsi="Times New Roman" w:cs="Times New Roman"/>
          <w:bCs/>
          <w:sz w:val="24"/>
          <w:szCs w:val="24"/>
        </w:rPr>
        <w:t> r. udział ten wynosił 24,</w:t>
      </w:r>
      <w:r w:rsidR="00D36943" w:rsidRPr="00D36943">
        <w:rPr>
          <w:rFonts w:ascii="Times New Roman" w:hAnsi="Times New Roman" w:cs="Times New Roman"/>
          <w:bCs/>
          <w:sz w:val="24"/>
          <w:szCs w:val="24"/>
        </w:rPr>
        <w:t xml:space="preserve">8 </w:t>
      </w:r>
      <w:r w:rsidR="00F1012E" w:rsidRPr="00D36943">
        <w:rPr>
          <w:rFonts w:ascii="Times New Roman" w:hAnsi="Times New Roman" w:cs="Times New Roman"/>
          <w:bCs/>
          <w:sz w:val="24"/>
          <w:szCs w:val="24"/>
        </w:rPr>
        <w:t>%</w:t>
      </w:r>
      <w:r w:rsidR="00D41E9F" w:rsidRPr="00D36943">
        <w:rPr>
          <w:rFonts w:ascii="Times New Roman" w:hAnsi="Times New Roman" w:cs="Times New Roman"/>
          <w:bCs/>
          <w:sz w:val="24"/>
          <w:szCs w:val="24"/>
        </w:rPr>
        <w:t> </w:t>
      </w:r>
      <w:r w:rsidR="00D41E9F" w:rsidRPr="00D36943">
        <w:rPr>
          <w:rStyle w:val="Odwoanieprzypisudolnego"/>
          <w:rFonts w:ascii="Times New Roman" w:hAnsi="Times New Roman" w:cs="Times New Roman"/>
          <w:bCs/>
          <w:sz w:val="24"/>
          <w:szCs w:val="24"/>
        </w:rPr>
        <w:footnoteReference w:id="13"/>
      </w:r>
      <w:r w:rsidR="00643D32" w:rsidRPr="00D36943">
        <w:rPr>
          <w:rFonts w:ascii="Times New Roman" w:hAnsi="Times New Roman" w:cs="Times New Roman"/>
          <w:bCs/>
          <w:sz w:val="24"/>
          <w:szCs w:val="24"/>
        </w:rPr>
        <w:t>,</w:t>
      </w:r>
    </w:p>
    <w:p w:rsidR="00242C45" w:rsidRPr="00E6247A" w:rsidRDefault="00BD2D95" w:rsidP="00160DBC">
      <w:pPr>
        <w:pStyle w:val="Bezodstpw"/>
        <w:numPr>
          <w:ilvl w:val="0"/>
          <w:numId w:val="19"/>
        </w:numPr>
        <w:jc w:val="both"/>
        <w:rPr>
          <w:rFonts w:ascii="Times New Roman" w:hAnsi="Times New Roman" w:cs="Times New Roman"/>
          <w:sz w:val="24"/>
          <w:szCs w:val="24"/>
        </w:rPr>
      </w:pPr>
      <w:r w:rsidRPr="00E6247A">
        <w:rPr>
          <w:rFonts w:ascii="Times New Roman" w:hAnsi="Times New Roman" w:cs="Times New Roman"/>
          <w:sz w:val="24"/>
          <w:szCs w:val="24"/>
        </w:rPr>
        <w:t xml:space="preserve">Niższy </w:t>
      </w:r>
      <w:r w:rsidR="0052432B" w:rsidRPr="00E6247A">
        <w:rPr>
          <w:rFonts w:ascii="Times New Roman" w:hAnsi="Times New Roman" w:cs="Times New Roman"/>
          <w:sz w:val="24"/>
          <w:szCs w:val="24"/>
        </w:rPr>
        <w:t xml:space="preserve">w porównaniu do innych województw </w:t>
      </w:r>
      <w:r w:rsidR="00242C45" w:rsidRPr="00E6247A">
        <w:rPr>
          <w:rFonts w:ascii="Times New Roman" w:hAnsi="Times New Roman" w:cs="Times New Roman"/>
          <w:sz w:val="24"/>
          <w:szCs w:val="24"/>
        </w:rPr>
        <w:t xml:space="preserve">udział </w:t>
      </w:r>
      <w:r w:rsidR="00F1012E" w:rsidRPr="00E6247A">
        <w:rPr>
          <w:rFonts w:ascii="Times New Roman" w:hAnsi="Times New Roman" w:cs="Times New Roman"/>
          <w:sz w:val="24"/>
          <w:szCs w:val="24"/>
        </w:rPr>
        <w:t xml:space="preserve">osób </w:t>
      </w:r>
      <w:r w:rsidR="00242C45" w:rsidRPr="00E6247A">
        <w:rPr>
          <w:rFonts w:ascii="Times New Roman" w:hAnsi="Times New Roman" w:cs="Times New Roman"/>
          <w:sz w:val="24"/>
          <w:szCs w:val="24"/>
        </w:rPr>
        <w:t>zatrudnionych</w:t>
      </w:r>
      <w:r w:rsidR="00AE5712" w:rsidRPr="00E6247A">
        <w:rPr>
          <w:rFonts w:ascii="Times New Roman" w:hAnsi="Times New Roman" w:cs="Times New Roman"/>
          <w:sz w:val="24"/>
          <w:szCs w:val="24"/>
        </w:rPr>
        <w:t xml:space="preserve"> w </w:t>
      </w:r>
      <w:r w:rsidR="00E6247A" w:rsidRPr="00E6247A">
        <w:rPr>
          <w:rFonts w:ascii="Times New Roman" w:hAnsi="Times New Roman" w:cs="Times New Roman"/>
          <w:sz w:val="24"/>
          <w:szCs w:val="24"/>
        </w:rPr>
        <w:t>handlu i </w:t>
      </w:r>
      <w:r w:rsidR="00242C45" w:rsidRPr="00E6247A">
        <w:rPr>
          <w:rFonts w:ascii="Times New Roman" w:hAnsi="Times New Roman" w:cs="Times New Roman"/>
          <w:sz w:val="24"/>
          <w:szCs w:val="24"/>
        </w:rPr>
        <w:t>usługach</w:t>
      </w:r>
      <w:r w:rsidR="000408F3" w:rsidRPr="00E6247A">
        <w:rPr>
          <w:rFonts w:ascii="Times New Roman" w:hAnsi="Times New Roman" w:cs="Times New Roman"/>
          <w:sz w:val="24"/>
          <w:szCs w:val="24"/>
        </w:rPr>
        <w:t xml:space="preserve"> – </w:t>
      </w:r>
      <w:r w:rsidR="00242C45" w:rsidRPr="00E6247A">
        <w:rPr>
          <w:rFonts w:ascii="Times New Roman" w:hAnsi="Times New Roman" w:cs="Times New Roman"/>
          <w:sz w:val="24"/>
          <w:szCs w:val="24"/>
        </w:rPr>
        <w:t>4</w:t>
      </w:r>
      <w:r w:rsidR="00E6247A" w:rsidRPr="00E6247A">
        <w:rPr>
          <w:rFonts w:ascii="Times New Roman" w:hAnsi="Times New Roman" w:cs="Times New Roman"/>
          <w:sz w:val="24"/>
          <w:szCs w:val="24"/>
        </w:rPr>
        <w:t>4</w:t>
      </w:r>
      <w:r w:rsidRPr="00E6247A">
        <w:rPr>
          <w:rFonts w:ascii="Times New Roman" w:hAnsi="Times New Roman" w:cs="Times New Roman"/>
          <w:sz w:val="24"/>
          <w:szCs w:val="24"/>
        </w:rPr>
        <w:t>,</w:t>
      </w:r>
      <w:r w:rsidR="00E6247A" w:rsidRPr="00E6247A">
        <w:rPr>
          <w:rFonts w:ascii="Times New Roman" w:hAnsi="Times New Roman" w:cs="Times New Roman"/>
          <w:sz w:val="24"/>
          <w:szCs w:val="24"/>
        </w:rPr>
        <w:t xml:space="preserve">2 </w:t>
      </w:r>
      <w:r w:rsidR="00242C45" w:rsidRPr="00E6247A">
        <w:rPr>
          <w:rFonts w:ascii="Times New Roman" w:hAnsi="Times New Roman" w:cs="Times New Roman"/>
          <w:sz w:val="24"/>
          <w:szCs w:val="24"/>
        </w:rPr>
        <w:t xml:space="preserve">% </w:t>
      </w:r>
      <w:r w:rsidRPr="00E6247A">
        <w:rPr>
          <w:rFonts w:ascii="Times New Roman" w:hAnsi="Times New Roman" w:cs="Times New Roman"/>
          <w:sz w:val="24"/>
          <w:szCs w:val="24"/>
        </w:rPr>
        <w:t xml:space="preserve">ogółu </w:t>
      </w:r>
      <w:r w:rsidR="00242C45" w:rsidRPr="00E6247A">
        <w:rPr>
          <w:rFonts w:ascii="Times New Roman" w:hAnsi="Times New Roman" w:cs="Times New Roman"/>
          <w:sz w:val="24"/>
          <w:szCs w:val="24"/>
        </w:rPr>
        <w:t>pracujących</w:t>
      </w:r>
      <w:r w:rsidRPr="00E6247A">
        <w:rPr>
          <w:rFonts w:ascii="Times New Roman" w:hAnsi="Times New Roman" w:cs="Times New Roman"/>
          <w:sz w:val="24"/>
          <w:szCs w:val="24"/>
        </w:rPr>
        <w:t xml:space="preserve"> (</w:t>
      </w:r>
      <w:r w:rsidR="00295756" w:rsidRPr="00E6247A">
        <w:rPr>
          <w:rFonts w:ascii="Times New Roman" w:hAnsi="Times New Roman" w:cs="Times New Roman"/>
          <w:sz w:val="24"/>
          <w:szCs w:val="24"/>
        </w:rPr>
        <w:t>Polska</w:t>
      </w:r>
      <w:r w:rsidRPr="00E6247A">
        <w:rPr>
          <w:rFonts w:ascii="Times New Roman" w:hAnsi="Times New Roman" w:cs="Times New Roman"/>
          <w:sz w:val="24"/>
          <w:szCs w:val="24"/>
        </w:rPr>
        <w:t xml:space="preserve"> – 57,</w:t>
      </w:r>
      <w:r w:rsidR="00E6247A" w:rsidRPr="00E6247A">
        <w:rPr>
          <w:rFonts w:ascii="Times New Roman" w:hAnsi="Times New Roman" w:cs="Times New Roman"/>
          <w:sz w:val="24"/>
          <w:szCs w:val="24"/>
        </w:rPr>
        <w:t xml:space="preserve">9 </w:t>
      </w:r>
      <w:r w:rsidRPr="00E6247A">
        <w:rPr>
          <w:rFonts w:ascii="Times New Roman" w:hAnsi="Times New Roman" w:cs="Times New Roman"/>
          <w:sz w:val="24"/>
          <w:szCs w:val="24"/>
        </w:rPr>
        <w:t>%)</w:t>
      </w:r>
      <w:r w:rsidR="00242C45" w:rsidRPr="00E6247A">
        <w:rPr>
          <w:rFonts w:ascii="Times New Roman" w:hAnsi="Times New Roman" w:cs="Times New Roman"/>
          <w:sz w:val="24"/>
          <w:szCs w:val="24"/>
        </w:rPr>
        <w:t>.</w:t>
      </w:r>
    </w:p>
    <w:p w:rsidR="000D73AE" w:rsidRPr="00C75C71" w:rsidRDefault="000D73AE" w:rsidP="005C72B7">
      <w:pPr>
        <w:pStyle w:val="Bezodstpw"/>
        <w:ind w:left="1410" w:hanging="1410"/>
        <w:jc w:val="both"/>
        <w:rPr>
          <w:rFonts w:ascii="Times New Roman" w:hAnsi="Times New Roman" w:cs="Times New Roman"/>
          <w:szCs w:val="24"/>
          <w:highlight w:val="yellow"/>
        </w:rPr>
      </w:pPr>
    </w:p>
    <w:p w:rsidR="006008F4" w:rsidRPr="001707C3" w:rsidRDefault="00B92E45" w:rsidP="006008F4">
      <w:pPr>
        <w:pStyle w:val="Bezodstpw"/>
        <w:ind w:left="1410" w:hanging="1410"/>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707C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Tabela </w:t>
      </w:r>
      <w:r w:rsidR="00B220FE" w:rsidRPr="001707C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sidR="001707C3" w:rsidRPr="001707C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3</w:t>
      </w:r>
      <w:r w:rsidRPr="001707C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C72E81" w:rsidRPr="001707C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1707C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D41E9F" w:rsidRPr="001707C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Liczba osób pracujących </w:t>
      </w:r>
      <w:r w:rsidR="00AE5712" w:rsidRPr="001707C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t>
      </w:r>
      <w:r w:rsidR="00643D32" w:rsidRPr="001707C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1707C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powiatach województwa podkarpackiego</w:t>
      </w:r>
      <w:r w:rsidR="006008F4" w:rsidRPr="001707C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00D41E9F" w:rsidRPr="001707C3">
        <w:rPr>
          <w:rStyle w:val="Odwoanieprzypisudolnego"/>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footnoteReference w:id="14"/>
      </w:r>
    </w:p>
    <w:p w:rsidR="00B92E45" w:rsidRDefault="006008F4" w:rsidP="005C72B7">
      <w:pPr>
        <w:pStyle w:val="Bezodstpw"/>
        <w:ind w:left="1410" w:hanging="1410"/>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707C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022C02" w:rsidRPr="001707C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BEZ </w:t>
      </w:r>
      <w:r w:rsidRPr="001707C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podmiotów gospodarczych o liczbie pracujących do 9 osób, patrz przypis</w:t>
      </w:r>
    </w:p>
    <w:p w:rsidR="00E6247A" w:rsidRPr="001707C3" w:rsidRDefault="00E6247A" w:rsidP="005C72B7">
      <w:pPr>
        <w:pStyle w:val="Bezodstpw"/>
        <w:ind w:left="1410" w:hanging="1410"/>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bl>
      <w:tblPr>
        <w:tblStyle w:val="Tabela-Siatka"/>
        <w:tblW w:w="4861" w:type="pct"/>
        <w:jc w:val="center"/>
        <w:tblInd w:w="846" w:type="dxa"/>
        <w:tblLook w:val="04A0" w:firstRow="1" w:lastRow="0" w:firstColumn="1" w:lastColumn="0" w:noHBand="0" w:noVBand="1"/>
      </w:tblPr>
      <w:tblGrid>
        <w:gridCol w:w="2389"/>
        <w:gridCol w:w="1984"/>
        <w:gridCol w:w="1560"/>
        <w:gridCol w:w="1277"/>
        <w:gridCol w:w="1818"/>
      </w:tblGrid>
      <w:tr w:rsidR="000F6265" w:rsidRPr="00C75C71" w:rsidTr="001707C3">
        <w:trPr>
          <w:jc w:val="center"/>
        </w:trPr>
        <w:tc>
          <w:tcPr>
            <w:tcW w:w="1323" w:type="pct"/>
            <w:shd w:val="clear" w:color="auto" w:fill="E5DFEC" w:themeFill="accent4" w:themeFillTint="33"/>
            <w:vAlign w:val="center"/>
          </w:tcPr>
          <w:p w:rsidR="000F6265" w:rsidRPr="00B65D23" w:rsidRDefault="001707C3" w:rsidP="001707C3">
            <w:pPr>
              <w:jc w:val="center"/>
              <w:rPr>
                <w:rFonts w:ascii="Times New Roman" w:hAnsi="Times New Roman" w:cs="Times New Roman"/>
                <w:b/>
                <w:sz w:val="16"/>
                <w:szCs w:val="16"/>
              </w:rPr>
            </w:pPr>
            <w:r w:rsidRPr="00B65D23">
              <w:rPr>
                <w:rFonts w:ascii="Times New Roman" w:hAnsi="Times New Roman" w:cs="Times New Roman"/>
                <w:b/>
                <w:sz w:val="16"/>
                <w:szCs w:val="16"/>
              </w:rPr>
              <w:t>POWIAT</w:t>
            </w:r>
          </w:p>
        </w:tc>
        <w:tc>
          <w:tcPr>
            <w:tcW w:w="1099" w:type="pct"/>
            <w:shd w:val="clear" w:color="auto" w:fill="E5DFEC" w:themeFill="accent4" w:themeFillTint="33"/>
            <w:vAlign w:val="center"/>
          </w:tcPr>
          <w:p w:rsidR="000F6265" w:rsidRPr="00B65D23" w:rsidRDefault="000F6265" w:rsidP="001707C3">
            <w:pPr>
              <w:jc w:val="center"/>
              <w:rPr>
                <w:rFonts w:ascii="Times New Roman" w:hAnsi="Times New Roman" w:cs="Times New Roman"/>
                <w:b/>
                <w:sz w:val="16"/>
                <w:szCs w:val="16"/>
              </w:rPr>
            </w:pPr>
            <w:r w:rsidRPr="00B65D23">
              <w:rPr>
                <w:rFonts w:ascii="Times New Roman" w:hAnsi="Times New Roman" w:cs="Times New Roman"/>
                <w:b/>
                <w:sz w:val="16"/>
                <w:szCs w:val="16"/>
              </w:rPr>
              <w:t>NUTS III</w:t>
            </w:r>
            <w:r w:rsidR="001707C3" w:rsidRPr="00B65D23">
              <w:rPr>
                <w:rFonts w:ascii="Times New Roman" w:hAnsi="Times New Roman" w:cs="Times New Roman"/>
                <w:b/>
                <w:sz w:val="16"/>
                <w:szCs w:val="16"/>
              </w:rPr>
              <w:t xml:space="preserve">  </w:t>
            </w:r>
            <w:r w:rsidRPr="00B65D23">
              <w:rPr>
                <w:rFonts w:ascii="Times New Roman" w:hAnsi="Times New Roman" w:cs="Times New Roman"/>
                <w:b/>
                <w:sz w:val="16"/>
                <w:szCs w:val="16"/>
              </w:rPr>
              <w:t>(Subregion)</w:t>
            </w:r>
          </w:p>
        </w:tc>
        <w:tc>
          <w:tcPr>
            <w:tcW w:w="864" w:type="pct"/>
            <w:shd w:val="clear" w:color="auto" w:fill="E5DFEC" w:themeFill="accent4" w:themeFillTint="33"/>
            <w:vAlign w:val="center"/>
          </w:tcPr>
          <w:p w:rsidR="000F6265" w:rsidRPr="00B65D23" w:rsidRDefault="000F6265" w:rsidP="000D73AE">
            <w:pPr>
              <w:jc w:val="center"/>
              <w:rPr>
                <w:rFonts w:ascii="Times New Roman" w:hAnsi="Times New Roman" w:cs="Times New Roman"/>
                <w:b/>
                <w:sz w:val="16"/>
                <w:szCs w:val="16"/>
              </w:rPr>
            </w:pPr>
            <w:r w:rsidRPr="00B65D23">
              <w:rPr>
                <w:rFonts w:ascii="Times New Roman" w:hAnsi="Times New Roman" w:cs="Times New Roman"/>
                <w:b/>
                <w:sz w:val="16"/>
                <w:szCs w:val="16"/>
              </w:rPr>
              <w:t>31 XII ‘1</w:t>
            </w:r>
            <w:r w:rsidR="000D73AE" w:rsidRPr="00B65D23">
              <w:rPr>
                <w:rFonts w:ascii="Times New Roman" w:hAnsi="Times New Roman" w:cs="Times New Roman"/>
                <w:b/>
                <w:sz w:val="16"/>
                <w:szCs w:val="16"/>
              </w:rPr>
              <w:t>6</w:t>
            </w:r>
          </w:p>
        </w:tc>
        <w:tc>
          <w:tcPr>
            <w:tcW w:w="707" w:type="pct"/>
            <w:shd w:val="clear" w:color="auto" w:fill="E5DFEC" w:themeFill="accent4" w:themeFillTint="33"/>
            <w:vAlign w:val="center"/>
          </w:tcPr>
          <w:p w:rsidR="000F6265" w:rsidRPr="00B65D23" w:rsidRDefault="000F6265" w:rsidP="000D73AE">
            <w:pPr>
              <w:jc w:val="center"/>
              <w:rPr>
                <w:rFonts w:ascii="Times New Roman" w:hAnsi="Times New Roman" w:cs="Times New Roman"/>
                <w:b/>
                <w:sz w:val="16"/>
                <w:szCs w:val="16"/>
              </w:rPr>
            </w:pPr>
            <w:r w:rsidRPr="00B65D23">
              <w:rPr>
                <w:rFonts w:ascii="Times New Roman" w:hAnsi="Times New Roman" w:cs="Times New Roman"/>
                <w:b/>
                <w:sz w:val="16"/>
                <w:szCs w:val="16"/>
              </w:rPr>
              <w:t>31 XII ‘1</w:t>
            </w:r>
            <w:r w:rsidR="000D73AE" w:rsidRPr="00B65D23">
              <w:rPr>
                <w:rFonts w:ascii="Times New Roman" w:hAnsi="Times New Roman" w:cs="Times New Roman"/>
                <w:b/>
                <w:sz w:val="16"/>
                <w:szCs w:val="16"/>
              </w:rPr>
              <w:t>7</w:t>
            </w:r>
          </w:p>
        </w:tc>
        <w:tc>
          <w:tcPr>
            <w:tcW w:w="1007" w:type="pct"/>
            <w:shd w:val="clear" w:color="auto" w:fill="E5DFEC" w:themeFill="accent4" w:themeFillTint="33"/>
            <w:vAlign w:val="center"/>
          </w:tcPr>
          <w:p w:rsidR="000F6265" w:rsidRPr="00B65D23" w:rsidRDefault="001707C3" w:rsidP="001707C3">
            <w:pPr>
              <w:jc w:val="center"/>
              <w:rPr>
                <w:rFonts w:ascii="Times New Roman" w:hAnsi="Times New Roman" w:cs="Times New Roman"/>
                <w:b/>
                <w:sz w:val="16"/>
                <w:szCs w:val="16"/>
              </w:rPr>
            </w:pPr>
            <w:r w:rsidRPr="00B65D23">
              <w:rPr>
                <w:rFonts w:ascii="Times New Roman" w:hAnsi="Times New Roman" w:cs="Times New Roman"/>
                <w:b/>
                <w:sz w:val="16"/>
                <w:szCs w:val="16"/>
              </w:rPr>
              <w:t xml:space="preserve">WZROST </w:t>
            </w:r>
            <w:r w:rsidR="000F6265" w:rsidRPr="00B65D23">
              <w:rPr>
                <w:rFonts w:ascii="Times New Roman" w:hAnsi="Times New Roman" w:cs="Times New Roman"/>
                <w:b/>
                <w:sz w:val="16"/>
                <w:szCs w:val="16"/>
              </w:rPr>
              <w:t>/</w:t>
            </w:r>
            <w:r w:rsidRPr="00B65D23">
              <w:rPr>
                <w:rFonts w:ascii="Times New Roman" w:hAnsi="Times New Roman" w:cs="Times New Roman"/>
                <w:b/>
                <w:sz w:val="16"/>
                <w:szCs w:val="16"/>
              </w:rPr>
              <w:t xml:space="preserve"> SPADEK</w:t>
            </w:r>
          </w:p>
        </w:tc>
      </w:tr>
      <w:tr w:rsidR="00B65D23" w:rsidRPr="00C75C71" w:rsidTr="00B65D23">
        <w:trPr>
          <w:jc w:val="center"/>
        </w:trPr>
        <w:tc>
          <w:tcPr>
            <w:tcW w:w="1323" w:type="pct"/>
            <w:shd w:val="clear" w:color="auto" w:fill="E5DFEC" w:themeFill="accent4" w:themeFillTint="33"/>
          </w:tcPr>
          <w:p w:rsidR="00B65D23" w:rsidRPr="00B65D23" w:rsidRDefault="00B65D23" w:rsidP="00295756">
            <w:pPr>
              <w:rPr>
                <w:rFonts w:ascii="Times New Roman" w:hAnsi="Times New Roman" w:cs="Times New Roman"/>
                <w:b/>
                <w:sz w:val="16"/>
                <w:szCs w:val="16"/>
              </w:rPr>
            </w:pPr>
            <w:r w:rsidRPr="00B65D23">
              <w:rPr>
                <w:rFonts w:ascii="Times New Roman" w:hAnsi="Times New Roman" w:cs="Times New Roman"/>
                <w:b/>
                <w:sz w:val="16"/>
                <w:szCs w:val="16"/>
              </w:rPr>
              <w:t>Polska</w:t>
            </w:r>
          </w:p>
        </w:tc>
        <w:tc>
          <w:tcPr>
            <w:tcW w:w="1099" w:type="pct"/>
            <w:shd w:val="clear" w:color="auto" w:fill="E5DFEC" w:themeFill="accent4" w:themeFillTint="33"/>
          </w:tcPr>
          <w:p w:rsidR="00B65D23" w:rsidRPr="00B65D23" w:rsidRDefault="00B65D23" w:rsidP="00AA0C8D">
            <w:pPr>
              <w:jc w:val="center"/>
              <w:rPr>
                <w:rFonts w:ascii="Times New Roman" w:hAnsi="Times New Roman" w:cs="Times New Roman"/>
                <w:b/>
                <w:color w:val="000000"/>
                <w:sz w:val="16"/>
                <w:szCs w:val="16"/>
              </w:rPr>
            </w:pPr>
            <w:r w:rsidRPr="00B65D23">
              <w:rPr>
                <w:rFonts w:ascii="Times New Roman" w:hAnsi="Times New Roman" w:cs="Times New Roman"/>
                <w:b/>
                <w:color w:val="000000"/>
                <w:sz w:val="16"/>
                <w:szCs w:val="16"/>
              </w:rPr>
              <w:t>---</w:t>
            </w:r>
          </w:p>
        </w:tc>
        <w:tc>
          <w:tcPr>
            <w:tcW w:w="864" w:type="pct"/>
            <w:shd w:val="clear" w:color="auto" w:fill="E5DFEC" w:themeFill="accent4" w:themeFillTint="33"/>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11 583 009</w:t>
            </w:r>
          </w:p>
        </w:tc>
        <w:tc>
          <w:tcPr>
            <w:tcW w:w="707" w:type="pct"/>
            <w:shd w:val="clear" w:color="auto" w:fill="E5DFEC" w:themeFill="accent4" w:themeFillTint="33"/>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11 833 969</w:t>
            </w:r>
          </w:p>
        </w:tc>
        <w:tc>
          <w:tcPr>
            <w:tcW w:w="1007" w:type="pct"/>
            <w:shd w:val="clear" w:color="auto" w:fill="E5DFEC" w:themeFill="accent4" w:themeFillTint="33"/>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250 960</w:t>
            </w:r>
          </w:p>
        </w:tc>
      </w:tr>
      <w:tr w:rsidR="00B65D23" w:rsidRPr="00C75C71" w:rsidTr="00B65D23">
        <w:trPr>
          <w:jc w:val="center"/>
        </w:trPr>
        <w:tc>
          <w:tcPr>
            <w:tcW w:w="1323" w:type="pct"/>
            <w:shd w:val="clear" w:color="auto" w:fill="E5DFEC" w:themeFill="accent4" w:themeFillTint="33"/>
          </w:tcPr>
          <w:p w:rsidR="00B65D23" w:rsidRPr="00B65D23" w:rsidRDefault="00B65D23" w:rsidP="00295756">
            <w:pPr>
              <w:rPr>
                <w:rFonts w:ascii="Times New Roman" w:hAnsi="Times New Roman" w:cs="Times New Roman"/>
                <w:b/>
                <w:sz w:val="16"/>
                <w:szCs w:val="16"/>
              </w:rPr>
            </w:pPr>
            <w:r w:rsidRPr="00B65D23">
              <w:rPr>
                <w:rFonts w:ascii="Times New Roman" w:hAnsi="Times New Roman" w:cs="Times New Roman"/>
                <w:b/>
                <w:sz w:val="16"/>
                <w:szCs w:val="16"/>
              </w:rPr>
              <w:t>woj. podkarpackie</w:t>
            </w:r>
          </w:p>
        </w:tc>
        <w:tc>
          <w:tcPr>
            <w:tcW w:w="1099" w:type="pct"/>
            <w:shd w:val="clear" w:color="auto" w:fill="E5DFEC" w:themeFill="accent4" w:themeFillTint="33"/>
          </w:tcPr>
          <w:p w:rsidR="00B65D23" w:rsidRPr="00B65D23" w:rsidRDefault="00B65D23" w:rsidP="00AA0C8D">
            <w:pPr>
              <w:jc w:val="center"/>
              <w:rPr>
                <w:rFonts w:ascii="Times New Roman" w:hAnsi="Times New Roman" w:cs="Times New Roman"/>
                <w:b/>
                <w:color w:val="000000"/>
                <w:sz w:val="16"/>
                <w:szCs w:val="16"/>
              </w:rPr>
            </w:pPr>
            <w:r w:rsidRPr="00B65D23">
              <w:rPr>
                <w:rFonts w:ascii="Times New Roman" w:hAnsi="Times New Roman" w:cs="Times New Roman"/>
                <w:b/>
                <w:color w:val="000000"/>
                <w:sz w:val="16"/>
                <w:szCs w:val="16"/>
              </w:rPr>
              <w:t>---</w:t>
            </w:r>
          </w:p>
        </w:tc>
        <w:tc>
          <w:tcPr>
            <w:tcW w:w="864" w:type="pct"/>
            <w:shd w:val="clear" w:color="auto" w:fill="E5DFEC" w:themeFill="accent4" w:themeFillTint="33"/>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699 065</w:t>
            </w:r>
          </w:p>
        </w:tc>
        <w:tc>
          <w:tcPr>
            <w:tcW w:w="707" w:type="pct"/>
            <w:shd w:val="clear" w:color="auto" w:fill="E5DFEC" w:themeFill="accent4" w:themeFillTint="33"/>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711 729</w:t>
            </w:r>
          </w:p>
        </w:tc>
        <w:tc>
          <w:tcPr>
            <w:tcW w:w="1007" w:type="pct"/>
            <w:shd w:val="clear" w:color="auto" w:fill="E5DFEC" w:themeFill="accent4" w:themeFillTint="33"/>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12 664</w:t>
            </w:r>
          </w:p>
        </w:tc>
      </w:tr>
      <w:tr w:rsidR="00B65D23" w:rsidRPr="00C75C71" w:rsidTr="00B65D23">
        <w:trPr>
          <w:jc w:val="center"/>
        </w:trPr>
        <w:tc>
          <w:tcPr>
            <w:tcW w:w="1323" w:type="pct"/>
            <w:shd w:val="clear" w:color="auto" w:fill="FFFFFF" w:themeFill="background1"/>
          </w:tcPr>
          <w:p w:rsidR="00B65D23" w:rsidRPr="00B65D23" w:rsidRDefault="00B65D23" w:rsidP="00A11007">
            <w:pPr>
              <w:rPr>
                <w:rFonts w:ascii="Times New Roman" w:hAnsi="Times New Roman" w:cs="Times New Roman"/>
                <w:sz w:val="16"/>
                <w:szCs w:val="16"/>
              </w:rPr>
            </w:pPr>
            <w:r w:rsidRPr="00B65D23">
              <w:rPr>
                <w:rFonts w:ascii="Times New Roman" w:hAnsi="Times New Roman" w:cs="Times New Roman"/>
                <w:sz w:val="16"/>
                <w:szCs w:val="16"/>
              </w:rPr>
              <w:t>bieszczadzki</w:t>
            </w:r>
          </w:p>
        </w:tc>
        <w:tc>
          <w:tcPr>
            <w:tcW w:w="1099" w:type="pct"/>
            <w:shd w:val="clear" w:color="auto" w:fill="FFFFFF" w:themeFill="background1"/>
          </w:tcPr>
          <w:p w:rsidR="00B65D23" w:rsidRPr="00B65D23" w:rsidRDefault="00B65D23" w:rsidP="00B65D23">
            <w:pPr>
              <w:rPr>
                <w:rFonts w:ascii="Times New Roman" w:hAnsi="Times New Roman" w:cs="Times New Roman"/>
                <w:color w:val="000000"/>
                <w:sz w:val="16"/>
                <w:szCs w:val="16"/>
              </w:rPr>
            </w:pPr>
            <w:r w:rsidRPr="00B65D23">
              <w:rPr>
                <w:rFonts w:ascii="Times New Roman" w:hAnsi="Times New Roman" w:cs="Times New Roman"/>
                <w:color w:val="000000"/>
                <w:sz w:val="16"/>
                <w:szCs w:val="16"/>
              </w:rPr>
              <w:t>krośnieński</w:t>
            </w:r>
          </w:p>
        </w:tc>
        <w:tc>
          <w:tcPr>
            <w:tcW w:w="864"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5 744</w:t>
            </w:r>
          </w:p>
        </w:tc>
        <w:tc>
          <w:tcPr>
            <w:tcW w:w="7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5 643</w:t>
            </w:r>
          </w:p>
        </w:tc>
        <w:tc>
          <w:tcPr>
            <w:tcW w:w="10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- 101</w:t>
            </w:r>
          </w:p>
        </w:tc>
      </w:tr>
      <w:tr w:rsidR="00B65D23" w:rsidRPr="00C75C71" w:rsidTr="00B65D23">
        <w:trPr>
          <w:jc w:val="center"/>
        </w:trPr>
        <w:tc>
          <w:tcPr>
            <w:tcW w:w="1323" w:type="pct"/>
            <w:shd w:val="clear" w:color="auto" w:fill="FFFFFF" w:themeFill="background1"/>
          </w:tcPr>
          <w:p w:rsidR="00B65D23" w:rsidRPr="00B65D23" w:rsidRDefault="00B65D23" w:rsidP="00A11007">
            <w:pPr>
              <w:rPr>
                <w:rFonts w:ascii="Times New Roman" w:hAnsi="Times New Roman" w:cs="Times New Roman"/>
                <w:sz w:val="16"/>
                <w:szCs w:val="16"/>
              </w:rPr>
            </w:pPr>
            <w:r w:rsidRPr="00B65D23">
              <w:rPr>
                <w:rFonts w:ascii="Times New Roman" w:hAnsi="Times New Roman" w:cs="Times New Roman"/>
                <w:sz w:val="16"/>
                <w:szCs w:val="16"/>
              </w:rPr>
              <w:t>brzozowski</w:t>
            </w:r>
          </w:p>
        </w:tc>
        <w:tc>
          <w:tcPr>
            <w:tcW w:w="1099" w:type="pct"/>
            <w:shd w:val="clear" w:color="auto" w:fill="FFFFFF" w:themeFill="background1"/>
          </w:tcPr>
          <w:p w:rsidR="00B65D23" w:rsidRPr="00B65D23" w:rsidRDefault="00B65D23" w:rsidP="00B65D23">
            <w:pPr>
              <w:rPr>
                <w:rFonts w:ascii="Times New Roman" w:hAnsi="Times New Roman" w:cs="Times New Roman"/>
                <w:color w:val="000000"/>
                <w:sz w:val="16"/>
                <w:szCs w:val="16"/>
              </w:rPr>
            </w:pPr>
            <w:r w:rsidRPr="00B65D23">
              <w:rPr>
                <w:rFonts w:ascii="Times New Roman" w:hAnsi="Times New Roman" w:cs="Times New Roman"/>
                <w:color w:val="000000"/>
                <w:sz w:val="16"/>
                <w:szCs w:val="16"/>
              </w:rPr>
              <w:t>krośnieński</w:t>
            </w:r>
          </w:p>
        </w:tc>
        <w:tc>
          <w:tcPr>
            <w:tcW w:w="864"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20 636</w:t>
            </w:r>
          </w:p>
        </w:tc>
        <w:tc>
          <w:tcPr>
            <w:tcW w:w="7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20 720</w:t>
            </w:r>
          </w:p>
        </w:tc>
        <w:tc>
          <w:tcPr>
            <w:tcW w:w="10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84</w:t>
            </w:r>
          </w:p>
        </w:tc>
      </w:tr>
      <w:tr w:rsidR="00B65D23" w:rsidRPr="001D65B6" w:rsidTr="00B65D23">
        <w:trPr>
          <w:jc w:val="center"/>
        </w:trPr>
        <w:tc>
          <w:tcPr>
            <w:tcW w:w="1323" w:type="pct"/>
            <w:shd w:val="clear" w:color="auto" w:fill="FFFFFF" w:themeFill="background1"/>
          </w:tcPr>
          <w:p w:rsidR="00B65D23" w:rsidRPr="00B65D23" w:rsidRDefault="00B65D23" w:rsidP="00A11007">
            <w:pPr>
              <w:rPr>
                <w:rFonts w:ascii="Times New Roman" w:hAnsi="Times New Roman" w:cs="Times New Roman"/>
                <w:color w:val="000000" w:themeColor="text1"/>
                <w:sz w:val="16"/>
                <w:szCs w:val="16"/>
              </w:rPr>
            </w:pPr>
            <w:r w:rsidRPr="00B65D23">
              <w:rPr>
                <w:rFonts w:ascii="Times New Roman" w:hAnsi="Times New Roman" w:cs="Times New Roman"/>
                <w:color w:val="000000" w:themeColor="text1"/>
                <w:sz w:val="16"/>
                <w:szCs w:val="16"/>
              </w:rPr>
              <w:t>dębicki</w:t>
            </w:r>
          </w:p>
        </w:tc>
        <w:tc>
          <w:tcPr>
            <w:tcW w:w="1099" w:type="pct"/>
            <w:shd w:val="clear" w:color="auto" w:fill="FFFFFF" w:themeFill="background1"/>
          </w:tcPr>
          <w:p w:rsidR="00B65D23" w:rsidRPr="00B65D23" w:rsidRDefault="00B65D23" w:rsidP="00B65D23">
            <w:pPr>
              <w:rPr>
                <w:rFonts w:ascii="Times New Roman" w:hAnsi="Times New Roman" w:cs="Times New Roman"/>
                <w:color w:val="000000" w:themeColor="text1"/>
                <w:sz w:val="16"/>
                <w:szCs w:val="16"/>
              </w:rPr>
            </w:pPr>
            <w:r w:rsidRPr="00B65D23">
              <w:rPr>
                <w:rFonts w:ascii="Times New Roman" w:hAnsi="Times New Roman" w:cs="Times New Roman"/>
                <w:color w:val="000000" w:themeColor="text1"/>
                <w:sz w:val="16"/>
                <w:szCs w:val="16"/>
              </w:rPr>
              <w:t>tarnobrzeski</w:t>
            </w:r>
          </w:p>
        </w:tc>
        <w:tc>
          <w:tcPr>
            <w:tcW w:w="864"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46 300</w:t>
            </w:r>
          </w:p>
        </w:tc>
        <w:tc>
          <w:tcPr>
            <w:tcW w:w="7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47 203</w:t>
            </w:r>
          </w:p>
        </w:tc>
        <w:tc>
          <w:tcPr>
            <w:tcW w:w="10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903</w:t>
            </w:r>
          </w:p>
        </w:tc>
      </w:tr>
      <w:tr w:rsidR="00B65D23" w:rsidRPr="00C75C71" w:rsidTr="00B65D23">
        <w:trPr>
          <w:jc w:val="center"/>
        </w:trPr>
        <w:tc>
          <w:tcPr>
            <w:tcW w:w="1323" w:type="pct"/>
            <w:shd w:val="clear" w:color="auto" w:fill="FFFFFF" w:themeFill="background1"/>
          </w:tcPr>
          <w:p w:rsidR="00B65D23" w:rsidRPr="00B65D23" w:rsidRDefault="00B65D23" w:rsidP="00A11007">
            <w:pPr>
              <w:rPr>
                <w:rFonts w:ascii="Times New Roman" w:hAnsi="Times New Roman" w:cs="Times New Roman"/>
                <w:sz w:val="16"/>
                <w:szCs w:val="16"/>
              </w:rPr>
            </w:pPr>
            <w:r w:rsidRPr="00B65D23">
              <w:rPr>
                <w:rFonts w:ascii="Times New Roman" w:hAnsi="Times New Roman" w:cs="Times New Roman"/>
                <w:sz w:val="16"/>
                <w:szCs w:val="16"/>
              </w:rPr>
              <w:t>jarosławski</w:t>
            </w:r>
          </w:p>
        </w:tc>
        <w:tc>
          <w:tcPr>
            <w:tcW w:w="1099" w:type="pct"/>
            <w:shd w:val="clear" w:color="auto" w:fill="FFFFFF" w:themeFill="background1"/>
          </w:tcPr>
          <w:p w:rsidR="00B65D23" w:rsidRPr="00B65D23" w:rsidRDefault="00B65D23" w:rsidP="00B65D23">
            <w:pPr>
              <w:rPr>
                <w:rFonts w:ascii="Times New Roman" w:hAnsi="Times New Roman" w:cs="Times New Roman"/>
                <w:color w:val="000000"/>
                <w:sz w:val="16"/>
                <w:szCs w:val="16"/>
              </w:rPr>
            </w:pPr>
            <w:r w:rsidRPr="00B65D23">
              <w:rPr>
                <w:rFonts w:ascii="Times New Roman" w:hAnsi="Times New Roman" w:cs="Times New Roman"/>
                <w:color w:val="000000"/>
                <w:sz w:val="16"/>
                <w:szCs w:val="16"/>
              </w:rPr>
              <w:t>przemyski</w:t>
            </w:r>
          </w:p>
        </w:tc>
        <w:tc>
          <w:tcPr>
            <w:tcW w:w="864"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38 635</w:t>
            </w:r>
          </w:p>
        </w:tc>
        <w:tc>
          <w:tcPr>
            <w:tcW w:w="7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39 542</w:t>
            </w:r>
          </w:p>
        </w:tc>
        <w:tc>
          <w:tcPr>
            <w:tcW w:w="10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907</w:t>
            </w:r>
          </w:p>
        </w:tc>
      </w:tr>
      <w:tr w:rsidR="00B65D23" w:rsidRPr="00C75C71" w:rsidTr="00B65D23">
        <w:trPr>
          <w:jc w:val="center"/>
        </w:trPr>
        <w:tc>
          <w:tcPr>
            <w:tcW w:w="1323" w:type="pct"/>
            <w:shd w:val="clear" w:color="auto" w:fill="FFFFFF" w:themeFill="background1"/>
          </w:tcPr>
          <w:p w:rsidR="00B65D23" w:rsidRPr="00B65D23" w:rsidRDefault="00B65D23" w:rsidP="00A11007">
            <w:pPr>
              <w:rPr>
                <w:rFonts w:ascii="Times New Roman" w:hAnsi="Times New Roman" w:cs="Times New Roman"/>
                <w:sz w:val="16"/>
                <w:szCs w:val="16"/>
              </w:rPr>
            </w:pPr>
            <w:r w:rsidRPr="00B65D23">
              <w:rPr>
                <w:rFonts w:ascii="Times New Roman" w:hAnsi="Times New Roman" w:cs="Times New Roman"/>
                <w:sz w:val="16"/>
                <w:szCs w:val="16"/>
              </w:rPr>
              <w:t>jasielski</w:t>
            </w:r>
          </w:p>
        </w:tc>
        <w:tc>
          <w:tcPr>
            <w:tcW w:w="1099" w:type="pct"/>
            <w:shd w:val="clear" w:color="auto" w:fill="FFFFFF" w:themeFill="background1"/>
          </w:tcPr>
          <w:p w:rsidR="00B65D23" w:rsidRPr="00B65D23" w:rsidRDefault="00B65D23" w:rsidP="00B65D23">
            <w:pPr>
              <w:rPr>
                <w:rFonts w:ascii="Times New Roman" w:hAnsi="Times New Roman" w:cs="Times New Roman"/>
                <w:color w:val="000000"/>
                <w:sz w:val="16"/>
                <w:szCs w:val="16"/>
              </w:rPr>
            </w:pPr>
            <w:r w:rsidRPr="00B65D23">
              <w:rPr>
                <w:rFonts w:ascii="Times New Roman" w:hAnsi="Times New Roman" w:cs="Times New Roman"/>
                <w:color w:val="000000"/>
                <w:sz w:val="16"/>
                <w:szCs w:val="16"/>
              </w:rPr>
              <w:t>krośnieński</w:t>
            </w:r>
          </w:p>
        </w:tc>
        <w:tc>
          <w:tcPr>
            <w:tcW w:w="864"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39 842</w:t>
            </w:r>
          </w:p>
        </w:tc>
        <w:tc>
          <w:tcPr>
            <w:tcW w:w="7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40 014</w:t>
            </w:r>
          </w:p>
        </w:tc>
        <w:tc>
          <w:tcPr>
            <w:tcW w:w="10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172</w:t>
            </w:r>
          </w:p>
        </w:tc>
      </w:tr>
      <w:tr w:rsidR="00B65D23" w:rsidRPr="00C75C71" w:rsidTr="00B65D23">
        <w:trPr>
          <w:jc w:val="center"/>
        </w:trPr>
        <w:tc>
          <w:tcPr>
            <w:tcW w:w="1323" w:type="pct"/>
            <w:shd w:val="clear" w:color="auto" w:fill="FFFFFF" w:themeFill="background1"/>
          </w:tcPr>
          <w:p w:rsidR="00B65D23" w:rsidRPr="00B65D23" w:rsidRDefault="00B65D23" w:rsidP="00A11007">
            <w:pPr>
              <w:rPr>
                <w:rFonts w:ascii="Times New Roman" w:hAnsi="Times New Roman" w:cs="Times New Roman"/>
                <w:sz w:val="16"/>
                <w:szCs w:val="16"/>
              </w:rPr>
            </w:pPr>
            <w:r w:rsidRPr="00B65D23">
              <w:rPr>
                <w:rFonts w:ascii="Times New Roman" w:hAnsi="Times New Roman" w:cs="Times New Roman"/>
                <w:sz w:val="16"/>
                <w:szCs w:val="16"/>
              </w:rPr>
              <w:lastRenderedPageBreak/>
              <w:t>kolbuszowski</w:t>
            </w:r>
          </w:p>
        </w:tc>
        <w:tc>
          <w:tcPr>
            <w:tcW w:w="1099" w:type="pct"/>
            <w:shd w:val="clear" w:color="auto" w:fill="FFFFFF" w:themeFill="background1"/>
          </w:tcPr>
          <w:p w:rsidR="00B65D23" w:rsidRPr="00B65D23" w:rsidRDefault="00B65D23" w:rsidP="00B65D23">
            <w:pPr>
              <w:rPr>
                <w:rFonts w:ascii="Times New Roman" w:hAnsi="Times New Roman" w:cs="Times New Roman"/>
                <w:color w:val="000000"/>
                <w:sz w:val="16"/>
                <w:szCs w:val="16"/>
              </w:rPr>
            </w:pPr>
            <w:r w:rsidRPr="00B65D23">
              <w:rPr>
                <w:rFonts w:ascii="Times New Roman" w:hAnsi="Times New Roman" w:cs="Times New Roman"/>
                <w:color w:val="000000"/>
                <w:sz w:val="16"/>
                <w:szCs w:val="16"/>
              </w:rPr>
              <w:t>rzeszowski</w:t>
            </w:r>
          </w:p>
        </w:tc>
        <w:tc>
          <w:tcPr>
            <w:tcW w:w="864"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17 995</w:t>
            </w:r>
          </w:p>
        </w:tc>
        <w:tc>
          <w:tcPr>
            <w:tcW w:w="7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18 435</w:t>
            </w:r>
          </w:p>
        </w:tc>
        <w:tc>
          <w:tcPr>
            <w:tcW w:w="10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440</w:t>
            </w:r>
          </w:p>
        </w:tc>
      </w:tr>
      <w:tr w:rsidR="00B65D23" w:rsidRPr="00C75C71" w:rsidTr="00B65D23">
        <w:trPr>
          <w:jc w:val="center"/>
        </w:trPr>
        <w:tc>
          <w:tcPr>
            <w:tcW w:w="1323" w:type="pct"/>
            <w:shd w:val="clear" w:color="auto" w:fill="FFFFFF" w:themeFill="background1"/>
          </w:tcPr>
          <w:p w:rsidR="00B65D23" w:rsidRPr="00B65D23" w:rsidRDefault="00B65D23" w:rsidP="00A11007">
            <w:pPr>
              <w:rPr>
                <w:rFonts w:ascii="Times New Roman" w:hAnsi="Times New Roman" w:cs="Times New Roman"/>
                <w:sz w:val="16"/>
                <w:szCs w:val="16"/>
              </w:rPr>
            </w:pPr>
            <w:r w:rsidRPr="00B65D23">
              <w:rPr>
                <w:rFonts w:ascii="Times New Roman" w:hAnsi="Times New Roman" w:cs="Times New Roman"/>
                <w:sz w:val="16"/>
                <w:szCs w:val="16"/>
              </w:rPr>
              <w:t>krośnieński</w:t>
            </w:r>
          </w:p>
        </w:tc>
        <w:tc>
          <w:tcPr>
            <w:tcW w:w="1099" w:type="pct"/>
            <w:shd w:val="clear" w:color="auto" w:fill="FFFFFF" w:themeFill="background1"/>
          </w:tcPr>
          <w:p w:rsidR="00B65D23" w:rsidRPr="00B65D23" w:rsidRDefault="00B65D23" w:rsidP="00B65D23">
            <w:pPr>
              <w:rPr>
                <w:rFonts w:ascii="Times New Roman" w:hAnsi="Times New Roman" w:cs="Times New Roman"/>
                <w:color w:val="000000"/>
                <w:sz w:val="16"/>
                <w:szCs w:val="16"/>
              </w:rPr>
            </w:pPr>
            <w:r w:rsidRPr="00B65D23">
              <w:rPr>
                <w:rFonts w:ascii="Times New Roman" w:hAnsi="Times New Roman" w:cs="Times New Roman"/>
                <w:color w:val="000000"/>
                <w:sz w:val="16"/>
                <w:szCs w:val="16"/>
              </w:rPr>
              <w:t>krośnieński</w:t>
            </w:r>
          </w:p>
        </w:tc>
        <w:tc>
          <w:tcPr>
            <w:tcW w:w="864"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27 060</w:t>
            </w:r>
          </w:p>
        </w:tc>
        <w:tc>
          <w:tcPr>
            <w:tcW w:w="7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27 322</w:t>
            </w:r>
          </w:p>
        </w:tc>
        <w:tc>
          <w:tcPr>
            <w:tcW w:w="10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262</w:t>
            </w:r>
          </w:p>
        </w:tc>
      </w:tr>
      <w:tr w:rsidR="00B65D23" w:rsidRPr="00C75C71" w:rsidTr="00B65D23">
        <w:trPr>
          <w:jc w:val="center"/>
        </w:trPr>
        <w:tc>
          <w:tcPr>
            <w:tcW w:w="1323" w:type="pct"/>
            <w:shd w:val="clear" w:color="auto" w:fill="FFFFFF" w:themeFill="background1"/>
          </w:tcPr>
          <w:p w:rsidR="00B65D23" w:rsidRPr="00B65D23" w:rsidRDefault="00B65D23" w:rsidP="00A11007">
            <w:pPr>
              <w:rPr>
                <w:rFonts w:ascii="Times New Roman" w:hAnsi="Times New Roman" w:cs="Times New Roman"/>
                <w:sz w:val="16"/>
                <w:szCs w:val="16"/>
              </w:rPr>
            </w:pPr>
            <w:r w:rsidRPr="00B65D23">
              <w:rPr>
                <w:rFonts w:ascii="Times New Roman" w:hAnsi="Times New Roman" w:cs="Times New Roman"/>
                <w:sz w:val="16"/>
                <w:szCs w:val="16"/>
              </w:rPr>
              <w:t>leski</w:t>
            </w:r>
          </w:p>
        </w:tc>
        <w:tc>
          <w:tcPr>
            <w:tcW w:w="1099" w:type="pct"/>
            <w:shd w:val="clear" w:color="auto" w:fill="FFFFFF" w:themeFill="background1"/>
          </w:tcPr>
          <w:p w:rsidR="00B65D23" w:rsidRPr="00B65D23" w:rsidRDefault="00B65D23" w:rsidP="00B65D23">
            <w:pPr>
              <w:rPr>
                <w:rFonts w:ascii="Times New Roman" w:hAnsi="Times New Roman" w:cs="Times New Roman"/>
                <w:color w:val="000000"/>
                <w:sz w:val="16"/>
                <w:szCs w:val="16"/>
              </w:rPr>
            </w:pPr>
            <w:r w:rsidRPr="00B65D23">
              <w:rPr>
                <w:rFonts w:ascii="Times New Roman" w:hAnsi="Times New Roman" w:cs="Times New Roman"/>
                <w:color w:val="000000"/>
                <w:sz w:val="16"/>
                <w:szCs w:val="16"/>
              </w:rPr>
              <w:t>krośnieński</w:t>
            </w:r>
          </w:p>
        </w:tc>
        <w:tc>
          <w:tcPr>
            <w:tcW w:w="864"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7 436</w:t>
            </w:r>
          </w:p>
        </w:tc>
        <w:tc>
          <w:tcPr>
            <w:tcW w:w="7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7 531</w:t>
            </w:r>
          </w:p>
        </w:tc>
        <w:tc>
          <w:tcPr>
            <w:tcW w:w="10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95</w:t>
            </w:r>
          </w:p>
        </w:tc>
      </w:tr>
      <w:tr w:rsidR="00B65D23" w:rsidRPr="00C75C71" w:rsidTr="00B65D23">
        <w:trPr>
          <w:jc w:val="center"/>
        </w:trPr>
        <w:tc>
          <w:tcPr>
            <w:tcW w:w="1323" w:type="pct"/>
            <w:shd w:val="clear" w:color="auto" w:fill="FFFFFF" w:themeFill="background1"/>
          </w:tcPr>
          <w:p w:rsidR="00B65D23" w:rsidRPr="00B65D23" w:rsidRDefault="00B65D23" w:rsidP="00A11007">
            <w:pPr>
              <w:rPr>
                <w:rFonts w:ascii="Times New Roman" w:hAnsi="Times New Roman" w:cs="Times New Roman"/>
                <w:sz w:val="16"/>
                <w:szCs w:val="16"/>
              </w:rPr>
            </w:pPr>
            <w:r w:rsidRPr="00B65D23">
              <w:rPr>
                <w:rFonts w:ascii="Times New Roman" w:hAnsi="Times New Roman" w:cs="Times New Roman"/>
                <w:sz w:val="16"/>
                <w:szCs w:val="16"/>
              </w:rPr>
              <w:t>leżajski</w:t>
            </w:r>
          </w:p>
        </w:tc>
        <w:tc>
          <w:tcPr>
            <w:tcW w:w="1099" w:type="pct"/>
            <w:shd w:val="clear" w:color="auto" w:fill="FFFFFF" w:themeFill="background1"/>
          </w:tcPr>
          <w:p w:rsidR="00B65D23" w:rsidRPr="00B65D23" w:rsidRDefault="00B65D23" w:rsidP="00B65D23">
            <w:pPr>
              <w:rPr>
                <w:rFonts w:ascii="Times New Roman" w:hAnsi="Times New Roman" w:cs="Times New Roman"/>
                <w:color w:val="000000"/>
                <w:sz w:val="16"/>
                <w:szCs w:val="16"/>
              </w:rPr>
            </w:pPr>
            <w:r w:rsidRPr="00B65D23">
              <w:rPr>
                <w:rFonts w:ascii="Times New Roman" w:hAnsi="Times New Roman" w:cs="Times New Roman"/>
                <w:color w:val="000000"/>
                <w:sz w:val="16"/>
                <w:szCs w:val="16"/>
              </w:rPr>
              <w:t>tarnobrzeski</w:t>
            </w:r>
          </w:p>
        </w:tc>
        <w:tc>
          <w:tcPr>
            <w:tcW w:w="864"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20 123</w:t>
            </w:r>
          </w:p>
        </w:tc>
        <w:tc>
          <w:tcPr>
            <w:tcW w:w="7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19 755</w:t>
            </w:r>
          </w:p>
        </w:tc>
        <w:tc>
          <w:tcPr>
            <w:tcW w:w="10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- 368</w:t>
            </w:r>
          </w:p>
        </w:tc>
      </w:tr>
      <w:tr w:rsidR="00B65D23" w:rsidRPr="00C75C71" w:rsidTr="00B65D23">
        <w:trPr>
          <w:jc w:val="center"/>
        </w:trPr>
        <w:tc>
          <w:tcPr>
            <w:tcW w:w="1323" w:type="pct"/>
            <w:shd w:val="clear" w:color="auto" w:fill="FFFFFF" w:themeFill="background1"/>
          </w:tcPr>
          <w:p w:rsidR="00B65D23" w:rsidRPr="00B65D23" w:rsidRDefault="00B65D23" w:rsidP="00A11007">
            <w:pPr>
              <w:rPr>
                <w:rFonts w:ascii="Times New Roman" w:hAnsi="Times New Roman" w:cs="Times New Roman"/>
                <w:sz w:val="16"/>
                <w:szCs w:val="16"/>
              </w:rPr>
            </w:pPr>
            <w:r w:rsidRPr="00B65D23">
              <w:rPr>
                <w:rFonts w:ascii="Times New Roman" w:hAnsi="Times New Roman" w:cs="Times New Roman"/>
                <w:sz w:val="16"/>
                <w:szCs w:val="16"/>
              </w:rPr>
              <w:t>lubaczowski</w:t>
            </w:r>
          </w:p>
        </w:tc>
        <w:tc>
          <w:tcPr>
            <w:tcW w:w="1099" w:type="pct"/>
            <w:shd w:val="clear" w:color="auto" w:fill="FFFFFF" w:themeFill="background1"/>
          </w:tcPr>
          <w:p w:rsidR="00B65D23" w:rsidRPr="00B65D23" w:rsidRDefault="00B65D23" w:rsidP="00B65D23">
            <w:pPr>
              <w:rPr>
                <w:rFonts w:ascii="Times New Roman" w:hAnsi="Times New Roman" w:cs="Times New Roman"/>
                <w:color w:val="000000"/>
                <w:sz w:val="16"/>
                <w:szCs w:val="16"/>
              </w:rPr>
            </w:pPr>
            <w:r w:rsidRPr="00B65D23">
              <w:rPr>
                <w:rFonts w:ascii="Times New Roman" w:hAnsi="Times New Roman" w:cs="Times New Roman"/>
                <w:color w:val="000000"/>
                <w:sz w:val="16"/>
                <w:szCs w:val="16"/>
              </w:rPr>
              <w:t>przemyski</w:t>
            </w:r>
          </w:p>
        </w:tc>
        <w:tc>
          <w:tcPr>
            <w:tcW w:w="864"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18 685</w:t>
            </w:r>
          </w:p>
        </w:tc>
        <w:tc>
          <w:tcPr>
            <w:tcW w:w="7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18 723</w:t>
            </w:r>
          </w:p>
        </w:tc>
        <w:tc>
          <w:tcPr>
            <w:tcW w:w="10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38</w:t>
            </w:r>
          </w:p>
        </w:tc>
      </w:tr>
      <w:tr w:rsidR="00B65D23" w:rsidRPr="00C75C71" w:rsidTr="00B65D23">
        <w:trPr>
          <w:jc w:val="center"/>
        </w:trPr>
        <w:tc>
          <w:tcPr>
            <w:tcW w:w="1323" w:type="pct"/>
            <w:shd w:val="clear" w:color="auto" w:fill="FFFFFF" w:themeFill="background1"/>
          </w:tcPr>
          <w:p w:rsidR="00B65D23" w:rsidRPr="00B65D23" w:rsidRDefault="00B65D23" w:rsidP="00A11007">
            <w:pPr>
              <w:rPr>
                <w:rFonts w:ascii="Times New Roman" w:hAnsi="Times New Roman" w:cs="Times New Roman"/>
                <w:sz w:val="16"/>
                <w:szCs w:val="16"/>
              </w:rPr>
            </w:pPr>
            <w:r w:rsidRPr="00B65D23">
              <w:rPr>
                <w:rFonts w:ascii="Times New Roman" w:hAnsi="Times New Roman" w:cs="Times New Roman"/>
                <w:sz w:val="16"/>
                <w:szCs w:val="16"/>
              </w:rPr>
              <w:t>łańcucki</w:t>
            </w:r>
          </w:p>
        </w:tc>
        <w:tc>
          <w:tcPr>
            <w:tcW w:w="1099" w:type="pct"/>
            <w:shd w:val="clear" w:color="auto" w:fill="FFFFFF" w:themeFill="background1"/>
          </w:tcPr>
          <w:p w:rsidR="00B65D23" w:rsidRPr="00B65D23" w:rsidRDefault="00B65D23" w:rsidP="00B65D23">
            <w:pPr>
              <w:rPr>
                <w:rFonts w:ascii="Times New Roman" w:hAnsi="Times New Roman" w:cs="Times New Roman"/>
                <w:color w:val="000000"/>
                <w:sz w:val="16"/>
                <w:szCs w:val="16"/>
              </w:rPr>
            </w:pPr>
            <w:r w:rsidRPr="00B65D23">
              <w:rPr>
                <w:rFonts w:ascii="Times New Roman" w:hAnsi="Times New Roman" w:cs="Times New Roman"/>
                <w:color w:val="000000"/>
                <w:sz w:val="16"/>
                <w:szCs w:val="16"/>
              </w:rPr>
              <w:t>rzeszowski</w:t>
            </w:r>
          </w:p>
        </w:tc>
        <w:tc>
          <w:tcPr>
            <w:tcW w:w="864"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22 183</w:t>
            </w:r>
          </w:p>
        </w:tc>
        <w:tc>
          <w:tcPr>
            <w:tcW w:w="7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22 726</w:t>
            </w:r>
          </w:p>
        </w:tc>
        <w:tc>
          <w:tcPr>
            <w:tcW w:w="10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543</w:t>
            </w:r>
          </w:p>
        </w:tc>
      </w:tr>
      <w:tr w:rsidR="00B65D23" w:rsidRPr="001D65B6" w:rsidTr="00B65D23">
        <w:trPr>
          <w:jc w:val="center"/>
        </w:trPr>
        <w:tc>
          <w:tcPr>
            <w:tcW w:w="1323" w:type="pct"/>
            <w:shd w:val="clear" w:color="auto" w:fill="FFFFFF" w:themeFill="background1"/>
          </w:tcPr>
          <w:p w:rsidR="00B65D23" w:rsidRPr="00B65D23" w:rsidRDefault="00B65D23" w:rsidP="00A11007">
            <w:pPr>
              <w:rPr>
                <w:rFonts w:ascii="Times New Roman" w:hAnsi="Times New Roman" w:cs="Times New Roman"/>
                <w:color w:val="000000" w:themeColor="text1"/>
                <w:sz w:val="16"/>
                <w:szCs w:val="16"/>
              </w:rPr>
            </w:pPr>
            <w:r w:rsidRPr="00B65D23">
              <w:rPr>
                <w:rFonts w:ascii="Times New Roman" w:hAnsi="Times New Roman" w:cs="Times New Roman"/>
                <w:color w:val="000000" w:themeColor="text1"/>
                <w:sz w:val="16"/>
                <w:szCs w:val="16"/>
              </w:rPr>
              <w:t>mielecki</w:t>
            </w:r>
          </w:p>
        </w:tc>
        <w:tc>
          <w:tcPr>
            <w:tcW w:w="1099" w:type="pct"/>
            <w:shd w:val="clear" w:color="auto" w:fill="FFFFFF" w:themeFill="background1"/>
          </w:tcPr>
          <w:p w:rsidR="00B65D23" w:rsidRPr="00B65D23" w:rsidRDefault="00B65D23" w:rsidP="00B65D23">
            <w:pPr>
              <w:rPr>
                <w:rFonts w:ascii="Times New Roman" w:hAnsi="Times New Roman" w:cs="Times New Roman"/>
                <w:color w:val="000000" w:themeColor="text1"/>
                <w:sz w:val="16"/>
                <w:szCs w:val="16"/>
              </w:rPr>
            </w:pPr>
            <w:r w:rsidRPr="00B65D23">
              <w:rPr>
                <w:rFonts w:ascii="Times New Roman" w:hAnsi="Times New Roman" w:cs="Times New Roman"/>
                <w:color w:val="000000" w:themeColor="text1"/>
                <w:sz w:val="16"/>
                <w:szCs w:val="16"/>
              </w:rPr>
              <w:t>tarnobrzeski</w:t>
            </w:r>
          </w:p>
        </w:tc>
        <w:tc>
          <w:tcPr>
            <w:tcW w:w="864"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51 290</w:t>
            </w:r>
          </w:p>
        </w:tc>
        <w:tc>
          <w:tcPr>
            <w:tcW w:w="7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52 746</w:t>
            </w:r>
          </w:p>
        </w:tc>
        <w:tc>
          <w:tcPr>
            <w:tcW w:w="10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1 456</w:t>
            </w:r>
          </w:p>
        </w:tc>
      </w:tr>
      <w:tr w:rsidR="00B65D23" w:rsidRPr="00C75C71" w:rsidTr="00B65D23">
        <w:trPr>
          <w:jc w:val="center"/>
        </w:trPr>
        <w:tc>
          <w:tcPr>
            <w:tcW w:w="1323" w:type="pct"/>
            <w:shd w:val="clear" w:color="auto" w:fill="FFFFFF" w:themeFill="background1"/>
          </w:tcPr>
          <w:p w:rsidR="00B65D23" w:rsidRPr="00B65D23" w:rsidRDefault="00B65D23" w:rsidP="00A11007">
            <w:pPr>
              <w:rPr>
                <w:rFonts w:ascii="Times New Roman" w:hAnsi="Times New Roman" w:cs="Times New Roman"/>
                <w:sz w:val="16"/>
                <w:szCs w:val="16"/>
              </w:rPr>
            </w:pPr>
            <w:r w:rsidRPr="00B65D23">
              <w:rPr>
                <w:rFonts w:ascii="Times New Roman" w:hAnsi="Times New Roman" w:cs="Times New Roman"/>
                <w:sz w:val="16"/>
                <w:szCs w:val="16"/>
              </w:rPr>
              <w:t>niżański</w:t>
            </w:r>
          </w:p>
        </w:tc>
        <w:tc>
          <w:tcPr>
            <w:tcW w:w="1099" w:type="pct"/>
            <w:shd w:val="clear" w:color="auto" w:fill="FFFFFF" w:themeFill="background1"/>
          </w:tcPr>
          <w:p w:rsidR="00B65D23" w:rsidRPr="00B65D23" w:rsidRDefault="00B65D23" w:rsidP="00B65D23">
            <w:pPr>
              <w:rPr>
                <w:rFonts w:ascii="Times New Roman" w:hAnsi="Times New Roman" w:cs="Times New Roman"/>
                <w:color w:val="000000"/>
                <w:sz w:val="16"/>
                <w:szCs w:val="16"/>
              </w:rPr>
            </w:pPr>
            <w:r w:rsidRPr="00B65D23">
              <w:rPr>
                <w:rFonts w:ascii="Times New Roman" w:hAnsi="Times New Roman" w:cs="Times New Roman"/>
                <w:color w:val="000000"/>
                <w:sz w:val="16"/>
                <w:szCs w:val="16"/>
              </w:rPr>
              <w:t>tarnobrzeski</w:t>
            </w:r>
          </w:p>
        </w:tc>
        <w:tc>
          <w:tcPr>
            <w:tcW w:w="864"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15 708</w:t>
            </w:r>
          </w:p>
        </w:tc>
        <w:tc>
          <w:tcPr>
            <w:tcW w:w="7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15 851</w:t>
            </w:r>
          </w:p>
        </w:tc>
        <w:tc>
          <w:tcPr>
            <w:tcW w:w="10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143</w:t>
            </w:r>
          </w:p>
        </w:tc>
      </w:tr>
      <w:tr w:rsidR="00B65D23" w:rsidRPr="00C75C71" w:rsidTr="00B65D23">
        <w:trPr>
          <w:jc w:val="center"/>
        </w:trPr>
        <w:tc>
          <w:tcPr>
            <w:tcW w:w="1323" w:type="pct"/>
            <w:shd w:val="clear" w:color="auto" w:fill="FFFFFF" w:themeFill="background1"/>
          </w:tcPr>
          <w:p w:rsidR="00B65D23" w:rsidRPr="00B65D23" w:rsidRDefault="00B65D23" w:rsidP="00A11007">
            <w:pPr>
              <w:rPr>
                <w:rFonts w:ascii="Times New Roman" w:hAnsi="Times New Roman" w:cs="Times New Roman"/>
                <w:sz w:val="16"/>
                <w:szCs w:val="16"/>
              </w:rPr>
            </w:pPr>
            <w:r w:rsidRPr="00B65D23">
              <w:rPr>
                <w:rFonts w:ascii="Times New Roman" w:hAnsi="Times New Roman" w:cs="Times New Roman"/>
                <w:sz w:val="16"/>
                <w:szCs w:val="16"/>
              </w:rPr>
              <w:t>przemyski</w:t>
            </w:r>
          </w:p>
        </w:tc>
        <w:tc>
          <w:tcPr>
            <w:tcW w:w="1099" w:type="pct"/>
            <w:shd w:val="clear" w:color="auto" w:fill="FFFFFF" w:themeFill="background1"/>
          </w:tcPr>
          <w:p w:rsidR="00B65D23" w:rsidRPr="00B65D23" w:rsidRDefault="00B65D23" w:rsidP="00B65D23">
            <w:pPr>
              <w:rPr>
                <w:rFonts w:ascii="Times New Roman" w:hAnsi="Times New Roman" w:cs="Times New Roman"/>
                <w:color w:val="000000"/>
                <w:sz w:val="16"/>
                <w:szCs w:val="16"/>
              </w:rPr>
            </w:pPr>
            <w:r w:rsidRPr="00B65D23">
              <w:rPr>
                <w:rFonts w:ascii="Times New Roman" w:hAnsi="Times New Roman" w:cs="Times New Roman"/>
                <w:color w:val="000000"/>
                <w:sz w:val="16"/>
                <w:szCs w:val="16"/>
              </w:rPr>
              <w:t>przemyski</w:t>
            </w:r>
          </w:p>
        </w:tc>
        <w:tc>
          <w:tcPr>
            <w:tcW w:w="864"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20 512</w:t>
            </w:r>
          </w:p>
        </w:tc>
        <w:tc>
          <w:tcPr>
            <w:tcW w:w="7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20 669</w:t>
            </w:r>
          </w:p>
        </w:tc>
        <w:tc>
          <w:tcPr>
            <w:tcW w:w="10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157</w:t>
            </w:r>
          </w:p>
        </w:tc>
      </w:tr>
      <w:tr w:rsidR="00B65D23" w:rsidRPr="00C75C71" w:rsidTr="00B65D23">
        <w:trPr>
          <w:jc w:val="center"/>
        </w:trPr>
        <w:tc>
          <w:tcPr>
            <w:tcW w:w="1323" w:type="pct"/>
            <w:shd w:val="clear" w:color="auto" w:fill="FFFFFF" w:themeFill="background1"/>
          </w:tcPr>
          <w:p w:rsidR="00B65D23" w:rsidRPr="00B65D23" w:rsidRDefault="00B65D23" w:rsidP="00A11007">
            <w:pPr>
              <w:rPr>
                <w:rFonts w:ascii="Times New Roman" w:hAnsi="Times New Roman" w:cs="Times New Roman"/>
                <w:sz w:val="16"/>
                <w:szCs w:val="16"/>
              </w:rPr>
            </w:pPr>
            <w:r w:rsidRPr="00B65D23">
              <w:rPr>
                <w:rFonts w:ascii="Times New Roman" w:hAnsi="Times New Roman" w:cs="Times New Roman"/>
                <w:sz w:val="16"/>
                <w:szCs w:val="16"/>
              </w:rPr>
              <w:t>przeworski</w:t>
            </w:r>
          </w:p>
        </w:tc>
        <w:tc>
          <w:tcPr>
            <w:tcW w:w="1099" w:type="pct"/>
            <w:shd w:val="clear" w:color="auto" w:fill="FFFFFF" w:themeFill="background1"/>
          </w:tcPr>
          <w:p w:rsidR="00B65D23" w:rsidRPr="00B65D23" w:rsidRDefault="00B65D23" w:rsidP="00B65D23">
            <w:pPr>
              <w:rPr>
                <w:rFonts w:ascii="Times New Roman" w:hAnsi="Times New Roman" w:cs="Times New Roman"/>
                <w:color w:val="000000"/>
                <w:sz w:val="16"/>
                <w:szCs w:val="16"/>
              </w:rPr>
            </w:pPr>
            <w:r w:rsidRPr="00B65D23">
              <w:rPr>
                <w:rFonts w:ascii="Times New Roman" w:hAnsi="Times New Roman" w:cs="Times New Roman"/>
                <w:color w:val="000000"/>
                <w:sz w:val="16"/>
                <w:szCs w:val="16"/>
              </w:rPr>
              <w:t>przemyski</w:t>
            </w:r>
          </w:p>
        </w:tc>
        <w:tc>
          <w:tcPr>
            <w:tcW w:w="864"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24 801</w:t>
            </w:r>
          </w:p>
        </w:tc>
        <w:tc>
          <w:tcPr>
            <w:tcW w:w="7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24 966</w:t>
            </w:r>
          </w:p>
        </w:tc>
        <w:tc>
          <w:tcPr>
            <w:tcW w:w="10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165</w:t>
            </w:r>
          </w:p>
        </w:tc>
      </w:tr>
      <w:tr w:rsidR="00B65D23" w:rsidRPr="00C75C71" w:rsidTr="00B65D23">
        <w:trPr>
          <w:jc w:val="center"/>
        </w:trPr>
        <w:tc>
          <w:tcPr>
            <w:tcW w:w="1323" w:type="pct"/>
            <w:shd w:val="clear" w:color="auto" w:fill="FFFFFF" w:themeFill="background1"/>
          </w:tcPr>
          <w:p w:rsidR="00B65D23" w:rsidRPr="00B65D23" w:rsidRDefault="00B65D23" w:rsidP="00A11007">
            <w:pPr>
              <w:rPr>
                <w:rFonts w:ascii="Times New Roman" w:hAnsi="Times New Roman" w:cs="Times New Roman"/>
                <w:sz w:val="16"/>
                <w:szCs w:val="16"/>
              </w:rPr>
            </w:pPr>
            <w:r w:rsidRPr="00B65D23">
              <w:rPr>
                <w:rFonts w:ascii="Times New Roman" w:hAnsi="Times New Roman" w:cs="Times New Roman"/>
                <w:sz w:val="16"/>
                <w:szCs w:val="16"/>
              </w:rPr>
              <w:t>ropczycko-sędziszowski</w:t>
            </w:r>
          </w:p>
        </w:tc>
        <w:tc>
          <w:tcPr>
            <w:tcW w:w="1099" w:type="pct"/>
            <w:shd w:val="clear" w:color="auto" w:fill="FFFFFF" w:themeFill="background1"/>
          </w:tcPr>
          <w:p w:rsidR="00B65D23" w:rsidRPr="00B65D23" w:rsidRDefault="00B65D23" w:rsidP="00B65D23">
            <w:pPr>
              <w:rPr>
                <w:rFonts w:ascii="Times New Roman" w:hAnsi="Times New Roman" w:cs="Times New Roman"/>
                <w:color w:val="000000"/>
                <w:sz w:val="16"/>
                <w:szCs w:val="16"/>
              </w:rPr>
            </w:pPr>
            <w:r w:rsidRPr="00B65D23">
              <w:rPr>
                <w:rFonts w:ascii="Times New Roman" w:hAnsi="Times New Roman" w:cs="Times New Roman"/>
                <w:color w:val="000000"/>
                <w:sz w:val="16"/>
                <w:szCs w:val="16"/>
              </w:rPr>
              <w:t>rzeszowski</w:t>
            </w:r>
          </w:p>
        </w:tc>
        <w:tc>
          <w:tcPr>
            <w:tcW w:w="864"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20 567</w:t>
            </w:r>
          </w:p>
        </w:tc>
        <w:tc>
          <w:tcPr>
            <w:tcW w:w="7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20 720</w:t>
            </w:r>
          </w:p>
        </w:tc>
        <w:tc>
          <w:tcPr>
            <w:tcW w:w="10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153</w:t>
            </w:r>
          </w:p>
        </w:tc>
      </w:tr>
      <w:tr w:rsidR="00B65D23" w:rsidRPr="001D65B6" w:rsidTr="00B65D23">
        <w:trPr>
          <w:jc w:val="center"/>
        </w:trPr>
        <w:tc>
          <w:tcPr>
            <w:tcW w:w="1323" w:type="pct"/>
            <w:shd w:val="clear" w:color="auto" w:fill="FFFFFF" w:themeFill="background1"/>
          </w:tcPr>
          <w:p w:rsidR="00B65D23" w:rsidRPr="00B65D23" w:rsidRDefault="00B65D23" w:rsidP="00A11007">
            <w:pPr>
              <w:rPr>
                <w:rFonts w:ascii="Times New Roman" w:hAnsi="Times New Roman" w:cs="Times New Roman"/>
                <w:color w:val="000000" w:themeColor="text1"/>
                <w:sz w:val="16"/>
                <w:szCs w:val="16"/>
              </w:rPr>
            </w:pPr>
            <w:r w:rsidRPr="00B65D23">
              <w:rPr>
                <w:rFonts w:ascii="Times New Roman" w:hAnsi="Times New Roman" w:cs="Times New Roman"/>
                <w:color w:val="000000" w:themeColor="text1"/>
                <w:sz w:val="16"/>
                <w:szCs w:val="16"/>
              </w:rPr>
              <w:t>rzeszowski</w:t>
            </w:r>
          </w:p>
        </w:tc>
        <w:tc>
          <w:tcPr>
            <w:tcW w:w="1099" w:type="pct"/>
            <w:shd w:val="clear" w:color="auto" w:fill="FFFFFF" w:themeFill="background1"/>
          </w:tcPr>
          <w:p w:rsidR="00B65D23" w:rsidRPr="00B65D23" w:rsidRDefault="00B65D23" w:rsidP="00B65D23">
            <w:pPr>
              <w:rPr>
                <w:rFonts w:ascii="Times New Roman" w:hAnsi="Times New Roman" w:cs="Times New Roman"/>
                <w:color w:val="000000" w:themeColor="text1"/>
                <w:sz w:val="16"/>
                <w:szCs w:val="16"/>
              </w:rPr>
            </w:pPr>
            <w:r w:rsidRPr="00B65D23">
              <w:rPr>
                <w:rFonts w:ascii="Times New Roman" w:hAnsi="Times New Roman" w:cs="Times New Roman"/>
                <w:color w:val="000000" w:themeColor="text1"/>
                <w:sz w:val="16"/>
                <w:szCs w:val="16"/>
              </w:rPr>
              <w:t>rzeszowski</w:t>
            </w:r>
          </w:p>
        </w:tc>
        <w:tc>
          <w:tcPr>
            <w:tcW w:w="864"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52 503</w:t>
            </w:r>
          </w:p>
        </w:tc>
        <w:tc>
          <w:tcPr>
            <w:tcW w:w="7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54 276</w:t>
            </w:r>
          </w:p>
        </w:tc>
        <w:tc>
          <w:tcPr>
            <w:tcW w:w="10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1 773</w:t>
            </w:r>
          </w:p>
        </w:tc>
      </w:tr>
      <w:tr w:rsidR="00B65D23" w:rsidRPr="00C75C71" w:rsidTr="00B65D23">
        <w:trPr>
          <w:jc w:val="center"/>
        </w:trPr>
        <w:tc>
          <w:tcPr>
            <w:tcW w:w="1323" w:type="pct"/>
            <w:shd w:val="clear" w:color="auto" w:fill="FFFFFF" w:themeFill="background1"/>
          </w:tcPr>
          <w:p w:rsidR="00B65D23" w:rsidRPr="00B65D23" w:rsidRDefault="00B65D23" w:rsidP="00A11007">
            <w:pPr>
              <w:rPr>
                <w:rFonts w:ascii="Times New Roman" w:hAnsi="Times New Roman" w:cs="Times New Roman"/>
                <w:sz w:val="16"/>
                <w:szCs w:val="16"/>
              </w:rPr>
            </w:pPr>
            <w:r w:rsidRPr="00B65D23">
              <w:rPr>
                <w:rFonts w:ascii="Times New Roman" w:hAnsi="Times New Roman" w:cs="Times New Roman"/>
                <w:sz w:val="16"/>
                <w:szCs w:val="16"/>
              </w:rPr>
              <w:t>sanocki</w:t>
            </w:r>
          </w:p>
        </w:tc>
        <w:tc>
          <w:tcPr>
            <w:tcW w:w="1099" w:type="pct"/>
            <w:shd w:val="clear" w:color="auto" w:fill="FFFFFF" w:themeFill="background1"/>
          </w:tcPr>
          <w:p w:rsidR="00B65D23" w:rsidRPr="00B65D23" w:rsidRDefault="00B65D23" w:rsidP="00B65D23">
            <w:pPr>
              <w:rPr>
                <w:rFonts w:ascii="Times New Roman" w:hAnsi="Times New Roman" w:cs="Times New Roman"/>
                <w:color w:val="000000"/>
                <w:sz w:val="16"/>
                <w:szCs w:val="16"/>
              </w:rPr>
            </w:pPr>
            <w:r w:rsidRPr="00B65D23">
              <w:rPr>
                <w:rFonts w:ascii="Times New Roman" w:hAnsi="Times New Roman" w:cs="Times New Roman"/>
                <w:color w:val="000000"/>
                <w:sz w:val="16"/>
                <w:szCs w:val="16"/>
              </w:rPr>
              <w:t>krośnieński</w:t>
            </w:r>
          </w:p>
        </w:tc>
        <w:tc>
          <w:tcPr>
            <w:tcW w:w="864"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32 458</w:t>
            </w:r>
          </w:p>
        </w:tc>
        <w:tc>
          <w:tcPr>
            <w:tcW w:w="7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33 353</w:t>
            </w:r>
          </w:p>
        </w:tc>
        <w:tc>
          <w:tcPr>
            <w:tcW w:w="10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895</w:t>
            </w:r>
          </w:p>
        </w:tc>
      </w:tr>
      <w:tr w:rsidR="00B65D23" w:rsidRPr="001D65B6" w:rsidTr="00B65D23">
        <w:trPr>
          <w:jc w:val="center"/>
        </w:trPr>
        <w:tc>
          <w:tcPr>
            <w:tcW w:w="1323" w:type="pct"/>
            <w:shd w:val="clear" w:color="auto" w:fill="FFFFFF" w:themeFill="background1"/>
          </w:tcPr>
          <w:p w:rsidR="00B65D23" w:rsidRPr="00B65D23" w:rsidRDefault="00B65D23" w:rsidP="00A11007">
            <w:pPr>
              <w:rPr>
                <w:rFonts w:ascii="Times New Roman" w:hAnsi="Times New Roman" w:cs="Times New Roman"/>
                <w:color w:val="000000" w:themeColor="text1"/>
                <w:sz w:val="16"/>
                <w:szCs w:val="16"/>
              </w:rPr>
            </w:pPr>
            <w:r w:rsidRPr="00B65D23">
              <w:rPr>
                <w:rFonts w:ascii="Times New Roman" w:hAnsi="Times New Roman" w:cs="Times New Roman"/>
                <w:color w:val="000000" w:themeColor="text1"/>
                <w:sz w:val="16"/>
                <w:szCs w:val="16"/>
              </w:rPr>
              <w:t>stalowowolski</w:t>
            </w:r>
          </w:p>
        </w:tc>
        <w:tc>
          <w:tcPr>
            <w:tcW w:w="1099" w:type="pct"/>
            <w:shd w:val="clear" w:color="auto" w:fill="FFFFFF" w:themeFill="background1"/>
          </w:tcPr>
          <w:p w:rsidR="00B65D23" w:rsidRPr="00B65D23" w:rsidRDefault="00B65D23" w:rsidP="00B65D23">
            <w:pPr>
              <w:rPr>
                <w:rFonts w:ascii="Times New Roman" w:hAnsi="Times New Roman" w:cs="Times New Roman"/>
                <w:color w:val="000000" w:themeColor="text1"/>
                <w:sz w:val="16"/>
                <w:szCs w:val="16"/>
              </w:rPr>
            </w:pPr>
            <w:r w:rsidRPr="00B65D23">
              <w:rPr>
                <w:rFonts w:ascii="Times New Roman" w:hAnsi="Times New Roman" w:cs="Times New Roman"/>
                <w:color w:val="000000" w:themeColor="text1"/>
                <w:sz w:val="16"/>
                <w:szCs w:val="16"/>
              </w:rPr>
              <w:t>tarnobrzeski</w:t>
            </w:r>
          </w:p>
        </w:tc>
        <w:tc>
          <w:tcPr>
            <w:tcW w:w="864"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34 985</w:t>
            </w:r>
          </w:p>
        </w:tc>
        <w:tc>
          <w:tcPr>
            <w:tcW w:w="7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34 413</w:t>
            </w:r>
          </w:p>
        </w:tc>
        <w:tc>
          <w:tcPr>
            <w:tcW w:w="10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- 572</w:t>
            </w:r>
          </w:p>
        </w:tc>
      </w:tr>
      <w:tr w:rsidR="00B65D23" w:rsidRPr="00C75C71" w:rsidTr="00B65D23">
        <w:trPr>
          <w:jc w:val="center"/>
        </w:trPr>
        <w:tc>
          <w:tcPr>
            <w:tcW w:w="1323" w:type="pct"/>
            <w:shd w:val="clear" w:color="auto" w:fill="FFFFFF" w:themeFill="background1"/>
          </w:tcPr>
          <w:p w:rsidR="00B65D23" w:rsidRPr="00B65D23" w:rsidRDefault="00B65D23" w:rsidP="00A11007">
            <w:pPr>
              <w:rPr>
                <w:rFonts w:ascii="Times New Roman" w:hAnsi="Times New Roman" w:cs="Times New Roman"/>
                <w:sz w:val="16"/>
                <w:szCs w:val="16"/>
              </w:rPr>
            </w:pPr>
            <w:r w:rsidRPr="00B65D23">
              <w:rPr>
                <w:rFonts w:ascii="Times New Roman" w:hAnsi="Times New Roman" w:cs="Times New Roman"/>
                <w:sz w:val="16"/>
                <w:szCs w:val="16"/>
              </w:rPr>
              <w:t>strzyżowski</w:t>
            </w:r>
          </w:p>
        </w:tc>
        <w:tc>
          <w:tcPr>
            <w:tcW w:w="1099" w:type="pct"/>
            <w:shd w:val="clear" w:color="auto" w:fill="FFFFFF" w:themeFill="background1"/>
          </w:tcPr>
          <w:p w:rsidR="00B65D23" w:rsidRPr="00B65D23" w:rsidRDefault="00B65D23" w:rsidP="00B65D23">
            <w:pPr>
              <w:rPr>
                <w:rFonts w:ascii="Times New Roman" w:hAnsi="Times New Roman" w:cs="Times New Roman"/>
                <w:color w:val="000000"/>
                <w:sz w:val="16"/>
                <w:szCs w:val="16"/>
              </w:rPr>
            </w:pPr>
            <w:r w:rsidRPr="00B65D23">
              <w:rPr>
                <w:rFonts w:ascii="Times New Roman" w:hAnsi="Times New Roman" w:cs="Times New Roman"/>
                <w:color w:val="000000"/>
                <w:sz w:val="16"/>
                <w:szCs w:val="16"/>
              </w:rPr>
              <w:t>rzeszowski</w:t>
            </w:r>
          </w:p>
        </w:tc>
        <w:tc>
          <w:tcPr>
            <w:tcW w:w="864"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18 894</w:t>
            </w:r>
          </w:p>
        </w:tc>
        <w:tc>
          <w:tcPr>
            <w:tcW w:w="7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18 963</w:t>
            </w:r>
          </w:p>
        </w:tc>
        <w:tc>
          <w:tcPr>
            <w:tcW w:w="10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69</w:t>
            </w:r>
          </w:p>
        </w:tc>
      </w:tr>
      <w:tr w:rsidR="00B65D23" w:rsidRPr="001D65B6" w:rsidTr="00B65D23">
        <w:trPr>
          <w:jc w:val="center"/>
        </w:trPr>
        <w:tc>
          <w:tcPr>
            <w:tcW w:w="1323" w:type="pct"/>
            <w:shd w:val="clear" w:color="auto" w:fill="FFFFFF" w:themeFill="background1"/>
          </w:tcPr>
          <w:p w:rsidR="00B65D23" w:rsidRPr="00B65D23" w:rsidRDefault="00B65D23" w:rsidP="00A11007">
            <w:pPr>
              <w:rPr>
                <w:rFonts w:ascii="Times New Roman" w:hAnsi="Times New Roman" w:cs="Times New Roman"/>
                <w:color w:val="000000" w:themeColor="text1"/>
                <w:sz w:val="16"/>
                <w:szCs w:val="16"/>
              </w:rPr>
            </w:pPr>
            <w:r w:rsidRPr="00B65D23">
              <w:rPr>
                <w:rFonts w:ascii="Times New Roman" w:hAnsi="Times New Roman" w:cs="Times New Roman"/>
                <w:color w:val="000000" w:themeColor="text1"/>
                <w:sz w:val="16"/>
                <w:szCs w:val="16"/>
              </w:rPr>
              <w:t>tarnobrzeski</w:t>
            </w:r>
          </w:p>
        </w:tc>
        <w:tc>
          <w:tcPr>
            <w:tcW w:w="1099" w:type="pct"/>
            <w:shd w:val="clear" w:color="auto" w:fill="FFFFFF" w:themeFill="background1"/>
          </w:tcPr>
          <w:p w:rsidR="00B65D23" w:rsidRPr="00B65D23" w:rsidRDefault="00B65D23" w:rsidP="00B65D23">
            <w:pPr>
              <w:rPr>
                <w:rFonts w:ascii="Times New Roman" w:hAnsi="Times New Roman" w:cs="Times New Roman"/>
                <w:color w:val="000000" w:themeColor="text1"/>
                <w:sz w:val="16"/>
                <w:szCs w:val="16"/>
              </w:rPr>
            </w:pPr>
            <w:r w:rsidRPr="00B65D23">
              <w:rPr>
                <w:rFonts w:ascii="Times New Roman" w:hAnsi="Times New Roman" w:cs="Times New Roman"/>
                <w:color w:val="000000" w:themeColor="text1"/>
                <w:sz w:val="16"/>
                <w:szCs w:val="16"/>
              </w:rPr>
              <w:t>tarnobrzeski</w:t>
            </w:r>
          </w:p>
        </w:tc>
        <w:tc>
          <w:tcPr>
            <w:tcW w:w="864"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18 185</w:t>
            </w:r>
          </w:p>
        </w:tc>
        <w:tc>
          <w:tcPr>
            <w:tcW w:w="7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18 593</w:t>
            </w:r>
          </w:p>
        </w:tc>
        <w:tc>
          <w:tcPr>
            <w:tcW w:w="10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408</w:t>
            </w:r>
          </w:p>
        </w:tc>
      </w:tr>
      <w:tr w:rsidR="00B65D23" w:rsidRPr="00C75C71" w:rsidTr="00B65D23">
        <w:trPr>
          <w:jc w:val="center"/>
        </w:trPr>
        <w:tc>
          <w:tcPr>
            <w:tcW w:w="1323" w:type="pct"/>
            <w:shd w:val="clear" w:color="auto" w:fill="FFFFFF" w:themeFill="background1"/>
          </w:tcPr>
          <w:p w:rsidR="00B65D23" w:rsidRPr="00B65D23" w:rsidRDefault="00B65D23" w:rsidP="00A11007">
            <w:pPr>
              <w:rPr>
                <w:rFonts w:ascii="Times New Roman" w:hAnsi="Times New Roman" w:cs="Times New Roman"/>
                <w:sz w:val="16"/>
                <w:szCs w:val="16"/>
              </w:rPr>
            </w:pPr>
            <w:r w:rsidRPr="00B65D23">
              <w:rPr>
                <w:rFonts w:ascii="Times New Roman" w:hAnsi="Times New Roman" w:cs="Times New Roman"/>
                <w:sz w:val="16"/>
                <w:szCs w:val="16"/>
              </w:rPr>
              <w:t>Krosno</w:t>
            </w:r>
          </w:p>
        </w:tc>
        <w:tc>
          <w:tcPr>
            <w:tcW w:w="1099" w:type="pct"/>
            <w:shd w:val="clear" w:color="auto" w:fill="FFFFFF" w:themeFill="background1"/>
          </w:tcPr>
          <w:p w:rsidR="00B65D23" w:rsidRPr="00B65D23" w:rsidRDefault="00B65D23" w:rsidP="00B65D23">
            <w:pPr>
              <w:rPr>
                <w:rFonts w:ascii="Times New Roman" w:hAnsi="Times New Roman" w:cs="Times New Roman"/>
                <w:color w:val="000000"/>
                <w:sz w:val="16"/>
                <w:szCs w:val="16"/>
              </w:rPr>
            </w:pPr>
            <w:r w:rsidRPr="00B65D23">
              <w:rPr>
                <w:rFonts w:ascii="Times New Roman" w:hAnsi="Times New Roman" w:cs="Times New Roman"/>
                <w:color w:val="000000"/>
                <w:sz w:val="16"/>
                <w:szCs w:val="16"/>
              </w:rPr>
              <w:t>krośnieński</w:t>
            </w:r>
          </w:p>
        </w:tc>
        <w:tc>
          <w:tcPr>
            <w:tcW w:w="864"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23 218</w:t>
            </w:r>
          </w:p>
        </w:tc>
        <w:tc>
          <w:tcPr>
            <w:tcW w:w="7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23 902</w:t>
            </w:r>
          </w:p>
        </w:tc>
        <w:tc>
          <w:tcPr>
            <w:tcW w:w="10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684</w:t>
            </w:r>
          </w:p>
        </w:tc>
      </w:tr>
      <w:tr w:rsidR="00B65D23" w:rsidRPr="00C75C71" w:rsidTr="00B65D23">
        <w:trPr>
          <w:jc w:val="center"/>
        </w:trPr>
        <w:tc>
          <w:tcPr>
            <w:tcW w:w="1323" w:type="pct"/>
            <w:shd w:val="clear" w:color="auto" w:fill="FFFFFF" w:themeFill="background1"/>
          </w:tcPr>
          <w:p w:rsidR="00B65D23" w:rsidRPr="00B65D23" w:rsidRDefault="00B65D23" w:rsidP="00A11007">
            <w:pPr>
              <w:rPr>
                <w:rFonts w:ascii="Times New Roman" w:hAnsi="Times New Roman" w:cs="Times New Roman"/>
                <w:sz w:val="16"/>
                <w:szCs w:val="16"/>
              </w:rPr>
            </w:pPr>
            <w:r w:rsidRPr="00B65D23">
              <w:rPr>
                <w:rFonts w:ascii="Times New Roman" w:hAnsi="Times New Roman" w:cs="Times New Roman"/>
                <w:sz w:val="16"/>
                <w:szCs w:val="16"/>
              </w:rPr>
              <w:t>Przemyśl</w:t>
            </w:r>
          </w:p>
        </w:tc>
        <w:tc>
          <w:tcPr>
            <w:tcW w:w="1099" w:type="pct"/>
            <w:shd w:val="clear" w:color="auto" w:fill="FFFFFF" w:themeFill="background1"/>
          </w:tcPr>
          <w:p w:rsidR="00B65D23" w:rsidRPr="00B65D23" w:rsidRDefault="00B65D23" w:rsidP="00B65D23">
            <w:pPr>
              <w:rPr>
                <w:rFonts w:ascii="Times New Roman" w:hAnsi="Times New Roman" w:cs="Times New Roman"/>
                <w:color w:val="000000"/>
                <w:sz w:val="16"/>
                <w:szCs w:val="16"/>
              </w:rPr>
            </w:pPr>
            <w:r w:rsidRPr="00B65D23">
              <w:rPr>
                <w:rFonts w:ascii="Times New Roman" w:hAnsi="Times New Roman" w:cs="Times New Roman"/>
                <w:color w:val="000000"/>
                <w:sz w:val="16"/>
                <w:szCs w:val="16"/>
              </w:rPr>
              <w:t>przemyski</w:t>
            </w:r>
          </w:p>
        </w:tc>
        <w:tc>
          <w:tcPr>
            <w:tcW w:w="864"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18 602</w:t>
            </w:r>
          </w:p>
        </w:tc>
        <w:tc>
          <w:tcPr>
            <w:tcW w:w="7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18 454</w:t>
            </w:r>
          </w:p>
        </w:tc>
        <w:tc>
          <w:tcPr>
            <w:tcW w:w="10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- 148</w:t>
            </w:r>
          </w:p>
        </w:tc>
      </w:tr>
      <w:tr w:rsidR="00B65D23" w:rsidRPr="001D65B6" w:rsidTr="00B65D23">
        <w:trPr>
          <w:jc w:val="center"/>
        </w:trPr>
        <w:tc>
          <w:tcPr>
            <w:tcW w:w="1323" w:type="pct"/>
            <w:shd w:val="clear" w:color="auto" w:fill="FFFFFF" w:themeFill="background1"/>
          </w:tcPr>
          <w:p w:rsidR="00B65D23" w:rsidRPr="00B65D23" w:rsidRDefault="00B65D23" w:rsidP="00A11007">
            <w:pPr>
              <w:rPr>
                <w:rFonts w:ascii="Times New Roman" w:hAnsi="Times New Roman" w:cs="Times New Roman"/>
                <w:color w:val="000000" w:themeColor="text1"/>
                <w:sz w:val="16"/>
                <w:szCs w:val="16"/>
              </w:rPr>
            </w:pPr>
            <w:r w:rsidRPr="00B65D23">
              <w:rPr>
                <w:rFonts w:ascii="Times New Roman" w:hAnsi="Times New Roman" w:cs="Times New Roman"/>
                <w:color w:val="000000" w:themeColor="text1"/>
                <w:sz w:val="16"/>
                <w:szCs w:val="16"/>
              </w:rPr>
              <w:t>Rzeszów</w:t>
            </w:r>
          </w:p>
        </w:tc>
        <w:tc>
          <w:tcPr>
            <w:tcW w:w="1099" w:type="pct"/>
            <w:shd w:val="clear" w:color="auto" w:fill="FFFFFF" w:themeFill="background1"/>
          </w:tcPr>
          <w:p w:rsidR="00B65D23" w:rsidRPr="00B65D23" w:rsidRDefault="00B65D23" w:rsidP="00B65D23">
            <w:pPr>
              <w:rPr>
                <w:rFonts w:ascii="Times New Roman" w:hAnsi="Times New Roman" w:cs="Times New Roman"/>
                <w:color w:val="000000" w:themeColor="text1"/>
                <w:sz w:val="16"/>
                <w:szCs w:val="16"/>
              </w:rPr>
            </w:pPr>
            <w:r w:rsidRPr="00B65D23">
              <w:rPr>
                <w:rFonts w:ascii="Times New Roman" w:hAnsi="Times New Roman" w:cs="Times New Roman"/>
                <w:color w:val="000000" w:themeColor="text1"/>
                <w:sz w:val="16"/>
                <w:szCs w:val="16"/>
              </w:rPr>
              <w:t>rzeszowski</w:t>
            </w:r>
          </w:p>
        </w:tc>
        <w:tc>
          <w:tcPr>
            <w:tcW w:w="864"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90 391</w:t>
            </w:r>
          </w:p>
        </w:tc>
        <w:tc>
          <w:tcPr>
            <w:tcW w:w="7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94 940</w:t>
            </w:r>
          </w:p>
        </w:tc>
        <w:tc>
          <w:tcPr>
            <w:tcW w:w="10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4 549</w:t>
            </w:r>
          </w:p>
        </w:tc>
      </w:tr>
      <w:tr w:rsidR="00B65D23" w:rsidRPr="00C75C71" w:rsidTr="00B65D23">
        <w:trPr>
          <w:jc w:val="center"/>
        </w:trPr>
        <w:tc>
          <w:tcPr>
            <w:tcW w:w="1323" w:type="pct"/>
            <w:shd w:val="clear" w:color="auto" w:fill="FFFFFF" w:themeFill="background1"/>
          </w:tcPr>
          <w:p w:rsidR="00B65D23" w:rsidRPr="00B65D23" w:rsidRDefault="00B65D23" w:rsidP="00A11007">
            <w:pPr>
              <w:rPr>
                <w:rFonts w:ascii="Times New Roman" w:hAnsi="Times New Roman" w:cs="Times New Roman"/>
                <w:sz w:val="16"/>
                <w:szCs w:val="16"/>
              </w:rPr>
            </w:pPr>
            <w:r w:rsidRPr="00B65D23">
              <w:rPr>
                <w:rFonts w:ascii="Times New Roman" w:hAnsi="Times New Roman" w:cs="Times New Roman"/>
                <w:sz w:val="16"/>
                <w:szCs w:val="16"/>
              </w:rPr>
              <w:t>Tarnobrzeg</w:t>
            </w:r>
          </w:p>
        </w:tc>
        <w:tc>
          <w:tcPr>
            <w:tcW w:w="1099" w:type="pct"/>
            <w:shd w:val="clear" w:color="auto" w:fill="FFFFFF" w:themeFill="background1"/>
          </w:tcPr>
          <w:p w:rsidR="00B65D23" w:rsidRPr="00B65D23" w:rsidRDefault="00B65D23" w:rsidP="00B65D23">
            <w:pPr>
              <w:rPr>
                <w:rFonts w:ascii="Times New Roman" w:hAnsi="Times New Roman" w:cs="Times New Roman"/>
                <w:color w:val="000000"/>
                <w:sz w:val="16"/>
                <w:szCs w:val="16"/>
              </w:rPr>
            </w:pPr>
            <w:r w:rsidRPr="00B65D23">
              <w:rPr>
                <w:rFonts w:ascii="Times New Roman" w:hAnsi="Times New Roman" w:cs="Times New Roman"/>
                <w:color w:val="000000"/>
                <w:sz w:val="16"/>
                <w:szCs w:val="16"/>
              </w:rPr>
              <w:t>tarnobrzeski</w:t>
            </w:r>
          </w:p>
        </w:tc>
        <w:tc>
          <w:tcPr>
            <w:tcW w:w="864"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12 312</w:t>
            </w:r>
          </w:p>
        </w:tc>
        <w:tc>
          <w:tcPr>
            <w:tcW w:w="7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12 269</w:t>
            </w:r>
          </w:p>
        </w:tc>
        <w:tc>
          <w:tcPr>
            <w:tcW w:w="1007" w:type="pct"/>
            <w:shd w:val="clear" w:color="auto" w:fill="FFFFFF" w:themeFill="background1"/>
            <w:vAlign w:val="center"/>
          </w:tcPr>
          <w:p w:rsidR="00B65D23" w:rsidRPr="00B65D23" w:rsidRDefault="00B65D23" w:rsidP="00B65D23">
            <w:pPr>
              <w:jc w:val="center"/>
              <w:rPr>
                <w:rFonts w:ascii="Times New Roman" w:hAnsi="Times New Roman" w:cs="Times New Roman"/>
                <w:sz w:val="16"/>
                <w:szCs w:val="16"/>
              </w:rPr>
            </w:pPr>
            <w:r w:rsidRPr="00B65D23">
              <w:rPr>
                <w:rFonts w:ascii="Times New Roman" w:hAnsi="Times New Roman" w:cs="Times New Roman"/>
                <w:sz w:val="16"/>
                <w:szCs w:val="16"/>
              </w:rPr>
              <w:t>- 43</w:t>
            </w:r>
          </w:p>
        </w:tc>
      </w:tr>
    </w:tbl>
    <w:p w:rsidR="00B65D23" w:rsidRPr="00B65D23" w:rsidRDefault="00B65D23" w:rsidP="00894482">
      <w:pPr>
        <w:pBdr>
          <w:bottom w:val="single" w:sz="4" w:space="1" w:color="auto"/>
        </w:pBdr>
        <w:spacing w:after="0" w:line="240" w:lineRule="auto"/>
        <w:jc w:val="both"/>
        <w:rPr>
          <w:rFonts w:ascii="Times New Roman" w:hAnsi="Times New Roman" w:cs="Times New Roman"/>
          <w:sz w:val="16"/>
          <w:szCs w:val="16"/>
        </w:rPr>
      </w:pPr>
    </w:p>
    <w:p w:rsidR="00242C45" w:rsidRPr="001707C3" w:rsidRDefault="00242C45" w:rsidP="00894482">
      <w:pPr>
        <w:pBdr>
          <w:bottom w:val="single" w:sz="4" w:space="1" w:color="auto"/>
        </w:pBdr>
        <w:spacing w:after="0" w:line="240" w:lineRule="auto"/>
        <w:jc w:val="both"/>
        <w:rPr>
          <w:rFonts w:ascii="Times New Roman" w:hAnsi="Times New Roman" w:cs="Times New Roman"/>
          <w:sz w:val="24"/>
          <w:szCs w:val="24"/>
        </w:rPr>
      </w:pPr>
      <w:r w:rsidRPr="001707C3">
        <w:rPr>
          <w:rFonts w:ascii="Times New Roman" w:hAnsi="Times New Roman" w:cs="Times New Roman"/>
          <w:sz w:val="24"/>
          <w:szCs w:val="24"/>
        </w:rPr>
        <w:t>Wnioski:</w:t>
      </w:r>
    </w:p>
    <w:p w:rsidR="00242C45" w:rsidRPr="001707C3" w:rsidRDefault="00242C45" w:rsidP="00242C45">
      <w:pPr>
        <w:spacing w:after="0" w:line="360" w:lineRule="auto"/>
        <w:jc w:val="both"/>
        <w:rPr>
          <w:rFonts w:ascii="Times New Roman" w:hAnsi="Times New Roman" w:cs="Times New Roman"/>
          <w:sz w:val="18"/>
          <w:szCs w:val="18"/>
        </w:rPr>
      </w:pPr>
      <w:r w:rsidRPr="001707C3">
        <w:rPr>
          <w:rFonts w:ascii="Times New Roman" w:hAnsi="Times New Roman" w:cs="Times New Roman"/>
          <w:sz w:val="18"/>
          <w:szCs w:val="18"/>
        </w:rPr>
        <w:t>(na podstawie Tabeli 1</w:t>
      </w:r>
      <w:r w:rsidR="001707C3" w:rsidRPr="001707C3">
        <w:rPr>
          <w:rFonts w:ascii="Times New Roman" w:hAnsi="Times New Roman" w:cs="Times New Roman"/>
          <w:sz w:val="18"/>
          <w:szCs w:val="18"/>
        </w:rPr>
        <w:t>3</w:t>
      </w:r>
      <w:r w:rsidRPr="001707C3">
        <w:rPr>
          <w:rFonts w:ascii="Times New Roman" w:hAnsi="Times New Roman" w:cs="Times New Roman"/>
          <w:sz w:val="18"/>
          <w:szCs w:val="18"/>
        </w:rPr>
        <w:t>)</w:t>
      </w:r>
    </w:p>
    <w:p w:rsidR="00242C45" w:rsidRPr="00217192" w:rsidRDefault="00242C45" w:rsidP="00160DBC">
      <w:pPr>
        <w:pStyle w:val="Akapitzlist"/>
        <w:numPr>
          <w:ilvl w:val="0"/>
          <w:numId w:val="20"/>
        </w:numPr>
        <w:spacing w:after="0" w:line="360" w:lineRule="auto"/>
        <w:jc w:val="both"/>
        <w:rPr>
          <w:rFonts w:ascii="Times New Roman" w:hAnsi="Times New Roman" w:cs="Times New Roman"/>
          <w:sz w:val="24"/>
          <w:szCs w:val="24"/>
        </w:rPr>
      </w:pPr>
      <w:r w:rsidRPr="00217192">
        <w:rPr>
          <w:rFonts w:ascii="Times New Roman" w:hAnsi="Times New Roman" w:cs="Times New Roman"/>
          <w:sz w:val="24"/>
          <w:szCs w:val="24"/>
        </w:rPr>
        <w:t>Łącznie</w:t>
      </w:r>
      <w:r w:rsidR="00AE5712" w:rsidRPr="00217192">
        <w:rPr>
          <w:rFonts w:ascii="Times New Roman" w:hAnsi="Times New Roman" w:cs="Times New Roman"/>
          <w:sz w:val="24"/>
          <w:szCs w:val="24"/>
        </w:rPr>
        <w:t xml:space="preserve"> w </w:t>
      </w:r>
      <w:r w:rsidRPr="00217192">
        <w:rPr>
          <w:rFonts w:ascii="Times New Roman" w:hAnsi="Times New Roman" w:cs="Times New Roman"/>
          <w:sz w:val="24"/>
          <w:szCs w:val="24"/>
        </w:rPr>
        <w:t>podregionach (jednostki NUTS</w:t>
      </w:r>
      <w:r w:rsidR="009C65FF" w:rsidRPr="00217192">
        <w:rPr>
          <w:rFonts w:ascii="Times New Roman" w:hAnsi="Times New Roman" w:cs="Times New Roman"/>
          <w:sz w:val="24"/>
          <w:szCs w:val="24"/>
        </w:rPr>
        <w:t>–</w:t>
      </w:r>
      <w:r w:rsidRPr="00217192">
        <w:rPr>
          <w:rFonts w:ascii="Times New Roman" w:hAnsi="Times New Roman" w:cs="Times New Roman"/>
          <w:sz w:val="24"/>
          <w:szCs w:val="24"/>
        </w:rPr>
        <w:t>3) zlokalizowanych jest:</w:t>
      </w:r>
    </w:p>
    <w:p w:rsidR="00242C45" w:rsidRPr="00D42399" w:rsidRDefault="00242C45" w:rsidP="00160DBC">
      <w:pPr>
        <w:pStyle w:val="Akapitzlist"/>
        <w:numPr>
          <w:ilvl w:val="0"/>
          <w:numId w:val="21"/>
        </w:numPr>
        <w:spacing w:after="0" w:line="360" w:lineRule="auto"/>
        <w:jc w:val="both"/>
        <w:rPr>
          <w:rFonts w:ascii="Times New Roman" w:hAnsi="Times New Roman" w:cs="Times New Roman"/>
          <w:sz w:val="24"/>
          <w:szCs w:val="24"/>
        </w:rPr>
      </w:pPr>
      <w:r w:rsidRPr="00D42399">
        <w:rPr>
          <w:rFonts w:ascii="Times New Roman" w:hAnsi="Times New Roman" w:cs="Times New Roman"/>
          <w:sz w:val="24"/>
          <w:szCs w:val="24"/>
        </w:rPr>
        <w:t xml:space="preserve">PL323 – Krośnieński </w:t>
      </w:r>
      <w:r w:rsidR="006A7F81" w:rsidRPr="00D42399">
        <w:rPr>
          <w:rFonts w:ascii="Times New Roman" w:hAnsi="Times New Roman" w:cs="Times New Roman"/>
          <w:sz w:val="24"/>
          <w:szCs w:val="24"/>
        </w:rPr>
        <w:t>15</w:t>
      </w:r>
      <w:r w:rsidR="00B65D23" w:rsidRPr="00D42399">
        <w:rPr>
          <w:rFonts w:ascii="Times New Roman" w:hAnsi="Times New Roman" w:cs="Times New Roman"/>
          <w:sz w:val="24"/>
          <w:szCs w:val="24"/>
        </w:rPr>
        <w:t>8</w:t>
      </w:r>
      <w:r w:rsidRPr="00D42399">
        <w:rPr>
          <w:rFonts w:ascii="Times New Roman" w:hAnsi="Times New Roman" w:cs="Times New Roman"/>
          <w:sz w:val="24"/>
          <w:szCs w:val="24"/>
        </w:rPr>
        <w:t> </w:t>
      </w:r>
      <w:r w:rsidR="006A7F81" w:rsidRPr="00D42399">
        <w:rPr>
          <w:rFonts w:ascii="Times New Roman" w:hAnsi="Times New Roman" w:cs="Times New Roman"/>
          <w:sz w:val="24"/>
          <w:szCs w:val="24"/>
        </w:rPr>
        <w:t>4</w:t>
      </w:r>
      <w:r w:rsidR="00B65D23" w:rsidRPr="00D42399">
        <w:rPr>
          <w:rFonts w:ascii="Times New Roman" w:hAnsi="Times New Roman" w:cs="Times New Roman"/>
          <w:sz w:val="24"/>
          <w:szCs w:val="24"/>
        </w:rPr>
        <w:t>85</w:t>
      </w:r>
      <w:r w:rsidRPr="00D42399">
        <w:rPr>
          <w:rFonts w:ascii="Times New Roman" w:hAnsi="Times New Roman" w:cs="Times New Roman"/>
          <w:sz w:val="24"/>
          <w:szCs w:val="24"/>
        </w:rPr>
        <w:t xml:space="preserve"> </w:t>
      </w:r>
      <w:r w:rsidR="009C65FF" w:rsidRPr="00D42399">
        <w:rPr>
          <w:rFonts w:ascii="Times New Roman" w:hAnsi="Times New Roman" w:cs="Times New Roman"/>
          <w:sz w:val="24"/>
          <w:szCs w:val="24"/>
        </w:rPr>
        <w:t>pracujących</w:t>
      </w:r>
      <w:r w:rsidR="00DC0130" w:rsidRPr="00D42399">
        <w:rPr>
          <w:rFonts w:ascii="Times New Roman" w:hAnsi="Times New Roman" w:cs="Times New Roman"/>
          <w:sz w:val="24"/>
          <w:szCs w:val="24"/>
        </w:rPr>
        <w:t xml:space="preserve"> (</w:t>
      </w:r>
      <w:r w:rsidR="00D42399" w:rsidRPr="00D42399">
        <w:rPr>
          <w:rFonts w:ascii="Times New Roman" w:hAnsi="Times New Roman" w:cs="Times New Roman"/>
          <w:sz w:val="24"/>
          <w:szCs w:val="24"/>
        </w:rPr>
        <w:t>22</w:t>
      </w:r>
      <w:r w:rsidR="00DC0130" w:rsidRPr="00D42399">
        <w:rPr>
          <w:rFonts w:ascii="Times New Roman" w:hAnsi="Times New Roman" w:cs="Times New Roman"/>
          <w:sz w:val="24"/>
          <w:szCs w:val="24"/>
        </w:rPr>
        <w:t>,</w:t>
      </w:r>
      <w:r w:rsidR="00D42399" w:rsidRPr="00D42399">
        <w:rPr>
          <w:rFonts w:ascii="Times New Roman" w:hAnsi="Times New Roman" w:cs="Times New Roman"/>
          <w:sz w:val="24"/>
          <w:szCs w:val="24"/>
        </w:rPr>
        <w:t xml:space="preserve">3 </w:t>
      </w:r>
      <w:r w:rsidR="00DC0130" w:rsidRPr="00D42399">
        <w:rPr>
          <w:rFonts w:ascii="Times New Roman" w:hAnsi="Times New Roman" w:cs="Times New Roman"/>
          <w:sz w:val="24"/>
          <w:szCs w:val="24"/>
        </w:rPr>
        <w:t>% ogółu)</w:t>
      </w:r>
      <w:r w:rsidR="006A7F81" w:rsidRPr="00D42399">
        <w:rPr>
          <w:rFonts w:ascii="Times New Roman" w:hAnsi="Times New Roman" w:cs="Times New Roman"/>
          <w:sz w:val="24"/>
          <w:szCs w:val="24"/>
        </w:rPr>
        <w:t>,</w:t>
      </w:r>
    </w:p>
    <w:p w:rsidR="00242C45" w:rsidRPr="00D42399" w:rsidRDefault="00242C45" w:rsidP="00160DBC">
      <w:pPr>
        <w:pStyle w:val="Akapitzlist"/>
        <w:numPr>
          <w:ilvl w:val="0"/>
          <w:numId w:val="21"/>
        </w:numPr>
        <w:spacing w:after="0" w:line="360" w:lineRule="auto"/>
        <w:jc w:val="both"/>
        <w:rPr>
          <w:rFonts w:ascii="Times New Roman" w:hAnsi="Times New Roman" w:cs="Times New Roman"/>
          <w:sz w:val="24"/>
          <w:szCs w:val="24"/>
        </w:rPr>
      </w:pPr>
      <w:r w:rsidRPr="00D42399">
        <w:rPr>
          <w:rFonts w:ascii="Times New Roman" w:hAnsi="Times New Roman" w:cs="Times New Roman"/>
          <w:sz w:val="24"/>
          <w:szCs w:val="24"/>
        </w:rPr>
        <w:t xml:space="preserve">PL324 – Przemyski: </w:t>
      </w:r>
      <w:r w:rsidR="006A7F81" w:rsidRPr="00D42399">
        <w:rPr>
          <w:rFonts w:ascii="Times New Roman" w:hAnsi="Times New Roman" w:cs="Times New Roman"/>
          <w:sz w:val="24"/>
          <w:szCs w:val="24"/>
        </w:rPr>
        <w:t>12</w:t>
      </w:r>
      <w:r w:rsidR="00D42399" w:rsidRPr="00D42399">
        <w:rPr>
          <w:rFonts w:ascii="Times New Roman" w:hAnsi="Times New Roman" w:cs="Times New Roman"/>
          <w:sz w:val="24"/>
          <w:szCs w:val="24"/>
        </w:rPr>
        <w:t>2</w:t>
      </w:r>
      <w:r w:rsidRPr="00D42399">
        <w:rPr>
          <w:rFonts w:ascii="Times New Roman" w:hAnsi="Times New Roman" w:cs="Times New Roman"/>
          <w:sz w:val="24"/>
          <w:szCs w:val="24"/>
        </w:rPr>
        <w:t> </w:t>
      </w:r>
      <w:r w:rsidR="006A7F81" w:rsidRPr="00D42399">
        <w:rPr>
          <w:rFonts w:ascii="Times New Roman" w:hAnsi="Times New Roman" w:cs="Times New Roman"/>
          <w:sz w:val="24"/>
          <w:szCs w:val="24"/>
        </w:rPr>
        <w:t>35</w:t>
      </w:r>
      <w:r w:rsidR="00D42399" w:rsidRPr="00D42399">
        <w:rPr>
          <w:rFonts w:ascii="Times New Roman" w:hAnsi="Times New Roman" w:cs="Times New Roman"/>
          <w:sz w:val="24"/>
          <w:szCs w:val="24"/>
        </w:rPr>
        <w:t>4</w:t>
      </w:r>
      <w:r w:rsidRPr="00D42399">
        <w:rPr>
          <w:rFonts w:ascii="Times New Roman" w:hAnsi="Times New Roman" w:cs="Times New Roman"/>
          <w:sz w:val="24"/>
          <w:szCs w:val="24"/>
        </w:rPr>
        <w:t xml:space="preserve"> </w:t>
      </w:r>
      <w:r w:rsidR="009C65FF" w:rsidRPr="00D42399">
        <w:rPr>
          <w:rFonts w:ascii="Times New Roman" w:hAnsi="Times New Roman" w:cs="Times New Roman"/>
          <w:sz w:val="24"/>
          <w:szCs w:val="24"/>
        </w:rPr>
        <w:t>pracujących (</w:t>
      </w:r>
      <w:r w:rsidR="00D42399" w:rsidRPr="00D42399">
        <w:rPr>
          <w:rFonts w:ascii="Times New Roman" w:hAnsi="Times New Roman" w:cs="Times New Roman"/>
          <w:sz w:val="24"/>
          <w:szCs w:val="24"/>
        </w:rPr>
        <w:t>17</w:t>
      </w:r>
      <w:r w:rsidR="00DC0130" w:rsidRPr="00D42399">
        <w:rPr>
          <w:rFonts w:ascii="Times New Roman" w:hAnsi="Times New Roman" w:cs="Times New Roman"/>
          <w:sz w:val="24"/>
          <w:szCs w:val="24"/>
        </w:rPr>
        <w:t>,</w:t>
      </w:r>
      <w:r w:rsidR="00D42399" w:rsidRPr="00D42399">
        <w:rPr>
          <w:rFonts w:ascii="Times New Roman" w:hAnsi="Times New Roman" w:cs="Times New Roman"/>
          <w:sz w:val="24"/>
          <w:szCs w:val="24"/>
        </w:rPr>
        <w:t xml:space="preserve">2 </w:t>
      </w:r>
      <w:r w:rsidR="00DC0130" w:rsidRPr="00D42399">
        <w:rPr>
          <w:rFonts w:ascii="Times New Roman" w:hAnsi="Times New Roman" w:cs="Times New Roman"/>
          <w:sz w:val="24"/>
          <w:szCs w:val="24"/>
        </w:rPr>
        <w:t>%)</w:t>
      </w:r>
      <w:r w:rsidR="006A7F81" w:rsidRPr="00D42399">
        <w:rPr>
          <w:rFonts w:ascii="Times New Roman" w:hAnsi="Times New Roman" w:cs="Times New Roman"/>
          <w:sz w:val="24"/>
          <w:szCs w:val="24"/>
        </w:rPr>
        <w:t>,</w:t>
      </w:r>
    </w:p>
    <w:p w:rsidR="00242C45" w:rsidRPr="00D42399" w:rsidRDefault="00242C45" w:rsidP="00160DBC">
      <w:pPr>
        <w:pStyle w:val="Akapitzlist"/>
        <w:numPr>
          <w:ilvl w:val="0"/>
          <w:numId w:val="21"/>
        </w:numPr>
        <w:spacing w:after="0" w:line="360" w:lineRule="auto"/>
        <w:jc w:val="both"/>
        <w:rPr>
          <w:rFonts w:ascii="Times New Roman" w:hAnsi="Times New Roman" w:cs="Times New Roman"/>
          <w:sz w:val="24"/>
          <w:szCs w:val="24"/>
        </w:rPr>
      </w:pPr>
      <w:r w:rsidRPr="00D42399">
        <w:rPr>
          <w:rFonts w:ascii="Times New Roman" w:hAnsi="Times New Roman" w:cs="Times New Roman"/>
          <w:sz w:val="24"/>
          <w:szCs w:val="24"/>
        </w:rPr>
        <w:t xml:space="preserve">PL325 – Rzeszowski: </w:t>
      </w:r>
      <w:r w:rsidR="006A7F81" w:rsidRPr="00D42399">
        <w:rPr>
          <w:rFonts w:ascii="Times New Roman" w:hAnsi="Times New Roman" w:cs="Times New Roman"/>
          <w:sz w:val="24"/>
          <w:szCs w:val="24"/>
        </w:rPr>
        <w:t>2</w:t>
      </w:r>
      <w:r w:rsidR="00D42399" w:rsidRPr="00D42399">
        <w:rPr>
          <w:rFonts w:ascii="Times New Roman" w:hAnsi="Times New Roman" w:cs="Times New Roman"/>
          <w:sz w:val="24"/>
          <w:szCs w:val="24"/>
        </w:rPr>
        <w:t>30</w:t>
      </w:r>
      <w:r w:rsidRPr="00D42399">
        <w:rPr>
          <w:rFonts w:ascii="Times New Roman" w:hAnsi="Times New Roman" w:cs="Times New Roman"/>
          <w:sz w:val="24"/>
          <w:szCs w:val="24"/>
        </w:rPr>
        <w:t> </w:t>
      </w:r>
      <w:r w:rsidR="00D42399" w:rsidRPr="00D42399">
        <w:rPr>
          <w:rFonts w:ascii="Times New Roman" w:hAnsi="Times New Roman" w:cs="Times New Roman"/>
          <w:sz w:val="24"/>
          <w:szCs w:val="24"/>
        </w:rPr>
        <w:t>060</w:t>
      </w:r>
      <w:r w:rsidRPr="00D42399">
        <w:rPr>
          <w:rFonts w:ascii="Times New Roman" w:hAnsi="Times New Roman" w:cs="Times New Roman"/>
          <w:sz w:val="24"/>
          <w:szCs w:val="24"/>
        </w:rPr>
        <w:t xml:space="preserve"> </w:t>
      </w:r>
      <w:r w:rsidR="009C65FF" w:rsidRPr="00D42399">
        <w:rPr>
          <w:rFonts w:ascii="Times New Roman" w:hAnsi="Times New Roman" w:cs="Times New Roman"/>
          <w:sz w:val="24"/>
          <w:szCs w:val="24"/>
        </w:rPr>
        <w:t>pracujących</w:t>
      </w:r>
      <w:r w:rsidR="00DC0130" w:rsidRPr="00D42399">
        <w:rPr>
          <w:rFonts w:ascii="Times New Roman" w:hAnsi="Times New Roman" w:cs="Times New Roman"/>
          <w:sz w:val="24"/>
          <w:szCs w:val="24"/>
        </w:rPr>
        <w:t xml:space="preserve"> (</w:t>
      </w:r>
      <w:r w:rsidR="00D42399" w:rsidRPr="00D42399">
        <w:rPr>
          <w:rFonts w:ascii="Times New Roman" w:hAnsi="Times New Roman" w:cs="Times New Roman"/>
          <w:sz w:val="24"/>
          <w:szCs w:val="24"/>
        </w:rPr>
        <w:t>32</w:t>
      </w:r>
      <w:r w:rsidR="0027033D" w:rsidRPr="00D42399">
        <w:rPr>
          <w:rFonts w:ascii="Times New Roman" w:hAnsi="Times New Roman" w:cs="Times New Roman"/>
          <w:sz w:val="24"/>
          <w:szCs w:val="24"/>
        </w:rPr>
        <w:t>,</w:t>
      </w:r>
      <w:r w:rsidR="00D42399" w:rsidRPr="00D42399">
        <w:rPr>
          <w:rFonts w:ascii="Times New Roman" w:hAnsi="Times New Roman" w:cs="Times New Roman"/>
          <w:sz w:val="24"/>
          <w:szCs w:val="24"/>
        </w:rPr>
        <w:t xml:space="preserve">3 </w:t>
      </w:r>
      <w:r w:rsidR="006A7F81" w:rsidRPr="00D42399">
        <w:rPr>
          <w:rFonts w:ascii="Times New Roman" w:hAnsi="Times New Roman" w:cs="Times New Roman"/>
          <w:sz w:val="24"/>
          <w:szCs w:val="24"/>
        </w:rPr>
        <w:t>%</w:t>
      </w:r>
      <w:r w:rsidR="00DC0130" w:rsidRPr="00D42399">
        <w:rPr>
          <w:rFonts w:ascii="Times New Roman" w:hAnsi="Times New Roman" w:cs="Times New Roman"/>
          <w:sz w:val="24"/>
          <w:szCs w:val="24"/>
        </w:rPr>
        <w:t>)</w:t>
      </w:r>
      <w:r w:rsidR="006A7F81" w:rsidRPr="00D42399">
        <w:rPr>
          <w:rFonts w:ascii="Times New Roman" w:hAnsi="Times New Roman" w:cs="Times New Roman"/>
          <w:sz w:val="24"/>
          <w:szCs w:val="24"/>
        </w:rPr>
        <w:t>,</w:t>
      </w:r>
    </w:p>
    <w:p w:rsidR="00242C45" w:rsidRPr="00D42399" w:rsidRDefault="00242C45" w:rsidP="00160DBC">
      <w:pPr>
        <w:pStyle w:val="Akapitzlist"/>
        <w:numPr>
          <w:ilvl w:val="0"/>
          <w:numId w:val="21"/>
        </w:numPr>
        <w:spacing w:after="0" w:line="360" w:lineRule="auto"/>
        <w:jc w:val="both"/>
        <w:rPr>
          <w:rFonts w:ascii="Times New Roman" w:hAnsi="Times New Roman" w:cs="Times New Roman"/>
          <w:sz w:val="24"/>
          <w:szCs w:val="24"/>
        </w:rPr>
      </w:pPr>
      <w:r w:rsidRPr="00D42399">
        <w:rPr>
          <w:rFonts w:ascii="Times New Roman" w:hAnsi="Times New Roman" w:cs="Times New Roman"/>
          <w:sz w:val="24"/>
          <w:szCs w:val="24"/>
        </w:rPr>
        <w:t xml:space="preserve">PL326 – Tarnobrzeski: </w:t>
      </w:r>
      <w:r w:rsidR="00D42399" w:rsidRPr="00D42399">
        <w:rPr>
          <w:rFonts w:ascii="Times New Roman" w:hAnsi="Times New Roman" w:cs="Times New Roman"/>
          <w:sz w:val="24"/>
          <w:szCs w:val="24"/>
        </w:rPr>
        <w:t>200</w:t>
      </w:r>
      <w:r w:rsidRPr="00D42399">
        <w:rPr>
          <w:rFonts w:ascii="Times New Roman" w:hAnsi="Times New Roman" w:cs="Times New Roman"/>
          <w:sz w:val="24"/>
          <w:szCs w:val="24"/>
        </w:rPr>
        <w:t> </w:t>
      </w:r>
      <w:r w:rsidR="00D42399" w:rsidRPr="00D42399">
        <w:rPr>
          <w:rFonts w:ascii="Times New Roman" w:hAnsi="Times New Roman" w:cs="Times New Roman"/>
          <w:sz w:val="24"/>
          <w:szCs w:val="24"/>
        </w:rPr>
        <w:t>8</w:t>
      </w:r>
      <w:r w:rsidR="006A7F81" w:rsidRPr="00D42399">
        <w:rPr>
          <w:rFonts w:ascii="Times New Roman" w:hAnsi="Times New Roman" w:cs="Times New Roman"/>
          <w:sz w:val="24"/>
          <w:szCs w:val="24"/>
        </w:rPr>
        <w:t>3</w:t>
      </w:r>
      <w:r w:rsidR="00D42399" w:rsidRPr="00D42399">
        <w:rPr>
          <w:rFonts w:ascii="Times New Roman" w:hAnsi="Times New Roman" w:cs="Times New Roman"/>
          <w:sz w:val="24"/>
          <w:szCs w:val="24"/>
        </w:rPr>
        <w:t>0</w:t>
      </w:r>
      <w:r w:rsidRPr="00D42399">
        <w:rPr>
          <w:rFonts w:ascii="Times New Roman" w:hAnsi="Times New Roman" w:cs="Times New Roman"/>
          <w:sz w:val="24"/>
          <w:szCs w:val="24"/>
        </w:rPr>
        <w:t xml:space="preserve"> p</w:t>
      </w:r>
      <w:r w:rsidR="009C65FF" w:rsidRPr="00D42399">
        <w:rPr>
          <w:rFonts w:ascii="Times New Roman" w:hAnsi="Times New Roman" w:cs="Times New Roman"/>
          <w:sz w:val="24"/>
          <w:szCs w:val="24"/>
        </w:rPr>
        <w:t>racujących</w:t>
      </w:r>
      <w:r w:rsidR="00DC0130" w:rsidRPr="00D42399">
        <w:rPr>
          <w:rFonts w:ascii="Times New Roman" w:hAnsi="Times New Roman" w:cs="Times New Roman"/>
          <w:sz w:val="24"/>
          <w:szCs w:val="24"/>
        </w:rPr>
        <w:t xml:space="preserve"> (</w:t>
      </w:r>
      <w:r w:rsidR="00D42399" w:rsidRPr="00D42399">
        <w:rPr>
          <w:rFonts w:ascii="Times New Roman" w:hAnsi="Times New Roman" w:cs="Times New Roman"/>
          <w:sz w:val="24"/>
          <w:szCs w:val="24"/>
        </w:rPr>
        <w:t>28</w:t>
      </w:r>
      <w:r w:rsidR="0027033D" w:rsidRPr="00D42399">
        <w:rPr>
          <w:rFonts w:ascii="Times New Roman" w:hAnsi="Times New Roman" w:cs="Times New Roman"/>
          <w:sz w:val="24"/>
          <w:szCs w:val="24"/>
        </w:rPr>
        <w:t>,</w:t>
      </w:r>
      <w:r w:rsidR="00D42399" w:rsidRPr="00D42399">
        <w:rPr>
          <w:rFonts w:ascii="Times New Roman" w:hAnsi="Times New Roman" w:cs="Times New Roman"/>
          <w:sz w:val="24"/>
          <w:szCs w:val="24"/>
        </w:rPr>
        <w:t xml:space="preserve">2 </w:t>
      </w:r>
      <w:r w:rsidR="0027033D" w:rsidRPr="00D42399">
        <w:rPr>
          <w:rFonts w:ascii="Times New Roman" w:hAnsi="Times New Roman" w:cs="Times New Roman"/>
          <w:sz w:val="24"/>
          <w:szCs w:val="24"/>
        </w:rPr>
        <w:t>%</w:t>
      </w:r>
      <w:r w:rsidR="00DC0130" w:rsidRPr="00D42399">
        <w:rPr>
          <w:rFonts w:ascii="Times New Roman" w:hAnsi="Times New Roman" w:cs="Times New Roman"/>
          <w:sz w:val="24"/>
          <w:szCs w:val="24"/>
        </w:rPr>
        <w:t>)</w:t>
      </w:r>
      <w:r w:rsidRPr="00D42399">
        <w:rPr>
          <w:rFonts w:ascii="Times New Roman" w:hAnsi="Times New Roman" w:cs="Times New Roman"/>
          <w:sz w:val="24"/>
          <w:szCs w:val="24"/>
        </w:rPr>
        <w:t>.</w:t>
      </w:r>
    </w:p>
    <w:p w:rsidR="009C65FF" w:rsidRPr="00AB1BA4" w:rsidRDefault="00242C45" w:rsidP="00160DBC">
      <w:pPr>
        <w:pStyle w:val="Akapitzlist"/>
        <w:numPr>
          <w:ilvl w:val="0"/>
          <w:numId w:val="20"/>
        </w:numPr>
        <w:spacing w:after="0" w:line="360" w:lineRule="auto"/>
        <w:jc w:val="both"/>
        <w:rPr>
          <w:rFonts w:ascii="Times New Roman" w:hAnsi="Times New Roman" w:cs="Times New Roman"/>
          <w:sz w:val="24"/>
          <w:szCs w:val="24"/>
        </w:rPr>
      </w:pPr>
      <w:r w:rsidRPr="00AB1BA4">
        <w:rPr>
          <w:rFonts w:ascii="Times New Roman" w:hAnsi="Times New Roman" w:cs="Times New Roman"/>
          <w:sz w:val="24"/>
          <w:szCs w:val="24"/>
        </w:rPr>
        <w:t xml:space="preserve">Wyraźne skupienie </w:t>
      </w:r>
      <w:r w:rsidR="006F3D1E" w:rsidRPr="00AB1BA4">
        <w:rPr>
          <w:rFonts w:ascii="Times New Roman" w:hAnsi="Times New Roman" w:cs="Times New Roman"/>
          <w:sz w:val="24"/>
          <w:szCs w:val="24"/>
        </w:rPr>
        <w:t xml:space="preserve">się osób </w:t>
      </w:r>
      <w:r w:rsidR="009C65FF" w:rsidRPr="00AB1BA4">
        <w:rPr>
          <w:rFonts w:ascii="Times New Roman" w:hAnsi="Times New Roman" w:cs="Times New Roman"/>
          <w:sz w:val="24"/>
          <w:szCs w:val="24"/>
        </w:rPr>
        <w:t xml:space="preserve">pracujących wg zawężonej definicji GUS (bez mikroprzedsiębiorstw) </w:t>
      </w:r>
      <w:r w:rsidR="00AE5712" w:rsidRPr="00AB1BA4">
        <w:rPr>
          <w:rFonts w:ascii="Times New Roman" w:hAnsi="Times New Roman" w:cs="Times New Roman"/>
          <w:sz w:val="24"/>
          <w:szCs w:val="24"/>
        </w:rPr>
        <w:t>w</w:t>
      </w:r>
      <w:r w:rsidR="0027033D" w:rsidRPr="00AB1BA4">
        <w:rPr>
          <w:rFonts w:ascii="Times New Roman" w:hAnsi="Times New Roman" w:cs="Times New Roman"/>
          <w:sz w:val="24"/>
          <w:szCs w:val="24"/>
        </w:rPr>
        <w:t xml:space="preserve"> </w:t>
      </w:r>
      <w:r w:rsidRPr="00AB1BA4">
        <w:rPr>
          <w:rFonts w:ascii="Times New Roman" w:hAnsi="Times New Roman" w:cs="Times New Roman"/>
          <w:sz w:val="24"/>
          <w:szCs w:val="24"/>
        </w:rPr>
        <w:t>podregionie</w:t>
      </w:r>
      <w:r w:rsidR="0027033D" w:rsidRPr="00AB1BA4">
        <w:rPr>
          <w:rFonts w:ascii="Times New Roman" w:hAnsi="Times New Roman" w:cs="Times New Roman"/>
          <w:sz w:val="24"/>
          <w:szCs w:val="24"/>
        </w:rPr>
        <w:t xml:space="preserve"> </w:t>
      </w:r>
      <w:r w:rsidRPr="00AB1BA4">
        <w:rPr>
          <w:rFonts w:ascii="Times New Roman" w:hAnsi="Times New Roman" w:cs="Times New Roman"/>
          <w:sz w:val="24"/>
          <w:szCs w:val="24"/>
        </w:rPr>
        <w:t>rzeszowsk</w:t>
      </w:r>
      <w:r w:rsidR="0027033D" w:rsidRPr="00AB1BA4">
        <w:rPr>
          <w:rFonts w:ascii="Times New Roman" w:hAnsi="Times New Roman" w:cs="Times New Roman"/>
          <w:sz w:val="24"/>
          <w:szCs w:val="24"/>
        </w:rPr>
        <w:t>im i t</w:t>
      </w:r>
      <w:r w:rsidRPr="00AB1BA4">
        <w:rPr>
          <w:rFonts w:ascii="Times New Roman" w:hAnsi="Times New Roman" w:cs="Times New Roman"/>
          <w:sz w:val="24"/>
          <w:szCs w:val="24"/>
        </w:rPr>
        <w:t>arnobrzeskim</w:t>
      </w:r>
      <w:r w:rsidR="00AB1BA4" w:rsidRPr="00AB1BA4">
        <w:rPr>
          <w:rFonts w:ascii="Times New Roman" w:hAnsi="Times New Roman" w:cs="Times New Roman"/>
          <w:sz w:val="24"/>
          <w:szCs w:val="24"/>
        </w:rPr>
        <w:t xml:space="preserve"> – 60</w:t>
      </w:r>
      <w:r w:rsidRPr="00AB1BA4">
        <w:rPr>
          <w:rFonts w:ascii="Times New Roman" w:hAnsi="Times New Roman" w:cs="Times New Roman"/>
          <w:sz w:val="24"/>
          <w:szCs w:val="24"/>
        </w:rPr>
        <w:t>,</w:t>
      </w:r>
      <w:r w:rsidR="00AB1BA4" w:rsidRPr="00AB1BA4">
        <w:rPr>
          <w:rFonts w:ascii="Times New Roman" w:hAnsi="Times New Roman" w:cs="Times New Roman"/>
          <w:sz w:val="24"/>
          <w:szCs w:val="24"/>
        </w:rPr>
        <w:t xml:space="preserve">5 </w:t>
      </w:r>
      <w:r w:rsidRPr="00AB1BA4">
        <w:rPr>
          <w:rFonts w:ascii="Times New Roman" w:hAnsi="Times New Roman" w:cs="Times New Roman"/>
          <w:sz w:val="24"/>
          <w:szCs w:val="24"/>
        </w:rPr>
        <w:t>%</w:t>
      </w:r>
      <w:r w:rsidR="00AB1BA4" w:rsidRPr="00AB1BA4">
        <w:rPr>
          <w:rFonts w:ascii="Times New Roman" w:hAnsi="Times New Roman" w:cs="Times New Roman"/>
          <w:sz w:val="24"/>
          <w:szCs w:val="24"/>
        </w:rPr>
        <w:t xml:space="preserve">, </w:t>
      </w:r>
      <w:r w:rsidR="006F3D1E" w:rsidRPr="00AB1BA4">
        <w:rPr>
          <w:rFonts w:ascii="Times New Roman" w:hAnsi="Times New Roman" w:cs="Times New Roman"/>
          <w:sz w:val="24"/>
          <w:szCs w:val="24"/>
        </w:rPr>
        <w:t>gdzie miały również miejsce najbardziej spektakularne wzrosty (</w:t>
      </w:r>
      <w:r w:rsidR="00392491" w:rsidRPr="00AB1BA4">
        <w:rPr>
          <w:rFonts w:ascii="Times New Roman" w:hAnsi="Times New Roman" w:cs="Times New Roman"/>
          <w:sz w:val="24"/>
          <w:szCs w:val="24"/>
        </w:rPr>
        <w:t>Mielec, Rzeszów)</w:t>
      </w:r>
      <w:r w:rsidR="00423CA6" w:rsidRPr="00AB1BA4">
        <w:rPr>
          <w:rFonts w:ascii="Times New Roman" w:hAnsi="Times New Roman" w:cs="Times New Roman"/>
          <w:sz w:val="24"/>
          <w:szCs w:val="24"/>
        </w:rPr>
        <w:t>. </w:t>
      </w:r>
      <w:r w:rsidR="006F3D1E" w:rsidRPr="00AB1BA4">
        <w:rPr>
          <w:rFonts w:ascii="Times New Roman" w:hAnsi="Times New Roman" w:cs="Times New Roman"/>
          <w:sz w:val="24"/>
          <w:szCs w:val="24"/>
        </w:rPr>
        <w:t xml:space="preserve">Lokalizacja większości dużych firm pokrywa się </w:t>
      </w:r>
      <w:r w:rsidR="009C65FF" w:rsidRPr="00AB1BA4">
        <w:rPr>
          <w:rFonts w:ascii="Times New Roman" w:hAnsi="Times New Roman" w:cs="Times New Roman"/>
          <w:sz w:val="24"/>
          <w:szCs w:val="24"/>
        </w:rPr>
        <w:t>w</w:t>
      </w:r>
      <w:r w:rsidR="00423CA6" w:rsidRPr="00AB1BA4">
        <w:rPr>
          <w:rFonts w:ascii="Times New Roman" w:hAnsi="Times New Roman" w:cs="Times New Roman"/>
          <w:sz w:val="24"/>
          <w:szCs w:val="24"/>
        </w:rPr>
        <w:t> </w:t>
      </w:r>
      <w:r w:rsidR="009C65FF" w:rsidRPr="00AB1BA4">
        <w:rPr>
          <w:rFonts w:ascii="Times New Roman" w:hAnsi="Times New Roman" w:cs="Times New Roman"/>
          <w:sz w:val="24"/>
          <w:szCs w:val="24"/>
        </w:rPr>
        <w:t xml:space="preserve">województwie </w:t>
      </w:r>
      <w:r w:rsidR="006F3D1E" w:rsidRPr="00AB1BA4">
        <w:rPr>
          <w:rFonts w:ascii="Times New Roman" w:hAnsi="Times New Roman" w:cs="Times New Roman"/>
          <w:sz w:val="24"/>
          <w:szCs w:val="24"/>
        </w:rPr>
        <w:t>z przestrzennym usytuowaniem w</w:t>
      </w:r>
      <w:r w:rsidR="00AB1BA4">
        <w:rPr>
          <w:rFonts w:ascii="Times New Roman" w:hAnsi="Times New Roman" w:cs="Times New Roman"/>
          <w:sz w:val="24"/>
          <w:szCs w:val="24"/>
        </w:rPr>
        <w:t> </w:t>
      </w:r>
      <w:r w:rsidR="006F3D1E" w:rsidRPr="00AB1BA4">
        <w:rPr>
          <w:rFonts w:ascii="Times New Roman" w:hAnsi="Times New Roman" w:cs="Times New Roman"/>
          <w:sz w:val="24"/>
          <w:szCs w:val="24"/>
        </w:rPr>
        <w:t>ramach COP-u</w:t>
      </w:r>
      <w:r w:rsidR="0005572D" w:rsidRPr="00AB1BA4">
        <w:rPr>
          <w:rFonts w:ascii="Times New Roman" w:hAnsi="Times New Roman" w:cs="Times New Roman"/>
          <w:sz w:val="24"/>
          <w:szCs w:val="24"/>
        </w:rPr>
        <w:t>.</w:t>
      </w:r>
    </w:p>
    <w:p w:rsidR="0061191F" w:rsidRDefault="0061191F" w:rsidP="00DD37EF">
      <w:pPr>
        <w:spacing w:after="0" w:line="360" w:lineRule="auto"/>
        <w:jc w:val="both"/>
        <w:rPr>
          <w:rFonts w:ascii="Times New Roman" w:hAnsi="Times New Roman" w:cs="Times New Roman"/>
          <w:sz w:val="16"/>
          <w:szCs w:val="16"/>
          <w:highlight w:val="yellow"/>
        </w:rPr>
      </w:pPr>
    </w:p>
    <w:p w:rsidR="002448AB" w:rsidRDefault="002448AB" w:rsidP="00DD37EF">
      <w:pPr>
        <w:spacing w:after="0" w:line="360" w:lineRule="auto"/>
        <w:jc w:val="both"/>
        <w:rPr>
          <w:rFonts w:ascii="Times New Roman" w:hAnsi="Times New Roman" w:cs="Times New Roman"/>
          <w:sz w:val="16"/>
          <w:szCs w:val="16"/>
          <w:highlight w:val="yellow"/>
        </w:rPr>
      </w:pPr>
    </w:p>
    <w:p w:rsidR="002448AB" w:rsidRDefault="002448AB" w:rsidP="00DD37EF">
      <w:pPr>
        <w:spacing w:after="0" w:line="360" w:lineRule="auto"/>
        <w:jc w:val="both"/>
        <w:rPr>
          <w:rFonts w:ascii="Times New Roman" w:hAnsi="Times New Roman" w:cs="Times New Roman"/>
          <w:sz w:val="16"/>
          <w:szCs w:val="16"/>
          <w:highlight w:val="yellow"/>
        </w:rPr>
      </w:pPr>
    </w:p>
    <w:p w:rsidR="002448AB" w:rsidRDefault="002448AB" w:rsidP="00DD37EF">
      <w:pPr>
        <w:spacing w:after="0" w:line="360" w:lineRule="auto"/>
        <w:jc w:val="both"/>
        <w:rPr>
          <w:rFonts w:ascii="Times New Roman" w:hAnsi="Times New Roman" w:cs="Times New Roman"/>
          <w:sz w:val="16"/>
          <w:szCs w:val="16"/>
          <w:highlight w:val="yellow"/>
        </w:rPr>
      </w:pPr>
    </w:p>
    <w:p w:rsidR="002448AB" w:rsidRDefault="002448AB" w:rsidP="00DD37EF">
      <w:pPr>
        <w:spacing w:after="0" w:line="360" w:lineRule="auto"/>
        <w:jc w:val="both"/>
        <w:rPr>
          <w:rFonts w:ascii="Times New Roman" w:hAnsi="Times New Roman" w:cs="Times New Roman"/>
          <w:sz w:val="16"/>
          <w:szCs w:val="16"/>
          <w:highlight w:val="yellow"/>
        </w:rPr>
      </w:pPr>
    </w:p>
    <w:p w:rsidR="002448AB" w:rsidRDefault="002448AB" w:rsidP="00DD37EF">
      <w:pPr>
        <w:spacing w:after="0" w:line="360" w:lineRule="auto"/>
        <w:jc w:val="both"/>
        <w:rPr>
          <w:rFonts w:ascii="Times New Roman" w:hAnsi="Times New Roman" w:cs="Times New Roman"/>
          <w:sz w:val="16"/>
          <w:szCs w:val="16"/>
          <w:highlight w:val="yellow"/>
        </w:rPr>
      </w:pPr>
    </w:p>
    <w:p w:rsidR="002448AB" w:rsidRDefault="002448AB" w:rsidP="00DD37EF">
      <w:pPr>
        <w:spacing w:after="0" w:line="360" w:lineRule="auto"/>
        <w:jc w:val="both"/>
        <w:rPr>
          <w:rFonts w:ascii="Times New Roman" w:hAnsi="Times New Roman" w:cs="Times New Roman"/>
          <w:sz w:val="16"/>
          <w:szCs w:val="16"/>
          <w:highlight w:val="yellow"/>
        </w:rPr>
      </w:pPr>
    </w:p>
    <w:p w:rsidR="002448AB" w:rsidRDefault="002448AB" w:rsidP="00DD37EF">
      <w:pPr>
        <w:spacing w:after="0" w:line="360" w:lineRule="auto"/>
        <w:jc w:val="both"/>
        <w:rPr>
          <w:rFonts w:ascii="Times New Roman" w:hAnsi="Times New Roman" w:cs="Times New Roman"/>
          <w:sz w:val="16"/>
          <w:szCs w:val="16"/>
          <w:highlight w:val="yellow"/>
        </w:rPr>
      </w:pPr>
    </w:p>
    <w:p w:rsidR="002448AB" w:rsidRDefault="002448AB" w:rsidP="00DD37EF">
      <w:pPr>
        <w:spacing w:after="0" w:line="360" w:lineRule="auto"/>
        <w:jc w:val="both"/>
        <w:rPr>
          <w:rFonts w:ascii="Times New Roman" w:hAnsi="Times New Roman" w:cs="Times New Roman"/>
          <w:sz w:val="16"/>
          <w:szCs w:val="16"/>
          <w:highlight w:val="yellow"/>
        </w:rPr>
      </w:pPr>
    </w:p>
    <w:p w:rsidR="002448AB" w:rsidRDefault="002448AB" w:rsidP="00DD37EF">
      <w:pPr>
        <w:spacing w:after="0" w:line="360" w:lineRule="auto"/>
        <w:jc w:val="both"/>
        <w:rPr>
          <w:rFonts w:ascii="Times New Roman" w:hAnsi="Times New Roman" w:cs="Times New Roman"/>
          <w:sz w:val="16"/>
          <w:szCs w:val="16"/>
          <w:highlight w:val="yellow"/>
        </w:rPr>
      </w:pPr>
    </w:p>
    <w:p w:rsidR="002448AB" w:rsidRDefault="002448AB" w:rsidP="00DD37EF">
      <w:pPr>
        <w:spacing w:after="0" w:line="360" w:lineRule="auto"/>
        <w:jc w:val="both"/>
        <w:rPr>
          <w:rFonts w:ascii="Times New Roman" w:hAnsi="Times New Roman" w:cs="Times New Roman"/>
          <w:sz w:val="16"/>
          <w:szCs w:val="16"/>
          <w:highlight w:val="yellow"/>
        </w:rPr>
      </w:pPr>
    </w:p>
    <w:p w:rsidR="002448AB" w:rsidRDefault="002448AB" w:rsidP="00DD37EF">
      <w:pPr>
        <w:spacing w:after="0" w:line="360" w:lineRule="auto"/>
        <w:jc w:val="both"/>
        <w:rPr>
          <w:rFonts w:ascii="Times New Roman" w:hAnsi="Times New Roman" w:cs="Times New Roman"/>
          <w:sz w:val="16"/>
          <w:szCs w:val="16"/>
          <w:highlight w:val="yellow"/>
        </w:rPr>
      </w:pPr>
    </w:p>
    <w:p w:rsidR="002448AB" w:rsidRDefault="002448AB" w:rsidP="00DD37EF">
      <w:pPr>
        <w:spacing w:after="0" w:line="360" w:lineRule="auto"/>
        <w:jc w:val="both"/>
        <w:rPr>
          <w:rFonts w:ascii="Times New Roman" w:hAnsi="Times New Roman" w:cs="Times New Roman"/>
          <w:sz w:val="16"/>
          <w:szCs w:val="16"/>
          <w:highlight w:val="yellow"/>
        </w:rPr>
      </w:pPr>
    </w:p>
    <w:p w:rsidR="002448AB" w:rsidRDefault="002448AB" w:rsidP="00DD37EF">
      <w:pPr>
        <w:spacing w:after="0" w:line="360" w:lineRule="auto"/>
        <w:jc w:val="both"/>
        <w:rPr>
          <w:rFonts w:ascii="Times New Roman" w:hAnsi="Times New Roman" w:cs="Times New Roman"/>
          <w:sz w:val="16"/>
          <w:szCs w:val="16"/>
          <w:highlight w:val="yellow"/>
        </w:rPr>
      </w:pPr>
    </w:p>
    <w:p w:rsidR="002448AB" w:rsidRDefault="002448AB" w:rsidP="00DD37EF">
      <w:pPr>
        <w:spacing w:after="0" w:line="360" w:lineRule="auto"/>
        <w:jc w:val="both"/>
        <w:rPr>
          <w:rFonts w:ascii="Times New Roman" w:hAnsi="Times New Roman" w:cs="Times New Roman"/>
          <w:sz w:val="16"/>
          <w:szCs w:val="16"/>
          <w:highlight w:val="yellow"/>
        </w:rPr>
      </w:pPr>
    </w:p>
    <w:p w:rsidR="002448AB" w:rsidRDefault="002448AB">
      <w:pPr>
        <w:rPr>
          <w:rFonts w:ascii="Times New Roman" w:hAnsi="Times New Roman" w:cs="Times New Roman"/>
          <w:sz w:val="16"/>
          <w:szCs w:val="16"/>
          <w:highlight w:val="yellow"/>
        </w:rPr>
      </w:pPr>
      <w:r>
        <w:rPr>
          <w:rFonts w:ascii="Times New Roman" w:hAnsi="Times New Roman" w:cs="Times New Roman"/>
          <w:sz w:val="16"/>
          <w:szCs w:val="16"/>
          <w:highlight w:val="yellow"/>
        </w:rPr>
        <w:br w:type="page"/>
      </w:r>
    </w:p>
    <w:p w:rsidR="00473912" w:rsidRPr="002A267D" w:rsidRDefault="00AD036F" w:rsidP="002A267D">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8" w:name="_Toc938719"/>
      <w:r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Podkarpacki</w:t>
      </w:r>
      <w:r w:rsidR="001F314E"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1F314E"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rynek </w:t>
      </w:r>
      <w:r w:rsidR="001F314E"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pracy </w:t>
      </w:r>
      <w:r w:rsidR="001F314E"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w:t>
      </w:r>
      <w:r w:rsidR="00421B2D"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8</w:t>
      </w:r>
      <w:bookmarkEnd w:id="8"/>
    </w:p>
    <w:p w:rsidR="00DD7495" w:rsidRPr="00C75C71" w:rsidRDefault="00DD7495" w:rsidP="00A2717E">
      <w:pPr>
        <w:spacing w:after="0"/>
        <w:jc w:val="both"/>
        <w:rPr>
          <w:rFonts w:ascii="Times New Roman" w:hAnsi="Times New Roman" w:cs="Times New Roman"/>
          <w:sz w:val="24"/>
          <w:szCs w:val="24"/>
          <w:highlight w:val="yellow"/>
        </w:rPr>
      </w:pPr>
    </w:p>
    <w:p w:rsidR="001773BA" w:rsidRPr="0040520D" w:rsidRDefault="00F61179" w:rsidP="00A2717E">
      <w:pPr>
        <w:spacing w:after="0"/>
        <w:jc w:val="both"/>
        <w:rPr>
          <w:rFonts w:ascii="Times New Roman" w:hAnsi="Times New Roman" w:cs="Times New Roman"/>
          <w:sz w:val="24"/>
          <w:szCs w:val="24"/>
        </w:rPr>
      </w:pPr>
      <w:r w:rsidRPr="0040520D">
        <w:rPr>
          <w:rFonts w:ascii="Times New Roman" w:hAnsi="Times New Roman" w:cs="Times New Roman"/>
          <w:sz w:val="24"/>
          <w:szCs w:val="24"/>
        </w:rPr>
        <w:t>W województwie podkarpackim n</w:t>
      </w:r>
      <w:r w:rsidR="001773BA" w:rsidRPr="0040520D">
        <w:rPr>
          <w:rFonts w:ascii="Times New Roman" w:hAnsi="Times New Roman" w:cs="Times New Roman"/>
          <w:sz w:val="24"/>
          <w:szCs w:val="24"/>
        </w:rPr>
        <w:t>a dzień 31</w:t>
      </w:r>
      <w:r w:rsidR="00006E96" w:rsidRPr="0040520D">
        <w:rPr>
          <w:rFonts w:ascii="Times New Roman" w:hAnsi="Times New Roman" w:cs="Times New Roman"/>
          <w:sz w:val="24"/>
          <w:szCs w:val="24"/>
        </w:rPr>
        <w:t xml:space="preserve"> XII </w:t>
      </w:r>
      <w:r w:rsidR="00C10ED1" w:rsidRPr="0040520D">
        <w:rPr>
          <w:rFonts w:ascii="Times New Roman" w:hAnsi="Times New Roman" w:cs="Times New Roman"/>
          <w:sz w:val="24"/>
          <w:szCs w:val="24"/>
        </w:rPr>
        <w:t>20</w:t>
      </w:r>
      <w:r w:rsidR="001773BA" w:rsidRPr="0040520D">
        <w:rPr>
          <w:rFonts w:ascii="Times New Roman" w:hAnsi="Times New Roman" w:cs="Times New Roman"/>
          <w:sz w:val="24"/>
          <w:szCs w:val="24"/>
        </w:rPr>
        <w:t>1</w:t>
      </w:r>
      <w:r w:rsidR="00C10ED1" w:rsidRPr="0040520D">
        <w:rPr>
          <w:rFonts w:ascii="Times New Roman" w:hAnsi="Times New Roman" w:cs="Times New Roman"/>
          <w:sz w:val="24"/>
          <w:szCs w:val="24"/>
        </w:rPr>
        <w:t>8</w:t>
      </w:r>
      <w:r w:rsidR="001773BA" w:rsidRPr="0040520D">
        <w:rPr>
          <w:rFonts w:ascii="Times New Roman" w:hAnsi="Times New Roman" w:cs="Times New Roman"/>
          <w:sz w:val="24"/>
          <w:szCs w:val="24"/>
        </w:rPr>
        <w:t xml:space="preserve"> r</w:t>
      </w:r>
      <w:r w:rsidR="007C2EE4" w:rsidRPr="0040520D">
        <w:rPr>
          <w:rFonts w:ascii="Times New Roman" w:hAnsi="Times New Roman" w:cs="Times New Roman"/>
          <w:sz w:val="24"/>
          <w:szCs w:val="24"/>
        </w:rPr>
        <w:t>.</w:t>
      </w:r>
      <w:r w:rsidR="00AE5712" w:rsidRPr="0040520D">
        <w:rPr>
          <w:rFonts w:ascii="Times New Roman" w:hAnsi="Times New Roman" w:cs="Times New Roman"/>
          <w:sz w:val="24"/>
          <w:szCs w:val="24"/>
        </w:rPr>
        <w:t xml:space="preserve"> w </w:t>
      </w:r>
      <w:r w:rsidRPr="0040520D">
        <w:rPr>
          <w:rFonts w:ascii="Times New Roman" w:hAnsi="Times New Roman" w:cs="Times New Roman"/>
          <w:sz w:val="24"/>
          <w:szCs w:val="24"/>
        </w:rPr>
        <w:t>stosunku do 31</w:t>
      </w:r>
      <w:r w:rsidR="00006E96" w:rsidRPr="0040520D">
        <w:rPr>
          <w:rFonts w:ascii="Times New Roman" w:hAnsi="Times New Roman" w:cs="Times New Roman"/>
          <w:sz w:val="24"/>
          <w:szCs w:val="24"/>
        </w:rPr>
        <w:t xml:space="preserve"> XII ‘</w:t>
      </w:r>
      <w:r w:rsidRPr="0040520D">
        <w:rPr>
          <w:rFonts w:ascii="Times New Roman" w:hAnsi="Times New Roman" w:cs="Times New Roman"/>
          <w:sz w:val="24"/>
          <w:szCs w:val="24"/>
        </w:rPr>
        <w:t>1</w:t>
      </w:r>
      <w:r w:rsidR="00C10ED1" w:rsidRPr="0040520D">
        <w:rPr>
          <w:rFonts w:ascii="Times New Roman" w:hAnsi="Times New Roman" w:cs="Times New Roman"/>
          <w:sz w:val="24"/>
          <w:szCs w:val="24"/>
        </w:rPr>
        <w:t>7</w:t>
      </w:r>
      <w:r w:rsidRPr="0040520D">
        <w:rPr>
          <w:rFonts w:ascii="Times New Roman" w:hAnsi="Times New Roman" w:cs="Times New Roman"/>
          <w:sz w:val="24"/>
          <w:szCs w:val="24"/>
        </w:rPr>
        <w:t xml:space="preserve"> roku </w:t>
      </w:r>
      <w:r w:rsidR="001773BA" w:rsidRPr="0040520D">
        <w:rPr>
          <w:rFonts w:ascii="Times New Roman" w:hAnsi="Times New Roman" w:cs="Times New Roman"/>
          <w:sz w:val="24"/>
          <w:szCs w:val="24"/>
        </w:rPr>
        <w:t xml:space="preserve">odnotowano </w:t>
      </w:r>
      <w:r w:rsidR="001773BA" w:rsidRPr="0040520D">
        <w:rPr>
          <w:rFonts w:ascii="Times New Roman" w:hAnsi="Times New Roman" w:cs="Times New Roman"/>
          <w:b/>
          <w:sz w:val="24"/>
          <w:szCs w:val="24"/>
          <w:u w:val="single"/>
        </w:rPr>
        <w:t>spadek</w:t>
      </w:r>
      <w:r w:rsidR="001773BA" w:rsidRPr="0040520D">
        <w:rPr>
          <w:rFonts w:ascii="Times New Roman" w:hAnsi="Times New Roman" w:cs="Times New Roman"/>
          <w:sz w:val="24"/>
          <w:szCs w:val="24"/>
          <w:u w:val="single"/>
        </w:rPr>
        <w:t xml:space="preserve"> liczby osób bezrobotnych</w:t>
      </w:r>
      <w:r w:rsidR="00AE5712" w:rsidRPr="0040520D">
        <w:rPr>
          <w:rFonts w:ascii="Times New Roman" w:hAnsi="Times New Roman" w:cs="Times New Roman"/>
          <w:sz w:val="24"/>
          <w:szCs w:val="24"/>
          <w:u w:val="single"/>
        </w:rPr>
        <w:t xml:space="preserve"> o </w:t>
      </w:r>
      <w:r w:rsidR="0040520D" w:rsidRPr="0040520D">
        <w:rPr>
          <w:rFonts w:ascii="Times New Roman" w:hAnsi="Times New Roman" w:cs="Times New Roman"/>
          <w:b/>
          <w:sz w:val="24"/>
          <w:szCs w:val="24"/>
          <w:u w:val="single"/>
        </w:rPr>
        <w:t>8</w:t>
      </w:r>
      <w:r w:rsidRPr="0040520D">
        <w:rPr>
          <w:rFonts w:ascii="Times New Roman" w:hAnsi="Times New Roman" w:cs="Times New Roman"/>
          <w:b/>
          <w:sz w:val="24"/>
          <w:szCs w:val="24"/>
          <w:u w:val="single"/>
        </w:rPr>
        <w:t> </w:t>
      </w:r>
      <w:r w:rsidR="0040520D" w:rsidRPr="0040520D">
        <w:rPr>
          <w:rFonts w:ascii="Times New Roman" w:hAnsi="Times New Roman" w:cs="Times New Roman"/>
          <w:b/>
          <w:sz w:val="24"/>
          <w:szCs w:val="24"/>
          <w:u w:val="single"/>
        </w:rPr>
        <w:t>039</w:t>
      </w:r>
      <w:r w:rsidRPr="0040520D">
        <w:rPr>
          <w:rFonts w:ascii="Times New Roman" w:hAnsi="Times New Roman" w:cs="Times New Roman"/>
          <w:b/>
          <w:sz w:val="24"/>
          <w:szCs w:val="24"/>
          <w:u w:val="single"/>
        </w:rPr>
        <w:t xml:space="preserve"> osób</w:t>
      </w:r>
      <w:r w:rsidR="00AE5712" w:rsidRPr="0040520D">
        <w:rPr>
          <w:rFonts w:ascii="Times New Roman" w:hAnsi="Times New Roman" w:cs="Times New Roman"/>
          <w:sz w:val="24"/>
          <w:szCs w:val="24"/>
          <w:u w:val="single"/>
        </w:rPr>
        <w:t xml:space="preserve"> a </w:t>
      </w:r>
      <w:r w:rsidRPr="0040520D">
        <w:rPr>
          <w:rFonts w:ascii="Times New Roman" w:hAnsi="Times New Roman" w:cs="Times New Roman"/>
          <w:sz w:val="24"/>
          <w:szCs w:val="24"/>
          <w:u w:val="single"/>
        </w:rPr>
        <w:t>stopy bezrobocia</w:t>
      </w:r>
      <w:r w:rsidR="00AE5712" w:rsidRPr="0040520D">
        <w:rPr>
          <w:rFonts w:ascii="Times New Roman" w:hAnsi="Times New Roman" w:cs="Times New Roman"/>
          <w:sz w:val="24"/>
          <w:szCs w:val="24"/>
          <w:u w:val="single"/>
        </w:rPr>
        <w:t xml:space="preserve"> o </w:t>
      </w:r>
      <w:r w:rsidR="0040520D" w:rsidRPr="00BB78D6">
        <w:rPr>
          <w:rFonts w:ascii="Times New Roman" w:hAnsi="Times New Roman" w:cs="Times New Roman"/>
          <w:b/>
          <w:sz w:val="24"/>
          <w:szCs w:val="24"/>
          <w:u w:val="single"/>
        </w:rPr>
        <w:t>0</w:t>
      </w:r>
      <w:r w:rsidRPr="00BB78D6">
        <w:rPr>
          <w:rFonts w:ascii="Times New Roman" w:hAnsi="Times New Roman" w:cs="Times New Roman"/>
          <w:b/>
          <w:sz w:val="24"/>
          <w:szCs w:val="24"/>
          <w:u w:val="single"/>
        </w:rPr>
        <w:t>,</w:t>
      </w:r>
      <w:r w:rsidR="005261D6" w:rsidRPr="00BB78D6">
        <w:rPr>
          <w:rFonts w:ascii="Times New Roman" w:hAnsi="Times New Roman" w:cs="Times New Roman"/>
          <w:b/>
          <w:sz w:val="24"/>
          <w:szCs w:val="24"/>
          <w:u w:val="single"/>
        </w:rPr>
        <w:t>8</w:t>
      </w:r>
      <w:r w:rsidR="007C037A" w:rsidRPr="00BB78D6">
        <w:rPr>
          <w:rFonts w:ascii="Times New Roman" w:hAnsi="Times New Roman" w:cs="Times New Roman"/>
          <w:b/>
          <w:sz w:val="24"/>
          <w:szCs w:val="24"/>
          <w:u w:val="single"/>
        </w:rPr>
        <w:t xml:space="preserve"> pkt.</w:t>
      </w:r>
      <w:r w:rsidR="007C037A" w:rsidRPr="0040520D">
        <w:rPr>
          <w:rFonts w:ascii="Times New Roman" w:hAnsi="Times New Roman" w:cs="Times New Roman"/>
          <w:b/>
          <w:sz w:val="24"/>
          <w:szCs w:val="24"/>
          <w:u w:val="single"/>
        </w:rPr>
        <w:t xml:space="preserve"> proc</w:t>
      </w:r>
      <w:r w:rsidRPr="0040520D">
        <w:rPr>
          <w:rFonts w:ascii="Times New Roman" w:hAnsi="Times New Roman" w:cs="Times New Roman"/>
          <w:b/>
          <w:sz w:val="24"/>
          <w:szCs w:val="24"/>
          <w:u w:val="single"/>
        </w:rPr>
        <w:t>.</w:t>
      </w:r>
    </w:p>
    <w:p w:rsidR="001773BA" w:rsidRDefault="001773BA" w:rsidP="00006E96">
      <w:pPr>
        <w:pStyle w:val="Default"/>
        <w:jc w:val="both"/>
        <w:rPr>
          <w:bCs/>
          <w:sz w:val="16"/>
          <w:szCs w:val="16"/>
          <w:highlight w:val="yellow"/>
        </w:rPr>
      </w:pPr>
    </w:p>
    <w:p w:rsidR="0040520D" w:rsidRPr="0040520D" w:rsidRDefault="0040520D" w:rsidP="00006E96">
      <w:pPr>
        <w:pStyle w:val="Default"/>
        <w:jc w:val="both"/>
        <w:rPr>
          <w:bCs/>
          <w:sz w:val="16"/>
          <w:szCs w:val="16"/>
        </w:rPr>
      </w:pPr>
      <w:r w:rsidRPr="0040520D">
        <w:rPr>
          <w:noProof/>
          <w:lang w:eastAsia="pl-PL"/>
        </w:rPr>
        <w:drawing>
          <wp:inline distT="0" distB="0" distL="0" distR="0" wp14:anchorId="34F9EF28" wp14:editId="735894BD">
            <wp:extent cx="5759450" cy="2626634"/>
            <wp:effectExtent l="0" t="0" r="0" b="254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2626634"/>
                    </a:xfrm>
                    <a:prstGeom prst="rect">
                      <a:avLst/>
                    </a:prstGeom>
                    <a:noFill/>
                    <a:ln>
                      <a:noFill/>
                    </a:ln>
                  </pic:spPr>
                </pic:pic>
              </a:graphicData>
            </a:graphic>
          </wp:inline>
        </w:drawing>
      </w:r>
    </w:p>
    <w:p w:rsidR="00350C0B" w:rsidRDefault="0040520D" w:rsidP="00350C0B">
      <w:pPr>
        <w:pStyle w:val="Bezodstpw"/>
        <w:jc w:val="both"/>
        <w:rPr>
          <w:rFonts w:ascii="Times New Roman" w:hAnsi="Times New Roman" w:cs="Times New Roman"/>
          <w:sz w:val="24"/>
          <w:szCs w:val="24"/>
          <w:highlight w:val="yellow"/>
        </w:rPr>
      </w:pPr>
      <w:r w:rsidRPr="0040520D">
        <w:rPr>
          <w:noProof/>
          <w:lang w:eastAsia="pl-PL"/>
        </w:rPr>
        <w:drawing>
          <wp:inline distT="0" distB="0" distL="0" distR="0" wp14:anchorId="284F143E" wp14:editId="7CC8527B">
            <wp:extent cx="5759450" cy="4720632"/>
            <wp:effectExtent l="0" t="0" r="0" b="3810"/>
            <wp:docPr id="680" name="Obraz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4720632"/>
                    </a:xfrm>
                    <a:prstGeom prst="rect">
                      <a:avLst/>
                    </a:prstGeom>
                    <a:noFill/>
                    <a:ln>
                      <a:noFill/>
                    </a:ln>
                  </pic:spPr>
                </pic:pic>
              </a:graphicData>
            </a:graphic>
          </wp:inline>
        </w:drawing>
      </w:r>
    </w:p>
    <w:p w:rsidR="0040520D" w:rsidRDefault="0040520D">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rsidR="0040520D" w:rsidRDefault="0040520D" w:rsidP="00F11191">
      <w:pPr>
        <w:pStyle w:val="Default"/>
        <w:pBdr>
          <w:bottom w:val="single" w:sz="4" w:space="1" w:color="auto"/>
        </w:pBdr>
        <w:jc w:val="both"/>
        <w:rPr>
          <w:highlight w:val="yellow"/>
        </w:rPr>
      </w:pPr>
      <w:r w:rsidRPr="0040520D">
        <w:rPr>
          <w:noProof/>
          <w:lang w:eastAsia="pl-PL"/>
        </w:rPr>
        <w:lastRenderedPageBreak/>
        <w:drawing>
          <wp:inline distT="0" distB="0" distL="0" distR="0" wp14:anchorId="2C112F39" wp14:editId="2A4D5ED2">
            <wp:extent cx="5759450" cy="793946"/>
            <wp:effectExtent l="0" t="0" r="0" b="6350"/>
            <wp:docPr id="681" name="Obraz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793946"/>
                    </a:xfrm>
                    <a:prstGeom prst="rect">
                      <a:avLst/>
                    </a:prstGeom>
                    <a:noFill/>
                    <a:ln>
                      <a:noFill/>
                    </a:ln>
                  </pic:spPr>
                </pic:pic>
              </a:graphicData>
            </a:graphic>
          </wp:inline>
        </w:drawing>
      </w:r>
    </w:p>
    <w:p w:rsidR="0040520D" w:rsidRDefault="0040520D" w:rsidP="00F11191">
      <w:pPr>
        <w:pStyle w:val="Default"/>
        <w:pBdr>
          <w:bottom w:val="single" w:sz="4" w:space="1" w:color="auto"/>
        </w:pBdr>
        <w:jc w:val="both"/>
        <w:rPr>
          <w:highlight w:val="yellow"/>
        </w:rPr>
      </w:pPr>
      <w:r w:rsidRPr="0040520D">
        <w:rPr>
          <w:noProof/>
          <w:lang w:eastAsia="pl-PL"/>
        </w:rPr>
        <w:drawing>
          <wp:inline distT="0" distB="0" distL="0" distR="0" wp14:anchorId="753B7235" wp14:editId="049945E1">
            <wp:extent cx="5759450" cy="1762385"/>
            <wp:effectExtent l="0" t="0" r="0" b="9525"/>
            <wp:docPr id="682" name="Obraz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1762385"/>
                    </a:xfrm>
                    <a:prstGeom prst="rect">
                      <a:avLst/>
                    </a:prstGeom>
                    <a:noFill/>
                    <a:ln>
                      <a:noFill/>
                    </a:ln>
                  </pic:spPr>
                </pic:pic>
              </a:graphicData>
            </a:graphic>
          </wp:inline>
        </w:drawing>
      </w:r>
    </w:p>
    <w:p w:rsidR="0040520D" w:rsidRPr="0040520D" w:rsidRDefault="0040520D" w:rsidP="00F11191">
      <w:pPr>
        <w:pStyle w:val="Default"/>
        <w:pBdr>
          <w:bottom w:val="single" w:sz="4" w:space="1" w:color="auto"/>
        </w:pBdr>
        <w:jc w:val="both"/>
        <w:rPr>
          <w:sz w:val="16"/>
          <w:szCs w:val="16"/>
          <w:highlight w:val="yellow"/>
        </w:rPr>
      </w:pPr>
    </w:p>
    <w:p w:rsidR="009A1F42" w:rsidRPr="0040520D" w:rsidRDefault="00350C0B" w:rsidP="00F11191">
      <w:pPr>
        <w:pStyle w:val="Default"/>
        <w:pBdr>
          <w:bottom w:val="single" w:sz="4" w:space="1" w:color="auto"/>
        </w:pBdr>
        <w:jc w:val="both"/>
      </w:pPr>
      <w:r w:rsidRPr="0040520D">
        <w:t>Wnioski:</w:t>
      </w:r>
    </w:p>
    <w:p w:rsidR="008A2874" w:rsidRDefault="008A2874" w:rsidP="008A2874">
      <w:pPr>
        <w:pStyle w:val="Tekstpodstawowywcity"/>
        <w:spacing w:after="0" w:line="360" w:lineRule="auto"/>
        <w:ind w:left="0"/>
        <w:jc w:val="both"/>
        <w:rPr>
          <w:rFonts w:ascii="Times New Roman" w:hAnsi="Times New Roman" w:cs="Times New Roman"/>
          <w:sz w:val="16"/>
          <w:szCs w:val="16"/>
        </w:rPr>
      </w:pPr>
      <w:r w:rsidRPr="0040520D">
        <w:rPr>
          <w:rFonts w:ascii="Times New Roman" w:hAnsi="Times New Roman" w:cs="Times New Roman"/>
          <w:sz w:val="16"/>
          <w:szCs w:val="16"/>
        </w:rPr>
        <w:t>(na podstawie danych</w:t>
      </w:r>
      <w:r w:rsidR="00AE5712" w:rsidRPr="0040520D">
        <w:rPr>
          <w:rFonts w:ascii="Times New Roman" w:hAnsi="Times New Roman" w:cs="Times New Roman"/>
          <w:sz w:val="16"/>
          <w:szCs w:val="16"/>
        </w:rPr>
        <w:t xml:space="preserve"> z </w:t>
      </w:r>
      <w:r w:rsidRPr="0040520D">
        <w:rPr>
          <w:rFonts w:ascii="Times New Roman" w:hAnsi="Times New Roman" w:cs="Times New Roman"/>
          <w:sz w:val="16"/>
          <w:szCs w:val="16"/>
        </w:rPr>
        <w:t>Tabel</w:t>
      </w:r>
      <w:r w:rsidR="00350C0B" w:rsidRPr="0040520D">
        <w:rPr>
          <w:rFonts w:ascii="Times New Roman" w:hAnsi="Times New Roman" w:cs="Times New Roman"/>
          <w:sz w:val="16"/>
          <w:szCs w:val="16"/>
        </w:rPr>
        <w:t xml:space="preserve">i </w:t>
      </w:r>
      <w:r w:rsidR="007C037A" w:rsidRPr="0040520D">
        <w:rPr>
          <w:rFonts w:ascii="Times New Roman" w:hAnsi="Times New Roman" w:cs="Times New Roman"/>
          <w:sz w:val="16"/>
          <w:szCs w:val="16"/>
        </w:rPr>
        <w:t>I</w:t>
      </w:r>
      <w:r w:rsidR="00AE5712" w:rsidRPr="0040520D">
        <w:rPr>
          <w:rFonts w:ascii="Times New Roman" w:hAnsi="Times New Roman" w:cs="Times New Roman"/>
          <w:sz w:val="16"/>
          <w:szCs w:val="16"/>
        </w:rPr>
        <w:t xml:space="preserve"> </w:t>
      </w:r>
      <w:proofErr w:type="spellStart"/>
      <w:r w:rsidR="00AE5712" w:rsidRPr="0040520D">
        <w:rPr>
          <w:rFonts w:ascii="Times New Roman" w:hAnsi="Times New Roman" w:cs="Times New Roman"/>
          <w:sz w:val="16"/>
          <w:szCs w:val="16"/>
        </w:rPr>
        <w:t>i</w:t>
      </w:r>
      <w:proofErr w:type="spellEnd"/>
      <w:r w:rsidR="00AE5712" w:rsidRPr="0040520D">
        <w:rPr>
          <w:rFonts w:ascii="Times New Roman" w:hAnsi="Times New Roman" w:cs="Times New Roman"/>
          <w:sz w:val="16"/>
          <w:szCs w:val="16"/>
        </w:rPr>
        <w:t> </w:t>
      </w:r>
      <w:r w:rsidRPr="0040520D">
        <w:rPr>
          <w:rFonts w:ascii="Times New Roman" w:hAnsi="Times New Roman" w:cs="Times New Roman"/>
          <w:sz w:val="16"/>
          <w:szCs w:val="16"/>
        </w:rPr>
        <w:t xml:space="preserve">Tabeli </w:t>
      </w:r>
      <w:r w:rsidR="007C037A" w:rsidRPr="0040520D">
        <w:rPr>
          <w:rFonts w:ascii="Times New Roman" w:hAnsi="Times New Roman" w:cs="Times New Roman"/>
          <w:sz w:val="16"/>
          <w:szCs w:val="16"/>
        </w:rPr>
        <w:t>II</w:t>
      </w:r>
      <w:r w:rsidRPr="0040520D">
        <w:rPr>
          <w:rFonts w:ascii="Times New Roman" w:hAnsi="Times New Roman" w:cs="Times New Roman"/>
          <w:sz w:val="16"/>
          <w:szCs w:val="16"/>
        </w:rPr>
        <w:t>)</w:t>
      </w:r>
    </w:p>
    <w:p w:rsidR="00A209CE" w:rsidRPr="0040520D" w:rsidRDefault="00A209CE" w:rsidP="008A2874">
      <w:pPr>
        <w:pStyle w:val="Tekstpodstawowywcity"/>
        <w:spacing w:after="0" w:line="360" w:lineRule="auto"/>
        <w:ind w:left="0"/>
        <w:jc w:val="both"/>
        <w:rPr>
          <w:rFonts w:ascii="Times New Roman" w:hAnsi="Times New Roman" w:cs="Times New Roman"/>
          <w:sz w:val="16"/>
          <w:szCs w:val="16"/>
        </w:rPr>
      </w:pPr>
    </w:p>
    <w:p w:rsidR="009A1F42" w:rsidRPr="00CE1FAF" w:rsidRDefault="00796F6E" w:rsidP="00160DBC">
      <w:pPr>
        <w:pStyle w:val="Default"/>
        <w:numPr>
          <w:ilvl w:val="0"/>
          <w:numId w:val="3"/>
        </w:numPr>
        <w:spacing w:line="360" w:lineRule="auto"/>
        <w:jc w:val="both"/>
      </w:pPr>
      <w:r w:rsidRPr="00CE1FAF">
        <w:t>N</w:t>
      </w:r>
      <w:r w:rsidR="009A1F42" w:rsidRPr="00CE1FAF">
        <w:t xml:space="preserve">ajwiększy </w:t>
      </w:r>
      <w:r w:rsidR="002B03E5" w:rsidRPr="00CE1FAF">
        <w:t xml:space="preserve">procentowy </w:t>
      </w:r>
      <w:r w:rsidR="009A1F42" w:rsidRPr="00CE1FAF">
        <w:t>spadek bezrobotnych odnotowano</w:t>
      </w:r>
      <w:r w:rsidR="00AE5712" w:rsidRPr="00CE1FAF">
        <w:t xml:space="preserve"> w </w:t>
      </w:r>
      <w:r w:rsidR="009A1F42" w:rsidRPr="00CE1FAF">
        <w:t>grupie osób dotychczas nie pracujących</w:t>
      </w:r>
      <w:r w:rsidR="002B03E5" w:rsidRPr="00CE1FAF">
        <w:t xml:space="preserve"> (</w:t>
      </w:r>
      <w:r w:rsidR="00CE1FAF" w:rsidRPr="00CE1FAF">
        <w:t>13</w:t>
      </w:r>
      <w:r w:rsidR="009A1F42" w:rsidRPr="00CE1FAF">
        <w:t>,</w:t>
      </w:r>
      <w:r w:rsidR="00CE1FAF" w:rsidRPr="00CE1FAF">
        <w:t xml:space="preserve">5 </w:t>
      </w:r>
      <w:r w:rsidR="009A1F42" w:rsidRPr="00CE1FAF">
        <w:t>%</w:t>
      </w:r>
      <w:r w:rsidR="002B03E5" w:rsidRPr="00CE1FAF">
        <w:t>)</w:t>
      </w:r>
      <w:r w:rsidR="00CB43F3" w:rsidRPr="00CE1FAF">
        <w:t>.</w:t>
      </w:r>
      <w:r w:rsidR="00AD036F" w:rsidRPr="00CE1FAF">
        <w:t xml:space="preserve"> </w:t>
      </w:r>
      <w:r w:rsidR="00CB43F3" w:rsidRPr="00CE1FAF">
        <w:t>P</w:t>
      </w:r>
      <w:r w:rsidR="009A1F42" w:rsidRPr="00CE1FAF">
        <w:t>owod</w:t>
      </w:r>
      <w:r w:rsidR="00CB43F3" w:rsidRPr="00CE1FAF">
        <w:t>y</w:t>
      </w:r>
      <w:r w:rsidR="009A1F42" w:rsidRPr="00CE1FAF">
        <w:t xml:space="preserve"> znaczącego zmniejszenia się tej liczby </w:t>
      </w:r>
      <w:r w:rsidR="00A0573C">
        <w:t>to</w:t>
      </w:r>
      <w:r w:rsidR="009A1F42" w:rsidRPr="00CE1FAF">
        <w:t xml:space="preserve"> wzro</w:t>
      </w:r>
      <w:r w:rsidR="00A0573C">
        <w:t xml:space="preserve">st </w:t>
      </w:r>
      <w:r w:rsidR="009A1F42" w:rsidRPr="00CE1FAF">
        <w:t>wyrejestrowań</w:t>
      </w:r>
      <w:r w:rsidR="00AE5712" w:rsidRPr="00CE1FAF">
        <w:t xml:space="preserve"> z </w:t>
      </w:r>
      <w:r w:rsidR="009A1F42" w:rsidRPr="00CE1FAF">
        <w:t>tytułu podjęcia pracy,</w:t>
      </w:r>
      <w:r w:rsidR="00AE5712" w:rsidRPr="00CE1FAF">
        <w:t xml:space="preserve"> </w:t>
      </w:r>
      <w:r w:rsidR="00A0573C">
        <w:t>spadek</w:t>
      </w:r>
      <w:r w:rsidR="009A1F42" w:rsidRPr="00CE1FAF">
        <w:t xml:space="preserve"> rejestr</w:t>
      </w:r>
      <w:r w:rsidR="00BD4515" w:rsidRPr="00CE1FAF">
        <w:t>acji</w:t>
      </w:r>
      <w:r w:rsidR="009A1F42" w:rsidRPr="00CE1FAF">
        <w:t xml:space="preserve"> absolwentów</w:t>
      </w:r>
      <w:r w:rsidR="00AE5712" w:rsidRPr="00CE1FAF">
        <w:t xml:space="preserve"> w </w:t>
      </w:r>
      <w:r w:rsidR="009A1F42" w:rsidRPr="00CE1FAF">
        <w:t>powiatowych urzędach pracy</w:t>
      </w:r>
      <w:r w:rsidR="002255F8">
        <w:t xml:space="preserve">. Absolwenci często </w:t>
      </w:r>
      <w:r w:rsidR="009A1F42" w:rsidRPr="00CE1FAF">
        <w:t>podejmują zatrudnienie po zakończeniu nauki lub jeszcze</w:t>
      </w:r>
      <w:r w:rsidR="00AE5712" w:rsidRPr="00CE1FAF">
        <w:t xml:space="preserve"> w </w:t>
      </w:r>
      <w:r w:rsidR="002255F8">
        <w:t xml:space="preserve">czasie jej trwania, </w:t>
      </w:r>
      <w:r w:rsidR="00BD4515" w:rsidRPr="00CE1FAF">
        <w:t>co dotyczy również staży</w:t>
      </w:r>
      <w:r w:rsidR="002255F8">
        <w:t xml:space="preserve"> zawodowych. Bony stażowe umożliwiają emigrację </w:t>
      </w:r>
      <w:r w:rsidR="009A1F42" w:rsidRPr="00CE1FAF">
        <w:t xml:space="preserve">do pracy </w:t>
      </w:r>
      <w:r w:rsidR="002255F8">
        <w:t xml:space="preserve">w </w:t>
      </w:r>
      <w:r w:rsidR="00BD4515" w:rsidRPr="00CE1FAF">
        <w:t xml:space="preserve">dużych ośrodkach miejskich w kraju. </w:t>
      </w:r>
      <w:r w:rsidR="002255F8">
        <w:t xml:space="preserve">Osoby młode są grupą najbardziej mobilną na rynku pracy (wiek produkcyjny i mobilny jak przyjmuje GUS jest do 44 roku życia). Osoby mobilne zawodowo </w:t>
      </w:r>
      <w:r w:rsidR="00BD4515" w:rsidRPr="00CE1FAF">
        <w:t>podejmują zatrudnienie</w:t>
      </w:r>
      <w:r w:rsidR="002255F8">
        <w:t>,</w:t>
      </w:r>
      <w:r w:rsidR="00BD4515" w:rsidRPr="00CE1FAF">
        <w:t xml:space="preserve"> emigrując za granicę, gdzie niejednokrotnie </w:t>
      </w:r>
      <w:r w:rsidR="00CE1FAF">
        <w:t>podejmują pracę</w:t>
      </w:r>
      <w:r w:rsidR="00BD4515" w:rsidRPr="00CE1FAF">
        <w:t xml:space="preserve"> poniżej swoich kwalifikacji, często </w:t>
      </w:r>
      <w:r w:rsidR="002B03E5" w:rsidRPr="00CE1FAF">
        <w:t>w tzw. „szarej strefie”</w:t>
      </w:r>
      <w:r w:rsidRPr="00CE1FAF">
        <w:t>.</w:t>
      </w:r>
    </w:p>
    <w:p w:rsidR="00206376" w:rsidRPr="004D4FC8" w:rsidRDefault="00796F6E" w:rsidP="00160DBC">
      <w:pPr>
        <w:pStyle w:val="Default"/>
        <w:numPr>
          <w:ilvl w:val="0"/>
          <w:numId w:val="3"/>
        </w:numPr>
        <w:spacing w:line="360" w:lineRule="auto"/>
        <w:jc w:val="both"/>
      </w:pPr>
      <w:r w:rsidRPr="004D4FC8">
        <w:t>W</w:t>
      </w:r>
      <w:r w:rsidR="00206376" w:rsidRPr="004D4FC8">
        <w:t xml:space="preserve"> skali ostatniego roku z</w:t>
      </w:r>
      <w:r w:rsidR="00E47177" w:rsidRPr="004D4FC8">
        <w:t>mniejszenie się liczby bezrobotnych odnotowano</w:t>
      </w:r>
      <w:r w:rsidR="00AE5712" w:rsidRPr="004D4FC8">
        <w:t xml:space="preserve"> w </w:t>
      </w:r>
      <w:r w:rsidR="00E47177" w:rsidRPr="004D4FC8">
        <w:t>każdym</w:t>
      </w:r>
      <w:r w:rsidR="00AE5712" w:rsidRPr="004D4FC8">
        <w:t xml:space="preserve"> z </w:t>
      </w:r>
      <w:r w:rsidR="00206376" w:rsidRPr="004D4FC8">
        <w:t>21</w:t>
      </w:r>
      <w:r w:rsidR="00BA6F7D">
        <w:t> </w:t>
      </w:r>
      <w:r w:rsidR="00E47177" w:rsidRPr="004D4FC8">
        <w:t>powiatów województwa</w:t>
      </w:r>
      <w:r w:rsidR="00AE5712" w:rsidRPr="004D4FC8">
        <w:t xml:space="preserve"> i w </w:t>
      </w:r>
      <w:r w:rsidR="008349F4" w:rsidRPr="004D4FC8">
        <w:t>4 miast</w:t>
      </w:r>
      <w:r w:rsidR="00206376" w:rsidRPr="004D4FC8">
        <w:t>ach</w:t>
      </w:r>
      <w:r w:rsidR="008349F4" w:rsidRPr="004D4FC8">
        <w:t xml:space="preserve"> na prawach powiatu</w:t>
      </w:r>
      <w:r w:rsidRPr="004D4FC8">
        <w:t>.</w:t>
      </w:r>
    </w:p>
    <w:p w:rsidR="0056796C" w:rsidRPr="0056796C" w:rsidRDefault="00796F6E" w:rsidP="0056796C">
      <w:pPr>
        <w:pStyle w:val="Default"/>
        <w:numPr>
          <w:ilvl w:val="0"/>
          <w:numId w:val="3"/>
        </w:numPr>
        <w:spacing w:line="360" w:lineRule="auto"/>
        <w:jc w:val="both"/>
      </w:pPr>
      <w:r w:rsidRPr="0056796C">
        <w:t>N</w:t>
      </w:r>
      <w:r w:rsidR="008349F4" w:rsidRPr="0056796C">
        <w:t xml:space="preserve">ajwiększy spadek liczby </w:t>
      </w:r>
      <w:r w:rsidR="00B532D0" w:rsidRPr="0056796C">
        <w:t xml:space="preserve">osób </w:t>
      </w:r>
      <w:r w:rsidR="008349F4" w:rsidRPr="0056796C">
        <w:t>bezrobotnych</w:t>
      </w:r>
      <w:r w:rsidR="00206376" w:rsidRPr="0056796C">
        <w:t xml:space="preserve"> </w:t>
      </w:r>
      <w:r w:rsidR="001773BA" w:rsidRPr="0056796C">
        <w:t>nastąpił</w:t>
      </w:r>
      <w:r w:rsidR="00AE5712" w:rsidRPr="0056796C">
        <w:t xml:space="preserve"> w </w:t>
      </w:r>
      <w:r w:rsidR="001773BA" w:rsidRPr="0056796C">
        <w:t>powi</w:t>
      </w:r>
      <w:r w:rsidR="00C168FD" w:rsidRPr="0056796C">
        <w:t>atach</w:t>
      </w:r>
      <w:r w:rsidR="0056796C">
        <w:t>:</w:t>
      </w:r>
      <w:r w:rsidR="001773BA" w:rsidRPr="0056796C">
        <w:t xml:space="preserve"> </w:t>
      </w:r>
      <w:r w:rsidR="0056796C" w:rsidRPr="0056796C">
        <w:t>mieleckim (</w:t>
      </w:r>
      <w:r w:rsidR="00CC637A">
        <w:t>723</w:t>
      </w:r>
      <w:r w:rsidR="0056796C" w:rsidRPr="0056796C">
        <w:t>), dębickim (</w:t>
      </w:r>
      <w:r w:rsidR="00CC637A">
        <w:t>686</w:t>
      </w:r>
      <w:r w:rsidR="0056796C" w:rsidRPr="0056796C">
        <w:t>), przeworskim (</w:t>
      </w:r>
      <w:r w:rsidR="00882411">
        <w:t>578</w:t>
      </w:r>
      <w:r w:rsidR="0056796C" w:rsidRPr="0056796C">
        <w:t>), jasielskim (</w:t>
      </w:r>
      <w:r w:rsidR="00882411">
        <w:t>569</w:t>
      </w:r>
      <w:r w:rsidR="0056796C" w:rsidRPr="0056796C">
        <w:t>), jarosławskim (</w:t>
      </w:r>
      <w:r w:rsidR="00882411">
        <w:t>474</w:t>
      </w:r>
      <w:r w:rsidR="0056796C" w:rsidRPr="0056796C">
        <w:t>) i krośnieńskim (</w:t>
      </w:r>
      <w:r w:rsidR="00882411">
        <w:t>421</w:t>
      </w:r>
      <w:r w:rsidR="0056796C" w:rsidRPr="0056796C">
        <w:t>)</w:t>
      </w:r>
      <w:r w:rsidR="00882411">
        <w:t>.</w:t>
      </w:r>
    </w:p>
    <w:p w:rsidR="0056796C" w:rsidRPr="0056796C" w:rsidRDefault="00796F6E" w:rsidP="0056796C">
      <w:pPr>
        <w:pStyle w:val="Default"/>
        <w:numPr>
          <w:ilvl w:val="0"/>
          <w:numId w:val="3"/>
        </w:numPr>
        <w:spacing w:line="360" w:lineRule="auto"/>
        <w:jc w:val="both"/>
      </w:pPr>
      <w:r w:rsidRPr="0056796C">
        <w:t>N</w:t>
      </w:r>
      <w:r w:rsidR="001773BA" w:rsidRPr="0056796C">
        <w:t xml:space="preserve">ajmniejszy spadek liczby </w:t>
      </w:r>
      <w:r w:rsidR="00B532D0" w:rsidRPr="0056796C">
        <w:t xml:space="preserve">osób </w:t>
      </w:r>
      <w:r w:rsidR="001773BA" w:rsidRPr="0056796C">
        <w:t xml:space="preserve">bezrobotnych </w:t>
      </w:r>
      <w:r w:rsidR="00FC77E9" w:rsidRPr="0056796C">
        <w:t>odnotowano</w:t>
      </w:r>
      <w:r w:rsidR="00AE5712" w:rsidRPr="0056796C">
        <w:t xml:space="preserve"> w </w:t>
      </w:r>
      <w:r w:rsidR="00C72652" w:rsidRPr="0056796C">
        <w:t xml:space="preserve">powiecie </w:t>
      </w:r>
      <w:r w:rsidR="0056796C" w:rsidRPr="0056796C">
        <w:t>łańcuckim (</w:t>
      </w:r>
      <w:r w:rsidR="00CC637A">
        <w:t>98</w:t>
      </w:r>
      <w:r w:rsidR="0056796C" w:rsidRPr="0056796C">
        <w:t>), leskim (</w:t>
      </w:r>
      <w:r w:rsidR="00CC637A">
        <w:t>103</w:t>
      </w:r>
      <w:r w:rsidR="0056796C" w:rsidRPr="0056796C">
        <w:t>), ropczycko-sędziszowskim (</w:t>
      </w:r>
      <w:r w:rsidR="00CC637A">
        <w:t>109</w:t>
      </w:r>
      <w:r w:rsidR="0056796C" w:rsidRPr="0056796C">
        <w:t>), bieszczadzkim (</w:t>
      </w:r>
      <w:r w:rsidR="00CC637A">
        <w:t>148</w:t>
      </w:r>
      <w:r w:rsidR="0056796C" w:rsidRPr="0056796C">
        <w:t>), sanockim (</w:t>
      </w:r>
      <w:r w:rsidR="00CC637A">
        <w:t>181</w:t>
      </w:r>
      <w:r w:rsidR="0056796C" w:rsidRPr="0056796C">
        <w:t>) i</w:t>
      </w:r>
      <w:r w:rsidR="00CC637A">
        <w:t> </w:t>
      </w:r>
      <w:r w:rsidR="0056796C" w:rsidRPr="0056796C">
        <w:t>rzeszowskim (</w:t>
      </w:r>
      <w:r w:rsidR="00CC637A">
        <w:t>199</w:t>
      </w:r>
      <w:r w:rsidR="0056796C" w:rsidRPr="0056796C">
        <w:t>).</w:t>
      </w:r>
    </w:p>
    <w:p w:rsidR="00C168FD" w:rsidRPr="00CC637A" w:rsidRDefault="00796F6E" w:rsidP="00160DBC">
      <w:pPr>
        <w:pStyle w:val="Default"/>
        <w:numPr>
          <w:ilvl w:val="0"/>
          <w:numId w:val="3"/>
        </w:numPr>
        <w:spacing w:line="360" w:lineRule="auto"/>
        <w:jc w:val="both"/>
      </w:pPr>
      <w:r w:rsidRPr="00CC637A">
        <w:t>N</w:t>
      </w:r>
      <w:r w:rsidR="00FC77E9" w:rsidRPr="00CC637A">
        <w:t xml:space="preserve">ajwyższą </w:t>
      </w:r>
      <w:r w:rsidR="00C72652" w:rsidRPr="00CC637A">
        <w:t xml:space="preserve">wartość </w:t>
      </w:r>
      <w:r w:rsidR="00FC77E9" w:rsidRPr="00CC637A">
        <w:t>stop</w:t>
      </w:r>
      <w:r w:rsidR="00C72652" w:rsidRPr="00CC637A">
        <w:t>y</w:t>
      </w:r>
      <w:r w:rsidR="00FC77E9" w:rsidRPr="00CC637A">
        <w:t xml:space="preserve"> bezrobocia </w:t>
      </w:r>
      <w:r w:rsidR="00C168FD" w:rsidRPr="00CC637A">
        <w:t>na dzień 31</w:t>
      </w:r>
      <w:r w:rsidR="007C037A" w:rsidRPr="00CC637A">
        <w:t xml:space="preserve"> XII ‘</w:t>
      </w:r>
      <w:r w:rsidR="00C168FD" w:rsidRPr="00CC637A">
        <w:t>1</w:t>
      </w:r>
      <w:r w:rsidR="0056796C" w:rsidRPr="00CC637A">
        <w:t>8</w:t>
      </w:r>
      <w:r w:rsidR="00AE5712" w:rsidRPr="00CC637A">
        <w:t> r.</w:t>
      </w:r>
      <w:r w:rsidR="00FC77E9" w:rsidRPr="00CC637A">
        <w:t xml:space="preserve"> odnotowano</w:t>
      </w:r>
      <w:r w:rsidR="00AE5712" w:rsidRPr="00CC637A">
        <w:t xml:space="preserve"> w </w:t>
      </w:r>
      <w:r w:rsidR="00FC77E9" w:rsidRPr="00CC637A">
        <w:t>powiatach:</w:t>
      </w:r>
      <w:r w:rsidR="00DF5323" w:rsidRPr="00CC637A">
        <w:t xml:space="preserve"> niżańskim</w:t>
      </w:r>
      <w:r w:rsidR="00CC637A" w:rsidRPr="00CC637A">
        <w:t xml:space="preserve"> </w:t>
      </w:r>
      <w:r w:rsidR="00687682" w:rsidRPr="00CC637A">
        <w:t>(</w:t>
      </w:r>
      <w:r w:rsidR="00CC637A" w:rsidRPr="00CC637A">
        <w:t>16,6 %</w:t>
      </w:r>
      <w:r w:rsidR="00687682" w:rsidRPr="00CC637A">
        <w:t>),</w:t>
      </w:r>
      <w:r w:rsidR="00CC637A" w:rsidRPr="00CC637A">
        <w:t xml:space="preserve"> </w:t>
      </w:r>
      <w:r w:rsidR="00687682" w:rsidRPr="00CC637A">
        <w:t>l</w:t>
      </w:r>
      <w:r w:rsidR="00DF5323" w:rsidRPr="00CC637A">
        <w:t>eskim (</w:t>
      </w:r>
      <w:r w:rsidR="00CC637A" w:rsidRPr="00CC637A">
        <w:t>16</w:t>
      </w:r>
      <w:r w:rsidR="00DF5323" w:rsidRPr="00CC637A">
        <w:t>,</w:t>
      </w:r>
      <w:r w:rsidR="00CC637A" w:rsidRPr="00CC637A">
        <w:t>5</w:t>
      </w:r>
      <w:r w:rsidR="00687682" w:rsidRPr="00CC637A">
        <w:t xml:space="preserve"> </w:t>
      </w:r>
      <w:r w:rsidR="00DF5323" w:rsidRPr="00CC637A">
        <w:t>%),</w:t>
      </w:r>
      <w:r w:rsidR="00CC637A" w:rsidRPr="00CC637A">
        <w:t xml:space="preserve"> </w:t>
      </w:r>
      <w:r w:rsidR="00DF5323" w:rsidRPr="00CC637A">
        <w:t>brzozowskim (</w:t>
      </w:r>
      <w:r w:rsidR="00CC637A" w:rsidRPr="00CC637A">
        <w:t>15</w:t>
      </w:r>
      <w:r w:rsidR="00DF5323" w:rsidRPr="00CC637A">
        <w:t>,</w:t>
      </w:r>
      <w:r w:rsidR="00CC637A" w:rsidRPr="00CC637A">
        <w:t>6</w:t>
      </w:r>
      <w:r w:rsidR="00687682" w:rsidRPr="00CC637A">
        <w:t xml:space="preserve"> </w:t>
      </w:r>
      <w:r w:rsidR="00DF5323" w:rsidRPr="00CC637A">
        <w:t>%),</w:t>
      </w:r>
      <w:r w:rsidR="00CC637A" w:rsidRPr="00CC637A">
        <w:t xml:space="preserve"> strzyżowskim</w:t>
      </w:r>
      <w:r w:rsidR="00DF5323" w:rsidRPr="00CC637A">
        <w:t xml:space="preserve"> </w:t>
      </w:r>
      <w:r w:rsidR="00FC77E9" w:rsidRPr="00CC637A">
        <w:t>(</w:t>
      </w:r>
      <w:r w:rsidR="00CC637A" w:rsidRPr="00CC637A">
        <w:t>14</w:t>
      </w:r>
      <w:r w:rsidR="00FC77E9" w:rsidRPr="00CC637A">
        <w:t>,</w:t>
      </w:r>
      <w:r w:rsidR="00CC637A" w:rsidRPr="00CC637A">
        <w:t>2</w:t>
      </w:r>
      <w:r w:rsidR="00687682" w:rsidRPr="00CC637A">
        <w:t xml:space="preserve"> </w:t>
      </w:r>
      <w:r w:rsidR="00FC77E9" w:rsidRPr="00CC637A">
        <w:t xml:space="preserve">%), </w:t>
      </w:r>
      <w:r w:rsidR="00CC637A" w:rsidRPr="00CC637A">
        <w:t>bieszczadzkim</w:t>
      </w:r>
      <w:r w:rsidR="00DF5323" w:rsidRPr="00CC637A">
        <w:t xml:space="preserve"> (</w:t>
      </w:r>
      <w:r w:rsidR="00CC637A" w:rsidRPr="00CC637A">
        <w:t>13</w:t>
      </w:r>
      <w:r w:rsidR="00DF5323" w:rsidRPr="00CC637A">
        <w:t>,</w:t>
      </w:r>
      <w:r w:rsidR="00CC637A" w:rsidRPr="00CC637A">
        <w:t>9 </w:t>
      </w:r>
      <w:r w:rsidR="00DF5323" w:rsidRPr="00CC637A">
        <w:t xml:space="preserve">%), </w:t>
      </w:r>
      <w:r w:rsidR="00CC637A" w:rsidRPr="00CC637A">
        <w:t>leżajskim</w:t>
      </w:r>
      <w:r w:rsidR="00FC77E9" w:rsidRPr="00CC637A">
        <w:t xml:space="preserve"> (</w:t>
      </w:r>
      <w:r w:rsidR="00CC637A" w:rsidRPr="00CC637A">
        <w:t>13</w:t>
      </w:r>
      <w:r w:rsidR="00FC77E9" w:rsidRPr="00CC637A">
        <w:t>,</w:t>
      </w:r>
      <w:r w:rsidR="00CC637A" w:rsidRPr="00CC637A">
        <w:t>6</w:t>
      </w:r>
      <w:r w:rsidR="00687682" w:rsidRPr="00CC637A">
        <w:t xml:space="preserve"> </w:t>
      </w:r>
      <w:r w:rsidR="00FC77E9" w:rsidRPr="00CC637A">
        <w:t>%)</w:t>
      </w:r>
      <w:r w:rsidR="00DF5323" w:rsidRPr="00CC637A">
        <w:t xml:space="preserve"> i  </w:t>
      </w:r>
      <w:r w:rsidR="00CC637A" w:rsidRPr="00CC637A">
        <w:t xml:space="preserve">przemyskim </w:t>
      </w:r>
      <w:r w:rsidR="00FC77E9" w:rsidRPr="00CC637A">
        <w:t>(</w:t>
      </w:r>
      <w:r w:rsidR="00CC637A" w:rsidRPr="00CC637A">
        <w:t>13</w:t>
      </w:r>
      <w:r w:rsidR="00FC77E9" w:rsidRPr="00CC637A">
        <w:t>,</w:t>
      </w:r>
      <w:r w:rsidR="00CC637A" w:rsidRPr="00CC637A">
        <w:t>4</w:t>
      </w:r>
      <w:r w:rsidR="00687682" w:rsidRPr="00CC637A">
        <w:t xml:space="preserve"> </w:t>
      </w:r>
      <w:r w:rsidR="00FC77E9" w:rsidRPr="00CC637A">
        <w:t>%)</w:t>
      </w:r>
      <w:r w:rsidR="00DF5323" w:rsidRPr="00CC637A">
        <w:t>.</w:t>
      </w:r>
      <w:r w:rsidR="00AE5712" w:rsidRPr="00CC637A">
        <w:t xml:space="preserve"> </w:t>
      </w:r>
    </w:p>
    <w:p w:rsidR="0075389B" w:rsidRPr="00AA36E6" w:rsidRDefault="00796F6E" w:rsidP="0075389B">
      <w:pPr>
        <w:pStyle w:val="Default"/>
        <w:numPr>
          <w:ilvl w:val="0"/>
          <w:numId w:val="3"/>
        </w:numPr>
        <w:spacing w:line="360" w:lineRule="auto"/>
        <w:jc w:val="both"/>
      </w:pPr>
      <w:r w:rsidRPr="00AA36E6">
        <w:lastRenderedPageBreak/>
        <w:t>N</w:t>
      </w:r>
      <w:r w:rsidR="00FC77E9" w:rsidRPr="00AA36E6">
        <w:t xml:space="preserve">ajniższą </w:t>
      </w:r>
      <w:r w:rsidR="00C168FD" w:rsidRPr="00AA36E6">
        <w:t>stopę bezrobocia na dzień 31</w:t>
      </w:r>
      <w:r w:rsidR="007C037A" w:rsidRPr="00AA36E6">
        <w:t xml:space="preserve"> XII ‘</w:t>
      </w:r>
      <w:r w:rsidR="00C168FD" w:rsidRPr="00AA36E6">
        <w:t>1</w:t>
      </w:r>
      <w:r w:rsidR="00882411" w:rsidRPr="00AA36E6">
        <w:t>8</w:t>
      </w:r>
      <w:r w:rsidR="00AE5712" w:rsidRPr="00AA36E6">
        <w:t> r.</w:t>
      </w:r>
      <w:r w:rsidR="00C168FD" w:rsidRPr="00AA36E6">
        <w:t xml:space="preserve"> odnotowano</w:t>
      </w:r>
      <w:r w:rsidR="00FC77E9" w:rsidRPr="00AA36E6">
        <w:t xml:space="preserve"> w: </w:t>
      </w:r>
      <w:r w:rsidR="00AA36E6" w:rsidRPr="00AA36E6">
        <w:t xml:space="preserve">m. </w:t>
      </w:r>
      <w:r w:rsidR="0075389B" w:rsidRPr="00AA36E6">
        <w:t>Krośnie (</w:t>
      </w:r>
      <w:r w:rsidR="003D54DB">
        <w:t>2,6 %</w:t>
      </w:r>
      <w:r w:rsidR="0075389B" w:rsidRPr="00AA36E6">
        <w:t>), powiecie mieleckim (</w:t>
      </w:r>
      <w:r w:rsidR="003D54DB">
        <w:t>4,4 %</w:t>
      </w:r>
      <w:r w:rsidR="0075389B" w:rsidRPr="00AA36E6">
        <w:t xml:space="preserve">), </w:t>
      </w:r>
      <w:r w:rsidR="003D54DB">
        <w:t xml:space="preserve">m. </w:t>
      </w:r>
      <w:r w:rsidR="0075389B" w:rsidRPr="00AA36E6">
        <w:t>Rzeszowie (</w:t>
      </w:r>
      <w:r w:rsidR="003D54DB">
        <w:t>5,2 %</w:t>
      </w:r>
      <w:r w:rsidR="0075389B" w:rsidRPr="00AA36E6">
        <w:t>), powiecie stalowowolskim (</w:t>
      </w:r>
      <w:r w:rsidR="003D54DB">
        <w:t>5,5 %</w:t>
      </w:r>
      <w:r w:rsidR="0075389B" w:rsidRPr="00AA36E6">
        <w:t>) i</w:t>
      </w:r>
      <w:r w:rsidR="003D54DB">
        <w:t> </w:t>
      </w:r>
      <w:r w:rsidR="0075389B" w:rsidRPr="00AA36E6">
        <w:t>dębickim (</w:t>
      </w:r>
      <w:r w:rsidR="003D54DB">
        <w:t>5,7 %</w:t>
      </w:r>
      <w:r w:rsidR="0075389B" w:rsidRPr="00AA36E6">
        <w:t>).</w:t>
      </w:r>
    </w:p>
    <w:p w:rsidR="00C168FD" w:rsidRPr="003D54DB" w:rsidRDefault="00796F6E" w:rsidP="00160DBC">
      <w:pPr>
        <w:pStyle w:val="Default"/>
        <w:numPr>
          <w:ilvl w:val="0"/>
          <w:numId w:val="3"/>
        </w:numPr>
        <w:spacing w:line="360" w:lineRule="auto"/>
        <w:jc w:val="both"/>
      </w:pPr>
      <w:r w:rsidRPr="003D54DB">
        <w:t>S</w:t>
      </w:r>
      <w:r w:rsidR="00FC77E9" w:rsidRPr="003D54DB">
        <w:t>topę bezrobocia wyższą od średniej</w:t>
      </w:r>
      <w:r w:rsidR="00AE5712" w:rsidRPr="003D54DB">
        <w:t xml:space="preserve"> w </w:t>
      </w:r>
      <w:r w:rsidR="00FC77E9" w:rsidRPr="003D54DB">
        <w:t>województwie odnotowano</w:t>
      </w:r>
      <w:r w:rsidR="00AE5712" w:rsidRPr="003D54DB">
        <w:t xml:space="preserve"> w </w:t>
      </w:r>
      <w:r w:rsidR="00667393" w:rsidRPr="003D54DB">
        <w:t>1</w:t>
      </w:r>
      <w:r w:rsidR="003D54DB">
        <w:t>4</w:t>
      </w:r>
      <w:r w:rsidR="00FC77E9" w:rsidRPr="003D54DB">
        <w:t xml:space="preserve"> powiatach</w:t>
      </w:r>
      <w:r w:rsidR="00AE5712" w:rsidRPr="003D54DB">
        <w:t xml:space="preserve"> i w </w:t>
      </w:r>
      <w:r w:rsidR="00667393" w:rsidRPr="003D54DB">
        <w:t>1 </w:t>
      </w:r>
      <w:r w:rsidR="00FC77E9" w:rsidRPr="003D54DB">
        <w:t>mi</w:t>
      </w:r>
      <w:r w:rsidR="00667393" w:rsidRPr="003D54DB">
        <w:t xml:space="preserve">eście na </w:t>
      </w:r>
      <w:r w:rsidR="00FC77E9" w:rsidRPr="003D54DB">
        <w:t>prawach powiatu</w:t>
      </w:r>
      <w:r w:rsidRPr="003D54DB">
        <w:t>.</w:t>
      </w:r>
    </w:p>
    <w:p w:rsidR="004F38D2" w:rsidRDefault="004F38D2" w:rsidP="004F38D2">
      <w:pPr>
        <w:spacing w:after="0" w:line="240" w:lineRule="auto"/>
        <w:rPr>
          <w:rFonts w:ascii="Times New Roman" w:hAnsi="Times New Roman" w:cs="Times New Roman"/>
          <w:b/>
          <w:color w:val="000000"/>
          <w:sz w:val="16"/>
          <w:szCs w:val="16"/>
          <w:highlight w:val="yellow"/>
        </w:rPr>
      </w:pPr>
    </w:p>
    <w:p w:rsidR="00882411" w:rsidRPr="00C75C71" w:rsidRDefault="00882411" w:rsidP="004F38D2">
      <w:pPr>
        <w:spacing w:after="0" w:line="240" w:lineRule="auto"/>
        <w:rPr>
          <w:rFonts w:ascii="Times New Roman" w:hAnsi="Times New Roman" w:cs="Times New Roman"/>
          <w:b/>
          <w:color w:val="000000"/>
          <w:sz w:val="16"/>
          <w:szCs w:val="16"/>
          <w:highlight w:val="yellow"/>
        </w:rPr>
      </w:pPr>
    </w:p>
    <w:p w:rsidR="00726DAB" w:rsidRPr="002A267D" w:rsidRDefault="0060344D" w:rsidP="002A267D">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9" w:name="_Toc938720"/>
      <w:r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w:t>
      </w:r>
      <w:r w:rsidR="008349F4"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łynność bezrobocia</w:t>
      </w:r>
      <w:r w:rsidR="00663CE5"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1707C3"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63CE5"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ZMIANY W EWIDENCJI </w:t>
      </w:r>
      <w:r w:rsidR="00753B82">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63CE5"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PUP</w:t>
      </w:r>
      <w:bookmarkEnd w:id="9"/>
    </w:p>
    <w:p w:rsidR="00663CE5" w:rsidRPr="00C75C71" w:rsidRDefault="00663CE5" w:rsidP="00663CE5">
      <w:pPr>
        <w:pStyle w:val="Default"/>
        <w:jc w:val="both"/>
        <w:rPr>
          <w:sz w:val="16"/>
          <w:szCs w:val="16"/>
          <w:highlight w:val="yellow"/>
        </w:rPr>
      </w:pPr>
    </w:p>
    <w:p w:rsidR="00DD7495" w:rsidRPr="00C75C71" w:rsidRDefault="00DD7495" w:rsidP="00663CE5">
      <w:pPr>
        <w:pStyle w:val="Default"/>
        <w:jc w:val="both"/>
        <w:rPr>
          <w:sz w:val="16"/>
          <w:szCs w:val="16"/>
          <w:highlight w:val="yellow"/>
        </w:rPr>
      </w:pPr>
    </w:p>
    <w:p w:rsidR="0060344D" w:rsidRDefault="002B3633" w:rsidP="00CE70F1">
      <w:pPr>
        <w:pStyle w:val="Default"/>
        <w:spacing w:line="360" w:lineRule="auto"/>
        <w:ind w:firstLine="708"/>
        <w:jc w:val="both"/>
      </w:pPr>
      <w:r w:rsidRPr="00E542EF">
        <w:t xml:space="preserve">Analizując </w:t>
      </w:r>
      <w:r w:rsidR="00AC38FF" w:rsidRPr="00E542EF">
        <w:t>zjawisko fluktuacji</w:t>
      </w:r>
      <w:r w:rsidR="00385582" w:rsidRPr="00E542EF">
        <w:t>,</w:t>
      </w:r>
      <w:r w:rsidR="00AC38FF" w:rsidRPr="00E542EF">
        <w:t xml:space="preserve"> tj. </w:t>
      </w:r>
      <w:r w:rsidRPr="00E542EF">
        <w:t>„napływ”</w:t>
      </w:r>
      <w:r w:rsidR="00AE5712" w:rsidRPr="00E542EF">
        <w:t xml:space="preserve"> i </w:t>
      </w:r>
      <w:r w:rsidRPr="00E542EF">
        <w:t>„odpływ” osób bezrobotnych zarejestrowanych</w:t>
      </w:r>
      <w:r w:rsidR="00AE5712" w:rsidRPr="00E542EF">
        <w:t xml:space="preserve"> w </w:t>
      </w:r>
      <w:r w:rsidRPr="00E542EF">
        <w:t>powiatowych urzędach pracy należy stwierdzić, ż</w:t>
      </w:r>
      <w:r w:rsidR="00AC38FF" w:rsidRPr="00E542EF">
        <w:t>e</w:t>
      </w:r>
      <w:r w:rsidR="00AE5712" w:rsidRPr="00E542EF">
        <w:t xml:space="preserve"> w </w:t>
      </w:r>
      <w:r w:rsidR="000F5952" w:rsidRPr="00E542EF">
        <w:t xml:space="preserve">okresie </w:t>
      </w:r>
      <w:r w:rsidRPr="00E542EF">
        <w:t>12 miesi</w:t>
      </w:r>
      <w:r w:rsidR="000F5952" w:rsidRPr="00E542EF">
        <w:t>ęcy 20</w:t>
      </w:r>
      <w:r w:rsidRPr="00E542EF">
        <w:t>1</w:t>
      </w:r>
      <w:r w:rsidR="004345B3" w:rsidRPr="00E542EF">
        <w:t>8</w:t>
      </w:r>
      <w:r w:rsidRPr="00E542EF">
        <w:t xml:space="preserve"> r</w:t>
      </w:r>
      <w:r w:rsidR="000F5952" w:rsidRPr="00E542EF">
        <w:t>oku</w:t>
      </w:r>
      <w:r w:rsidR="00AE5712" w:rsidRPr="00E542EF">
        <w:t xml:space="preserve"> w </w:t>
      </w:r>
      <w:r w:rsidR="009D2364" w:rsidRPr="00E542EF">
        <w:t xml:space="preserve">województwie podkarpackim </w:t>
      </w:r>
      <w:r w:rsidRPr="00E542EF">
        <w:t>zarejestrowało się ogółem 1</w:t>
      </w:r>
      <w:r w:rsidR="00E542EF" w:rsidRPr="00E542EF">
        <w:t>17</w:t>
      </w:r>
      <w:r w:rsidR="00796F6E" w:rsidRPr="00E542EF">
        <w:t> </w:t>
      </w:r>
      <w:r w:rsidR="00E542EF" w:rsidRPr="00E542EF">
        <w:t>364</w:t>
      </w:r>
      <w:r w:rsidRPr="00E542EF">
        <w:t xml:space="preserve"> bezrobotnych</w:t>
      </w:r>
      <w:r w:rsidR="00AE5712" w:rsidRPr="00E542EF">
        <w:t xml:space="preserve"> </w:t>
      </w:r>
      <w:r w:rsidR="007C037A" w:rsidRPr="00E542EF">
        <w:t>(</w:t>
      </w:r>
      <w:r w:rsidR="00AE5712" w:rsidRPr="00E542EF">
        <w:t>w </w:t>
      </w:r>
      <w:r w:rsidR="007C037A" w:rsidRPr="00E542EF">
        <w:t>’</w:t>
      </w:r>
      <w:r w:rsidRPr="00E542EF">
        <w:t>1</w:t>
      </w:r>
      <w:r w:rsidR="00E542EF" w:rsidRPr="00E542EF">
        <w:t>7</w:t>
      </w:r>
      <w:r w:rsidR="007C037A" w:rsidRPr="00E542EF">
        <w:t xml:space="preserve"> r.</w:t>
      </w:r>
      <w:r w:rsidRPr="00E542EF">
        <w:t xml:space="preserve"> </w:t>
      </w:r>
      <w:r w:rsidR="0060344D" w:rsidRPr="00E542EF">
        <w:t>grupa ta stanowiła 1</w:t>
      </w:r>
      <w:r w:rsidR="00E542EF" w:rsidRPr="00E542EF">
        <w:t>33</w:t>
      </w:r>
      <w:r w:rsidR="0060344D" w:rsidRPr="00E542EF">
        <w:t> </w:t>
      </w:r>
      <w:r w:rsidR="00E542EF" w:rsidRPr="00E542EF">
        <w:t>227</w:t>
      </w:r>
      <w:r w:rsidR="0060344D" w:rsidRPr="00E542EF">
        <w:t xml:space="preserve"> osób</w:t>
      </w:r>
      <w:r w:rsidR="007C037A" w:rsidRPr="00E542EF">
        <w:t>)</w:t>
      </w:r>
      <w:r w:rsidR="0060344D" w:rsidRPr="00E542EF">
        <w:t>.</w:t>
      </w:r>
    </w:p>
    <w:p w:rsidR="00E542EF" w:rsidRPr="00E542EF" w:rsidRDefault="00E542EF" w:rsidP="00E542EF">
      <w:pPr>
        <w:pStyle w:val="Default"/>
        <w:jc w:val="both"/>
        <w:rPr>
          <w:sz w:val="16"/>
          <w:szCs w:val="16"/>
        </w:rPr>
      </w:pPr>
    </w:p>
    <w:p w:rsidR="0081673A" w:rsidRDefault="00E542EF" w:rsidP="00EB483E">
      <w:pPr>
        <w:pStyle w:val="Bezodstpw"/>
        <w:jc w:val="both"/>
        <w:rPr>
          <w:rFonts w:ascii="Times New Roman" w:hAnsi="Times New Roman" w:cs="Times New Roman"/>
          <w:highlight w:val="yellow"/>
        </w:rPr>
      </w:pPr>
      <w:r w:rsidRPr="00E542EF">
        <w:rPr>
          <w:noProof/>
          <w:lang w:eastAsia="pl-PL"/>
        </w:rPr>
        <w:drawing>
          <wp:inline distT="0" distB="0" distL="0" distR="0" wp14:anchorId="09698C80" wp14:editId="313FC6AB">
            <wp:extent cx="5753594" cy="3431969"/>
            <wp:effectExtent l="0" t="0" r="0" b="0"/>
            <wp:docPr id="695" name="Obraz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3435462"/>
                    </a:xfrm>
                    <a:prstGeom prst="rect">
                      <a:avLst/>
                    </a:prstGeom>
                    <a:noFill/>
                    <a:ln>
                      <a:noFill/>
                    </a:ln>
                  </pic:spPr>
                </pic:pic>
              </a:graphicData>
            </a:graphic>
          </wp:inline>
        </w:drawing>
      </w:r>
    </w:p>
    <w:p w:rsidR="00E542EF" w:rsidRDefault="00E542EF" w:rsidP="00EB483E">
      <w:pPr>
        <w:pStyle w:val="Bezodstpw"/>
        <w:jc w:val="both"/>
        <w:rPr>
          <w:rFonts w:ascii="Times New Roman" w:hAnsi="Times New Roman" w:cs="Times New Roman"/>
          <w:highlight w:val="yellow"/>
        </w:rPr>
      </w:pPr>
    </w:p>
    <w:p w:rsidR="00E542EF" w:rsidRPr="00C75C71" w:rsidRDefault="00E542EF" w:rsidP="00E542EF">
      <w:pPr>
        <w:pStyle w:val="Bezodstpw"/>
        <w:jc w:val="center"/>
        <w:rPr>
          <w:rFonts w:ascii="Times New Roman" w:hAnsi="Times New Roman" w:cs="Times New Roman"/>
          <w:highlight w:val="yellow"/>
        </w:rPr>
      </w:pPr>
      <w:r w:rsidRPr="00E542EF">
        <w:rPr>
          <w:noProof/>
          <w:lang w:eastAsia="pl-PL"/>
        </w:rPr>
        <w:drawing>
          <wp:inline distT="0" distB="0" distL="0" distR="0">
            <wp:extent cx="4934198" cy="2048493"/>
            <wp:effectExtent l="0" t="0" r="0" b="9525"/>
            <wp:docPr id="698" name="Obraz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33950" cy="2048390"/>
                    </a:xfrm>
                    <a:prstGeom prst="rect">
                      <a:avLst/>
                    </a:prstGeom>
                    <a:noFill/>
                    <a:ln>
                      <a:noFill/>
                    </a:ln>
                  </pic:spPr>
                </pic:pic>
              </a:graphicData>
            </a:graphic>
          </wp:inline>
        </w:drawing>
      </w:r>
    </w:p>
    <w:p w:rsidR="00E542EF" w:rsidRDefault="00E542EF" w:rsidP="002A0749">
      <w:pPr>
        <w:pStyle w:val="Default"/>
        <w:spacing w:line="360" w:lineRule="auto"/>
        <w:jc w:val="center"/>
        <w:rPr>
          <w:highlight w:val="yellow"/>
        </w:rPr>
      </w:pPr>
      <w:r w:rsidRPr="00E542EF">
        <w:rPr>
          <w:noProof/>
          <w:lang w:eastAsia="pl-PL"/>
        </w:rPr>
        <w:lastRenderedPageBreak/>
        <w:drawing>
          <wp:inline distT="0" distB="0" distL="0" distR="0" wp14:anchorId="558DF441" wp14:editId="41E043D8">
            <wp:extent cx="4933950" cy="1359535"/>
            <wp:effectExtent l="0" t="0" r="0" b="0"/>
            <wp:docPr id="707" name="Obraz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33950" cy="1359535"/>
                    </a:xfrm>
                    <a:prstGeom prst="rect">
                      <a:avLst/>
                    </a:prstGeom>
                    <a:noFill/>
                    <a:ln>
                      <a:noFill/>
                    </a:ln>
                  </pic:spPr>
                </pic:pic>
              </a:graphicData>
            </a:graphic>
          </wp:inline>
        </w:drawing>
      </w:r>
      <w:r w:rsidRPr="00E542EF">
        <w:rPr>
          <w:noProof/>
          <w:lang w:eastAsia="pl-PL"/>
        </w:rPr>
        <w:drawing>
          <wp:inline distT="0" distB="0" distL="0" distR="0" wp14:anchorId="792232B4" wp14:editId="30001B94">
            <wp:extent cx="4933950" cy="4827270"/>
            <wp:effectExtent l="0" t="0" r="0" b="0"/>
            <wp:docPr id="706" name="Obraz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33950" cy="4827270"/>
                    </a:xfrm>
                    <a:prstGeom prst="rect">
                      <a:avLst/>
                    </a:prstGeom>
                    <a:noFill/>
                    <a:ln>
                      <a:noFill/>
                    </a:ln>
                  </pic:spPr>
                </pic:pic>
              </a:graphicData>
            </a:graphic>
          </wp:inline>
        </w:drawing>
      </w:r>
    </w:p>
    <w:p w:rsidR="00E542EF" w:rsidRPr="00E542EF" w:rsidRDefault="00E542EF" w:rsidP="00150999">
      <w:pPr>
        <w:pStyle w:val="Default"/>
        <w:pBdr>
          <w:bottom w:val="single" w:sz="4" w:space="1" w:color="auto"/>
        </w:pBdr>
        <w:jc w:val="both"/>
        <w:rPr>
          <w:sz w:val="16"/>
          <w:szCs w:val="16"/>
          <w:highlight w:val="yellow"/>
        </w:rPr>
      </w:pPr>
    </w:p>
    <w:p w:rsidR="008A2874" w:rsidRPr="00E542EF" w:rsidRDefault="0081673A" w:rsidP="00150999">
      <w:pPr>
        <w:pStyle w:val="Default"/>
        <w:pBdr>
          <w:bottom w:val="single" w:sz="4" w:space="1" w:color="auto"/>
        </w:pBdr>
        <w:jc w:val="both"/>
      </w:pPr>
      <w:r w:rsidRPr="00E542EF">
        <w:t>Wnioski</w:t>
      </w:r>
      <w:r w:rsidR="00A93F05" w:rsidRPr="00E542EF">
        <w:t>:</w:t>
      </w:r>
    </w:p>
    <w:p w:rsidR="008A2874" w:rsidRPr="00E542EF" w:rsidRDefault="008A2874" w:rsidP="008A2874">
      <w:pPr>
        <w:pStyle w:val="Tekstpodstawowywcity"/>
        <w:spacing w:after="0" w:line="360" w:lineRule="auto"/>
        <w:ind w:left="0"/>
        <w:jc w:val="both"/>
        <w:rPr>
          <w:rFonts w:ascii="Times New Roman" w:hAnsi="Times New Roman" w:cs="Times New Roman"/>
          <w:sz w:val="18"/>
          <w:szCs w:val="18"/>
        </w:rPr>
      </w:pPr>
      <w:r w:rsidRPr="00E542EF">
        <w:rPr>
          <w:rFonts w:ascii="Times New Roman" w:hAnsi="Times New Roman" w:cs="Times New Roman"/>
          <w:sz w:val="18"/>
          <w:szCs w:val="18"/>
        </w:rPr>
        <w:t>(na podstawie danych</w:t>
      </w:r>
      <w:r w:rsidR="00AE5712" w:rsidRPr="00E542EF">
        <w:rPr>
          <w:rFonts w:ascii="Times New Roman" w:hAnsi="Times New Roman" w:cs="Times New Roman"/>
          <w:sz w:val="18"/>
          <w:szCs w:val="18"/>
        </w:rPr>
        <w:t xml:space="preserve"> z </w:t>
      </w:r>
      <w:r w:rsidR="000F5952" w:rsidRPr="00E542EF">
        <w:rPr>
          <w:rFonts w:ascii="Times New Roman" w:hAnsi="Times New Roman" w:cs="Times New Roman"/>
          <w:sz w:val="18"/>
          <w:szCs w:val="18"/>
        </w:rPr>
        <w:t>t</w:t>
      </w:r>
      <w:r w:rsidRPr="00E542EF">
        <w:rPr>
          <w:rFonts w:ascii="Times New Roman" w:hAnsi="Times New Roman" w:cs="Times New Roman"/>
          <w:sz w:val="18"/>
          <w:szCs w:val="18"/>
        </w:rPr>
        <w:t>ab</w:t>
      </w:r>
      <w:r w:rsidR="000F5952" w:rsidRPr="00E542EF">
        <w:rPr>
          <w:rFonts w:ascii="Times New Roman" w:hAnsi="Times New Roman" w:cs="Times New Roman"/>
          <w:sz w:val="18"/>
          <w:szCs w:val="18"/>
        </w:rPr>
        <w:t>.</w:t>
      </w:r>
      <w:r w:rsidRPr="00E542EF">
        <w:rPr>
          <w:rFonts w:ascii="Times New Roman" w:hAnsi="Times New Roman" w:cs="Times New Roman"/>
          <w:sz w:val="18"/>
          <w:szCs w:val="18"/>
        </w:rPr>
        <w:t xml:space="preserve"> </w:t>
      </w:r>
      <w:r w:rsidR="009F4374" w:rsidRPr="00E542EF">
        <w:rPr>
          <w:rFonts w:ascii="Times New Roman" w:hAnsi="Times New Roman" w:cs="Times New Roman"/>
          <w:sz w:val="18"/>
          <w:szCs w:val="18"/>
        </w:rPr>
        <w:t>III</w:t>
      </w:r>
      <w:r w:rsidR="00AE5712" w:rsidRPr="00E542EF">
        <w:rPr>
          <w:rFonts w:ascii="Times New Roman" w:hAnsi="Times New Roman" w:cs="Times New Roman"/>
          <w:sz w:val="18"/>
          <w:szCs w:val="18"/>
        </w:rPr>
        <w:t xml:space="preserve"> i </w:t>
      </w:r>
      <w:r w:rsidR="000F5952" w:rsidRPr="00E542EF">
        <w:rPr>
          <w:rFonts w:ascii="Times New Roman" w:hAnsi="Times New Roman" w:cs="Times New Roman"/>
          <w:sz w:val="18"/>
          <w:szCs w:val="18"/>
        </w:rPr>
        <w:t>tab.</w:t>
      </w:r>
      <w:r w:rsidRPr="00E542EF">
        <w:rPr>
          <w:rFonts w:ascii="Times New Roman" w:hAnsi="Times New Roman" w:cs="Times New Roman"/>
          <w:sz w:val="18"/>
          <w:szCs w:val="18"/>
        </w:rPr>
        <w:t xml:space="preserve"> </w:t>
      </w:r>
      <w:r w:rsidR="009F4374" w:rsidRPr="00E542EF">
        <w:rPr>
          <w:rFonts w:ascii="Times New Roman" w:hAnsi="Times New Roman" w:cs="Times New Roman"/>
          <w:sz w:val="18"/>
          <w:szCs w:val="18"/>
        </w:rPr>
        <w:t>IV</w:t>
      </w:r>
      <w:r w:rsidR="0081673A" w:rsidRPr="00E542EF">
        <w:rPr>
          <w:rFonts w:ascii="Times New Roman" w:hAnsi="Times New Roman" w:cs="Times New Roman"/>
          <w:sz w:val="18"/>
          <w:szCs w:val="18"/>
        </w:rPr>
        <w:t>)</w:t>
      </w:r>
    </w:p>
    <w:p w:rsidR="009D2364" w:rsidRPr="00733744" w:rsidRDefault="0081673A" w:rsidP="00160DBC">
      <w:pPr>
        <w:pStyle w:val="Default"/>
        <w:numPr>
          <w:ilvl w:val="0"/>
          <w:numId w:val="1"/>
        </w:numPr>
        <w:spacing w:line="360" w:lineRule="auto"/>
        <w:jc w:val="both"/>
      </w:pPr>
      <w:r w:rsidRPr="00733744">
        <w:t>Z</w:t>
      </w:r>
      <w:r w:rsidR="009D2364" w:rsidRPr="00733744">
        <w:t>arejestrowan</w:t>
      </w:r>
      <w:r w:rsidR="004F0AE9" w:rsidRPr="00733744">
        <w:t>o</w:t>
      </w:r>
      <w:r w:rsidR="009D2364" w:rsidRPr="00733744">
        <w:t xml:space="preserve"> </w:t>
      </w:r>
      <w:r w:rsidR="000F5952" w:rsidRPr="00733744">
        <w:t xml:space="preserve">w PUP po raz pierwszy </w:t>
      </w:r>
      <w:r w:rsidR="00733744" w:rsidRPr="00733744">
        <w:t>19</w:t>
      </w:r>
      <w:r w:rsidR="000F5952" w:rsidRPr="00733744">
        <w:t> </w:t>
      </w:r>
      <w:r w:rsidR="00733744" w:rsidRPr="00733744">
        <w:t>912</w:t>
      </w:r>
      <w:r w:rsidR="000F5952" w:rsidRPr="00733744">
        <w:t xml:space="preserve"> osób bezrobotnych </w:t>
      </w:r>
      <w:r w:rsidR="009D2364" w:rsidRPr="00733744">
        <w:t>(</w:t>
      </w:r>
      <w:r w:rsidR="000F5952" w:rsidRPr="00733744">
        <w:t>17</w:t>
      </w:r>
      <w:r w:rsidR="00733744" w:rsidRPr="00733744">
        <w:t>,0</w:t>
      </w:r>
      <w:r w:rsidR="00733744">
        <w:t xml:space="preserve"> </w:t>
      </w:r>
      <w:r w:rsidR="009D2364" w:rsidRPr="00733744">
        <w:t>%</w:t>
      </w:r>
      <w:r w:rsidR="004F0AE9" w:rsidRPr="00733744">
        <w:t xml:space="preserve"> ogółu bezrobotnych</w:t>
      </w:r>
      <w:r w:rsidR="009D2364" w:rsidRPr="00733744">
        <w:t>)</w:t>
      </w:r>
      <w:r w:rsidRPr="00733744">
        <w:t>.</w:t>
      </w:r>
    </w:p>
    <w:p w:rsidR="009D2364" w:rsidRPr="007520E7" w:rsidRDefault="0081673A" w:rsidP="00160DBC">
      <w:pPr>
        <w:pStyle w:val="Default"/>
        <w:numPr>
          <w:ilvl w:val="0"/>
          <w:numId w:val="1"/>
        </w:numPr>
        <w:spacing w:line="360" w:lineRule="auto"/>
        <w:jc w:val="both"/>
      </w:pPr>
      <w:r w:rsidRPr="007520E7">
        <w:t>W</w:t>
      </w:r>
      <w:r w:rsidR="009D2364" w:rsidRPr="007520E7">
        <w:t>iększość zarejestrowanych</w:t>
      </w:r>
      <w:r w:rsidR="00AE5712" w:rsidRPr="007520E7">
        <w:t xml:space="preserve"> w </w:t>
      </w:r>
      <w:r w:rsidR="009D2364" w:rsidRPr="007520E7">
        <w:t xml:space="preserve">PUP stanowiły osoby powracające do ewidencji po raz kolejny – </w:t>
      </w:r>
      <w:r w:rsidR="007520E7" w:rsidRPr="007520E7">
        <w:t>97</w:t>
      </w:r>
      <w:r w:rsidR="009D2364" w:rsidRPr="007520E7">
        <w:t xml:space="preserve"> </w:t>
      </w:r>
      <w:r w:rsidR="000F5952" w:rsidRPr="007520E7">
        <w:t>4</w:t>
      </w:r>
      <w:r w:rsidR="007520E7" w:rsidRPr="007520E7">
        <w:t>52</w:t>
      </w:r>
      <w:r w:rsidR="009D2364" w:rsidRPr="007520E7">
        <w:t xml:space="preserve"> osób (8</w:t>
      </w:r>
      <w:r w:rsidR="007520E7" w:rsidRPr="007520E7">
        <w:t>3</w:t>
      </w:r>
      <w:r w:rsidR="009D2364" w:rsidRPr="007520E7">
        <w:t>,</w:t>
      </w:r>
      <w:r w:rsidR="007520E7" w:rsidRPr="007520E7">
        <w:t xml:space="preserve">0 </w:t>
      </w:r>
      <w:r w:rsidR="009D2364" w:rsidRPr="007520E7">
        <w:t>%)</w:t>
      </w:r>
      <w:r w:rsidRPr="007520E7">
        <w:t>.</w:t>
      </w:r>
    </w:p>
    <w:p w:rsidR="009D2364" w:rsidRPr="00DC01B7" w:rsidRDefault="0081673A" w:rsidP="00160DBC">
      <w:pPr>
        <w:pStyle w:val="Default"/>
        <w:numPr>
          <w:ilvl w:val="0"/>
          <w:numId w:val="1"/>
        </w:numPr>
        <w:spacing w:line="360" w:lineRule="auto"/>
        <w:jc w:val="both"/>
      </w:pPr>
      <w:r w:rsidRPr="00DC01B7">
        <w:t>P</w:t>
      </w:r>
      <w:r w:rsidR="009D2364" w:rsidRPr="00DC01B7">
        <w:t xml:space="preserve">owtórne rejestracje dotyczyły głównie tych osób, które po okresie krótkotrwałego zatrudnienia (w tym subsydiowanego z Funduszu Pracy) powracały do ewidencji urzędów pracy, gdyż pracodawcy nie dysponowali </w:t>
      </w:r>
      <w:r w:rsidR="000F5952" w:rsidRPr="00DC01B7">
        <w:t>możliwościami trwałego zatrudnienia</w:t>
      </w:r>
      <w:r w:rsidRPr="00DC01B7">
        <w:t>.</w:t>
      </w:r>
    </w:p>
    <w:p w:rsidR="009D2364" w:rsidRPr="00471E20" w:rsidRDefault="0081673A" w:rsidP="00286B69">
      <w:pPr>
        <w:pStyle w:val="Default"/>
        <w:numPr>
          <w:ilvl w:val="0"/>
          <w:numId w:val="1"/>
        </w:numPr>
        <w:spacing w:line="360" w:lineRule="auto"/>
        <w:jc w:val="both"/>
      </w:pPr>
      <w:r w:rsidRPr="00471E20">
        <w:lastRenderedPageBreak/>
        <w:t>B</w:t>
      </w:r>
      <w:r w:rsidR="009D2364" w:rsidRPr="00471E20">
        <w:t xml:space="preserve">ezrobotni </w:t>
      </w:r>
      <w:r w:rsidR="00286B69" w:rsidRPr="00471E20">
        <w:t xml:space="preserve">rejestrujący się w PUP </w:t>
      </w:r>
      <w:r w:rsidR="009D2364" w:rsidRPr="00471E20">
        <w:t xml:space="preserve">po okresie </w:t>
      </w:r>
      <w:r w:rsidR="00286B69" w:rsidRPr="00471E20">
        <w:t xml:space="preserve">subsydiowanej </w:t>
      </w:r>
      <w:r w:rsidR="009D2364" w:rsidRPr="00471E20">
        <w:t>aktywizacji</w:t>
      </w:r>
      <w:r w:rsidR="00286B69" w:rsidRPr="00471E20">
        <w:t xml:space="preserve"> (tj. po pracach interwencyjnych, robotach publicznych, stażu, odbyciu przygotowania zawodowego dorosłych, szkoleniu i pracach społecznie użytecznych) </w:t>
      </w:r>
      <w:r w:rsidR="009D2364" w:rsidRPr="00471E20">
        <w:t xml:space="preserve">stanowili </w:t>
      </w:r>
      <w:r w:rsidR="00286B69" w:rsidRPr="00471E20">
        <w:t>1</w:t>
      </w:r>
      <w:r w:rsidR="00870C9D" w:rsidRPr="00471E20">
        <w:t>2</w:t>
      </w:r>
      <w:r w:rsidR="009D2364" w:rsidRPr="00471E20">
        <w:t> </w:t>
      </w:r>
      <w:r w:rsidR="00471E20" w:rsidRPr="00471E20">
        <w:t>371</w:t>
      </w:r>
      <w:r w:rsidR="009D2364" w:rsidRPr="00471E20">
        <w:t xml:space="preserve"> osób (</w:t>
      </w:r>
      <w:r w:rsidR="00471E20" w:rsidRPr="00471E20">
        <w:t>10</w:t>
      </w:r>
      <w:r w:rsidR="00286B69" w:rsidRPr="00471E20">
        <w:t>,</w:t>
      </w:r>
      <w:r w:rsidR="00471E20" w:rsidRPr="00471E20">
        <w:t xml:space="preserve">5 </w:t>
      </w:r>
      <w:r w:rsidR="009D2364" w:rsidRPr="00471E20">
        <w:t>%)</w:t>
      </w:r>
      <w:r w:rsidRPr="00471E20">
        <w:t>.</w:t>
      </w:r>
    </w:p>
    <w:p w:rsidR="00234E52" w:rsidRPr="00234E52" w:rsidRDefault="0081673A" w:rsidP="00234E52">
      <w:pPr>
        <w:pStyle w:val="Default"/>
        <w:numPr>
          <w:ilvl w:val="0"/>
          <w:numId w:val="1"/>
        </w:numPr>
        <w:spacing w:line="360" w:lineRule="auto"/>
        <w:jc w:val="both"/>
      </w:pPr>
      <w:r w:rsidRPr="00234E52">
        <w:t>N</w:t>
      </w:r>
      <w:r w:rsidR="000566C4" w:rsidRPr="00234E52">
        <w:t xml:space="preserve">ajwięcej </w:t>
      </w:r>
      <w:r w:rsidRPr="00234E52">
        <w:t xml:space="preserve">osób </w:t>
      </w:r>
      <w:r w:rsidR="000566C4" w:rsidRPr="00234E52">
        <w:t xml:space="preserve">bezrobotnych </w:t>
      </w:r>
      <w:r w:rsidR="0050209E" w:rsidRPr="00234E52">
        <w:t xml:space="preserve">zarejestrowano </w:t>
      </w:r>
      <w:r w:rsidR="000566C4" w:rsidRPr="00234E52">
        <w:t xml:space="preserve">w powiecie </w:t>
      </w:r>
      <w:r w:rsidR="004056ED" w:rsidRPr="00234E52">
        <w:t>jarosławskim</w:t>
      </w:r>
      <w:r w:rsidR="000566C4" w:rsidRPr="00234E52">
        <w:t xml:space="preserve"> (</w:t>
      </w:r>
      <w:r w:rsidR="00234E52" w:rsidRPr="00234E52">
        <w:t>7</w:t>
      </w:r>
      <w:r w:rsidR="000566C4" w:rsidRPr="00234E52">
        <w:t xml:space="preserve"> </w:t>
      </w:r>
      <w:r w:rsidR="00160A4B" w:rsidRPr="00234E52">
        <w:t>9</w:t>
      </w:r>
      <w:r w:rsidR="00234E52" w:rsidRPr="00234E52">
        <w:t>23</w:t>
      </w:r>
      <w:r w:rsidR="000566C4" w:rsidRPr="00234E52">
        <w:t xml:space="preserve">), </w:t>
      </w:r>
      <w:r w:rsidR="00234E52" w:rsidRPr="00234E52">
        <w:t>m. Rzeszów (7 256), powiecie jasielskim (7 156), rzeszowskim (7 024), mieleckim (6 313) i dębickim (6 043).</w:t>
      </w:r>
    </w:p>
    <w:p w:rsidR="00234E52" w:rsidRPr="001202EB" w:rsidRDefault="0081673A" w:rsidP="00234E52">
      <w:pPr>
        <w:pStyle w:val="Default"/>
        <w:numPr>
          <w:ilvl w:val="0"/>
          <w:numId w:val="1"/>
        </w:numPr>
        <w:spacing w:line="360" w:lineRule="auto"/>
        <w:jc w:val="both"/>
      </w:pPr>
      <w:r w:rsidRPr="001202EB">
        <w:t>N</w:t>
      </w:r>
      <w:r w:rsidR="00726DAB" w:rsidRPr="001202EB">
        <w:t xml:space="preserve">ajmniej </w:t>
      </w:r>
      <w:r w:rsidRPr="001202EB">
        <w:t xml:space="preserve">osób </w:t>
      </w:r>
      <w:r w:rsidR="00726DAB" w:rsidRPr="001202EB">
        <w:t xml:space="preserve">bezrobotnych zarejestrowało się w </w:t>
      </w:r>
      <w:r w:rsidR="00065741" w:rsidRPr="001202EB">
        <w:t xml:space="preserve">powiecie </w:t>
      </w:r>
      <w:r w:rsidR="00234E52" w:rsidRPr="001202EB">
        <w:t>bieszczadzkim (</w:t>
      </w:r>
      <w:r w:rsidR="001202EB" w:rsidRPr="001202EB">
        <w:t>1 539</w:t>
      </w:r>
      <w:r w:rsidR="00234E52" w:rsidRPr="001202EB">
        <w:t>), m. Krośnie (</w:t>
      </w:r>
      <w:r w:rsidR="001202EB" w:rsidRPr="001202EB">
        <w:t>1 806</w:t>
      </w:r>
      <w:r w:rsidR="00234E52" w:rsidRPr="001202EB">
        <w:t>), powiecie leskim (</w:t>
      </w:r>
      <w:r w:rsidR="001202EB" w:rsidRPr="001202EB">
        <w:t>2 280</w:t>
      </w:r>
      <w:r w:rsidR="00234E52" w:rsidRPr="001202EB">
        <w:t>), m. Tarnobrzegu (</w:t>
      </w:r>
      <w:r w:rsidR="001202EB" w:rsidRPr="001202EB">
        <w:t>2 666</w:t>
      </w:r>
      <w:r w:rsidR="00234E52" w:rsidRPr="001202EB">
        <w:t>), powiecie tarnobrzeskim (</w:t>
      </w:r>
      <w:r w:rsidR="001202EB" w:rsidRPr="001202EB">
        <w:t>2 718</w:t>
      </w:r>
      <w:r w:rsidR="00234E52" w:rsidRPr="001202EB">
        <w:t>), m. Przemyślu (</w:t>
      </w:r>
      <w:r w:rsidR="001202EB" w:rsidRPr="001202EB">
        <w:t>3 276</w:t>
      </w:r>
      <w:r w:rsidR="00234E52" w:rsidRPr="001202EB">
        <w:t>)</w:t>
      </w:r>
      <w:r w:rsidR="001202EB" w:rsidRPr="001202EB">
        <w:t xml:space="preserve">, powiecie </w:t>
      </w:r>
      <w:r w:rsidR="00234E52" w:rsidRPr="001202EB">
        <w:t>kolbuszowski</w:t>
      </w:r>
      <w:r w:rsidR="001202EB" w:rsidRPr="001202EB">
        <w:t>m (3 532).</w:t>
      </w:r>
    </w:p>
    <w:p w:rsidR="00726DAB" w:rsidRPr="001202EB" w:rsidRDefault="00160A4B" w:rsidP="00160DBC">
      <w:pPr>
        <w:pStyle w:val="Default"/>
        <w:numPr>
          <w:ilvl w:val="0"/>
          <w:numId w:val="1"/>
        </w:numPr>
        <w:spacing w:line="360" w:lineRule="auto"/>
        <w:jc w:val="both"/>
      </w:pPr>
      <w:r w:rsidRPr="001202EB">
        <w:t>Spadek odnotowano zarówno w</w:t>
      </w:r>
      <w:r w:rsidR="00F33452" w:rsidRPr="001202EB">
        <w:t xml:space="preserve"> grupie osób rejestrujących się po raz pierwszy </w:t>
      </w:r>
      <w:r w:rsidRPr="001202EB">
        <w:t>(</w:t>
      </w:r>
      <w:r w:rsidR="00AE5712" w:rsidRPr="001202EB">
        <w:t>o </w:t>
      </w:r>
      <w:r w:rsidR="001202EB" w:rsidRPr="001202EB">
        <w:t>2</w:t>
      </w:r>
      <w:r w:rsidR="00F33452" w:rsidRPr="001202EB">
        <w:t> </w:t>
      </w:r>
      <w:r w:rsidR="001202EB" w:rsidRPr="001202EB">
        <w:t>822</w:t>
      </w:r>
      <w:r w:rsidR="00F33452" w:rsidRPr="001202EB">
        <w:t xml:space="preserve"> osoby</w:t>
      </w:r>
      <w:r w:rsidR="001202EB">
        <w:t xml:space="preserve">, </w:t>
      </w:r>
      <w:r w:rsidR="001202EB" w:rsidRPr="001202EB">
        <w:t>2017 r.=100%</w:t>
      </w:r>
      <w:r w:rsidR="001202EB">
        <w:t xml:space="preserve"> </w:t>
      </w:r>
      <w:r w:rsidRPr="001202EB">
        <w:t>tj.</w:t>
      </w:r>
      <w:r w:rsidR="001202EB">
        <w:t xml:space="preserve"> </w:t>
      </w:r>
      <w:r w:rsidR="001202EB" w:rsidRPr="001202EB">
        <w:t>12</w:t>
      </w:r>
      <w:r w:rsidR="00F33452" w:rsidRPr="001202EB">
        <w:t>,</w:t>
      </w:r>
      <w:r w:rsidR="001202EB" w:rsidRPr="001202EB">
        <w:t xml:space="preserve">4 </w:t>
      </w:r>
      <w:r w:rsidR="00F33452" w:rsidRPr="001202EB">
        <w:t>%</w:t>
      </w:r>
      <w:r w:rsidR="001202EB" w:rsidRPr="001202EB">
        <w:t xml:space="preserve">, </w:t>
      </w:r>
      <w:r w:rsidRPr="001202EB">
        <w:t xml:space="preserve"> jak i wśród zarejestrowanych po raz kolejny (spadek o 1</w:t>
      </w:r>
      <w:r w:rsidR="001202EB" w:rsidRPr="001202EB">
        <w:t>3</w:t>
      </w:r>
      <w:r w:rsidRPr="001202EB">
        <w:t> </w:t>
      </w:r>
      <w:r w:rsidR="001202EB" w:rsidRPr="001202EB">
        <w:t>041</w:t>
      </w:r>
      <w:r w:rsidRPr="001202EB">
        <w:t xml:space="preserve"> osoby</w:t>
      </w:r>
      <w:r w:rsidR="001202EB">
        <w:t xml:space="preserve"> </w:t>
      </w:r>
      <w:r w:rsidR="001202EB" w:rsidRPr="001202EB">
        <w:t>201</w:t>
      </w:r>
      <w:r w:rsidR="001202EB">
        <w:t>7</w:t>
      </w:r>
      <w:r w:rsidR="001202EB" w:rsidRPr="001202EB">
        <w:t>=100%</w:t>
      </w:r>
      <w:r w:rsidR="001202EB">
        <w:t xml:space="preserve"> </w:t>
      </w:r>
      <w:r w:rsidRPr="001202EB">
        <w:t>tj.</w:t>
      </w:r>
      <w:r w:rsidR="001202EB">
        <w:t xml:space="preserve"> </w:t>
      </w:r>
      <w:r w:rsidRPr="001202EB">
        <w:t>11,</w:t>
      </w:r>
      <w:r w:rsidR="001202EB" w:rsidRPr="001202EB">
        <w:t xml:space="preserve">8 </w:t>
      </w:r>
      <w:r w:rsidRPr="001202EB">
        <w:t>%)</w:t>
      </w:r>
      <w:r w:rsidR="00F33452" w:rsidRPr="001202EB">
        <w:t>.</w:t>
      </w:r>
    </w:p>
    <w:p w:rsidR="00F33452" w:rsidRPr="00A56D19" w:rsidRDefault="008A67BA" w:rsidP="00160DBC">
      <w:pPr>
        <w:pStyle w:val="Default"/>
        <w:numPr>
          <w:ilvl w:val="0"/>
          <w:numId w:val="1"/>
        </w:numPr>
        <w:spacing w:line="360" w:lineRule="auto"/>
        <w:jc w:val="both"/>
      </w:pPr>
      <w:r w:rsidRPr="00A56D19">
        <w:t>Największe spadki l</w:t>
      </w:r>
      <w:r w:rsidR="00F33452" w:rsidRPr="00A56D19">
        <w:t xml:space="preserve">iczby </w:t>
      </w:r>
      <w:r w:rsidRPr="00A56D19">
        <w:t xml:space="preserve">bezrobotnych, </w:t>
      </w:r>
      <w:r w:rsidR="00F33452" w:rsidRPr="00A56D19">
        <w:t xml:space="preserve">powracających do rejestracji po </w:t>
      </w:r>
      <w:r w:rsidRPr="00A56D19">
        <w:t>ukończeniu aktywnych</w:t>
      </w:r>
      <w:r w:rsidR="00160A4B" w:rsidRPr="00A56D19">
        <w:t xml:space="preserve"> </w:t>
      </w:r>
      <w:r w:rsidR="001202EB">
        <w:t xml:space="preserve">form, zawartych w sprawozdaniu, warunkują zmiany </w:t>
      </w:r>
      <w:r w:rsidRPr="00A56D19">
        <w:t>odnotowan</w:t>
      </w:r>
      <w:r w:rsidR="001202EB">
        <w:t xml:space="preserve">e </w:t>
      </w:r>
      <w:r w:rsidRPr="00A56D19">
        <w:t xml:space="preserve">w </w:t>
      </w:r>
      <w:r w:rsidR="001202EB">
        <w:t xml:space="preserve">stanie </w:t>
      </w:r>
      <w:r w:rsidR="00F33452" w:rsidRPr="00A56D19">
        <w:t>bezrobotnych</w:t>
      </w:r>
      <w:r w:rsidR="00A56D19">
        <w:t xml:space="preserve"> </w:t>
      </w:r>
      <w:r w:rsidR="001202EB">
        <w:t>na koniec okresu sprawozdawczego.</w:t>
      </w:r>
    </w:p>
    <w:p w:rsidR="00E542EF" w:rsidRPr="00E542EF" w:rsidRDefault="00E542EF" w:rsidP="004B48C5">
      <w:pPr>
        <w:pStyle w:val="Default"/>
        <w:spacing w:line="360" w:lineRule="auto"/>
        <w:jc w:val="both"/>
        <w:rPr>
          <w:sz w:val="16"/>
          <w:szCs w:val="16"/>
          <w:highlight w:val="yellow"/>
        </w:rPr>
      </w:pPr>
    </w:p>
    <w:p w:rsidR="00726DAB" w:rsidRPr="002A267D" w:rsidRDefault="00DD7495" w:rsidP="002A267D">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0" w:name="_Toc938721"/>
      <w:r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PRZYCZYNY </w:t>
      </w:r>
      <w:r w:rsid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Fluktuacji   </w:t>
      </w:r>
      <w:r w:rsidR="00726DAB"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bezrobotnych</w:t>
      </w:r>
      <w:bookmarkEnd w:id="10"/>
    </w:p>
    <w:p w:rsidR="00E542EF" w:rsidRPr="00C75C71" w:rsidRDefault="00E542EF" w:rsidP="00CE70F1">
      <w:pPr>
        <w:pStyle w:val="Default"/>
        <w:spacing w:line="360" w:lineRule="auto"/>
        <w:jc w:val="both"/>
        <w:rPr>
          <w:sz w:val="16"/>
          <w:szCs w:val="16"/>
          <w:highlight w:val="yellow"/>
        </w:rPr>
      </w:pPr>
    </w:p>
    <w:p w:rsidR="007036E5" w:rsidRDefault="007036E5" w:rsidP="00CE70F1">
      <w:pPr>
        <w:pStyle w:val="Default"/>
        <w:spacing w:line="360" w:lineRule="auto"/>
        <w:ind w:firstLine="708"/>
        <w:jc w:val="both"/>
      </w:pPr>
      <w:r w:rsidRPr="00B064E6">
        <w:t>„Odpływ” osób</w:t>
      </w:r>
      <w:r w:rsidR="00AE5712" w:rsidRPr="00B064E6">
        <w:t xml:space="preserve"> z </w:t>
      </w:r>
      <w:r w:rsidRPr="00B064E6">
        <w:t xml:space="preserve">rejestrów </w:t>
      </w:r>
      <w:r w:rsidR="00CE70F1" w:rsidRPr="00B064E6">
        <w:t>powiatowych urzędów pracy</w:t>
      </w:r>
      <w:r w:rsidRPr="00B064E6">
        <w:t xml:space="preserve"> może wiązać się</w:t>
      </w:r>
      <w:r w:rsidR="00AE5712" w:rsidRPr="00B064E6">
        <w:t xml:space="preserve"> z </w:t>
      </w:r>
      <w:r w:rsidRPr="00B064E6">
        <w:t xml:space="preserve">całkowitym wyrejestrowaniem </w:t>
      </w:r>
      <w:r w:rsidR="000578D1">
        <w:t xml:space="preserve">tj. </w:t>
      </w:r>
      <w:r w:rsidRPr="00B064E6">
        <w:t>z utratą statusu osoby bezrobotnej</w:t>
      </w:r>
      <w:r w:rsidR="000578D1">
        <w:t xml:space="preserve">. Następuje z </w:t>
      </w:r>
      <w:r w:rsidR="00D3558F">
        <w:t>różnych</w:t>
      </w:r>
      <w:r w:rsidR="000578D1">
        <w:t xml:space="preserve"> przyczyn np. </w:t>
      </w:r>
      <w:r w:rsidR="00AE5712" w:rsidRPr="00B064E6">
        <w:t>z </w:t>
      </w:r>
      <w:r w:rsidRPr="00B064E6">
        <w:t>powodu podjęcia pracy</w:t>
      </w:r>
      <w:r w:rsidR="00D3558F">
        <w:t xml:space="preserve"> lub</w:t>
      </w:r>
      <w:r w:rsidRPr="00B064E6">
        <w:t xml:space="preserve"> </w:t>
      </w:r>
      <w:r w:rsidR="00325773" w:rsidRPr="00B064E6">
        <w:t xml:space="preserve">z </w:t>
      </w:r>
      <w:r w:rsidRPr="00B064E6">
        <w:t xml:space="preserve">innego powodu niż podjęcie </w:t>
      </w:r>
      <w:r w:rsidR="00373E8B" w:rsidRPr="00B064E6">
        <w:t>zatrudnienia</w:t>
      </w:r>
      <w:r w:rsidR="00B064E6">
        <w:t xml:space="preserve">. Spadek liczby bezrobotnych może wynikać również </w:t>
      </w:r>
      <w:r w:rsidR="00AE5712" w:rsidRPr="00B064E6">
        <w:t>z </w:t>
      </w:r>
      <w:r w:rsidRPr="00B064E6">
        <w:t>wyłączeni</w:t>
      </w:r>
      <w:r w:rsidR="00B064E6" w:rsidRPr="00B064E6">
        <w:t>a</w:t>
      </w:r>
      <w:r w:rsidR="00AE5712" w:rsidRPr="00B064E6">
        <w:t xml:space="preserve"> z </w:t>
      </w:r>
      <w:r w:rsidRPr="00B064E6">
        <w:t xml:space="preserve">rejestru </w:t>
      </w:r>
      <w:r w:rsidR="00B064E6" w:rsidRPr="00B064E6">
        <w:t xml:space="preserve">PUP związanego z udziałem </w:t>
      </w:r>
      <w:r w:rsidR="00AE5712" w:rsidRPr="00B064E6">
        <w:t>w </w:t>
      </w:r>
      <w:r w:rsidRPr="00B064E6">
        <w:t>formach aktywizacji zawodowej, które nie powodują utraty statusu osoby bezrobotnej</w:t>
      </w:r>
      <w:r w:rsidR="00B064E6" w:rsidRPr="00B064E6">
        <w:t xml:space="preserve"> w sensie prawnym</w:t>
      </w:r>
      <w:r w:rsidRPr="00B064E6">
        <w:t>.</w:t>
      </w:r>
      <w:r w:rsidR="00AD036F" w:rsidRPr="00B064E6">
        <w:t xml:space="preserve"> </w:t>
      </w:r>
      <w:r w:rsidR="00C31034" w:rsidRPr="00B064E6">
        <w:t>W</w:t>
      </w:r>
      <w:r w:rsidR="00AE5712" w:rsidRPr="00B064E6">
        <w:t> </w:t>
      </w:r>
      <w:r w:rsidRPr="00B064E6">
        <w:t>okresie 12 miesięcy 201</w:t>
      </w:r>
      <w:r w:rsidR="00B064E6" w:rsidRPr="00B064E6">
        <w:t>8</w:t>
      </w:r>
      <w:r w:rsidRPr="00B064E6">
        <w:t xml:space="preserve"> </w:t>
      </w:r>
      <w:r w:rsidR="00AE5712" w:rsidRPr="00B064E6">
        <w:t>w </w:t>
      </w:r>
      <w:r w:rsidRPr="00B064E6">
        <w:t xml:space="preserve">województwie podkarpackim nastąpił „odpływ” </w:t>
      </w:r>
      <w:r w:rsidR="00A56D19" w:rsidRPr="00A56D19">
        <w:t>125</w:t>
      </w:r>
      <w:r w:rsidRPr="00A56D19">
        <w:t xml:space="preserve"> </w:t>
      </w:r>
      <w:r w:rsidR="00A56D19" w:rsidRPr="00A56D19">
        <w:t>403</w:t>
      </w:r>
      <w:r w:rsidRPr="00A56D19">
        <w:t xml:space="preserve"> bezrobotnych</w:t>
      </w:r>
      <w:r w:rsidR="008A2874" w:rsidRPr="00A56D19">
        <w:t>.</w:t>
      </w:r>
      <w:r w:rsidR="00AE5712" w:rsidRPr="00A56D19">
        <w:t xml:space="preserve"> </w:t>
      </w:r>
      <w:r w:rsidR="00C31034" w:rsidRPr="00A56D19">
        <w:t>W</w:t>
      </w:r>
      <w:r w:rsidR="00AE5712" w:rsidRPr="00A56D19">
        <w:t> </w:t>
      </w:r>
      <w:r w:rsidRPr="00A56D19">
        <w:t xml:space="preserve"> 201</w:t>
      </w:r>
      <w:r w:rsidR="00B064E6" w:rsidRPr="00A56D19">
        <w:t>7</w:t>
      </w:r>
      <w:r w:rsidRPr="00A56D19">
        <w:t xml:space="preserve"> </w:t>
      </w:r>
      <w:r w:rsidR="00091EAF" w:rsidRPr="00A56D19">
        <w:t>r</w:t>
      </w:r>
      <w:r w:rsidR="00B064E6" w:rsidRPr="00A56D19">
        <w:t>oku</w:t>
      </w:r>
      <w:r w:rsidR="00091EAF" w:rsidRPr="00A56D19">
        <w:t xml:space="preserve"> </w:t>
      </w:r>
      <w:r w:rsidRPr="00A56D19">
        <w:t>grupa ta stanowiła 1</w:t>
      </w:r>
      <w:r w:rsidR="00B064E6" w:rsidRPr="00A56D19">
        <w:t>49</w:t>
      </w:r>
      <w:r w:rsidRPr="00A56D19">
        <w:t xml:space="preserve"> </w:t>
      </w:r>
      <w:r w:rsidR="00B064E6" w:rsidRPr="00A56D19">
        <w:t>822</w:t>
      </w:r>
      <w:r w:rsidRPr="00A56D19">
        <w:t xml:space="preserve"> os</w:t>
      </w:r>
      <w:r w:rsidR="00CE022F" w:rsidRPr="00A56D19">
        <w:t>o</w:t>
      </w:r>
      <w:r w:rsidRPr="00A56D19">
        <w:t>b</w:t>
      </w:r>
      <w:r w:rsidR="00CE022F" w:rsidRPr="00A56D19">
        <w:t>y</w:t>
      </w:r>
      <w:r w:rsidRPr="00A56D19">
        <w:t>.</w:t>
      </w:r>
    </w:p>
    <w:p w:rsidR="00A56D19" w:rsidRPr="00A56D19" w:rsidRDefault="00A56D19" w:rsidP="00A56D19">
      <w:pPr>
        <w:pStyle w:val="Default"/>
        <w:spacing w:line="360" w:lineRule="auto"/>
        <w:jc w:val="both"/>
        <w:rPr>
          <w:sz w:val="16"/>
          <w:szCs w:val="16"/>
          <w:highlight w:val="yellow"/>
        </w:rPr>
      </w:pPr>
    </w:p>
    <w:p w:rsidR="00C32A71" w:rsidRDefault="002230D7">
      <w:pPr>
        <w:rPr>
          <w:sz w:val="16"/>
          <w:szCs w:val="16"/>
          <w:highlight w:val="yellow"/>
        </w:rPr>
      </w:pPr>
      <w:r w:rsidRPr="002230D7">
        <w:rPr>
          <w:noProof/>
          <w:lang w:eastAsia="pl-PL"/>
        </w:rPr>
        <w:drawing>
          <wp:inline distT="0" distB="0" distL="0" distR="0" wp14:anchorId="7C6395EC" wp14:editId="137B8396">
            <wp:extent cx="5759450" cy="2050106"/>
            <wp:effectExtent l="0" t="0" r="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2050106"/>
                    </a:xfrm>
                    <a:prstGeom prst="rect">
                      <a:avLst/>
                    </a:prstGeom>
                    <a:noFill/>
                    <a:ln>
                      <a:noFill/>
                    </a:ln>
                  </pic:spPr>
                </pic:pic>
              </a:graphicData>
            </a:graphic>
          </wp:inline>
        </w:drawing>
      </w:r>
      <w:r w:rsidR="00C32A71" w:rsidRPr="00C75C71">
        <w:rPr>
          <w:sz w:val="16"/>
          <w:szCs w:val="16"/>
          <w:highlight w:val="yellow"/>
        </w:rPr>
        <w:br w:type="page"/>
      </w:r>
    </w:p>
    <w:p w:rsidR="00A56D19" w:rsidRDefault="002230D7">
      <w:pPr>
        <w:rPr>
          <w:rFonts w:ascii="Times New Roman" w:hAnsi="Times New Roman" w:cs="Times New Roman"/>
          <w:color w:val="000000"/>
          <w:sz w:val="16"/>
          <w:szCs w:val="16"/>
          <w:highlight w:val="yellow"/>
        </w:rPr>
      </w:pPr>
      <w:r w:rsidRPr="002230D7">
        <w:rPr>
          <w:noProof/>
          <w:lang w:eastAsia="pl-PL"/>
        </w:rPr>
        <w:lastRenderedPageBreak/>
        <w:drawing>
          <wp:inline distT="0" distB="0" distL="0" distR="0" wp14:anchorId="53B54884" wp14:editId="6CABC691">
            <wp:extent cx="5758135" cy="3930732"/>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3931630"/>
                    </a:xfrm>
                    <a:prstGeom prst="rect">
                      <a:avLst/>
                    </a:prstGeom>
                    <a:noFill/>
                    <a:ln>
                      <a:noFill/>
                    </a:ln>
                  </pic:spPr>
                </pic:pic>
              </a:graphicData>
            </a:graphic>
          </wp:inline>
        </w:drawing>
      </w:r>
      <w:r w:rsidRPr="002230D7">
        <w:rPr>
          <w:noProof/>
          <w:lang w:eastAsia="pl-PL"/>
        </w:rPr>
        <w:drawing>
          <wp:inline distT="0" distB="0" distL="0" distR="0" wp14:anchorId="3EF0CCE8" wp14:editId="36F1C596">
            <wp:extent cx="5759530" cy="494013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4940067"/>
                    </a:xfrm>
                    <a:prstGeom prst="rect">
                      <a:avLst/>
                    </a:prstGeom>
                    <a:noFill/>
                    <a:ln>
                      <a:noFill/>
                    </a:ln>
                  </pic:spPr>
                </pic:pic>
              </a:graphicData>
            </a:graphic>
          </wp:inline>
        </w:drawing>
      </w:r>
      <w:r w:rsidR="00A56D19">
        <w:rPr>
          <w:rFonts w:ascii="Times New Roman" w:hAnsi="Times New Roman" w:cs="Times New Roman"/>
          <w:color w:val="000000"/>
          <w:sz w:val="16"/>
          <w:szCs w:val="16"/>
          <w:highlight w:val="yellow"/>
        </w:rPr>
        <w:br w:type="page"/>
      </w:r>
    </w:p>
    <w:p w:rsidR="00A56D19" w:rsidRDefault="00A56D19">
      <w:pPr>
        <w:rPr>
          <w:rFonts w:ascii="Times New Roman" w:hAnsi="Times New Roman" w:cs="Times New Roman"/>
          <w:color w:val="000000"/>
          <w:sz w:val="16"/>
          <w:szCs w:val="16"/>
          <w:highlight w:val="yellow"/>
        </w:rPr>
      </w:pPr>
      <w:r w:rsidRPr="00A56D19">
        <w:rPr>
          <w:noProof/>
          <w:lang w:eastAsia="pl-PL"/>
        </w:rPr>
        <w:lastRenderedPageBreak/>
        <w:drawing>
          <wp:inline distT="0" distB="0" distL="0" distR="0" wp14:anchorId="02F18BF0" wp14:editId="07921A3B">
            <wp:extent cx="5759450" cy="3524069"/>
            <wp:effectExtent l="0" t="0" r="0" b="635"/>
            <wp:docPr id="690" name="Obraz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3524069"/>
                    </a:xfrm>
                    <a:prstGeom prst="rect">
                      <a:avLst/>
                    </a:prstGeom>
                    <a:noFill/>
                    <a:ln>
                      <a:noFill/>
                    </a:ln>
                  </pic:spPr>
                </pic:pic>
              </a:graphicData>
            </a:graphic>
          </wp:inline>
        </w:drawing>
      </w:r>
    </w:p>
    <w:p w:rsidR="00044B9F" w:rsidRPr="00044B9F" w:rsidRDefault="00044B9F" w:rsidP="00044B9F">
      <w:pPr>
        <w:spacing w:after="0" w:line="240" w:lineRule="auto"/>
        <w:rPr>
          <w:rFonts w:ascii="Times New Roman" w:hAnsi="Times New Roman" w:cs="Times New Roman"/>
          <w:color w:val="000000"/>
          <w:sz w:val="16"/>
          <w:szCs w:val="16"/>
          <w:highlight w:val="yellow"/>
        </w:rPr>
      </w:pPr>
    </w:p>
    <w:p w:rsidR="00A56D19" w:rsidRDefault="002230D7" w:rsidP="00A56D19">
      <w:pPr>
        <w:pStyle w:val="Bezodstpw"/>
        <w:rPr>
          <w:highlight w:val="yellow"/>
        </w:rPr>
      </w:pPr>
      <w:r w:rsidRPr="002230D7">
        <w:rPr>
          <w:noProof/>
          <w:lang w:eastAsia="pl-PL"/>
        </w:rPr>
        <w:drawing>
          <wp:inline distT="0" distB="0" distL="0" distR="0" wp14:anchorId="58AAAFFF" wp14:editId="272EB802">
            <wp:extent cx="5759032" cy="457200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4572332"/>
                    </a:xfrm>
                    <a:prstGeom prst="rect">
                      <a:avLst/>
                    </a:prstGeom>
                    <a:noFill/>
                    <a:ln>
                      <a:noFill/>
                    </a:ln>
                  </pic:spPr>
                </pic:pic>
              </a:graphicData>
            </a:graphic>
          </wp:inline>
        </w:drawing>
      </w:r>
    </w:p>
    <w:p w:rsidR="002230D7" w:rsidRDefault="002230D7" w:rsidP="00A56D19">
      <w:pPr>
        <w:pStyle w:val="Bezodstpw"/>
        <w:rPr>
          <w:highlight w:val="yellow"/>
        </w:rPr>
      </w:pPr>
    </w:p>
    <w:p w:rsidR="008233CF" w:rsidRPr="00C75C71" w:rsidRDefault="008233CF" w:rsidP="00A56D19">
      <w:pPr>
        <w:pStyle w:val="Bezodstpw"/>
        <w:rPr>
          <w:rFonts w:ascii="Times New Roman" w:hAnsi="Times New Roman" w:cs="Times New Roman"/>
          <w:color w:val="000000"/>
          <w:sz w:val="24"/>
          <w:szCs w:val="24"/>
          <w:highlight w:val="yellow"/>
        </w:rPr>
      </w:pPr>
      <w:r w:rsidRPr="00C75C71">
        <w:rPr>
          <w:highlight w:val="yellow"/>
        </w:rPr>
        <w:br w:type="page"/>
      </w:r>
    </w:p>
    <w:p w:rsidR="00325773" w:rsidRDefault="00A56D19">
      <w:pPr>
        <w:rPr>
          <w:highlight w:val="yellow"/>
        </w:rPr>
      </w:pPr>
      <w:r w:rsidRPr="00A56D19">
        <w:rPr>
          <w:noProof/>
          <w:lang w:eastAsia="pl-PL"/>
        </w:rPr>
        <w:lastRenderedPageBreak/>
        <w:drawing>
          <wp:inline distT="0" distB="0" distL="0" distR="0" wp14:anchorId="4624FCC5" wp14:editId="1401FA52">
            <wp:extent cx="5759450" cy="941900"/>
            <wp:effectExtent l="0" t="0" r="0" b="0"/>
            <wp:docPr id="693" name="Obraz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9450" cy="941900"/>
                    </a:xfrm>
                    <a:prstGeom prst="rect">
                      <a:avLst/>
                    </a:prstGeom>
                    <a:noFill/>
                    <a:ln>
                      <a:noFill/>
                    </a:ln>
                  </pic:spPr>
                </pic:pic>
              </a:graphicData>
            </a:graphic>
          </wp:inline>
        </w:drawing>
      </w:r>
      <w:r w:rsidR="002230D7" w:rsidRPr="002230D7">
        <w:rPr>
          <w:noProof/>
          <w:lang w:eastAsia="pl-PL"/>
        </w:rPr>
        <w:drawing>
          <wp:inline distT="0" distB="0" distL="0" distR="0" wp14:anchorId="3C829363" wp14:editId="785D1F31">
            <wp:extent cx="5759530" cy="1537855"/>
            <wp:effectExtent l="0" t="0" r="0" b="571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9450" cy="1537834"/>
                    </a:xfrm>
                    <a:prstGeom prst="rect">
                      <a:avLst/>
                    </a:prstGeom>
                    <a:noFill/>
                    <a:ln>
                      <a:noFill/>
                    </a:ln>
                  </pic:spPr>
                </pic:pic>
              </a:graphicData>
            </a:graphic>
          </wp:inline>
        </w:drawing>
      </w:r>
    </w:p>
    <w:p w:rsidR="002230D7" w:rsidRPr="002230D7" w:rsidRDefault="002230D7" w:rsidP="00CE022F">
      <w:pPr>
        <w:pStyle w:val="Default"/>
        <w:pBdr>
          <w:bottom w:val="single" w:sz="4" w:space="1" w:color="auto"/>
        </w:pBdr>
        <w:jc w:val="both"/>
        <w:rPr>
          <w:sz w:val="16"/>
          <w:szCs w:val="16"/>
        </w:rPr>
      </w:pPr>
    </w:p>
    <w:p w:rsidR="00726DAB" w:rsidRPr="00A56D19" w:rsidRDefault="008233CF" w:rsidP="00CE022F">
      <w:pPr>
        <w:pStyle w:val="Default"/>
        <w:pBdr>
          <w:bottom w:val="single" w:sz="4" w:space="1" w:color="auto"/>
        </w:pBdr>
        <w:jc w:val="both"/>
      </w:pPr>
      <w:r w:rsidRPr="00A56D19">
        <w:t>Wnioski</w:t>
      </w:r>
      <w:r w:rsidR="00726DAB" w:rsidRPr="00A56D19">
        <w:t>:</w:t>
      </w:r>
    </w:p>
    <w:p w:rsidR="008A2874" w:rsidRPr="00A56D19" w:rsidRDefault="008A2874" w:rsidP="008A2874">
      <w:pPr>
        <w:pStyle w:val="Tekstpodstawowywcity"/>
        <w:spacing w:after="0" w:line="360" w:lineRule="auto"/>
        <w:ind w:left="0"/>
        <w:jc w:val="both"/>
        <w:rPr>
          <w:rFonts w:ascii="Times New Roman" w:hAnsi="Times New Roman" w:cs="Times New Roman"/>
          <w:sz w:val="18"/>
          <w:szCs w:val="18"/>
        </w:rPr>
      </w:pPr>
      <w:r w:rsidRPr="00A56D19">
        <w:rPr>
          <w:rFonts w:ascii="Times New Roman" w:hAnsi="Times New Roman" w:cs="Times New Roman"/>
          <w:sz w:val="18"/>
          <w:szCs w:val="18"/>
        </w:rPr>
        <w:t>(na podstawie danych</w:t>
      </w:r>
      <w:r w:rsidR="00AE5712" w:rsidRPr="00A56D19">
        <w:rPr>
          <w:rFonts w:ascii="Times New Roman" w:hAnsi="Times New Roman" w:cs="Times New Roman"/>
          <w:sz w:val="18"/>
          <w:szCs w:val="18"/>
        </w:rPr>
        <w:t xml:space="preserve"> z </w:t>
      </w:r>
      <w:r w:rsidR="000A7638" w:rsidRPr="00A56D19">
        <w:rPr>
          <w:rFonts w:ascii="Times New Roman" w:hAnsi="Times New Roman" w:cs="Times New Roman"/>
          <w:sz w:val="18"/>
          <w:szCs w:val="18"/>
        </w:rPr>
        <w:t>t</w:t>
      </w:r>
      <w:r w:rsidRPr="00A56D19">
        <w:rPr>
          <w:rFonts w:ascii="Times New Roman" w:hAnsi="Times New Roman" w:cs="Times New Roman"/>
          <w:sz w:val="18"/>
          <w:szCs w:val="18"/>
        </w:rPr>
        <w:t>ab</w:t>
      </w:r>
      <w:r w:rsidR="00DA16B5" w:rsidRPr="00A56D19">
        <w:rPr>
          <w:rFonts w:ascii="Times New Roman" w:hAnsi="Times New Roman" w:cs="Times New Roman"/>
          <w:sz w:val="18"/>
          <w:szCs w:val="18"/>
        </w:rPr>
        <w:t>.</w:t>
      </w:r>
      <w:r w:rsidRPr="00A56D19">
        <w:rPr>
          <w:rFonts w:ascii="Times New Roman" w:hAnsi="Times New Roman" w:cs="Times New Roman"/>
          <w:sz w:val="18"/>
          <w:szCs w:val="18"/>
        </w:rPr>
        <w:t xml:space="preserve"> </w:t>
      </w:r>
      <w:r w:rsidR="000A7638" w:rsidRPr="00A56D19">
        <w:rPr>
          <w:rFonts w:ascii="Times New Roman" w:hAnsi="Times New Roman" w:cs="Times New Roman"/>
          <w:sz w:val="18"/>
          <w:szCs w:val="18"/>
        </w:rPr>
        <w:t>V, VI, VII</w:t>
      </w:r>
      <w:r w:rsidR="008233CF" w:rsidRPr="00A56D19">
        <w:rPr>
          <w:rFonts w:ascii="Times New Roman" w:hAnsi="Times New Roman" w:cs="Times New Roman"/>
          <w:sz w:val="18"/>
          <w:szCs w:val="18"/>
        </w:rPr>
        <w:t>)</w:t>
      </w:r>
    </w:p>
    <w:p w:rsidR="00CE022F" w:rsidRPr="00C75C71" w:rsidRDefault="00CE022F" w:rsidP="00CE022F">
      <w:pPr>
        <w:pStyle w:val="Default"/>
        <w:spacing w:line="360" w:lineRule="auto"/>
        <w:jc w:val="both"/>
        <w:rPr>
          <w:sz w:val="16"/>
          <w:szCs w:val="16"/>
          <w:highlight w:val="yellow"/>
          <w:u w:val="single"/>
        </w:rPr>
      </w:pPr>
    </w:p>
    <w:p w:rsidR="00E14AA5" w:rsidRPr="00620DE6" w:rsidRDefault="00620DE6" w:rsidP="00160DBC">
      <w:pPr>
        <w:pStyle w:val="Default"/>
        <w:numPr>
          <w:ilvl w:val="0"/>
          <w:numId w:val="1"/>
        </w:numPr>
        <w:spacing w:line="360" w:lineRule="auto"/>
        <w:jc w:val="both"/>
        <w:rPr>
          <w:u w:val="single"/>
        </w:rPr>
      </w:pPr>
      <w:r w:rsidRPr="00620DE6">
        <w:rPr>
          <w:u w:val="single"/>
        </w:rPr>
        <w:t>69.</w:t>
      </w:r>
      <w:r w:rsidR="00E14AA5" w:rsidRPr="00620DE6">
        <w:rPr>
          <w:u w:val="single"/>
        </w:rPr>
        <w:t> </w:t>
      </w:r>
      <w:r w:rsidRPr="00620DE6">
        <w:rPr>
          <w:u w:val="single"/>
        </w:rPr>
        <w:t>942</w:t>
      </w:r>
      <w:r w:rsidR="00E14AA5" w:rsidRPr="00620DE6">
        <w:rPr>
          <w:u w:val="single"/>
        </w:rPr>
        <w:t xml:space="preserve"> </w:t>
      </w:r>
      <w:r w:rsidR="00DA16B5" w:rsidRPr="00620DE6">
        <w:rPr>
          <w:u w:val="single"/>
        </w:rPr>
        <w:t xml:space="preserve">bezrobotnych </w:t>
      </w:r>
      <w:r w:rsidR="00E14AA5" w:rsidRPr="00620DE6">
        <w:rPr>
          <w:u w:val="single"/>
        </w:rPr>
        <w:t>(</w:t>
      </w:r>
      <w:r w:rsidR="00DA16B5" w:rsidRPr="00620DE6">
        <w:rPr>
          <w:u w:val="single"/>
        </w:rPr>
        <w:t xml:space="preserve">tj. </w:t>
      </w:r>
      <w:r w:rsidR="00B9690D" w:rsidRPr="00620DE6">
        <w:rPr>
          <w:u w:val="single"/>
        </w:rPr>
        <w:t>5</w:t>
      </w:r>
      <w:r w:rsidRPr="00620DE6">
        <w:rPr>
          <w:u w:val="single"/>
        </w:rPr>
        <w:t>5</w:t>
      </w:r>
      <w:r w:rsidR="00E14AA5" w:rsidRPr="00620DE6">
        <w:rPr>
          <w:u w:val="single"/>
        </w:rPr>
        <w:t>,</w:t>
      </w:r>
      <w:r w:rsidRPr="00620DE6">
        <w:rPr>
          <w:u w:val="single"/>
        </w:rPr>
        <w:t xml:space="preserve">8 </w:t>
      </w:r>
      <w:r w:rsidR="00E14AA5" w:rsidRPr="00620DE6">
        <w:rPr>
          <w:u w:val="single"/>
        </w:rPr>
        <w:t>%</w:t>
      </w:r>
      <w:r w:rsidR="00DA16B5" w:rsidRPr="00620DE6">
        <w:rPr>
          <w:u w:val="single"/>
        </w:rPr>
        <w:t xml:space="preserve"> ogółu wyrejestrowanych</w:t>
      </w:r>
      <w:r w:rsidR="00E14AA5" w:rsidRPr="00620DE6">
        <w:rPr>
          <w:u w:val="single"/>
        </w:rPr>
        <w:t xml:space="preserve">) </w:t>
      </w:r>
      <w:r w:rsidR="00DA16B5" w:rsidRPr="00620DE6">
        <w:rPr>
          <w:u w:val="single"/>
        </w:rPr>
        <w:t>wyłączono z ewidencji PUP</w:t>
      </w:r>
      <w:r w:rsidR="00AE5712" w:rsidRPr="00620DE6">
        <w:rPr>
          <w:u w:val="single"/>
        </w:rPr>
        <w:t xml:space="preserve"> z </w:t>
      </w:r>
      <w:r w:rsidR="00E14AA5" w:rsidRPr="00620DE6">
        <w:rPr>
          <w:u w:val="single"/>
        </w:rPr>
        <w:t>powodu podjęcia pracy</w:t>
      </w:r>
      <w:r w:rsidR="001F1808" w:rsidRPr="00620DE6">
        <w:rPr>
          <w:u w:val="single"/>
        </w:rPr>
        <w:t xml:space="preserve">, a w tym </w:t>
      </w:r>
      <w:r w:rsidRPr="00620DE6">
        <w:rPr>
          <w:u w:val="single"/>
        </w:rPr>
        <w:t>55</w:t>
      </w:r>
      <w:r w:rsidR="001F1808" w:rsidRPr="00620DE6">
        <w:rPr>
          <w:u w:val="single"/>
        </w:rPr>
        <w:t> </w:t>
      </w:r>
      <w:r w:rsidRPr="00620DE6">
        <w:rPr>
          <w:u w:val="single"/>
        </w:rPr>
        <w:t>757</w:t>
      </w:r>
      <w:r w:rsidR="001F1808" w:rsidRPr="00620DE6">
        <w:rPr>
          <w:u w:val="single"/>
        </w:rPr>
        <w:t xml:space="preserve"> os</w:t>
      </w:r>
      <w:r w:rsidRPr="00620DE6">
        <w:rPr>
          <w:u w:val="single"/>
        </w:rPr>
        <w:t>ó</w:t>
      </w:r>
      <w:r w:rsidR="001F1808" w:rsidRPr="00620DE6">
        <w:rPr>
          <w:u w:val="single"/>
        </w:rPr>
        <w:t>b podjęło pracę niesubsydiowaną</w:t>
      </w:r>
      <w:r w:rsidR="00DA16B5" w:rsidRPr="00620DE6">
        <w:rPr>
          <w:u w:val="single"/>
        </w:rPr>
        <w:t xml:space="preserve"> (4</w:t>
      </w:r>
      <w:r w:rsidRPr="00620DE6">
        <w:rPr>
          <w:u w:val="single"/>
        </w:rPr>
        <w:t>4</w:t>
      </w:r>
      <w:r w:rsidR="00DA16B5" w:rsidRPr="00620DE6">
        <w:rPr>
          <w:u w:val="single"/>
        </w:rPr>
        <w:t>,</w:t>
      </w:r>
      <w:r w:rsidRPr="00620DE6">
        <w:rPr>
          <w:u w:val="single"/>
        </w:rPr>
        <w:t xml:space="preserve">5 </w:t>
      </w:r>
      <w:r w:rsidR="00DA16B5" w:rsidRPr="00620DE6">
        <w:rPr>
          <w:u w:val="single"/>
        </w:rPr>
        <w:t>%)</w:t>
      </w:r>
      <w:r w:rsidR="001F1808" w:rsidRPr="00620DE6">
        <w:rPr>
          <w:u w:val="single"/>
        </w:rPr>
        <w:t>,</w:t>
      </w:r>
    </w:p>
    <w:p w:rsidR="00EC00EE" w:rsidRPr="00826C91" w:rsidRDefault="003D2973" w:rsidP="00160DBC">
      <w:pPr>
        <w:pStyle w:val="Default"/>
        <w:numPr>
          <w:ilvl w:val="0"/>
          <w:numId w:val="1"/>
        </w:numPr>
        <w:spacing w:line="360" w:lineRule="auto"/>
        <w:jc w:val="both"/>
      </w:pPr>
      <w:r w:rsidRPr="00826C91">
        <w:t>W</w:t>
      </w:r>
      <w:r w:rsidR="00EC00EE" w:rsidRPr="00826C91">
        <w:t xml:space="preserve"> grupie osób</w:t>
      </w:r>
      <w:r w:rsidR="00DA16B5" w:rsidRPr="00826C91">
        <w:t xml:space="preserve"> wyłączonych z ewidencji </w:t>
      </w:r>
      <w:r w:rsidR="00AE5712" w:rsidRPr="00826C91">
        <w:t>z</w:t>
      </w:r>
      <w:r w:rsidR="00DA16B5" w:rsidRPr="00826C91">
        <w:t xml:space="preserve"> </w:t>
      </w:r>
      <w:r w:rsidR="001A2394" w:rsidRPr="00826C91">
        <w:t xml:space="preserve">powodu podjęcia pracy </w:t>
      </w:r>
      <w:r w:rsidR="00605366" w:rsidRPr="00826C91">
        <w:t>przeważali mężczyźni.</w:t>
      </w:r>
      <w:r w:rsidR="005E606A" w:rsidRPr="00826C91">
        <w:t xml:space="preserve"> </w:t>
      </w:r>
      <w:r w:rsidR="00605366" w:rsidRPr="00826C91">
        <w:t xml:space="preserve">Kobiety </w:t>
      </w:r>
      <w:r w:rsidR="005E606A" w:rsidRPr="00826C91">
        <w:t xml:space="preserve">stanowiły większość </w:t>
      </w:r>
      <w:r w:rsidR="00BB0975" w:rsidRPr="00826C91">
        <w:t xml:space="preserve">liczby bezrobotnych </w:t>
      </w:r>
      <w:r w:rsidR="00605366" w:rsidRPr="00826C91">
        <w:t>(5</w:t>
      </w:r>
      <w:r w:rsidR="00826C91" w:rsidRPr="00826C91">
        <w:t>4</w:t>
      </w:r>
      <w:r w:rsidR="00605366" w:rsidRPr="00826C91">
        <w:t>,</w:t>
      </w:r>
      <w:r w:rsidR="00826C91" w:rsidRPr="00826C91">
        <w:t xml:space="preserve">3 </w:t>
      </w:r>
      <w:r w:rsidR="00605366" w:rsidRPr="00826C91">
        <w:t xml:space="preserve">%) i </w:t>
      </w:r>
      <w:r w:rsidR="00EC00EE" w:rsidRPr="00826C91">
        <w:t>statystycznie rzadziej podejmowały zatrudnienie.</w:t>
      </w:r>
    </w:p>
    <w:p w:rsidR="00AC0B8B" w:rsidRPr="00826C91" w:rsidRDefault="00AC0B8B" w:rsidP="003D2973">
      <w:pPr>
        <w:pStyle w:val="Default"/>
        <w:numPr>
          <w:ilvl w:val="0"/>
          <w:numId w:val="1"/>
        </w:numPr>
        <w:spacing w:line="360" w:lineRule="auto"/>
        <w:jc w:val="both"/>
      </w:pPr>
      <w:r w:rsidRPr="00826C91">
        <w:t>W grupie osób, które wyrejestrowały się</w:t>
      </w:r>
      <w:r w:rsidR="00AE5712" w:rsidRPr="00826C91">
        <w:t xml:space="preserve"> z </w:t>
      </w:r>
      <w:r w:rsidRPr="00826C91">
        <w:t>powodu podjęcia pracy</w:t>
      </w:r>
      <w:r w:rsidR="008B7684" w:rsidRPr="00826C91">
        <w:t xml:space="preserve"> – </w:t>
      </w:r>
      <w:r w:rsidRPr="00826C91">
        <w:t xml:space="preserve">większość stanowiły osoby </w:t>
      </w:r>
      <w:r w:rsidR="00BD2900" w:rsidRPr="00826C91">
        <w:t xml:space="preserve">już </w:t>
      </w:r>
      <w:r w:rsidRPr="00826C91">
        <w:t>poprzednio pracujące</w:t>
      </w:r>
      <w:r w:rsidR="00BD2900" w:rsidRPr="00826C91">
        <w:t>.</w:t>
      </w:r>
      <w:r w:rsidR="00B6403E" w:rsidRPr="00826C91">
        <w:t xml:space="preserve"> </w:t>
      </w:r>
      <w:r w:rsidR="003D2973" w:rsidRPr="00826C91">
        <w:t>Spadki nastąpiły zarówno wśród poprzednio pracujących (w tym zwolnionych z przyczyn dotyczących zakładu pracy) jak i dotyczyły dotychczas nie pracujących.</w:t>
      </w:r>
    </w:p>
    <w:p w:rsidR="00AC0B8B" w:rsidRPr="00250778" w:rsidRDefault="003D2973" w:rsidP="00A91771">
      <w:pPr>
        <w:pStyle w:val="Default"/>
        <w:numPr>
          <w:ilvl w:val="0"/>
          <w:numId w:val="1"/>
        </w:numPr>
        <w:spacing w:line="360" w:lineRule="auto"/>
        <w:jc w:val="both"/>
      </w:pPr>
      <w:r w:rsidRPr="00250778">
        <w:t>S</w:t>
      </w:r>
      <w:r w:rsidR="00AC0B8B" w:rsidRPr="00250778">
        <w:t xml:space="preserve">padła liczba osób, które podjęły </w:t>
      </w:r>
      <w:r w:rsidR="007F6CDD" w:rsidRPr="00250778">
        <w:t>pracę</w:t>
      </w:r>
      <w:r w:rsidR="00AC0B8B" w:rsidRPr="00250778">
        <w:t xml:space="preserve"> po uprzedniej utracie </w:t>
      </w:r>
      <w:r w:rsidR="00A91771" w:rsidRPr="00250778">
        <w:t xml:space="preserve">zatrudnienia </w:t>
      </w:r>
      <w:r w:rsidR="00AE5712" w:rsidRPr="00250778">
        <w:t>z </w:t>
      </w:r>
      <w:r w:rsidR="00AC0B8B" w:rsidRPr="00250778">
        <w:t>przyczyn zakładu pracy</w:t>
      </w:r>
      <w:r w:rsidR="002D1381" w:rsidRPr="00250778">
        <w:t>.</w:t>
      </w:r>
      <w:r w:rsidR="00AC0B8B" w:rsidRPr="00250778">
        <w:t xml:space="preserve"> </w:t>
      </w:r>
      <w:r w:rsidR="002D1381" w:rsidRPr="00250778">
        <w:t>J</w:t>
      </w:r>
      <w:r w:rsidR="0077672C" w:rsidRPr="00250778">
        <w:t xml:space="preserve">ednocześnie </w:t>
      </w:r>
      <w:r w:rsidR="00AC0B8B" w:rsidRPr="00250778">
        <w:t>spadła  liczba osób</w:t>
      </w:r>
      <w:r w:rsidR="00AE5712" w:rsidRPr="00250778">
        <w:t xml:space="preserve"> </w:t>
      </w:r>
      <w:r w:rsidR="004A5E1F" w:rsidRPr="00250778">
        <w:t xml:space="preserve">ogółem </w:t>
      </w:r>
      <w:r w:rsidR="00AE5712" w:rsidRPr="00250778">
        <w:t>w </w:t>
      </w:r>
      <w:r w:rsidR="0077672C" w:rsidRPr="00250778">
        <w:t xml:space="preserve">tej kategorii </w:t>
      </w:r>
      <w:r w:rsidR="00250778">
        <w:t xml:space="preserve">– analizowana wg stanu </w:t>
      </w:r>
      <w:r w:rsidR="00250778" w:rsidRPr="00250778">
        <w:t xml:space="preserve">na </w:t>
      </w:r>
      <w:r w:rsidR="00AC0B8B" w:rsidRPr="00250778">
        <w:t>dzień 31</w:t>
      </w:r>
      <w:r w:rsidR="002D1381" w:rsidRPr="00250778">
        <w:t xml:space="preserve"> XII ‘</w:t>
      </w:r>
      <w:r w:rsidR="00AC0B8B" w:rsidRPr="00250778">
        <w:t>1</w:t>
      </w:r>
      <w:r w:rsidR="00250778" w:rsidRPr="00250778">
        <w:t>8</w:t>
      </w:r>
      <w:r w:rsidR="00AC0B8B" w:rsidRPr="00250778">
        <w:t xml:space="preserve"> było zarejestrowanych  </w:t>
      </w:r>
      <w:r w:rsidR="00250778">
        <w:t>3</w:t>
      </w:r>
      <w:r w:rsidR="00250778" w:rsidRPr="00250778">
        <w:t>. 039</w:t>
      </w:r>
      <w:r w:rsidR="00AC0B8B" w:rsidRPr="00250778">
        <w:t xml:space="preserve"> </w:t>
      </w:r>
      <w:r w:rsidR="002D1381" w:rsidRPr="00250778">
        <w:t>bezrobotnych zwolnionych z</w:t>
      </w:r>
      <w:r w:rsidR="007F6CDD" w:rsidRPr="00250778">
        <w:t> </w:t>
      </w:r>
      <w:r w:rsidR="002D1381" w:rsidRPr="00250778">
        <w:t>przyczyn zakładu pracy</w:t>
      </w:r>
      <w:r w:rsidR="00AC0B8B" w:rsidRPr="00250778">
        <w:t xml:space="preserve">, </w:t>
      </w:r>
      <w:r w:rsidR="00250778">
        <w:t xml:space="preserve">w </w:t>
      </w:r>
      <w:r w:rsidR="00250778" w:rsidRPr="00250778">
        <w:t>por</w:t>
      </w:r>
      <w:r w:rsidR="00250778">
        <w:t>ównaniu do</w:t>
      </w:r>
      <w:r w:rsidR="00250778" w:rsidRPr="00250778">
        <w:t xml:space="preserve"> </w:t>
      </w:r>
      <w:r w:rsidR="00AC0B8B" w:rsidRPr="00250778">
        <w:t>31</w:t>
      </w:r>
      <w:r w:rsidR="002D1381" w:rsidRPr="00250778">
        <w:t xml:space="preserve"> XII ‘</w:t>
      </w:r>
      <w:r w:rsidR="00AC0B8B" w:rsidRPr="00250778">
        <w:t>1</w:t>
      </w:r>
      <w:r w:rsidR="004A5E1F" w:rsidRPr="00250778">
        <w:t>7</w:t>
      </w:r>
      <w:r w:rsidR="00AC0B8B" w:rsidRPr="00250778">
        <w:t xml:space="preserve"> –  </w:t>
      </w:r>
      <w:r w:rsidR="00250778" w:rsidRPr="00250778">
        <w:t>3 534</w:t>
      </w:r>
      <w:r w:rsidR="00AC0B8B" w:rsidRPr="00250778">
        <w:t>)</w:t>
      </w:r>
      <w:r w:rsidR="00A91771" w:rsidRPr="00250778">
        <w:t>.</w:t>
      </w:r>
      <w:r w:rsidR="00AC0B8B" w:rsidRPr="00250778">
        <w:t xml:space="preserve"> </w:t>
      </w:r>
      <w:r w:rsidR="00A91771" w:rsidRPr="00250778">
        <w:t>O</w:t>
      </w:r>
      <w:r w:rsidR="0077672C" w:rsidRPr="00250778">
        <w:t>znacza</w:t>
      </w:r>
      <w:r w:rsidR="00A91771" w:rsidRPr="00250778">
        <w:t xml:space="preserve"> to</w:t>
      </w:r>
      <w:r w:rsidR="004A5E1F" w:rsidRPr="00250778">
        <w:t xml:space="preserve"> spadek</w:t>
      </w:r>
      <w:r w:rsidR="00250778">
        <w:t xml:space="preserve"> </w:t>
      </w:r>
      <w:r w:rsidR="00250778" w:rsidRPr="00250778">
        <w:t>w 2018 r</w:t>
      </w:r>
      <w:r w:rsidR="00250778">
        <w:t xml:space="preserve">oku </w:t>
      </w:r>
      <w:r w:rsidR="00250778" w:rsidRPr="00250778">
        <w:t>grupy osób zwolnionych z przyczyn zakładu pracy</w:t>
      </w:r>
      <w:r w:rsidR="00250778">
        <w:t xml:space="preserve"> </w:t>
      </w:r>
      <w:r w:rsidR="004A5E1F" w:rsidRPr="00250778">
        <w:t xml:space="preserve">wśród </w:t>
      </w:r>
      <w:r w:rsidR="00A91771" w:rsidRPr="00250778">
        <w:t xml:space="preserve">podejmujących </w:t>
      </w:r>
      <w:r w:rsidR="004A5E1F" w:rsidRPr="00250778">
        <w:t xml:space="preserve">zatrudnienie </w:t>
      </w:r>
      <w:r w:rsidR="00250778">
        <w:t xml:space="preserve">osób </w:t>
      </w:r>
      <w:r w:rsidR="004A5E1F" w:rsidRPr="00250778">
        <w:t>bezrobotnych.</w:t>
      </w:r>
    </w:p>
    <w:p w:rsidR="00E14AA5" w:rsidRPr="00250778" w:rsidRDefault="004A5E1F" w:rsidP="00160DBC">
      <w:pPr>
        <w:pStyle w:val="Default"/>
        <w:numPr>
          <w:ilvl w:val="0"/>
          <w:numId w:val="1"/>
        </w:numPr>
        <w:spacing w:line="360" w:lineRule="auto"/>
        <w:jc w:val="both"/>
      </w:pPr>
      <w:r w:rsidRPr="00250778">
        <w:t xml:space="preserve">Wśród bezrobotnych podejmujących pracę </w:t>
      </w:r>
      <w:r w:rsidR="00C31034" w:rsidRPr="00250778">
        <w:t>–</w:t>
      </w:r>
      <w:r w:rsidR="00E14AA5" w:rsidRPr="00250778">
        <w:t xml:space="preserve"> </w:t>
      </w:r>
      <w:r w:rsidR="00B224AD" w:rsidRPr="00250778">
        <w:t>mniejszość tj. 1</w:t>
      </w:r>
      <w:r w:rsidR="00250778" w:rsidRPr="00250778">
        <w:t>1</w:t>
      </w:r>
      <w:r w:rsidR="00B224AD" w:rsidRPr="00250778">
        <w:t>,</w:t>
      </w:r>
      <w:r w:rsidR="00250778" w:rsidRPr="00250778">
        <w:t xml:space="preserve">3 </w:t>
      </w:r>
      <w:r w:rsidR="00B224AD" w:rsidRPr="00250778">
        <w:t>% (</w:t>
      </w:r>
      <w:r w:rsidR="00E14AA5" w:rsidRPr="00250778">
        <w:t>1</w:t>
      </w:r>
      <w:r w:rsidR="00250778" w:rsidRPr="00250778">
        <w:t>4</w:t>
      </w:r>
      <w:r w:rsidR="00B224AD" w:rsidRPr="00250778">
        <w:t> </w:t>
      </w:r>
      <w:r w:rsidR="00250778" w:rsidRPr="00250778">
        <w:t>185</w:t>
      </w:r>
      <w:r w:rsidR="00B224AD" w:rsidRPr="00250778">
        <w:t xml:space="preserve"> bezrobotnych)</w:t>
      </w:r>
      <w:r w:rsidR="00AB63E5" w:rsidRPr="00250778">
        <w:t xml:space="preserve"> </w:t>
      </w:r>
      <w:r w:rsidRPr="00250778">
        <w:t xml:space="preserve">podejmowało zatrudnienie </w:t>
      </w:r>
      <w:r w:rsidR="00AE5712" w:rsidRPr="00250778">
        <w:t>w</w:t>
      </w:r>
      <w:r w:rsidRPr="00250778">
        <w:t xml:space="preserve"> </w:t>
      </w:r>
      <w:r w:rsidR="00E14AA5" w:rsidRPr="00250778">
        <w:t>ramach prac subsydiowan</w:t>
      </w:r>
      <w:r w:rsidRPr="00250778">
        <w:t>ych</w:t>
      </w:r>
      <w:r w:rsidR="00B224AD" w:rsidRPr="00250778">
        <w:t xml:space="preserve"> </w:t>
      </w:r>
      <w:r w:rsidR="00E14AA5" w:rsidRPr="00250778">
        <w:t>ze środków publicznych</w:t>
      </w:r>
      <w:r w:rsidR="001F1808" w:rsidRPr="00250778">
        <w:t xml:space="preserve">. </w:t>
      </w:r>
    </w:p>
    <w:p w:rsidR="00AB63E5" w:rsidRPr="00AA7FAC" w:rsidRDefault="007D7E92" w:rsidP="00B224AD">
      <w:pPr>
        <w:pStyle w:val="Default"/>
        <w:numPr>
          <w:ilvl w:val="0"/>
          <w:numId w:val="1"/>
        </w:numPr>
        <w:spacing w:line="360" w:lineRule="auto"/>
        <w:jc w:val="both"/>
      </w:pPr>
      <w:r w:rsidRPr="00AA7FAC">
        <w:t>N</w:t>
      </w:r>
      <w:r w:rsidR="00AB63E5" w:rsidRPr="00AA7FAC">
        <w:t xml:space="preserve">ajwyższą </w:t>
      </w:r>
      <w:r w:rsidR="00AA7FAC" w:rsidRPr="00AA7FAC">
        <w:t>cz</w:t>
      </w:r>
      <w:r w:rsidR="00C31A94">
        <w:t>ę</w:t>
      </w:r>
      <w:r w:rsidR="00AA7FAC" w:rsidRPr="00AA7FAC">
        <w:t>ść</w:t>
      </w:r>
      <w:r w:rsidR="00AB63E5" w:rsidRPr="00AA7FAC">
        <w:t xml:space="preserve"> </w:t>
      </w:r>
      <w:r w:rsidR="000F02A8" w:rsidRPr="00AA7FAC">
        <w:t>z</w:t>
      </w:r>
      <w:r w:rsidR="00AB63E5" w:rsidRPr="00AA7FAC">
        <w:t xml:space="preserve"> zatrudnienia subsydiowanego </w:t>
      </w:r>
      <w:r w:rsidR="000F02A8" w:rsidRPr="00AA7FAC">
        <w:t>kumulowały</w:t>
      </w:r>
      <w:r w:rsidR="00AB63E5" w:rsidRPr="00AA7FAC">
        <w:t xml:space="preserve"> </w:t>
      </w:r>
      <w:r w:rsidR="000F02A8" w:rsidRPr="00AA7FAC">
        <w:t>prace interwencyjne – (</w:t>
      </w:r>
      <w:r w:rsidR="00AA7FAC" w:rsidRPr="00AA7FAC">
        <w:t>3</w:t>
      </w:r>
      <w:r w:rsidR="000F02A8" w:rsidRPr="00AA7FAC">
        <w:t> </w:t>
      </w:r>
      <w:r w:rsidR="00AA7FAC" w:rsidRPr="00AA7FAC">
        <w:t>611</w:t>
      </w:r>
      <w:r w:rsidR="000F02A8" w:rsidRPr="00AA7FAC">
        <w:t xml:space="preserve">), </w:t>
      </w:r>
      <w:r w:rsidR="00B224AD" w:rsidRPr="00AA7FAC">
        <w:t xml:space="preserve">podjęcia pracy </w:t>
      </w:r>
      <w:r w:rsidR="000F02A8" w:rsidRPr="00AA7FAC">
        <w:t xml:space="preserve">w </w:t>
      </w:r>
      <w:r w:rsidR="00B224AD" w:rsidRPr="00AA7FAC">
        <w:t>firmach</w:t>
      </w:r>
      <w:r w:rsidR="00046141" w:rsidRPr="00AA7FAC">
        <w:t xml:space="preserve"> – </w:t>
      </w:r>
      <w:r w:rsidR="000F02A8" w:rsidRPr="00AA7FAC">
        <w:t xml:space="preserve">realizowane </w:t>
      </w:r>
      <w:r w:rsidR="00B224AD" w:rsidRPr="00AA7FAC">
        <w:t>w ramach refundacji kosztów zatrudnienia bezrobotnego (3 </w:t>
      </w:r>
      <w:r w:rsidR="00AA7FAC" w:rsidRPr="00AA7FAC">
        <w:t>026</w:t>
      </w:r>
      <w:r w:rsidR="00B224AD" w:rsidRPr="00AA7FAC">
        <w:t xml:space="preserve">), </w:t>
      </w:r>
      <w:r w:rsidR="000F02A8" w:rsidRPr="00AA7FAC">
        <w:t>dotacje na otworzenie własnej działalności gospodarczej (2 </w:t>
      </w:r>
      <w:r w:rsidR="00AA7FAC" w:rsidRPr="00AA7FAC">
        <w:t>504</w:t>
      </w:r>
      <w:r w:rsidR="000F02A8" w:rsidRPr="00AA7FAC">
        <w:t xml:space="preserve">) i realizacja </w:t>
      </w:r>
      <w:r w:rsidR="00B224AD" w:rsidRPr="00AA7FAC">
        <w:t>r</w:t>
      </w:r>
      <w:r w:rsidR="00AB63E5" w:rsidRPr="00AA7FAC">
        <w:t>ob</w:t>
      </w:r>
      <w:r w:rsidR="00B224AD" w:rsidRPr="00AA7FAC">
        <w:t>ó</w:t>
      </w:r>
      <w:r w:rsidR="00AB63E5" w:rsidRPr="00AA7FAC">
        <w:t>t publiczn</w:t>
      </w:r>
      <w:r w:rsidR="00B224AD" w:rsidRPr="00AA7FAC">
        <w:t xml:space="preserve">ych </w:t>
      </w:r>
      <w:r w:rsidR="00AB63E5" w:rsidRPr="00AA7FAC">
        <w:t>(</w:t>
      </w:r>
      <w:r w:rsidR="00AA7FAC" w:rsidRPr="00AA7FAC">
        <w:t>1</w:t>
      </w:r>
      <w:r w:rsidR="00AB63E5" w:rsidRPr="00AA7FAC">
        <w:t> </w:t>
      </w:r>
      <w:r w:rsidR="00AA7FAC" w:rsidRPr="00AA7FAC">
        <w:t>950</w:t>
      </w:r>
      <w:r w:rsidR="00AB63E5" w:rsidRPr="00AA7FAC">
        <w:t>)</w:t>
      </w:r>
      <w:r w:rsidRPr="00AA7FAC">
        <w:t>.</w:t>
      </w:r>
    </w:p>
    <w:p w:rsidR="001F1808" w:rsidRPr="00AA7FAC" w:rsidRDefault="000F02A8" w:rsidP="00B224AD">
      <w:pPr>
        <w:pStyle w:val="Default"/>
        <w:numPr>
          <w:ilvl w:val="0"/>
          <w:numId w:val="1"/>
        </w:numPr>
        <w:spacing w:line="360" w:lineRule="auto"/>
        <w:jc w:val="both"/>
      </w:pPr>
      <w:r w:rsidRPr="00AA7FAC">
        <w:lastRenderedPageBreak/>
        <w:t>Podobnie jak przed rokiem, znaczną liczbę osób bezrobotnych (</w:t>
      </w:r>
      <w:r w:rsidR="00AA7FAC" w:rsidRPr="00AA7FAC">
        <w:t>1</w:t>
      </w:r>
      <w:r w:rsidRPr="00AA7FAC">
        <w:t> </w:t>
      </w:r>
      <w:r w:rsidR="00AA7FAC" w:rsidRPr="00AA7FAC">
        <w:t>661</w:t>
      </w:r>
      <w:r w:rsidRPr="00AA7FAC">
        <w:t xml:space="preserve"> tj. </w:t>
      </w:r>
      <w:r w:rsidR="00AA7FAC" w:rsidRPr="00AA7FAC">
        <w:t>1</w:t>
      </w:r>
      <w:r w:rsidR="001F1808" w:rsidRPr="00AA7FAC">
        <w:t>,</w:t>
      </w:r>
      <w:r w:rsidR="00AA7FAC" w:rsidRPr="00AA7FAC">
        <w:t xml:space="preserve">3 </w:t>
      </w:r>
      <w:r w:rsidR="001F1808" w:rsidRPr="00AA7FAC">
        <w:t>%</w:t>
      </w:r>
      <w:r w:rsidR="00963A5C" w:rsidRPr="00AA7FAC">
        <w:t xml:space="preserve"> ogółu</w:t>
      </w:r>
      <w:r w:rsidR="001F1808" w:rsidRPr="00AA7FAC">
        <w:t xml:space="preserve">) </w:t>
      </w:r>
      <w:r w:rsidRPr="00AA7FAC">
        <w:t xml:space="preserve">kumulowały inne </w:t>
      </w:r>
      <w:r w:rsidR="00963A5C" w:rsidRPr="00AA7FAC">
        <w:t xml:space="preserve">niż </w:t>
      </w:r>
      <w:r w:rsidR="000D744D" w:rsidRPr="00AA7FAC">
        <w:t xml:space="preserve">powyżej wymienione </w:t>
      </w:r>
      <w:r w:rsidR="001F1808" w:rsidRPr="00AA7FAC">
        <w:t>podję</w:t>
      </w:r>
      <w:r w:rsidRPr="00AA7FAC">
        <w:t>cia</w:t>
      </w:r>
      <w:r w:rsidR="001F1808" w:rsidRPr="00AA7FAC">
        <w:t xml:space="preserve"> pracy</w:t>
      </w:r>
      <w:r w:rsidR="00F773B0" w:rsidRPr="00AA7FAC">
        <w:t xml:space="preserve">, realizowane również </w:t>
      </w:r>
      <w:r w:rsidRPr="00AA7FAC">
        <w:t>w</w:t>
      </w:r>
      <w:r w:rsidR="00F773B0" w:rsidRPr="00AA7FAC">
        <w:t> </w:t>
      </w:r>
      <w:r w:rsidRPr="00AA7FAC">
        <w:t>ramach subsydiów</w:t>
      </w:r>
      <w:r w:rsidR="00421C60" w:rsidRPr="00AA7FAC">
        <w:t> </w:t>
      </w:r>
      <w:r w:rsidR="000F09BD" w:rsidRPr="00AA7FAC">
        <w:rPr>
          <w:rStyle w:val="Odwoanieprzypisudolnego"/>
        </w:rPr>
        <w:footnoteReference w:id="15"/>
      </w:r>
      <w:r w:rsidR="001F1808" w:rsidRPr="00AA7FAC">
        <w:t>.</w:t>
      </w:r>
    </w:p>
    <w:p w:rsidR="00AB63E5" w:rsidRPr="008655C7" w:rsidRDefault="008655C7" w:rsidP="00160DBC">
      <w:pPr>
        <w:pStyle w:val="Default"/>
        <w:numPr>
          <w:ilvl w:val="0"/>
          <w:numId w:val="1"/>
        </w:numPr>
        <w:spacing w:line="360" w:lineRule="auto"/>
        <w:jc w:val="both"/>
      </w:pPr>
      <w:r w:rsidRPr="008655C7">
        <w:t>44</w:t>
      </w:r>
      <w:r w:rsidR="00D443BB" w:rsidRPr="008655C7">
        <w:t> </w:t>
      </w:r>
      <w:r w:rsidRPr="008655C7">
        <w:t>550</w:t>
      </w:r>
      <w:r w:rsidR="00D443BB" w:rsidRPr="008655C7">
        <w:t xml:space="preserve"> </w:t>
      </w:r>
      <w:r w:rsidR="00963A5C" w:rsidRPr="008655C7">
        <w:t xml:space="preserve">osób </w:t>
      </w:r>
      <w:r w:rsidR="00D443BB" w:rsidRPr="008655C7">
        <w:t>(</w:t>
      </w:r>
      <w:r w:rsidR="007D7E92" w:rsidRPr="008655C7">
        <w:t>3</w:t>
      </w:r>
      <w:r w:rsidR="001F1808" w:rsidRPr="008655C7">
        <w:t>5</w:t>
      </w:r>
      <w:r w:rsidR="007D7E92" w:rsidRPr="008655C7">
        <w:t>,</w:t>
      </w:r>
      <w:r w:rsidRPr="008655C7">
        <w:t xml:space="preserve">5 </w:t>
      </w:r>
      <w:r w:rsidR="00D443BB" w:rsidRPr="008655C7">
        <w:t>%</w:t>
      </w:r>
      <w:r w:rsidR="001F1808" w:rsidRPr="008655C7">
        <w:t xml:space="preserve"> ogółu bezrobotnych</w:t>
      </w:r>
      <w:r w:rsidR="00D443BB" w:rsidRPr="008655C7">
        <w:t>) wyrejestrowało się</w:t>
      </w:r>
      <w:r w:rsidR="00AE5712" w:rsidRPr="008655C7">
        <w:t xml:space="preserve"> z </w:t>
      </w:r>
      <w:r w:rsidR="00D443BB" w:rsidRPr="008655C7">
        <w:t xml:space="preserve">innego powodu </w:t>
      </w:r>
      <w:r w:rsidR="001F1808" w:rsidRPr="008655C7">
        <w:t>jak</w:t>
      </w:r>
      <w:r w:rsidR="00D443BB" w:rsidRPr="008655C7">
        <w:t xml:space="preserve"> podjęcie pracy</w:t>
      </w:r>
      <w:r w:rsidR="007D7E92" w:rsidRPr="008655C7">
        <w:t>.</w:t>
      </w:r>
    </w:p>
    <w:p w:rsidR="00D443BB" w:rsidRPr="008655C7" w:rsidRDefault="007D7E92" w:rsidP="00160DBC">
      <w:pPr>
        <w:pStyle w:val="Default"/>
        <w:numPr>
          <w:ilvl w:val="0"/>
          <w:numId w:val="1"/>
        </w:numPr>
        <w:spacing w:line="360" w:lineRule="auto"/>
        <w:jc w:val="both"/>
      </w:pPr>
      <w:r w:rsidRPr="008655C7">
        <w:t>W</w:t>
      </w:r>
      <w:r w:rsidR="00D443BB" w:rsidRPr="008655C7">
        <w:t>śród innych powodów wyrejestrowań najczęstszym był</w:t>
      </w:r>
      <w:r w:rsidR="002E2123" w:rsidRPr="008655C7">
        <w:t>y:</w:t>
      </w:r>
      <w:r w:rsidR="00D443BB" w:rsidRPr="008655C7">
        <w:t xml:space="preserve"> niepotwierdzenie przez bezrobotnych gotowości do podjęcia pracy</w:t>
      </w:r>
      <w:r w:rsidR="002E2123" w:rsidRPr="008655C7">
        <w:t xml:space="preserve"> (</w:t>
      </w:r>
      <w:r w:rsidR="00322A3E" w:rsidRPr="008655C7">
        <w:t>2</w:t>
      </w:r>
      <w:r w:rsidR="008655C7" w:rsidRPr="008655C7">
        <w:t>2</w:t>
      </w:r>
      <w:r w:rsidR="00F72A23" w:rsidRPr="008655C7">
        <w:t> </w:t>
      </w:r>
      <w:r w:rsidR="008655C7" w:rsidRPr="008655C7">
        <w:t>710</w:t>
      </w:r>
      <w:r w:rsidR="00F72A23" w:rsidRPr="008655C7">
        <w:t xml:space="preserve"> </w:t>
      </w:r>
      <w:r w:rsidR="00D443BB" w:rsidRPr="008655C7">
        <w:t>osób)</w:t>
      </w:r>
      <w:r w:rsidR="002E2123" w:rsidRPr="008655C7">
        <w:t xml:space="preserve">, dobrowolna rezygnacja </w:t>
      </w:r>
      <w:r w:rsidRPr="008655C7">
        <w:t>ze statusu bezrobotnego (</w:t>
      </w:r>
      <w:r w:rsidR="008655C7" w:rsidRPr="008655C7">
        <w:t>8</w:t>
      </w:r>
      <w:r w:rsidRPr="008655C7">
        <w:t> </w:t>
      </w:r>
      <w:r w:rsidR="008655C7" w:rsidRPr="008655C7">
        <w:t>03</w:t>
      </w:r>
      <w:r w:rsidR="00322A3E" w:rsidRPr="008655C7">
        <w:t>4</w:t>
      </w:r>
      <w:r w:rsidRPr="008655C7">
        <w:t>).</w:t>
      </w:r>
    </w:p>
    <w:p w:rsidR="00D443BB" w:rsidRPr="00F661BB" w:rsidRDefault="006A3B2F" w:rsidP="00160DBC">
      <w:pPr>
        <w:pStyle w:val="Default"/>
        <w:numPr>
          <w:ilvl w:val="0"/>
          <w:numId w:val="1"/>
        </w:numPr>
        <w:spacing w:line="360" w:lineRule="auto"/>
        <w:jc w:val="both"/>
      </w:pPr>
      <w:r w:rsidRPr="00F661BB">
        <w:t>1</w:t>
      </w:r>
      <w:r w:rsidR="00F661BB" w:rsidRPr="00F661BB">
        <w:t>0</w:t>
      </w:r>
      <w:r w:rsidR="00221BB6" w:rsidRPr="00F661BB">
        <w:t> </w:t>
      </w:r>
      <w:r w:rsidR="00F661BB" w:rsidRPr="00F661BB">
        <w:t>911</w:t>
      </w:r>
      <w:r w:rsidR="00221BB6" w:rsidRPr="00F661BB">
        <w:t xml:space="preserve"> (</w:t>
      </w:r>
      <w:r w:rsidR="00F661BB" w:rsidRPr="00F661BB">
        <w:t>8</w:t>
      </w:r>
      <w:r w:rsidR="007D7E92" w:rsidRPr="00F661BB">
        <w:t>,</w:t>
      </w:r>
      <w:r w:rsidR="00F661BB" w:rsidRPr="00F661BB">
        <w:t xml:space="preserve">7 </w:t>
      </w:r>
      <w:r w:rsidR="00221BB6" w:rsidRPr="00F661BB">
        <w:t xml:space="preserve">%) </w:t>
      </w:r>
      <w:r w:rsidRPr="00F661BB">
        <w:t>osób</w:t>
      </w:r>
      <w:r w:rsidR="00221BB6" w:rsidRPr="00F661BB">
        <w:t xml:space="preserve"> zostało wyłączonych</w:t>
      </w:r>
      <w:r w:rsidRPr="00F661BB">
        <w:t xml:space="preserve"> </w:t>
      </w:r>
      <w:r w:rsidR="00AE5712" w:rsidRPr="00F661BB">
        <w:t>z</w:t>
      </w:r>
      <w:r w:rsidRPr="00F661BB">
        <w:t xml:space="preserve"> </w:t>
      </w:r>
      <w:r w:rsidR="00221BB6" w:rsidRPr="00F661BB">
        <w:t>ewidencji</w:t>
      </w:r>
      <w:r w:rsidRPr="00F661BB">
        <w:t xml:space="preserve"> </w:t>
      </w:r>
      <w:r w:rsidR="00AE5712" w:rsidRPr="00F661BB">
        <w:t>z</w:t>
      </w:r>
      <w:r w:rsidRPr="00F661BB">
        <w:t xml:space="preserve"> </w:t>
      </w:r>
      <w:r w:rsidR="00221BB6" w:rsidRPr="00F661BB">
        <w:t>powodu udziału</w:t>
      </w:r>
      <w:r w:rsidR="00AE5712" w:rsidRPr="00F661BB">
        <w:t xml:space="preserve"> w </w:t>
      </w:r>
      <w:r w:rsidR="00221BB6" w:rsidRPr="00F661BB">
        <w:t>formach aktywizacji zawodowej nie powodujących utraty statusu bezrobotnych</w:t>
      </w:r>
      <w:r w:rsidR="007D7E92" w:rsidRPr="00F661BB">
        <w:t>.</w:t>
      </w:r>
    </w:p>
    <w:p w:rsidR="00221BB6" w:rsidRPr="00F661BB" w:rsidRDefault="007D7E92" w:rsidP="00160DBC">
      <w:pPr>
        <w:pStyle w:val="Default"/>
        <w:numPr>
          <w:ilvl w:val="0"/>
          <w:numId w:val="1"/>
        </w:numPr>
        <w:spacing w:line="360" w:lineRule="auto"/>
        <w:jc w:val="both"/>
      </w:pPr>
      <w:r w:rsidRPr="00F661BB">
        <w:t>W</w:t>
      </w:r>
      <w:r w:rsidR="00221BB6" w:rsidRPr="00F661BB">
        <w:t>śród powodów wyłączeń</w:t>
      </w:r>
      <w:r w:rsidR="00322A3E" w:rsidRPr="00F661BB">
        <w:t xml:space="preserve"> </w:t>
      </w:r>
      <w:r w:rsidR="00221BB6" w:rsidRPr="00F661BB">
        <w:t>bez utraty statusu</w:t>
      </w:r>
      <w:r w:rsidR="00322A3E" w:rsidRPr="00F661BB">
        <w:t xml:space="preserve"> </w:t>
      </w:r>
      <w:r w:rsidR="00221BB6" w:rsidRPr="00F661BB">
        <w:t>najczęstsze były staże (</w:t>
      </w:r>
      <w:r w:rsidR="00F661BB" w:rsidRPr="00F661BB">
        <w:t>8</w:t>
      </w:r>
      <w:r w:rsidR="00221BB6" w:rsidRPr="00F661BB">
        <w:t> </w:t>
      </w:r>
      <w:r w:rsidR="00F661BB" w:rsidRPr="00F661BB">
        <w:t>34</w:t>
      </w:r>
      <w:r w:rsidR="00322A3E" w:rsidRPr="00F661BB">
        <w:t>8</w:t>
      </w:r>
      <w:r w:rsidR="00221BB6" w:rsidRPr="00F661BB">
        <w:t>), szkolenia (</w:t>
      </w:r>
      <w:r w:rsidR="00322A3E" w:rsidRPr="00F661BB">
        <w:t>1</w:t>
      </w:r>
      <w:r w:rsidR="00221BB6" w:rsidRPr="00F661BB">
        <w:t> </w:t>
      </w:r>
      <w:r w:rsidR="00F661BB" w:rsidRPr="00F661BB">
        <w:t>698</w:t>
      </w:r>
      <w:r w:rsidR="00221BB6" w:rsidRPr="00F661BB">
        <w:t>)</w:t>
      </w:r>
      <w:r w:rsidR="00322A3E" w:rsidRPr="00F661BB">
        <w:t xml:space="preserve"> i rozpoczęcia pracy społecznie użytecznej </w:t>
      </w:r>
      <w:r w:rsidR="00221BB6" w:rsidRPr="00F661BB">
        <w:t>(</w:t>
      </w:r>
      <w:r w:rsidR="00F661BB" w:rsidRPr="00F661BB">
        <w:t>820</w:t>
      </w:r>
      <w:r w:rsidR="00221BB6" w:rsidRPr="00F661BB">
        <w:t>)</w:t>
      </w:r>
      <w:r w:rsidRPr="00F661BB">
        <w:t>.</w:t>
      </w:r>
    </w:p>
    <w:p w:rsidR="00E14AA5" w:rsidRPr="007F2DE5" w:rsidRDefault="007D7E92" w:rsidP="00160DBC">
      <w:pPr>
        <w:pStyle w:val="Default"/>
        <w:numPr>
          <w:ilvl w:val="0"/>
          <w:numId w:val="1"/>
        </w:numPr>
        <w:spacing w:line="360" w:lineRule="auto"/>
        <w:jc w:val="both"/>
      </w:pPr>
      <w:r w:rsidRPr="007F2DE5">
        <w:t>N</w:t>
      </w:r>
      <w:r w:rsidR="00E14AA5" w:rsidRPr="007F2DE5">
        <w:t>ajwiększ</w:t>
      </w:r>
      <w:r w:rsidR="00AB63E5" w:rsidRPr="007F2DE5">
        <w:t xml:space="preserve">y „odpływ” </w:t>
      </w:r>
      <w:r w:rsidR="00815964" w:rsidRPr="007F2DE5">
        <w:t xml:space="preserve">osób </w:t>
      </w:r>
      <w:r w:rsidR="00AB63E5" w:rsidRPr="007F2DE5">
        <w:t xml:space="preserve">bezrobotnych </w:t>
      </w:r>
      <w:r w:rsidR="00E14AA5" w:rsidRPr="007F2DE5">
        <w:t>odnotowano w</w:t>
      </w:r>
      <w:r w:rsidR="00AB63E5" w:rsidRPr="007F2DE5">
        <w:t xml:space="preserve"> powiecie </w:t>
      </w:r>
      <w:r w:rsidR="00724895" w:rsidRPr="007F2DE5">
        <w:t>jarosławskim (</w:t>
      </w:r>
      <w:r w:rsidR="007F2DE5" w:rsidRPr="007F2DE5">
        <w:t>8</w:t>
      </w:r>
      <w:r w:rsidR="00724895" w:rsidRPr="007F2DE5">
        <w:t> </w:t>
      </w:r>
      <w:r w:rsidR="007F2DE5" w:rsidRPr="007F2DE5">
        <w:t>397</w:t>
      </w:r>
      <w:r w:rsidR="00724895" w:rsidRPr="007F2DE5">
        <w:t>), jasielskim (</w:t>
      </w:r>
      <w:r w:rsidR="007F2DE5" w:rsidRPr="007F2DE5">
        <w:t>7</w:t>
      </w:r>
      <w:r w:rsidR="00724895" w:rsidRPr="007F2DE5">
        <w:t xml:space="preserve"> 7</w:t>
      </w:r>
      <w:r w:rsidR="007F2DE5" w:rsidRPr="007F2DE5">
        <w:t>25</w:t>
      </w:r>
      <w:r w:rsidR="00724895" w:rsidRPr="007F2DE5">
        <w:t xml:space="preserve">), </w:t>
      </w:r>
      <w:r w:rsidR="007F2DE5" w:rsidRPr="007F2DE5">
        <w:t xml:space="preserve">m. Rzeszowie (7 519), powiecie rzeszowskim (7 223), </w:t>
      </w:r>
      <w:r w:rsidR="00747C84" w:rsidRPr="007F2DE5">
        <w:t>mieleckim</w:t>
      </w:r>
      <w:r w:rsidR="00E14AA5" w:rsidRPr="007F2DE5">
        <w:t xml:space="preserve"> (</w:t>
      </w:r>
      <w:r w:rsidR="007F2DE5" w:rsidRPr="007F2DE5">
        <w:t>7</w:t>
      </w:r>
      <w:r w:rsidR="00747C84" w:rsidRPr="007F2DE5">
        <w:t> </w:t>
      </w:r>
      <w:r w:rsidR="007F2DE5" w:rsidRPr="007F2DE5">
        <w:t>036</w:t>
      </w:r>
      <w:r w:rsidR="00E14AA5" w:rsidRPr="007F2DE5">
        <w:t>)</w:t>
      </w:r>
      <w:r w:rsidR="007F2DE5" w:rsidRPr="007F2DE5">
        <w:t xml:space="preserve">, </w:t>
      </w:r>
      <w:r w:rsidR="00E14AA5" w:rsidRPr="007F2DE5">
        <w:t>dębickim (</w:t>
      </w:r>
      <w:r w:rsidR="007F2DE5" w:rsidRPr="007F2DE5">
        <w:t>6</w:t>
      </w:r>
      <w:r w:rsidR="00AB63E5" w:rsidRPr="007F2DE5">
        <w:t> </w:t>
      </w:r>
      <w:r w:rsidR="007F2DE5" w:rsidRPr="007F2DE5">
        <w:t>729</w:t>
      </w:r>
      <w:r w:rsidR="00E14AA5" w:rsidRPr="007F2DE5">
        <w:t>)</w:t>
      </w:r>
      <w:r w:rsidR="007F2DE5" w:rsidRPr="007F2DE5">
        <w:t xml:space="preserve"> i przeworskim (6 575).</w:t>
      </w:r>
    </w:p>
    <w:p w:rsidR="00E14AA5" w:rsidRPr="00F41B52" w:rsidRDefault="00815964" w:rsidP="00160DBC">
      <w:pPr>
        <w:pStyle w:val="Default"/>
        <w:numPr>
          <w:ilvl w:val="0"/>
          <w:numId w:val="1"/>
        </w:numPr>
        <w:spacing w:line="360" w:lineRule="auto"/>
        <w:jc w:val="both"/>
      </w:pPr>
      <w:r w:rsidRPr="00F41B52">
        <w:t>N</w:t>
      </w:r>
      <w:r w:rsidR="00E14AA5" w:rsidRPr="00F41B52">
        <w:t>ajmniej</w:t>
      </w:r>
      <w:r w:rsidR="00AB63E5" w:rsidRPr="00F41B52">
        <w:t xml:space="preserve">szy „odpływ” </w:t>
      </w:r>
      <w:r w:rsidRPr="00F41B52">
        <w:t xml:space="preserve">osób bezrobotnych </w:t>
      </w:r>
      <w:r w:rsidR="00AB63E5" w:rsidRPr="00F41B52">
        <w:t xml:space="preserve">nastąpił w powiecie </w:t>
      </w:r>
      <w:r w:rsidR="00E14AA5" w:rsidRPr="00F41B52">
        <w:t>bieszczadzkim (</w:t>
      </w:r>
      <w:r w:rsidR="00724895" w:rsidRPr="00F41B52">
        <w:t>1</w:t>
      </w:r>
      <w:r w:rsidR="00E14AA5" w:rsidRPr="00F41B52">
        <w:t xml:space="preserve"> </w:t>
      </w:r>
      <w:r w:rsidR="00F41B52" w:rsidRPr="00F41B52">
        <w:t>687</w:t>
      </w:r>
      <w:r w:rsidR="00E14AA5" w:rsidRPr="00F41B52">
        <w:t>),</w:t>
      </w:r>
      <w:r w:rsidR="00724895" w:rsidRPr="00F41B52">
        <w:t xml:space="preserve"> m.</w:t>
      </w:r>
      <w:r w:rsidR="00334F76">
        <w:t> </w:t>
      </w:r>
      <w:r w:rsidR="00724895" w:rsidRPr="00F41B52">
        <w:t>Krośnie (2 </w:t>
      </w:r>
      <w:r w:rsidR="00F41B52" w:rsidRPr="00F41B52">
        <w:t>020</w:t>
      </w:r>
      <w:r w:rsidR="00724895" w:rsidRPr="00F41B52">
        <w:t xml:space="preserve">), </w:t>
      </w:r>
      <w:r w:rsidR="00B371E0" w:rsidRPr="00F41B52">
        <w:t xml:space="preserve">powiecie leskim (2 </w:t>
      </w:r>
      <w:r w:rsidR="00E96D51" w:rsidRPr="00F41B52">
        <w:t>3</w:t>
      </w:r>
      <w:r w:rsidR="00F41B52" w:rsidRPr="00F41B52">
        <w:t>83</w:t>
      </w:r>
      <w:r w:rsidR="00B371E0" w:rsidRPr="00F41B52">
        <w:t>)</w:t>
      </w:r>
      <w:r w:rsidR="00E14AA5" w:rsidRPr="00F41B52">
        <w:t>,</w:t>
      </w:r>
      <w:r w:rsidR="00B371E0" w:rsidRPr="00F41B52">
        <w:t xml:space="preserve"> </w:t>
      </w:r>
      <w:r w:rsidR="00AB63E5" w:rsidRPr="00F41B52">
        <w:t>m</w:t>
      </w:r>
      <w:r w:rsidR="00B371E0" w:rsidRPr="00F41B52">
        <w:t>.</w:t>
      </w:r>
      <w:r w:rsidR="00AB63E5" w:rsidRPr="00F41B52">
        <w:t xml:space="preserve"> </w:t>
      </w:r>
      <w:r w:rsidR="00E14AA5" w:rsidRPr="00F41B52">
        <w:t>Tarnobrzegu (</w:t>
      </w:r>
      <w:r w:rsidR="00F41B52" w:rsidRPr="00F41B52">
        <w:t>2</w:t>
      </w:r>
      <w:r w:rsidR="00E14AA5" w:rsidRPr="00F41B52">
        <w:t xml:space="preserve"> </w:t>
      </w:r>
      <w:r w:rsidR="00F41B52" w:rsidRPr="00F41B52">
        <w:t>898</w:t>
      </w:r>
      <w:r w:rsidR="00E14AA5" w:rsidRPr="00F41B52">
        <w:t>)</w:t>
      </w:r>
      <w:r w:rsidR="00B371E0" w:rsidRPr="00F41B52">
        <w:t xml:space="preserve"> i</w:t>
      </w:r>
      <w:r w:rsidR="00E14AA5" w:rsidRPr="00F41B52">
        <w:t xml:space="preserve"> </w:t>
      </w:r>
      <w:r w:rsidR="00AB63E5" w:rsidRPr="00F41B52">
        <w:t xml:space="preserve">powiecie </w:t>
      </w:r>
      <w:r w:rsidR="00E14AA5" w:rsidRPr="00F41B52">
        <w:t>tarnobrzeskim (</w:t>
      </w:r>
      <w:r w:rsidR="00F41B52" w:rsidRPr="00F41B52">
        <w:t>2</w:t>
      </w:r>
      <w:r w:rsidR="00221BB6" w:rsidRPr="00F41B52">
        <w:t> </w:t>
      </w:r>
      <w:r w:rsidR="00F41B52" w:rsidRPr="00F41B52">
        <w:t>995</w:t>
      </w:r>
      <w:r w:rsidR="00AB63E5" w:rsidRPr="00F41B52">
        <w:t>)</w:t>
      </w:r>
      <w:r w:rsidRPr="00F41B52">
        <w:t>.</w:t>
      </w:r>
    </w:p>
    <w:p w:rsidR="00A56D19" w:rsidRDefault="00A56D19">
      <w:pPr>
        <w:rPr>
          <w:rFonts w:ascii="Times New Roman" w:hAnsi="Times New Roman" w:cs="Times New Roman"/>
          <w:color w:val="000000"/>
          <w:sz w:val="24"/>
          <w:szCs w:val="24"/>
          <w:highlight w:val="yellow"/>
        </w:rPr>
      </w:pPr>
      <w:r>
        <w:rPr>
          <w:highlight w:val="yellow"/>
        </w:rPr>
        <w:br w:type="page"/>
      </w:r>
    </w:p>
    <w:p w:rsidR="000A2DBD" w:rsidRPr="002A267D" w:rsidRDefault="000A2DBD" w:rsidP="002A267D">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1" w:name="_Toc938722"/>
      <w:r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Bezrobotni</w:t>
      </w:r>
      <w:r w:rsidR="00AE5712"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z </w:t>
      </w:r>
      <w:r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prawem do zasiłku</w:t>
      </w:r>
      <w:bookmarkEnd w:id="11"/>
    </w:p>
    <w:p w:rsidR="00164835" w:rsidRPr="00C75C71" w:rsidRDefault="00164835" w:rsidP="00164835">
      <w:pPr>
        <w:pStyle w:val="Default"/>
        <w:spacing w:line="360" w:lineRule="auto"/>
        <w:jc w:val="both"/>
        <w:rPr>
          <w:sz w:val="16"/>
          <w:szCs w:val="16"/>
          <w:highlight w:val="yellow"/>
        </w:rPr>
      </w:pPr>
    </w:p>
    <w:p w:rsidR="000258C5" w:rsidRPr="00F41B52" w:rsidRDefault="00587A87" w:rsidP="006A3B2F">
      <w:pPr>
        <w:pStyle w:val="Default"/>
        <w:spacing w:line="360" w:lineRule="auto"/>
        <w:ind w:firstLine="709"/>
        <w:jc w:val="both"/>
      </w:pPr>
      <w:r w:rsidRPr="00F41B52">
        <w:t>W</w:t>
      </w:r>
      <w:r w:rsidR="00A65AF3" w:rsidRPr="00F41B52">
        <w:t>śród ogółu bezrobotnych</w:t>
      </w:r>
      <w:r w:rsidR="00AE5712" w:rsidRPr="00F41B52">
        <w:t xml:space="preserve"> w </w:t>
      </w:r>
      <w:r w:rsidR="000258C5" w:rsidRPr="00F41B52">
        <w:t xml:space="preserve">województwie podkarpackim </w:t>
      </w:r>
      <w:r w:rsidR="00273E11" w:rsidRPr="00F41B52">
        <w:t xml:space="preserve">prawo do </w:t>
      </w:r>
      <w:r w:rsidR="00A65AF3" w:rsidRPr="00F41B52">
        <w:t xml:space="preserve">pobierania </w:t>
      </w:r>
      <w:r w:rsidR="00273E11" w:rsidRPr="00F41B52">
        <w:t xml:space="preserve">zasiłku dla bezrobotnych </w:t>
      </w:r>
      <w:r w:rsidR="000258C5" w:rsidRPr="00F41B52">
        <w:t>na dzień 31</w:t>
      </w:r>
      <w:r w:rsidR="006A3B2F" w:rsidRPr="00F41B52">
        <w:t xml:space="preserve"> XII ‘</w:t>
      </w:r>
      <w:r w:rsidR="000258C5" w:rsidRPr="00F41B52">
        <w:t>1</w:t>
      </w:r>
      <w:r w:rsidR="00F41B52" w:rsidRPr="00F41B52">
        <w:t>8</w:t>
      </w:r>
      <w:r w:rsidR="00AE5712" w:rsidRPr="00F41B52">
        <w:t> r.</w:t>
      </w:r>
      <w:r w:rsidR="000258C5" w:rsidRPr="00F41B52">
        <w:t xml:space="preserve"> </w:t>
      </w:r>
      <w:r w:rsidR="00A65AF3" w:rsidRPr="00F41B52">
        <w:t>posiadało</w:t>
      </w:r>
      <w:r w:rsidR="00273E11" w:rsidRPr="00F41B52">
        <w:t xml:space="preserve"> </w:t>
      </w:r>
      <w:r w:rsidR="00E17ECC" w:rsidRPr="00F41B52">
        <w:t>1</w:t>
      </w:r>
      <w:r w:rsidR="0020074D" w:rsidRPr="00F41B52">
        <w:t>2</w:t>
      </w:r>
      <w:r w:rsidR="00E17ECC" w:rsidRPr="00F41B52">
        <w:t xml:space="preserve"> </w:t>
      </w:r>
      <w:r w:rsidR="00F41B52" w:rsidRPr="00F41B52">
        <w:t>451</w:t>
      </w:r>
      <w:r w:rsidR="00E17ECC" w:rsidRPr="00F41B52">
        <w:t xml:space="preserve"> </w:t>
      </w:r>
      <w:r w:rsidR="00273E11" w:rsidRPr="00F41B52">
        <w:t>osób</w:t>
      </w:r>
      <w:r w:rsidR="00636188" w:rsidRPr="00F41B52">
        <w:t>.</w:t>
      </w:r>
    </w:p>
    <w:p w:rsidR="00E049D4" w:rsidRPr="00C75C71" w:rsidRDefault="00F41B52" w:rsidP="00E049D4">
      <w:pPr>
        <w:pStyle w:val="Default"/>
        <w:spacing w:line="360" w:lineRule="auto"/>
        <w:jc w:val="both"/>
        <w:rPr>
          <w:highlight w:val="yellow"/>
        </w:rPr>
      </w:pPr>
      <w:r w:rsidRPr="00F41B52">
        <w:rPr>
          <w:noProof/>
          <w:lang w:eastAsia="pl-PL"/>
        </w:rPr>
        <w:drawing>
          <wp:inline distT="0" distB="0" distL="0" distR="0" wp14:anchorId="7F5E6551" wp14:editId="6361BFF2">
            <wp:extent cx="5759532" cy="6549242"/>
            <wp:effectExtent l="0" t="0" r="0" b="444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9450" cy="6549149"/>
                    </a:xfrm>
                    <a:prstGeom prst="rect">
                      <a:avLst/>
                    </a:prstGeom>
                    <a:noFill/>
                    <a:ln>
                      <a:noFill/>
                    </a:ln>
                  </pic:spPr>
                </pic:pic>
              </a:graphicData>
            </a:graphic>
          </wp:inline>
        </w:drawing>
      </w:r>
    </w:p>
    <w:p w:rsidR="002230D7" w:rsidRDefault="002230D7" w:rsidP="002230D7">
      <w:pPr>
        <w:spacing w:after="0" w:line="240" w:lineRule="auto"/>
        <w:rPr>
          <w:rFonts w:ascii="Times New Roman" w:hAnsi="Times New Roman" w:cs="Times New Roman"/>
          <w:color w:val="000000"/>
          <w:sz w:val="16"/>
          <w:szCs w:val="16"/>
        </w:rPr>
      </w:pPr>
    </w:p>
    <w:p w:rsidR="000258C5" w:rsidRPr="00F41B52" w:rsidRDefault="00636188" w:rsidP="00452A1B">
      <w:pPr>
        <w:pStyle w:val="Default"/>
        <w:pBdr>
          <w:bottom w:val="single" w:sz="4" w:space="1" w:color="auto"/>
        </w:pBdr>
        <w:jc w:val="both"/>
      </w:pPr>
      <w:r w:rsidRPr="00F41B52">
        <w:t>Wnioski:</w:t>
      </w:r>
    </w:p>
    <w:p w:rsidR="008A2874" w:rsidRPr="00F41B52" w:rsidRDefault="008A2874" w:rsidP="00452A1B">
      <w:pPr>
        <w:pStyle w:val="Tekstpodstawowywcity"/>
        <w:spacing w:after="0" w:line="240" w:lineRule="auto"/>
        <w:ind w:left="0"/>
        <w:jc w:val="both"/>
        <w:rPr>
          <w:rFonts w:ascii="Times New Roman" w:hAnsi="Times New Roman" w:cs="Times New Roman"/>
          <w:sz w:val="18"/>
          <w:szCs w:val="18"/>
        </w:rPr>
      </w:pPr>
      <w:r w:rsidRPr="00F41B52">
        <w:rPr>
          <w:rFonts w:ascii="Times New Roman" w:hAnsi="Times New Roman" w:cs="Times New Roman"/>
          <w:sz w:val="18"/>
          <w:szCs w:val="18"/>
        </w:rPr>
        <w:t>(na podstawie danych</w:t>
      </w:r>
      <w:r w:rsidR="00AE5712" w:rsidRPr="00F41B52">
        <w:rPr>
          <w:rFonts w:ascii="Times New Roman" w:hAnsi="Times New Roman" w:cs="Times New Roman"/>
          <w:sz w:val="18"/>
          <w:szCs w:val="18"/>
        </w:rPr>
        <w:t xml:space="preserve"> z </w:t>
      </w:r>
      <w:r w:rsidR="00452A1B" w:rsidRPr="00F41B52">
        <w:rPr>
          <w:rFonts w:ascii="Times New Roman" w:hAnsi="Times New Roman" w:cs="Times New Roman"/>
          <w:sz w:val="18"/>
          <w:szCs w:val="18"/>
        </w:rPr>
        <w:t>t</w:t>
      </w:r>
      <w:r w:rsidRPr="00F41B52">
        <w:rPr>
          <w:rFonts w:ascii="Times New Roman" w:hAnsi="Times New Roman" w:cs="Times New Roman"/>
          <w:sz w:val="18"/>
          <w:szCs w:val="18"/>
        </w:rPr>
        <w:t xml:space="preserve">abeli </w:t>
      </w:r>
      <w:r w:rsidR="00452A1B" w:rsidRPr="00F41B52">
        <w:rPr>
          <w:rFonts w:ascii="Times New Roman" w:hAnsi="Times New Roman" w:cs="Times New Roman"/>
          <w:sz w:val="18"/>
          <w:szCs w:val="18"/>
        </w:rPr>
        <w:t>VIII</w:t>
      </w:r>
      <w:r w:rsidR="00636188" w:rsidRPr="00F41B52">
        <w:rPr>
          <w:rFonts w:ascii="Times New Roman" w:hAnsi="Times New Roman" w:cs="Times New Roman"/>
          <w:sz w:val="18"/>
          <w:szCs w:val="18"/>
        </w:rPr>
        <w:t>)</w:t>
      </w:r>
    </w:p>
    <w:p w:rsidR="00DD4FBC" w:rsidRPr="00C75C71" w:rsidRDefault="00DD4FBC" w:rsidP="00452A1B">
      <w:pPr>
        <w:pStyle w:val="Default"/>
        <w:spacing w:line="360" w:lineRule="auto"/>
        <w:jc w:val="both"/>
        <w:rPr>
          <w:sz w:val="16"/>
          <w:szCs w:val="16"/>
          <w:highlight w:val="yellow"/>
          <w:u w:val="single"/>
        </w:rPr>
      </w:pPr>
    </w:p>
    <w:p w:rsidR="000258C5" w:rsidRPr="00F41B52" w:rsidRDefault="00636188" w:rsidP="00160DBC">
      <w:pPr>
        <w:pStyle w:val="Default"/>
        <w:numPr>
          <w:ilvl w:val="0"/>
          <w:numId w:val="1"/>
        </w:numPr>
        <w:spacing w:line="360" w:lineRule="auto"/>
        <w:jc w:val="both"/>
        <w:rPr>
          <w:u w:val="single"/>
        </w:rPr>
      </w:pPr>
      <w:r w:rsidRPr="00F41B52">
        <w:t>W</w:t>
      </w:r>
      <w:r w:rsidR="000258C5" w:rsidRPr="00F41B52">
        <w:t> porównaniu do stanu</w:t>
      </w:r>
      <w:r w:rsidR="00AE5712" w:rsidRPr="00F41B52">
        <w:t xml:space="preserve"> </w:t>
      </w:r>
      <w:r w:rsidR="00F41B52" w:rsidRPr="00F41B52">
        <w:t xml:space="preserve">przed rokiem </w:t>
      </w:r>
      <w:r w:rsidR="000258C5" w:rsidRPr="00F41B52">
        <w:t>(1</w:t>
      </w:r>
      <w:r w:rsidR="00F41B52" w:rsidRPr="00F41B52">
        <w:t>2</w:t>
      </w:r>
      <w:r w:rsidR="000258C5" w:rsidRPr="00F41B52">
        <w:t> </w:t>
      </w:r>
      <w:r w:rsidR="00F41B52" w:rsidRPr="00F41B52">
        <w:t>270</w:t>
      </w:r>
      <w:r w:rsidR="000258C5" w:rsidRPr="00F41B52">
        <w:t xml:space="preserve">) liczba zasiłkobiorców </w:t>
      </w:r>
      <w:r w:rsidR="00F41B52" w:rsidRPr="00F41B52">
        <w:t>wzrosła</w:t>
      </w:r>
      <w:r w:rsidR="00AE5712" w:rsidRPr="00F41B52">
        <w:t xml:space="preserve"> o </w:t>
      </w:r>
      <w:r w:rsidR="007542B1" w:rsidRPr="00F41B52">
        <w:t>1</w:t>
      </w:r>
      <w:r w:rsidR="00F41B52" w:rsidRPr="00F41B52">
        <w:t>8</w:t>
      </w:r>
      <w:r w:rsidR="007542B1" w:rsidRPr="00F41B52">
        <w:t>1</w:t>
      </w:r>
      <w:r w:rsidR="000258C5" w:rsidRPr="00F41B52">
        <w:t xml:space="preserve"> os</w:t>
      </w:r>
      <w:r w:rsidR="00FE08D7" w:rsidRPr="00F41B52">
        <w:t>ó</w:t>
      </w:r>
      <w:r w:rsidR="000258C5" w:rsidRPr="00F41B52">
        <w:t>b</w:t>
      </w:r>
      <w:r w:rsidR="001278BA" w:rsidRPr="00F41B52">
        <w:t xml:space="preserve"> (</w:t>
      </w:r>
      <w:r w:rsidR="00F41B52" w:rsidRPr="00F41B52">
        <w:t>1</w:t>
      </w:r>
      <w:r w:rsidR="00FE08D7" w:rsidRPr="00F41B52">
        <w:t>,</w:t>
      </w:r>
      <w:r w:rsidR="00F41B52" w:rsidRPr="00F41B52">
        <w:t xml:space="preserve">5 </w:t>
      </w:r>
      <w:r w:rsidR="001278BA" w:rsidRPr="00F41B52">
        <w:t>%)</w:t>
      </w:r>
      <w:r w:rsidRPr="00F41B52">
        <w:t>.</w:t>
      </w:r>
    </w:p>
    <w:p w:rsidR="000258C5" w:rsidRPr="0070258A" w:rsidRDefault="00636188" w:rsidP="00160DBC">
      <w:pPr>
        <w:pStyle w:val="Default"/>
        <w:numPr>
          <w:ilvl w:val="0"/>
          <w:numId w:val="1"/>
        </w:numPr>
        <w:spacing w:line="360" w:lineRule="auto"/>
        <w:jc w:val="both"/>
        <w:rPr>
          <w:u w:val="single"/>
        </w:rPr>
      </w:pPr>
      <w:r w:rsidRPr="0070258A">
        <w:lastRenderedPageBreak/>
        <w:t>W</w:t>
      </w:r>
      <w:r w:rsidR="000258C5" w:rsidRPr="0070258A">
        <w:t xml:space="preserve"> ogólnej grupie zasiłkobiorców </w:t>
      </w:r>
      <w:r w:rsidR="007542B1" w:rsidRPr="0070258A">
        <w:t>12 </w:t>
      </w:r>
      <w:r w:rsidR="0070258A" w:rsidRPr="0070258A">
        <w:t>392</w:t>
      </w:r>
      <w:r w:rsidR="007542B1" w:rsidRPr="0070258A">
        <w:t xml:space="preserve"> stanowiły osoby poprzednio pracujące oraz </w:t>
      </w:r>
      <w:r w:rsidR="00FE08D7" w:rsidRPr="0070258A">
        <w:t>1</w:t>
      </w:r>
      <w:r w:rsidR="0070258A">
        <w:t> </w:t>
      </w:r>
      <w:r w:rsidR="0070258A" w:rsidRPr="0070258A">
        <w:t>377</w:t>
      </w:r>
      <w:r w:rsidR="0070258A">
        <w:t xml:space="preserve"> – </w:t>
      </w:r>
      <w:r w:rsidR="00037BD8" w:rsidRPr="0070258A">
        <w:t>zwolnie</w:t>
      </w:r>
      <w:r w:rsidR="007542B1" w:rsidRPr="0070258A">
        <w:t>ni</w:t>
      </w:r>
      <w:r w:rsidR="00AE5712" w:rsidRPr="0070258A">
        <w:t xml:space="preserve"> z </w:t>
      </w:r>
      <w:r w:rsidR="00037BD8" w:rsidRPr="0070258A">
        <w:t>przyczyn dotyczących zakładu pracy</w:t>
      </w:r>
      <w:r w:rsidRPr="0070258A">
        <w:t>.</w:t>
      </w:r>
    </w:p>
    <w:p w:rsidR="006C4B78" w:rsidRPr="006C4B78" w:rsidRDefault="00636188" w:rsidP="006C4B78">
      <w:pPr>
        <w:pStyle w:val="Default"/>
        <w:numPr>
          <w:ilvl w:val="0"/>
          <w:numId w:val="1"/>
        </w:numPr>
        <w:spacing w:line="360" w:lineRule="auto"/>
        <w:jc w:val="both"/>
      </w:pPr>
      <w:r w:rsidRPr="006C4B78">
        <w:t>W</w:t>
      </w:r>
      <w:r w:rsidR="00EB7938" w:rsidRPr="006C4B78">
        <w:t xml:space="preserve">zrost </w:t>
      </w:r>
      <w:r w:rsidR="001278BA" w:rsidRPr="006C4B78">
        <w:t xml:space="preserve">zasiłkobiorców </w:t>
      </w:r>
      <w:r w:rsidR="008921A9" w:rsidRPr="006C4B78">
        <w:t>w</w:t>
      </w:r>
      <w:r w:rsidR="007B0B72" w:rsidRPr="006C4B78">
        <w:t>yrażony w procentach (201</w:t>
      </w:r>
      <w:r w:rsidR="009E2635" w:rsidRPr="006C4B78">
        <w:t>7</w:t>
      </w:r>
      <w:r w:rsidR="007B0B72" w:rsidRPr="006C4B78">
        <w:t xml:space="preserve">=100%) </w:t>
      </w:r>
      <w:r w:rsidR="001278BA" w:rsidRPr="006C4B78">
        <w:t>odnotowano</w:t>
      </w:r>
      <w:r w:rsidR="00AE5712" w:rsidRPr="006C4B78">
        <w:t xml:space="preserve"> w </w:t>
      </w:r>
      <w:r w:rsidR="009E2635" w:rsidRPr="006C4B78">
        <w:t>9</w:t>
      </w:r>
      <w:r w:rsidR="008921A9" w:rsidRPr="006C4B78">
        <w:t> </w:t>
      </w:r>
      <w:r w:rsidR="007B0B72" w:rsidRPr="006C4B78">
        <w:t>jednostkach administracyjnych</w:t>
      </w:r>
      <w:r w:rsidR="009E2635" w:rsidRPr="006C4B78">
        <w:t xml:space="preserve"> – </w:t>
      </w:r>
      <w:r w:rsidR="006C4B78" w:rsidRPr="006C4B78">
        <w:t>łańcuckim (wzrost o 358 bezrobotnych), rzeszowskim (74), jasielskim (56), m. Rzeszowie (54), powiecie przeworskim (48), leskim (28), przemyskim (20), jarosławskim (17), ropczycko-sędziszowskim (10).</w:t>
      </w:r>
    </w:p>
    <w:p w:rsidR="00FC416D" w:rsidRDefault="00636188" w:rsidP="00FC416D">
      <w:pPr>
        <w:pStyle w:val="Default"/>
        <w:numPr>
          <w:ilvl w:val="0"/>
          <w:numId w:val="1"/>
        </w:numPr>
        <w:spacing w:line="360" w:lineRule="auto"/>
        <w:jc w:val="both"/>
      </w:pPr>
      <w:r w:rsidRPr="00FC416D">
        <w:t>S</w:t>
      </w:r>
      <w:r w:rsidR="00EB7938" w:rsidRPr="00FC416D">
        <w:t xml:space="preserve">padek </w:t>
      </w:r>
      <w:r w:rsidR="00A01CA1" w:rsidRPr="00FC416D">
        <w:t>z</w:t>
      </w:r>
      <w:r w:rsidR="00EB7938" w:rsidRPr="00FC416D">
        <w:t>asiłkobiorców</w:t>
      </w:r>
      <w:r w:rsidR="00A01CA1" w:rsidRPr="00FC416D">
        <w:t xml:space="preserve"> </w:t>
      </w:r>
      <w:r w:rsidR="00EB7938" w:rsidRPr="00FC416D">
        <w:t>odnotowano w pozostałych powiatach</w:t>
      </w:r>
      <w:r w:rsidR="00AE5712" w:rsidRPr="00FC416D">
        <w:t xml:space="preserve"> i </w:t>
      </w:r>
      <w:r w:rsidR="00EB7938" w:rsidRPr="00FC416D">
        <w:t>miastach na prawach powiatu</w:t>
      </w:r>
      <w:r w:rsidR="00BE156B" w:rsidRPr="00FC416D">
        <w:t xml:space="preserve"> (</w:t>
      </w:r>
      <w:r w:rsidR="00FC416D">
        <w:t>16</w:t>
      </w:r>
      <w:r w:rsidR="00BE156B" w:rsidRPr="00FC416D">
        <w:t xml:space="preserve">). </w:t>
      </w:r>
      <w:r w:rsidR="00FC416D">
        <w:t xml:space="preserve">Największe  </w:t>
      </w:r>
      <w:r w:rsidR="00EB7938" w:rsidRPr="00FC416D">
        <w:t>w</w:t>
      </w:r>
      <w:r w:rsidR="00BE156B" w:rsidRPr="00FC416D">
        <w:t xml:space="preserve"> </w:t>
      </w:r>
      <w:r w:rsidR="00FC416D">
        <w:t>mieleckim (spadek o 99 osób), leżajskim (79), niżańskim (37), krośnieńskim (36), sanockim (34), lubaczowskim (32), m. Krośnie czy Tarnobrzegu (po 26).</w:t>
      </w:r>
    </w:p>
    <w:p w:rsidR="005E55DB" w:rsidRDefault="005E55DB" w:rsidP="00763379">
      <w:pPr>
        <w:spacing w:after="0" w:line="240" w:lineRule="auto"/>
        <w:rPr>
          <w:sz w:val="16"/>
          <w:szCs w:val="16"/>
          <w:highlight w:val="yellow"/>
        </w:rPr>
      </w:pPr>
    </w:p>
    <w:p w:rsidR="00763379" w:rsidRPr="00763379" w:rsidRDefault="00763379" w:rsidP="00763379">
      <w:pPr>
        <w:spacing w:after="0" w:line="240" w:lineRule="auto"/>
        <w:rPr>
          <w:sz w:val="16"/>
          <w:szCs w:val="16"/>
          <w:highlight w:val="yellow"/>
        </w:rPr>
      </w:pPr>
    </w:p>
    <w:p w:rsidR="00763379" w:rsidRPr="00763379" w:rsidRDefault="00763379" w:rsidP="00763379">
      <w:pPr>
        <w:spacing w:after="0" w:line="240" w:lineRule="auto"/>
        <w:rPr>
          <w:b/>
          <w:sz w:val="16"/>
          <w:szCs w:val="16"/>
          <w:highlight w:val="yellow"/>
        </w:rPr>
      </w:pPr>
    </w:p>
    <w:p w:rsidR="008A2874" w:rsidRPr="002A267D" w:rsidRDefault="003950BA" w:rsidP="002A267D">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2" w:name="_Toc938723"/>
      <w:r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Bezrobotni</w:t>
      </w:r>
      <w:r w:rsid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w:t>
      </w:r>
      <w:r w:rsidR="00985C67"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w:t>
      </w:r>
      <w:r w:rsid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wieku</w:t>
      </w:r>
      <w:bookmarkEnd w:id="12"/>
    </w:p>
    <w:p w:rsidR="00452A1B" w:rsidRDefault="00452A1B" w:rsidP="00FC27CE">
      <w:pPr>
        <w:pStyle w:val="Bezodstpw"/>
        <w:jc w:val="both"/>
        <w:rPr>
          <w:rFonts w:ascii="Times New Roman" w:hAnsi="Times New Roman" w:cs="Times New Roman"/>
          <w:highlight w:val="yellow"/>
        </w:rPr>
      </w:pPr>
    </w:p>
    <w:p w:rsidR="00763379" w:rsidRDefault="00763379" w:rsidP="00FC27CE">
      <w:pPr>
        <w:pStyle w:val="Bezodstpw"/>
        <w:jc w:val="both"/>
        <w:rPr>
          <w:rFonts w:ascii="Times New Roman" w:hAnsi="Times New Roman" w:cs="Times New Roman"/>
          <w:highlight w:val="yellow"/>
        </w:rPr>
      </w:pPr>
    </w:p>
    <w:p w:rsidR="00FC416D" w:rsidRPr="00C75C71" w:rsidRDefault="00FC416D" w:rsidP="00FC416D">
      <w:pPr>
        <w:pStyle w:val="Bezodstpw"/>
        <w:jc w:val="center"/>
        <w:rPr>
          <w:rFonts w:ascii="Times New Roman" w:hAnsi="Times New Roman" w:cs="Times New Roman"/>
          <w:highlight w:val="yellow"/>
        </w:rPr>
      </w:pPr>
      <w:r w:rsidRPr="00FC416D">
        <w:rPr>
          <w:noProof/>
          <w:lang w:eastAsia="pl-PL"/>
        </w:rPr>
        <w:drawing>
          <wp:inline distT="0" distB="0" distL="0" distR="0">
            <wp:extent cx="4993573" cy="2410690"/>
            <wp:effectExtent l="0" t="0" r="0" b="889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93640" cy="2410722"/>
                    </a:xfrm>
                    <a:prstGeom prst="rect">
                      <a:avLst/>
                    </a:prstGeom>
                    <a:noFill/>
                    <a:ln>
                      <a:noFill/>
                    </a:ln>
                  </pic:spPr>
                </pic:pic>
              </a:graphicData>
            </a:graphic>
          </wp:inline>
        </w:drawing>
      </w:r>
    </w:p>
    <w:p w:rsidR="00637246" w:rsidRPr="00C75C71" w:rsidRDefault="00637246" w:rsidP="00FC27CE">
      <w:pPr>
        <w:pStyle w:val="Bezodstpw"/>
        <w:jc w:val="both"/>
        <w:rPr>
          <w:rFonts w:ascii="Times New Roman" w:hAnsi="Times New Roman" w:cs="Times New Roman"/>
          <w:highlight w:val="yellow"/>
        </w:rPr>
      </w:pPr>
    </w:p>
    <w:p w:rsidR="008A2874" w:rsidRPr="00FC416D" w:rsidRDefault="00637246" w:rsidP="00FE08D7">
      <w:pPr>
        <w:pStyle w:val="Tekstpodstawowywcity"/>
        <w:pBdr>
          <w:bottom w:val="single" w:sz="4" w:space="1" w:color="auto"/>
        </w:pBdr>
        <w:shd w:val="clear" w:color="auto" w:fill="FFFFFF" w:themeFill="background1"/>
        <w:spacing w:after="0" w:line="240" w:lineRule="auto"/>
        <w:ind w:left="0"/>
        <w:jc w:val="both"/>
        <w:rPr>
          <w:rFonts w:ascii="Times New Roman" w:hAnsi="Times New Roman" w:cs="Times New Roman"/>
          <w:sz w:val="24"/>
          <w:szCs w:val="24"/>
        </w:rPr>
      </w:pPr>
      <w:r w:rsidRPr="00FC416D">
        <w:rPr>
          <w:rFonts w:ascii="Times New Roman" w:hAnsi="Times New Roman" w:cs="Times New Roman"/>
          <w:sz w:val="24"/>
          <w:szCs w:val="24"/>
        </w:rPr>
        <w:t>Wnioski:</w:t>
      </w:r>
    </w:p>
    <w:p w:rsidR="008A2874" w:rsidRPr="008F0FCD" w:rsidRDefault="008A2874" w:rsidP="008A2874">
      <w:pPr>
        <w:pStyle w:val="Tekstpodstawowywcity"/>
        <w:spacing w:after="0" w:line="360" w:lineRule="auto"/>
        <w:ind w:left="0"/>
        <w:jc w:val="both"/>
        <w:rPr>
          <w:rFonts w:ascii="Times New Roman" w:hAnsi="Times New Roman" w:cs="Times New Roman"/>
          <w:sz w:val="16"/>
          <w:szCs w:val="16"/>
        </w:rPr>
      </w:pPr>
      <w:r w:rsidRPr="008F0FCD">
        <w:rPr>
          <w:rFonts w:ascii="Times New Roman" w:hAnsi="Times New Roman" w:cs="Times New Roman"/>
          <w:sz w:val="16"/>
          <w:szCs w:val="16"/>
        </w:rPr>
        <w:t>(na podstawie danych</w:t>
      </w:r>
      <w:r w:rsidR="00AE5712" w:rsidRPr="008F0FCD">
        <w:rPr>
          <w:rFonts w:ascii="Times New Roman" w:hAnsi="Times New Roman" w:cs="Times New Roman"/>
          <w:sz w:val="16"/>
          <w:szCs w:val="16"/>
        </w:rPr>
        <w:t xml:space="preserve"> z </w:t>
      </w:r>
      <w:r w:rsidRPr="008F0FCD">
        <w:rPr>
          <w:rFonts w:ascii="Times New Roman" w:hAnsi="Times New Roman" w:cs="Times New Roman"/>
          <w:sz w:val="16"/>
          <w:szCs w:val="16"/>
        </w:rPr>
        <w:t xml:space="preserve">Tabeli </w:t>
      </w:r>
      <w:r w:rsidR="00FE08D7" w:rsidRPr="008F0FCD">
        <w:rPr>
          <w:rFonts w:ascii="Times New Roman" w:hAnsi="Times New Roman" w:cs="Times New Roman"/>
          <w:sz w:val="16"/>
          <w:szCs w:val="16"/>
        </w:rPr>
        <w:t>IX</w:t>
      </w:r>
      <w:r w:rsidR="00010B3D" w:rsidRPr="008F0FCD">
        <w:rPr>
          <w:rFonts w:ascii="Times New Roman" w:hAnsi="Times New Roman" w:cs="Times New Roman"/>
          <w:sz w:val="16"/>
          <w:szCs w:val="16"/>
        </w:rPr>
        <w:t>, XII, XIII i XIV a</w:t>
      </w:r>
      <w:r w:rsidRPr="008F0FCD">
        <w:rPr>
          <w:rFonts w:ascii="Times New Roman" w:hAnsi="Times New Roman" w:cs="Times New Roman"/>
          <w:sz w:val="16"/>
          <w:szCs w:val="16"/>
        </w:rPr>
        <w:t>)</w:t>
      </w:r>
    </w:p>
    <w:p w:rsidR="001B2026" w:rsidRPr="001E2754" w:rsidRDefault="00637246" w:rsidP="00160DBC">
      <w:pPr>
        <w:pStyle w:val="Tekstpodstawowywcity"/>
        <w:numPr>
          <w:ilvl w:val="0"/>
          <w:numId w:val="4"/>
        </w:numPr>
        <w:spacing w:after="0" w:line="360" w:lineRule="auto"/>
        <w:jc w:val="both"/>
        <w:rPr>
          <w:rFonts w:ascii="Times New Roman" w:hAnsi="Times New Roman" w:cs="Times New Roman"/>
          <w:sz w:val="24"/>
          <w:szCs w:val="24"/>
        </w:rPr>
      </w:pPr>
      <w:r w:rsidRPr="001E2754">
        <w:rPr>
          <w:rFonts w:ascii="Times New Roman" w:hAnsi="Times New Roman" w:cs="Times New Roman"/>
          <w:sz w:val="24"/>
          <w:szCs w:val="24"/>
        </w:rPr>
        <w:t>N</w:t>
      </w:r>
      <w:r w:rsidR="008A2874" w:rsidRPr="001E2754">
        <w:rPr>
          <w:rFonts w:ascii="Times New Roman" w:hAnsi="Times New Roman" w:cs="Times New Roman"/>
          <w:sz w:val="24"/>
          <w:szCs w:val="24"/>
        </w:rPr>
        <w:t>ajliczniejszą grupę wśród bezrobotnych</w:t>
      </w:r>
      <w:r w:rsidR="00A14ADC" w:rsidRPr="001E2754">
        <w:rPr>
          <w:rFonts w:ascii="Times New Roman" w:hAnsi="Times New Roman" w:cs="Times New Roman"/>
          <w:sz w:val="24"/>
          <w:szCs w:val="24"/>
        </w:rPr>
        <w:t xml:space="preserve"> – </w:t>
      </w:r>
      <w:r w:rsidR="008A2874" w:rsidRPr="001E2754">
        <w:rPr>
          <w:rFonts w:ascii="Times New Roman" w:hAnsi="Times New Roman" w:cs="Times New Roman"/>
          <w:sz w:val="24"/>
          <w:szCs w:val="24"/>
        </w:rPr>
        <w:t>stanowiły osoby</w:t>
      </w:r>
      <w:r w:rsidR="00AE5712" w:rsidRPr="001E2754">
        <w:rPr>
          <w:rFonts w:ascii="Times New Roman" w:hAnsi="Times New Roman" w:cs="Times New Roman"/>
          <w:sz w:val="24"/>
          <w:szCs w:val="24"/>
        </w:rPr>
        <w:t xml:space="preserve"> w </w:t>
      </w:r>
      <w:r w:rsidR="008A2874" w:rsidRPr="001E2754">
        <w:rPr>
          <w:rFonts w:ascii="Times New Roman" w:hAnsi="Times New Roman" w:cs="Times New Roman"/>
          <w:sz w:val="24"/>
          <w:szCs w:val="24"/>
        </w:rPr>
        <w:t xml:space="preserve">wieku od 25 do 34 lat </w:t>
      </w:r>
      <w:r w:rsidR="001B2026" w:rsidRPr="001E2754">
        <w:rPr>
          <w:rFonts w:ascii="Times New Roman" w:hAnsi="Times New Roman" w:cs="Times New Roman"/>
          <w:sz w:val="24"/>
          <w:szCs w:val="24"/>
        </w:rPr>
        <w:t>(</w:t>
      </w:r>
      <w:r w:rsidR="008A2874" w:rsidRPr="001E2754">
        <w:rPr>
          <w:rFonts w:ascii="Times New Roman" w:hAnsi="Times New Roman" w:cs="Times New Roman"/>
          <w:sz w:val="24"/>
          <w:szCs w:val="24"/>
        </w:rPr>
        <w:t>30,</w:t>
      </w:r>
      <w:r w:rsidR="00A14ADC" w:rsidRPr="001E2754">
        <w:rPr>
          <w:rFonts w:ascii="Times New Roman" w:hAnsi="Times New Roman" w:cs="Times New Roman"/>
          <w:sz w:val="24"/>
          <w:szCs w:val="24"/>
        </w:rPr>
        <w:t xml:space="preserve">2 </w:t>
      </w:r>
      <w:r w:rsidR="008A2874" w:rsidRPr="001E2754">
        <w:rPr>
          <w:rFonts w:ascii="Times New Roman" w:hAnsi="Times New Roman" w:cs="Times New Roman"/>
          <w:sz w:val="24"/>
          <w:szCs w:val="24"/>
        </w:rPr>
        <w:t>%</w:t>
      </w:r>
      <w:r w:rsidR="001B2026" w:rsidRPr="001E2754">
        <w:rPr>
          <w:rFonts w:ascii="Times New Roman" w:hAnsi="Times New Roman" w:cs="Times New Roman"/>
          <w:sz w:val="24"/>
          <w:szCs w:val="24"/>
        </w:rPr>
        <w:t>)</w:t>
      </w:r>
      <w:r w:rsidR="001E0D9D" w:rsidRPr="001E2754">
        <w:rPr>
          <w:rFonts w:ascii="Times New Roman" w:hAnsi="Times New Roman" w:cs="Times New Roman"/>
          <w:sz w:val="24"/>
          <w:szCs w:val="24"/>
        </w:rPr>
        <w:t>.</w:t>
      </w:r>
      <w:r w:rsidR="001B2026" w:rsidRPr="001E2754">
        <w:rPr>
          <w:rFonts w:ascii="Times New Roman" w:hAnsi="Times New Roman" w:cs="Times New Roman"/>
          <w:sz w:val="24"/>
          <w:szCs w:val="24"/>
        </w:rPr>
        <w:t xml:space="preserve"> </w:t>
      </w:r>
      <w:r w:rsidR="001E0D9D" w:rsidRPr="001E2754">
        <w:rPr>
          <w:rFonts w:ascii="Times New Roman" w:hAnsi="Times New Roman" w:cs="Times New Roman"/>
          <w:sz w:val="24"/>
          <w:szCs w:val="24"/>
        </w:rPr>
        <w:t>W</w:t>
      </w:r>
      <w:r w:rsidR="00AE5712" w:rsidRPr="001E2754">
        <w:rPr>
          <w:rFonts w:ascii="Times New Roman" w:hAnsi="Times New Roman" w:cs="Times New Roman"/>
          <w:sz w:val="24"/>
          <w:szCs w:val="24"/>
        </w:rPr>
        <w:t> </w:t>
      </w:r>
      <w:r w:rsidR="001B2026" w:rsidRPr="001E2754">
        <w:rPr>
          <w:rFonts w:ascii="Times New Roman" w:hAnsi="Times New Roman" w:cs="Times New Roman"/>
          <w:sz w:val="24"/>
          <w:szCs w:val="24"/>
        </w:rPr>
        <w:t>połączeniu</w:t>
      </w:r>
      <w:r w:rsidR="00AE5712" w:rsidRPr="001E2754">
        <w:rPr>
          <w:rFonts w:ascii="Times New Roman" w:hAnsi="Times New Roman" w:cs="Times New Roman"/>
          <w:sz w:val="24"/>
          <w:szCs w:val="24"/>
        </w:rPr>
        <w:t xml:space="preserve"> z </w:t>
      </w:r>
      <w:r w:rsidR="001B2026" w:rsidRPr="001E2754">
        <w:rPr>
          <w:rFonts w:ascii="Times New Roman" w:hAnsi="Times New Roman" w:cs="Times New Roman"/>
          <w:sz w:val="24"/>
          <w:szCs w:val="24"/>
        </w:rPr>
        <w:t>grupą osób</w:t>
      </w:r>
      <w:r w:rsidR="00AE5712" w:rsidRPr="001E2754">
        <w:rPr>
          <w:rFonts w:ascii="Times New Roman" w:hAnsi="Times New Roman" w:cs="Times New Roman"/>
          <w:sz w:val="24"/>
          <w:szCs w:val="24"/>
        </w:rPr>
        <w:t xml:space="preserve"> w </w:t>
      </w:r>
      <w:r w:rsidR="001B2026" w:rsidRPr="001E2754">
        <w:rPr>
          <w:rFonts w:ascii="Times New Roman" w:hAnsi="Times New Roman" w:cs="Times New Roman"/>
          <w:sz w:val="24"/>
          <w:szCs w:val="24"/>
        </w:rPr>
        <w:t>wieku od 18 do 24 roku życia (1</w:t>
      </w:r>
      <w:r w:rsidR="00A14ADC" w:rsidRPr="001E2754">
        <w:rPr>
          <w:rFonts w:ascii="Times New Roman" w:hAnsi="Times New Roman" w:cs="Times New Roman"/>
          <w:sz w:val="24"/>
          <w:szCs w:val="24"/>
        </w:rPr>
        <w:t>3</w:t>
      </w:r>
      <w:r w:rsidR="001B2026" w:rsidRPr="001E2754">
        <w:rPr>
          <w:rFonts w:ascii="Times New Roman" w:hAnsi="Times New Roman" w:cs="Times New Roman"/>
          <w:sz w:val="24"/>
          <w:szCs w:val="24"/>
        </w:rPr>
        <w:t>,</w:t>
      </w:r>
      <w:r w:rsidR="00A14ADC" w:rsidRPr="001E2754">
        <w:rPr>
          <w:rFonts w:ascii="Times New Roman" w:hAnsi="Times New Roman" w:cs="Times New Roman"/>
          <w:sz w:val="24"/>
          <w:szCs w:val="24"/>
        </w:rPr>
        <w:t xml:space="preserve">8 </w:t>
      </w:r>
      <w:r w:rsidR="001B2026" w:rsidRPr="001E2754">
        <w:rPr>
          <w:rFonts w:ascii="Times New Roman" w:hAnsi="Times New Roman" w:cs="Times New Roman"/>
          <w:sz w:val="24"/>
          <w:szCs w:val="24"/>
        </w:rPr>
        <w:t xml:space="preserve">%) </w:t>
      </w:r>
      <w:r w:rsidR="001E2754" w:rsidRPr="001E2754">
        <w:rPr>
          <w:rFonts w:ascii="Times New Roman" w:hAnsi="Times New Roman" w:cs="Times New Roman"/>
          <w:sz w:val="24"/>
          <w:szCs w:val="24"/>
        </w:rPr>
        <w:t>jest to</w:t>
      </w:r>
      <w:r w:rsidR="001B2026" w:rsidRPr="001E2754">
        <w:rPr>
          <w:rFonts w:ascii="Times New Roman" w:hAnsi="Times New Roman" w:cs="Times New Roman"/>
          <w:sz w:val="24"/>
          <w:szCs w:val="24"/>
        </w:rPr>
        <w:t xml:space="preserve"> 4</w:t>
      </w:r>
      <w:r w:rsidR="003D430B" w:rsidRPr="001E2754">
        <w:rPr>
          <w:rFonts w:ascii="Times New Roman" w:hAnsi="Times New Roman" w:cs="Times New Roman"/>
          <w:sz w:val="24"/>
          <w:szCs w:val="24"/>
        </w:rPr>
        <w:t>4</w:t>
      </w:r>
      <w:r w:rsidR="001B2026" w:rsidRPr="001E2754">
        <w:rPr>
          <w:rFonts w:ascii="Times New Roman" w:hAnsi="Times New Roman" w:cs="Times New Roman"/>
          <w:sz w:val="24"/>
          <w:szCs w:val="24"/>
        </w:rPr>
        <w:t>,</w:t>
      </w:r>
      <w:r w:rsidR="00A14ADC" w:rsidRPr="001E2754">
        <w:rPr>
          <w:rFonts w:ascii="Times New Roman" w:hAnsi="Times New Roman" w:cs="Times New Roman"/>
          <w:sz w:val="24"/>
          <w:szCs w:val="24"/>
        </w:rPr>
        <w:t xml:space="preserve">0 </w:t>
      </w:r>
      <w:r w:rsidR="001B2026" w:rsidRPr="001E2754">
        <w:rPr>
          <w:rFonts w:ascii="Times New Roman" w:hAnsi="Times New Roman" w:cs="Times New Roman"/>
          <w:sz w:val="24"/>
          <w:szCs w:val="24"/>
        </w:rPr>
        <w:t>% os</w:t>
      </w:r>
      <w:r w:rsidR="003D430B" w:rsidRPr="001E2754">
        <w:rPr>
          <w:rFonts w:ascii="Times New Roman" w:hAnsi="Times New Roman" w:cs="Times New Roman"/>
          <w:sz w:val="24"/>
          <w:szCs w:val="24"/>
        </w:rPr>
        <w:t>ó</w:t>
      </w:r>
      <w:r w:rsidR="001B2026" w:rsidRPr="001E2754">
        <w:rPr>
          <w:rFonts w:ascii="Times New Roman" w:hAnsi="Times New Roman" w:cs="Times New Roman"/>
          <w:sz w:val="24"/>
          <w:szCs w:val="24"/>
        </w:rPr>
        <w:t>b młod</w:t>
      </w:r>
      <w:r w:rsidR="003D430B" w:rsidRPr="001E2754">
        <w:rPr>
          <w:rFonts w:ascii="Times New Roman" w:hAnsi="Times New Roman" w:cs="Times New Roman"/>
          <w:sz w:val="24"/>
          <w:szCs w:val="24"/>
        </w:rPr>
        <w:t>ych. Stanowią one</w:t>
      </w:r>
      <w:r w:rsidR="001E2754" w:rsidRPr="001E2754">
        <w:rPr>
          <w:rFonts w:ascii="Times New Roman" w:hAnsi="Times New Roman" w:cs="Times New Roman"/>
          <w:sz w:val="24"/>
          <w:szCs w:val="24"/>
        </w:rPr>
        <w:t xml:space="preserve"> </w:t>
      </w:r>
      <w:r w:rsidR="003D430B" w:rsidRPr="001E2754">
        <w:rPr>
          <w:rFonts w:ascii="Times New Roman" w:hAnsi="Times New Roman" w:cs="Times New Roman"/>
          <w:sz w:val="24"/>
          <w:szCs w:val="24"/>
        </w:rPr>
        <w:t xml:space="preserve">mniej niż </w:t>
      </w:r>
      <w:r w:rsidR="006C3BA3" w:rsidRPr="001E2754">
        <w:rPr>
          <w:rFonts w:ascii="Times New Roman" w:hAnsi="Times New Roman" w:cs="Times New Roman"/>
          <w:sz w:val="24"/>
          <w:szCs w:val="24"/>
        </w:rPr>
        <w:t xml:space="preserve">½ ogółu </w:t>
      </w:r>
      <w:r w:rsidR="001B2026" w:rsidRPr="001E2754">
        <w:rPr>
          <w:rFonts w:ascii="Times New Roman" w:hAnsi="Times New Roman" w:cs="Times New Roman"/>
          <w:sz w:val="24"/>
          <w:szCs w:val="24"/>
        </w:rPr>
        <w:t>bezrobotnych</w:t>
      </w:r>
      <w:r w:rsidRPr="001E2754">
        <w:rPr>
          <w:rFonts w:ascii="Times New Roman" w:hAnsi="Times New Roman" w:cs="Times New Roman"/>
          <w:sz w:val="24"/>
          <w:szCs w:val="24"/>
        </w:rPr>
        <w:t>.</w:t>
      </w:r>
    </w:p>
    <w:p w:rsidR="00680DF0" w:rsidRDefault="00637246" w:rsidP="00160DBC">
      <w:pPr>
        <w:pStyle w:val="Tekstpodstawowywcity"/>
        <w:numPr>
          <w:ilvl w:val="0"/>
          <w:numId w:val="4"/>
        </w:numPr>
        <w:spacing w:after="0" w:line="360" w:lineRule="auto"/>
        <w:jc w:val="both"/>
        <w:rPr>
          <w:rFonts w:ascii="Times New Roman" w:hAnsi="Times New Roman" w:cs="Times New Roman"/>
          <w:sz w:val="24"/>
          <w:szCs w:val="24"/>
        </w:rPr>
      </w:pPr>
      <w:r w:rsidRPr="00680DF0">
        <w:rPr>
          <w:rFonts w:ascii="Times New Roman" w:hAnsi="Times New Roman" w:cs="Times New Roman"/>
          <w:sz w:val="24"/>
          <w:szCs w:val="24"/>
        </w:rPr>
        <w:t>Z</w:t>
      </w:r>
      <w:r w:rsidR="001B2026" w:rsidRPr="00680DF0">
        <w:rPr>
          <w:rFonts w:ascii="Times New Roman" w:hAnsi="Times New Roman" w:cs="Times New Roman"/>
          <w:sz w:val="24"/>
          <w:szCs w:val="24"/>
        </w:rPr>
        <w:t xml:space="preserve"> porównania </w:t>
      </w:r>
      <w:r w:rsidR="003D430B" w:rsidRPr="00680DF0">
        <w:rPr>
          <w:rFonts w:ascii="Times New Roman" w:hAnsi="Times New Roman" w:cs="Times New Roman"/>
          <w:sz w:val="24"/>
          <w:szCs w:val="24"/>
        </w:rPr>
        <w:t xml:space="preserve">ilości </w:t>
      </w:r>
      <w:r w:rsidR="001B2026" w:rsidRPr="00680DF0">
        <w:rPr>
          <w:rFonts w:ascii="Times New Roman" w:hAnsi="Times New Roman" w:cs="Times New Roman"/>
          <w:sz w:val="24"/>
          <w:szCs w:val="24"/>
        </w:rPr>
        <w:t>osób</w:t>
      </w:r>
      <w:r w:rsidR="00A51FE0" w:rsidRPr="00680DF0">
        <w:rPr>
          <w:rFonts w:ascii="Times New Roman" w:hAnsi="Times New Roman" w:cs="Times New Roman"/>
          <w:sz w:val="24"/>
          <w:szCs w:val="24"/>
        </w:rPr>
        <w:t xml:space="preserve"> </w:t>
      </w:r>
      <w:r w:rsidR="003D430B" w:rsidRPr="00680DF0">
        <w:rPr>
          <w:rFonts w:ascii="Times New Roman" w:hAnsi="Times New Roman" w:cs="Times New Roman"/>
          <w:sz w:val="24"/>
          <w:szCs w:val="24"/>
        </w:rPr>
        <w:t>w</w:t>
      </w:r>
      <w:r w:rsidR="00A51FE0" w:rsidRPr="00680DF0">
        <w:rPr>
          <w:rFonts w:ascii="Times New Roman" w:hAnsi="Times New Roman" w:cs="Times New Roman"/>
          <w:sz w:val="24"/>
          <w:szCs w:val="24"/>
        </w:rPr>
        <w:t xml:space="preserve"> </w:t>
      </w:r>
      <w:r w:rsidR="001B2026" w:rsidRPr="00680DF0">
        <w:rPr>
          <w:rFonts w:ascii="Times New Roman" w:hAnsi="Times New Roman" w:cs="Times New Roman"/>
          <w:sz w:val="24"/>
          <w:szCs w:val="24"/>
        </w:rPr>
        <w:t xml:space="preserve">poszczególnych </w:t>
      </w:r>
      <w:r w:rsidR="0038750B">
        <w:rPr>
          <w:rFonts w:ascii="Times New Roman" w:hAnsi="Times New Roman" w:cs="Times New Roman"/>
          <w:sz w:val="24"/>
          <w:szCs w:val="24"/>
        </w:rPr>
        <w:t xml:space="preserve">kategoriach i w </w:t>
      </w:r>
      <w:r w:rsidR="003D430B" w:rsidRPr="00680DF0">
        <w:rPr>
          <w:rFonts w:ascii="Times New Roman" w:hAnsi="Times New Roman" w:cs="Times New Roman"/>
          <w:sz w:val="24"/>
          <w:szCs w:val="24"/>
        </w:rPr>
        <w:t xml:space="preserve">„ogółem” </w:t>
      </w:r>
      <w:r w:rsidR="001E0D9D">
        <w:rPr>
          <w:rFonts w:ascii="Times New Roman" w:hAnsi="Times New Roman" w:cs="Times New Roman"/>
          <w:sz w:val="24"/>
          <w:szCs w:val="24"/>
        </w:rPr>
        <w:t>(</w:t>
      </w:r>
      <w:r w:rsidR="0038750B">
        <w:rPr>
          <w:rFonts w:ascii="Times New Roman" w:hAnsi="Times New Roman" w:cs="Times New Roman"/>
          <w:sz w:val="24"/>
          <w:szCs w:val="24"/>
        </w:rPr>
        <w:t>rdr.</w:t>
      </w:r>
      <w:r w:rsidR="001E0D9D">
        <w:rPr>
          <w:rFonts w:ascii="Times New Roman" w:hAnsi="Times New Roman" w:cs="Times New Roman"/>
          <w:sz w:val="24"/>
          <w:szCs w:val="24"/>
        </w:rPr>
        <w:t>)</w:t>
      </w:r>
      <w:r w:rsidR="0038750B">
        <w:rPr>
          <w:rFonts w:ascii="Times New Roman" w:hAnsi="Times New Roman" w:cs="Times New Roman"/>
          <w:sz w:val="24"/>
          <w:szCs w:val="24"/>
        </w:rPr>
        <w:t xml:space="preserve"> można zaobserwować </w:t>
      </w:r>
      <w:r w:rsidR="003D430B" w:rsidRPr="00680DF0">
        <w:rPr>
          <w:rFonts w:ascii="Times New Roman" w:hAnsi="Times New Roman" w:cs="Times New Roman"/>
          <w:sz w:val="24"/>
          <w:szCs w:val="24"/>
        </w:rPr>
        <w:t>spadek liczby osób</w:t>
      </w:r>
      <w:r w:rsidR="0038750B">
        <w:rPr>
          <w:rFonts w:ascii="Times New Roman" w:hAnsi="Times New Roman" w:cs="Times New Roman"/>
          <w:sz w:val="24"/>
          <w:szCs w:val="24"/>
        </w:rPr>
        <w:t xml:space="preserve"> w „ogółem” i </w:t>
      </w:r>
      <w:r w:rsidR="001E0D9D">
        <w:rPr>
          <w:rFonts w:ascii="Times New Roman" w:hAnsi="Times New Roman" w:cs="Times New Roman"/>
          <w:sz w:val="24"/>
          <w:szCs w:val="24"/>
        </w:rPr>
        <w:t>w</w:t>
      </w:r>
      <w:r w:rsidR="0038750B">
        <w:rPr>
          <w:rFonts w:ascii="Times New Roman" w:hAnsi="Times New Roman" w:cs="Times New Roman"/>
          <w:sz w:val="24"/>
          <w:szCs w:val="24"/>
        </w:rPr>
        <w:t xml:space="preserve"> każd</w:t>
      </w:r>
      <w:r w:rsidR="001E0D9D">
        <w:rPr>
          <w:rFonts w:ascii="Times New Roman" w:hAnsi="Times New Roman" w:cs="Times New Roman"/>
          <w:sz w:val="24"/>
          <w:szCs w:val="24"/>
        </w:rPr>
        <w:t>ym</w:t>
      </w:r>
      <w:r w:rsidR="0038750B">
        <w:rPr>
          <w:rFonts w:ascii="Times New Roman" w:hAnsi="Times New Roman" w:cs="Times New Roman"/>
          <w:sz w:val="24"/>
          <w:szCs w:val="24"/>
        </w:rPr>
        <w:t xml:space="preserve"> przedzia</w:t>
      </w:r>
      <w:r w:rsidR="001E0D9D">
        <w:rPr>
          <w:rFonts w:ascii="Times New Roman" w:hAnsi="Times New Roman" w:cs="Times New Roman"/>
          <w:sz w:val="24"/>
          <w:szCs w:val="24"/>
        </w:rPr>
        <w:t>le</w:t>
      </w:r>
      <w:r w:rsidR="0038750B">
        <w:rPr>
          <w:rFonts w:ascii="Times New Roman" w:hAnsi="Times New Roman" w:cs="Times New Roman"/>
          <w:sz w:val="24"/>
          <w:szCs w:val="24"/>
        </w:rPr>
        <w:t xml:space="preserve"> wieku</w:t>
      </w:r>
      <w:r w:rsidRPr="00680DF0">
        <w:rPr>
          <w:rFonts w:ascii="Times New Roman" w:hAnsi="Times New Roman" w:cs="Times New Roman"/>
          <w:sz w:val="24"/>
          <w:szCs w:val="24"/>
        </w:rPr>
        <w:t>.</w:t>
      </w:r>
    </w:p>
    <w:p w:rsidR="002230D7" w:rsidRDefault="003D430B" w:rsidP="001E0D9D">
      <w:pPr>
        <w:pStyle w:val="Tekstpodstawowywcity"/>
        <w:numPr>
          <w:ilvl w:val="0"/>
          <w:numId w:val="4"/>
        </w:numPr>
        <w:spacing w:after="0" w:line="360" w:lineRule="auto"/>
        <w:jc w:val="both"/>
        <w:rPr>
          <w:rFonts w:ascii="Times New Roman" w:hAnsi="Times New Roman" w:cs="Times New Roman"/>
          <w:sz w:val="24"/>
          <w:szCs w:val="24"/>
        </w:rPr>
      </w:pPr>
      <w:r w:rsidRPr="001E0D9D">
        <w:rPr>
          <w:rFonts w:ascii="Times New Roman" w:hAnsi="Times New Roman" w:cs="Times New Roman"/>
          <w:sz w:val="24"/>
          <w:szCs w:val="24"/>
        </w:rPr>
        <w:t xml:space="preserve">Porównując przekrój bezrobotnych wg wieku – </w:t>
      </w:r>
      <w:r w:rsidR="0038750B" w:rsidRPr="001E0D9D">
        <w:rPr>
          <w:rFonts w:ascii="Times New Roman" w:hAnsi="Times New Roman" w:cs="Times New Roman"/>
          <w:sz w:val="24"/>
          <w:szCs w:val="24"/>
        </w:rPr>
        <w:t xml:space="preserve">rozkład wartości procentowych jest podobny, a </w:t>
      </w:r>
      <w:r w:rsidRPr="001E0D9D">
        <w:rPr>
          <w:rFonts w:ascii="Times New Roman" w:hAnsi="Times New Roman" w:cs="Times New Roman"/>
          <w:sz w:val="24"/>
          <w:szCs w:val="24"/>
        </w:rPr>
        <w:t>kumulacj</w:t>
      </w:r>
      <w:r w:rsidR="0038750B" w:rsidRPr="001E0D9D">
        <w:rPr>
          <w:rFonts w:ascii="Times New Roman" w:hAnsi="Times New Roman" w:cs="Times New Roman"/>
          <w:sz w:val="24"/>
          <w:szCs w:val="24"/>
        </w:rPr>
        <w:t>e</w:t>
      </w:r>
      <w:r w:rsidRPr="001E0D9D">
        <w:rPr>
          <w:rFonts w:ascii="Times New Roman" w:hAnsi="Times New Roman" w:cs="Times New Roman"/>
          <w:sz w:val="24"/>
          <w:szCs w:val="24"/>
        </w:rPr>
        <w:t xml:space="preserve"> </w:t>
      </w:r>
      <w:r w:rsidR="0038750B" w:rsidRPr="001E0D9D">
        <w:rPr>
          <w:rFonts w:ascii="Times New Roman" w:hAnsi="Times New Roman" w:cs="Times New Roman"/>
          <w:sz w:val="24"/>
          <w:szCs w:val="24"/>
        </w:rPr>
        <w:t xml:space="preserve">dotyczą </w:t>
      </w:r>
      <w:r w:rsidRPr="001E0D9D">
        <w:rPr>
          <w:rFonts w:ascii="Times New Roman" w:hAnsi="Times New Roman" w:cs="Times New Roman"/>
          <w:sz w:val="24"/>
          <w:szCs w:val="24"/>
        </w:rPr>
        <w:t xml:space="preserve">tych samych </w:t>
      </w:r>
      <w:r w:rsidR="00366F31" w:rsidRPr="001E0D9D">
        <w:rPr>
          <w:rFonts w:ascii="Times New Roman" w:hAnsi="Times New Roman" w:cs="Times New Roman"/>
          <w:sz w:val="24"/>
          <w:szCs w:val="24"/>
        </w:rPr>
        <w:t>przedziałów (petryfikacja struktury)</w:t>
      </w:r>
      <w:r w:rsidRPr="001E0D9D">
        <w:rPr>
          <w:rFonts w:ascii="Times New Roman" w:hAnsi="Times New Roman" w:cs="Times New Roman"/>
          <w:sz w:val="24"/>
          <w:szCs w:val="24"/>
        </w:rPr>
        <w:t>.</w:t>
      </w:r>
    </w:p>
    <w:p w:rsidR="00680DF0" w:rsidRPr="001E0D9D" w:rsidRDefault="00680DF0" w:rsidP="001E0D9D">
      <w:pPr>
        <w:pStyle w:val="Tekstpodstawowywcity"/>
        <w:numPr>
          <w:ilvl w:val="0"/>
          <w:numId w:val="4"/>
        </w:numPr>
        <w:spacing w:after="0" w:line="360" w:lineRule="auto"/>
        <w:jc w:val="both"/>
        <w:rPr>
          <w:rFonts w:ascii="Times New Roman" w:hAnsi="Times New Roman" w:cs="Times New Roman"/>
          <w:sz w:val="24"/>
          <w:szCs w:val="24"/>
        </w:rPr>
      </w:pPr>
      <w:r w:rsidRPr="001E0D9D">
        <w:rPr>
          <w:rFonts w:ascii="Times New Roman" w:hAnsi="Times New Roman" w:cs="Times New Roman"/>
          <w:sz w:val="24"/>
          <w:szCs w:val="24"/>
        </w:rPr>
        <w:br w:type="page"/>
      </w:r>
    </w:p>
    <w:p w:rsidR="00DC3058" w:rsidRDefault="00680DF0" w:rsidP="00AC2808">
      <w:pPr>
        <w:spacing w:after="0" w:line="240" w:lineRule="auto"/>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80DF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 xml:space="preserve">WYkres </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8</w:t>
      </w:r>
      <w:r w:rsidRPr="00680DF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DC3058">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Bezrobotni wg wieku a </w:t>
      </w:r>
      <w:r w:rsidR="00AC2808">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czas pozostawania bez pracy.</w:t>
      </w:r>
      <w:r w:rsidR="00DC3058">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C2808">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Kumulacje </w:t>
      </w:r>
      <w:r w:rsidR="00A8401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 </w:t>
      </w:r>
      <w:r w:rsidR="00AC2808">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przedział</w:t>
      </w:r>
      <w:r w:rsidR="00A8401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ach</w:t>
      </w:r>
    </w:p>
    <w:p w:rsidR="00680DF0" w:rsidRPr="00680DF0" w:rsidRDefault="00DC3058" w:rsidP="00DC3058">
      <w:pPr>
        <w:spacing w:after="0" w:line="240" w:lineRule="auto"/>
        <w:rPr>
          <w:rFonts w:ascii="Times New Roman" w:hAnsi="Times New Roman" w:cs="Times New Roman"/>
          <w:sz w:val="24"/>
          <w:szCs w:val="24"/>
        </w:rPr>
      </w:pP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BB491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C2808">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wieku </w:t>
      </w:r>
      <w:r w:rsidR="00A8401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i </w:t>
      </w:r>
      <w:r w:rsidR="002E0F3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t>
      </w:r>
      <w:r w:rsidR="00DD160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w:t>
      </w:r>
      <w:r w:rsidR="002E0F3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czasu pozostaw</w:t>
      </w:r>
      <w:r w:rsidR="00DD160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ania bez pracy</w:t>
      </w:r>
      <w:r w:rsidR="002E0F3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680DF0" w:rsidRDefault="00680DF0" w:rsidP="00680DF0">
      <w:pPr>
        <w:pStyle w:val="Tekstpodstawowywcity"/>
        <w:spacing w:after="0" w:line="360" w:lineRule="auto"/>
        <w:jc w:val="both"/>
        <w:rPr>
          <w:rFonts w:ascii="Times New Roman" w:hAnsi="Times New Roman" w:cs="Times New Roman"/>
          <w:sz w:val="24"/>
          <w:szCs w:val="24"/>
        </w:rPr>
      </w:pPr>
      <w:r>
        <w:rPr>
          <w:noProof/>
          <w:lang w:eastAsia="pl-PL"/>
        </w:rPr>
        <w:drawing>
          <wp:inline distT="0" distB="0" distL="0" distR="0" wp14:anchorId="779E4FC0" wp14:editId="688E8225">
            <wp:extent cx="5759532" cy="2018805"/>
            <wp:effectExtent l="0" t="0" r="0" b="635"/>
            <wp:docPr id="716" name="Wykres 7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C2808" w:rsidRPr="00FC416D" w:rsidRDefault="00AC2808" w:rsidP="00AC2808">
      <w:pPr>
        <w:pStyle w:val="Tekstpodstawowywcity"/>
        <w:pBdr>
          <w:bottom w:val="single" w:sz="4" w:space="1" w:color="auto"/>
        </w:pBdr>
        <w:shd w:val="clear" w:color="auto" w:fill="FFFFFF" w:themeFill="background1"/>
        <w:spacing w:after="0" w:line="240" w:lineRule="auto"/>
        <w:ind w:left="0"/>
        <w:jc w:val="both"/>
        <w:rPr>
          <w:rFonts w:ascii="Times New Roman" w:hAnsi="Times New Roman" w:cs="Times New Roman"/>
          <w:sz w:val="24"/>
          <w:szCs w:val="24"/>
        </w:rPr>
      </w:pPr>
      <w:r w:rsidRPr="00FC416D">
        <w:rPr>
          <w:rFonts w:ascii="Times New Roman" w:hAnsi="Times New Roman" w:cs="Times New Roman"/>
          <w:sz w:val="24"/>
          <w:szCs w:val="24"/>
        </w:rPr>
        <w:t>Wnioski:</w:t>
      </w:r>
    </w:p>
    <w:p w:rsidR="00AC2808" w:rsidRPr="008F0FCD" w:rsidRDefault="00AC2808" w:rsidP="00AC2808">
      <w:pPr>
        <w:pStyle w:val="Tekstpodstawowywcity"/>
        <w:spacing w:after="0" w:line="360" w:lineRule="auto"/>
        <w:ind w:left="0"/>
        <w:jc w:val="both"/>
        <w:rPr>
          <w:rFonts w:ascii="Times New Roman" w:hAnsi="Times New Roman" w:cs="Times New Roman"/>
          <w:sz w:val="16"/>
          <w:szCs w:val="16"/>
        </w:rPr>
      </w:pPr>
      <w:r w:rsidRPr="008F0FCD">
        <w:rPr>
          <w:rFonts w:ascii="Times New Roman" w:hAnsi="Times New Roman" w:cs="Times New Roman"/>
          <w:sz w:val="16"/>
          <w:szCs w:val="16"/>
        </w:rPr>
        <w:t>(na podstawie wykresu 8)</w:t>
      </w:r>
    </w:p>
    <w:p w:rsidR="005C433A" w:rsidRPr="00653241" w:rsidRDefault="001E2754" w:rsidP="00160DBC">
      <w:pPr>
        <w:pStyle w:val="Tekstpodstawowywcity"/>
        <w:numPr>
          <w:ilvl w:val="0"/>
          <w:numId w:val="4"/>
        </w:numPr>
        <w:spacing w:after="0" w:line="360" w:lineRule="auto"/>
        <w:jc w:val="both"/>
        <w:rPr>
          <w:rFonts w:ascii="Times New Roman" w:hAnsi="Times New Roman" w:cs="Times New Roman"/>
          <w:sz w:val="24"/>
          <w:szCs w:val="24"/>
        </w:rPr>
      </w:pPr>
      <w:r w:rsidRPr="001E2754">
        <w:rPr>
          <w:rFonts w:ascii="Times New Roman" w:hAnsi="Times New Roman" w:cs="Times New Roman"/>
          <w:b/>
          <w:sz w:val="24"/>
          <w:szCs w:val="24"/>
        </w:rPr>
        <w:t>Wiek a czas pozostawania bez pracy</w:t>
      </w:r>
      <w:r>
        <w:rPr>
          <w:rFonts w:ascii="Times New Roman" w:hAnsi="Times New Roman" w:cs="Times New Roman"/>
          <w:sz w:val="24"/>
          <w:szCs w:val="24"/>
        </w:rPr>
        <w:t xml:space="preserve">. </w:t>
      </w:r>
      <w:r w:rsidR="00095CCA" w:rsidRPr="00653241">
        <w:rPr>
          <w:rFonts w:ascii="Times New Roman" w:hAnsi="Times New Roman" w:cs="Times New Roman"/>
          <w:sz w:val="24"/>
          <w:szCs w:val="24"/>
        </w:rPr>
        <w:t xml:space="preserve">W grupie </w:t>
      </w:r>
      <w:r w:rsidR="003E7943" w:rsidRPr="00653241">
        <w:rPr>
          <w:rFonts w:ascii="Times New Roman" w:hAnsi="Times New Roman" w:cs="Times New Roman"/>
          <w:sz w:val="24"/>
          <w:szCs w:val="24"/>
        </w:rPr>
        <w:t xml:space="preserve">długotrwale bezrobotnych </w:t>
      </w:r>
      <w:r w:rsidR="00AC2808" w:rsidRPr="00653241">
        <w:rPr>
          <w:rFonts w:ascii="Times New Roman" w:hAnsi="Times New Roman" w:cs="Times New Roman"/>
          <w:sz w:val="24"/>
          <w:szCs w:val="24"/>
        </w:rPr>
        <w:t xml:space="preserve">kumulacje to przedział </w:t>
      </w:r>
      <w:r w:rsidR="005C433A" w:rsidRPr="00653241">
        <w:rPr>
          <w:rFonts w:ascii="Times New Roman" w:hAnsi="Times New Roman" w:cs="Times New Roman"/>
          <w:sz w:val="24"/>
          <w:szCs w:val="24"/>
        </w:rPr>
        <w:t xml:space="preserve">od </w:t>
      </w:r>
      <w:r w:rsidR="00AC2808" w:rsidRPr="00653241">
        <w:rPr>
          <w:rFonts w:ascii="Times New Roman" w:hAnsi="Times New Roman" w:cs="Times New Roman"/>
          <w:sz w:val="24"/>
          <w:szCs w:val="24"/>
        </w:rPr>
        <w:t>35</w:t>
      </w:r>
      <w:r w:rsidR="005C433A" w:rsidRPr="00653241">
        <w:rPr>
          <w:rFonts w:ascii="Times New Roman" w:hAnsi="Times New Roman" w:cs="Times New Roman"/>
          <w:sz w:val="24"/>
          <w:szCs w:val="24"/>
        </w:rPr>
        <w:t xml:space="preserve"> do </w:t>
      </w:r>
      <w:r w:rsidR="00AC2808" w:rsidRPr="00653241">
        <w:rPr>
          <w:rFonts w:ascii="Times New Roman" w:hAnsi="Times New Roman" w:cs="Times New Roman"/>
          <w:sz w:val="24"/>
          <w:szCs w:val="24"/>
        </w:rPr>
        <w:t>54 lat</w:t>
      </w:r>
      <w:r w:rsidR="005C433A" w:rsidRPr="00653241">
        <w:rPr>
          <w:rFonts w:ascii="Times New Roman" w:hAnsi="Times New Roman" w:cs="Times New Roman"/>
          <w:sz w:val="24"/>
          <w:szCs w:val="24"/>
        </w:rPr>
        <w:t xml:space="preserve"> (17 511)</w:t>
      </w:r>
      <w:r w:rsidR="00A84017" w:rsidRPr="00653241">
        <w:rPr>
          <w:rFonts w:ascii="Times New Roman" w:hAnsi="Times New Roman" w:cs="Times New Roman"/>
          <w:sz w:val="24"/>
          <w:szCs w:val="24"/>
        </w:rPr>
        <w:t>, a</w:t>
      </w:r>
      <w:r w:rsidR="005234B9">
        <w:rPr>
          <w:rFonts w:ascii="Times New Roman" w:hAnsi="Times New Roman" w:cs="Times New Roman"/>
          <w:sz w:val="24"/>
          <w:szCs w:val="24"/>
        </w:rPr>
        <w:t> </w:t>
      </w:r>
      <w:r w:rsidR="00A84017" w:rsidRPr="00653241">
        <w:rPr>
          <w:rFonts w:ascii="Times New Roman" w:hAnsi="Times New Roman" w:cs="Times New Roman"/>
          <w:sz w:val="24"/>
          <w:szCs w:val="24"/>
        </w:rPr>
        <w:t>wśród krótkotrwale</w:t>
      </w:r>
      <w:r w:rsidR="00653241" w:rsidRPr="00653241">
        <w:rPr>
          <w:rFonts w:ascii="Times New Roman" w:hAnsi="Times New Roman" w:cs="Times New Roman"/>
          <w:sz w:val="24"/>
          <w:szCs w:val="24"/>
        </w:rPr>
        <w:t xml:space="preserve"> – </w:t>
      </w:r>
      <w:r w:rsidR="00653241">
        <w:rPr>
          <w:rFonts w:ascii="Times New Roman" w:hAnsi="Times New Roman" w:cs="Times New Roman"/>
          <w:sz w:val="24"/>
          <w:szCs w:val="24"/>
        </w:rPr>
        <w:t>o</w:t>
      </w:r>
      <w:r w:rsidR="00A84017" w:rsidRPr="00653241">
        <w:rPr>
          <w:rFonts w:ascii="Times New Roman" w:hAnsi="Times New Roman" w:cs="Times New Roman"/>
          <w:sz w:val="24"/>
          <w:szCs w:val="24"/>
        </w:rPr>
        <w:t>d 18 do 34 lat (23 821)</w:t>
      </w:r>
      <w:r w:rsidR="00AC2808" w:rsidRPr="00653241">
        <w:rPr>
          <w:rFonts w:ascii="Times New Roman" w:hAnsi="Times New Roman" w:cs="Times New Roman"/>
          <w:sz w:val="24"/>
          <w:szCs w:val="24"/>
        </w:rPr>
        <w:t>.</w:t>
      </w:r>
    </w:p>
    <w:p w:rsidR="008A2874" w:rsidRPr="008E730E" w:rsidRDefault="00AC2808" w:rsidP="00160DBC">
      <w:pPr>
        <w:pStyle w:val="Tekstpodstawowywcity"/>
        <w:numPr>
          <w:ilvl w:val="0"/>
          <w:numId w:val="4"/>
        </w:numPr>
        <w:spacing w:after="0" w:line="360" w:lineRule="auto"/>
        <w:jc w:val="both"/>
        <w:rPr>
          <w:rFonts w:ascii="Times New Roman" w:hAnsi="Times New Roman" w:cs="Times New Roman"/>
          <w:sz w:val="24"/>
          <w:szCs w:val="24"/>
        </w:rPr>
      </w:pPr>
      <w:r w:rsidRPr="008E730E">
        <w:rPr>
          <w:rFonts w:ascii="Times New Roman" w:hAnsi="Times New Roman" w:cs="Times New Roman"/>
          <w:sz w:val="24"/>
          <w:szCs w:val="24"/>
        </w:rPr>
        <w:t xml:space="preserve">Znaczny wzrost ilości bezrobotnych </w:t>
      </w:r>
      <w:r w:rsidR="005C433A" w:rsidRPr="008E730E">
        <w:rPr>
          <w:rFonts w:ascii="Times New Roman" w:hAnsi="Times New Roman" w:cs="Times New Roman"/>
          <w:sz w:val="24"/>
          <w:szCs w:val="24"/>
        </w:rPr>
        <w:t xml:space="preserve">długotrwale (powyżej 12 miesięcy) </w:t>
      </w:r>
      <w:r w:rsidR="00A84017" w:rsidRPr="008E730E">
        <w:rPr>
          <w:rFonts w:ascii="Times New Roman" w:hAnsi="Times New Roman" w:cs="Times New Roman"/>
          <w:sz w:val="24"/>
          <w:szCs w:val="24"/>
        </w:rPr>
        <w:t>[</w:t>
      </w:r>
      <w:r w:rsidRPr="008E730E">
        <w:rPr>
          <w:rFonts w:ascii="Times New Roman" w:hAnsi="Times New Roman" w:cs="Times New Roman"/>
          <w:sz w:val="24"/>
          <w:szCs w:val="24"/>
        </w:rPr>
        <w:t xml:space="preserve">w porównaniu do </w:t>
      </w:r>
      <w:r w:rsidR="005A40F3" w:rsidRPr="008E730E">
        <w:rPr>
          <w:rFonts w:ascii="Times New Roman" w:hAnsi="Times New Roman" w:cs="Times New Roman"/>
          <w:sz w:val="24"/>
          <w:szCs w:val="24"/>
        </w:rPr>
        <w:t>krótkotrwale</w:t>
      </w:r>
      <w:r w:rsidR="008E730E" w:rsidRPr="008E730E">
        <w:rPr>
          <w:rFonts w:ascii="Times New Roman" w:hAnsi="Times New Roman" w:cs="Times New Roman"/>
          <w:sz w:val="24"/>
          <w:szCs w:val="24"/>
        </w:rPr>
        <w:t xml:space="preserve"> – </w:t>
      </w:r>
      <w:r w:rsidR="005234B9">
        <w:rPr>
          <w:rFonts w:ascii="Times New Roman" w:hAnsi="Times New Roman" w:cs="Times New Roman"/>
          <w:sz w:val="24"/>
          <w:szCs w:val="24"/>
        </w:rPr>
        <w:t xml:space="preserve">tj. </w:t>
      </w:r>
      <w:r w:rsidR="005C433A" w:rsidRPr="008E730E">
        <w:rPr>
          <w:rFonts w:ascii="Times New Roman" w:hAnsi="Times New Roman" w:cs="Times New Roman"/>
          <w:sz w:val="24"/>
          <w:szCs w:val="24"/>
        </w:rPr>
        <w:t xml:space="preserve">do </w:t>
      </w:r>
      <w:r w:rsidRPr="008E730E">
        <w:rPr>
          <w:rFonts w:ascii="Times New Roman" w:hAnsi="Times New Roman" w:cs="Times New Roman"/>
          <w:sz w:val="24"/>
          <w:szCs w:val="24"/>
        </w:rPr>
        <w:t>12 miesięcy</w:t>
      </w:r>
      <w:r w:rsidR="00A84017" w:rsidRPr="008E730E">
        <w:rPr>
          <w:rFonts w:ascii="Times New Roman" w:hAnsi="Times New Roman" w:cs="Times New Roman"/>
          <w:sz w:val="24"/>
          <w:szCs w:val="24"/>
        </w:rPr>
        <w:t>]</w:t>
      </w:r>
      <w:r w:rsidRPr="008E730E">
        <w:rPr>
          <w:rFonts w:ascii="Times New Roman" w:hAnsi="Times New Roman" w:cs="Times New Roman"/>
          <w:sz w:val="24"/>
          <w:szCs w:val="24"/>
        </w:rPr>
        <w:t xml:space="preserve"> następuje wśród osób starszych (55 lat i</w:t>
      </w:r>
      <w:r w:rsidR="0038750B" w:rsidRPr="008E730E">
        <w:rPr>
          <w:rFonts w:ascii="Times New Roman" w:hAnsi="Times New Roman" w:cs="Times New Roman"/>
          <w:sz w:val="24"/>
          <w:szCs w:val="24"/>
        </w:rPr>
        <w:t> </w:t>
      </w:r>
      <w:r w:rsidRPr="008E730E">
        <w:rPr>
          <w:rFonts w:ascii="Times New Roman" w:hAnsi="Times New Roman" w:cs="Times New Roman"/>
          <w:sz w:val="24"/>
          <w:szCs w:val="24"/>
        </w:rPr>
        <w:t>więcej),</w:t>
      </w:r>
      <w:r w:rsidR="000622B3" w:rsidRPr="008E730E">
        <w:rPr>
          <w:rFonts w:ascii="Times New Roman" w:hAnsi="Times New Roman" w:cs="Times New Roman"/>
          <w:sz w:val="24"/>
          <w:szCs w:val="24"/>
        </w:rPr>
        <w:t xml:space="preserve"> niewielki wzrost w wieku 35-54 i</w:t>
      </w:r>
      <w:r w:rsidR="00A84017" w:rsidRPr="008E730E">
        <w:rPr>
          <w:rFonts w:ascii="Times New Roman" w:hAnsi="Times New Roman" w:cs="Times New Roman"/>
          <w:sz w:val="24"/>
          <w:szCs w:val="24"/>
        </w:rPr>
        <w:t> duży</w:t>
      </w:r>
      <w:r w:rsidRPr="008E730E">
        <w:rPr>
          <w:rFonts w:ascii="Times New Roman" w:hAnsi="Times New Roman" w:cs="Times New Roman"/>
          <w:sz w:val="24"/>
          <w:szCs w:val="24"/>
        </w:rPr>
        <w:t xml:space="preserve"> spadek 18-34 lat</w:t>
      </w:r>
      <w:r w:rsidR="008E730E" w:rsidRPr="008E730E">
        <w:rPr>
          <w:rFonts w:ascii="Times New Roman" w:hAnsi="Times New Roman" w:cs="Times New Roman"/>
          <w:sz w:val="24"/>
          <w:szCs w:val="24"/>
        </w:rPr>
        <w:t xml:space="preserve"> tj. dotyczy osób młodych</w:t>
      </w:r>
      <w:r w:rsidR="00637246" w:rsidRPr="008E730E">
        <w:rPr>
          <w:rFonts w:ascii="Times New Roman" w:hAnsi="Times New Roman" w:cs="Times New Roman"/>
          <w:sz w:val="24"/>
          <w:szCs w:val="24"/>
        </w:rPr>
        <w:t>.</w:t>
      </w:r>
    </w:p>
    <w:p w:rsidR="0065249E" w:rsidRPr="0065249E" w:rsidRDefault="0065249E" w:rsidP="002A267D">
      <w:pPr>
        <w:pStyle w:val="Default"/>
        <w:jc w:val="both"/>
        <w:outlineLvl w:val="1"/>
        <w:rPr>
          <w:b/>
          <w:bCs/>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B2026" w:rsidRPr="002A267D" w:rsidRDefault="001B2026" w:rsidP="002A267D">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3" w:name="_Toc938724"/>
      <w:r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Bezrobotni wg </w:t>
      </w:r>
      <w:r w:rsidR="00663CE5"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t>
      </w:r>
      <w:r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ykształcenia</w:t>
      </w:r>
      <w:bookmarkEnd w:id="13"/>
    </w:p>
    <w:p w:rsidR="001B2026" w:rsidRPr="00C75C71" w:rsidRDefault="001B2026" w:rsidP="001B2026">
      <w:pPr>
        <w:pStyle w:val="Default"/>
        <w:jc w:val="both"/>
        <w:rPr>
          <w:highlight w:val="yellow"/>
        </w:rPr>
      </w:pPr>
    </w:p>
    <w:p w:rsidR="00AE2F19" w:rsidRPr="00C75C71" w:rsidRDefault="00FC416D" w:rsidP="00DD4FBC">
      <w:pPr>
        <w:pStyle w:val="Bezodstpw"/>
        <w:jc w:val="center"/>
        <w:rPr>
          <w:rFonts w:ascii="Times New Roman" w:hAnsi="Times New Roman" w:cs="Times New Roman"/>
          <w:highlight w:val="yellow"/>
        </w:rPr>
      </w:pPr>
      <w:r w:rsidRPr="00FC416D">
        <w:rPr>
          <w:noProof/>
          <w:lang w:eastAsia="pl-PL"/>
        </w:rPr>
        <w:drawing>
          <wp:inline distT="0" distB="0" distL="0" distR="0">
            <wp:extent cx="4993574" cy="2992581"/>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93640" cy="2992621"/>
                    </a:xfrm>
                    <a:prstGeom prst="rect">
                      <a:avLst/>
                    </a:prstGeom>
                    <a:noFill/>
                    <a:ln>
                      <a:noFill/>
                    </a:ln>
                  </pic:spPr>
                </pic:pic>
              </a:graphicData>
            </a:graphic>
          </wp:inline>
        </w:drawing>
      </w:r>
    </w:p>
    <w:p w:rsidR="00D819E5" w:rsidRDefault="00D819E5" w:rsidP="00452A1B">
      <w:pPr>
        <w:pStyle w:val="Default"/>
        <w:pBdr>
          <w:bottom w:val="single" w:sz="4" w:space="1" w:color="auto"/>
        </w:pBdr>
        <w:jc w:val="both"/>
        <w:rPr>
          <w:sz w:val="16"/>
          <w:szCs w:val="16"/>
          <w:highlight w:val="yellow"/>
        </w:rPr>
      </w:pPr>
    </w:p>
    <w:p w:rsidR="006663FB" w:rsidRPr="006663FB" w:rsidRDefault="006663FB" w:rsidP="00452A1B">
      <w:pPr>
        <w:pStyle w:val="Default"/>
        <w:pBdr>
          <w:bottom w:val="single" w:sz="4" w:space="1" w:color="auto"/>
        </w:pBdr>
        <w:jc w:val="both"/>
        <w:rPr>
          <w:sz w:val="16"/>
          <w:szCs w:val="16"/>
          <w:highlight w:val="yellow"/>
        </w:rPr>
      </w:pPr>
    </w:p>
    <w:p w:rsidR="00046F19" w:rsidRPr="00FC416D" w:rsidRDefault="00637246" w:rsidP="00452A1B">
      <w:pPr>
        <w:pStyle w:val="Default"/>
        <w:pBdr>
          <w:bottom w:val="single" w:sz="4" w:space="1" w:color="auto"/>
        </w:pBdr>
        <w:jc w:val="both"/>
      </w:pPr>
      <w:r w:rsidRPr="00FC416D">
        <w:t>Wnioski:</w:t>
      </w:r>
    </w:p>
    <w:p w:rsidR="00046F19" w:rsidRPr="008F0FCD" w:rsidRDefault="00046F19" w:rsidP="00046F19">
      <w:pPr>
        <w:pStyle w:val="Tekstpodstawowywcity"/>
        <w:spacing w:after="0" w:line="360" w:lineRule="auto"/>
        <w:ind w:left="0"/>
        <w:jc w:val="both"/>
        <w:rPr>
          <w:rFonts w:ascii="Times New Roman" w:hAnsi="Times New Roman" w:cs="Times New Roman"/>
          <w:sz w:val="16"/>
          <w:szCs w:val="16"/>
        </w:rPr>
      </w:pPr>
      <w:r w:rsidRPr="008F0FCD">
        <w:rPr>
          <w:rFonts w:ascii="Times New Roman" w:hAnsi="Times New Roman" w:cs="Times New Roman"/>
          <w:sz w:val="16"/>
          <w:szCs w:val="16"/>
        </w:rPr>
        <w:t>(na podstawie danych</w:t>
      </w:r>
      <w:r w:rsidR="00AE5712" w:rsidRPr="008F0FCD">
        <w:rPr>
          <w:rFonts w:ascii="Times New Roman" w:hAnsi="Times New Roman" w:cs="Times New Roman"/>
          <w:sz w:val="16"/>
          <w:szCs w:val="16"/>
        </w:rPr>
        <w:t xml:space="preserve"> z </w:t>
      </w:r>
      <w:r w:rsidR="00FE08D7" w:rsidRPr="008F0FCD">
        <w:rPr>
          <w:rFonts w:ascii="Times New Roman" w:hAnsi="Times New Roman" w:cs="Times New Roman"/>
          <w:sz w:val="16"/>
          <w:szCs w:val="16"/>
        </w:rPr>
        <w:t>t</w:t>
      </w:r>
      <w:r w:rsidRPr="008F0FCD">
        <w:rPr>
          <w:rFonts w:ascii="Times New Roman" w:hAnsi="Times New Roman" w:cs="Times New Roman"/>
          <w:sz w:val="16"/>
          <w:szCs w:val="16"/>
        </w:rPr>
        <w:t xml:space="preserve">abeli </w:t>
      </w:r>
      <w:r w:rsidR="00FE08D7" w:rsidRPr="008F0FCD">
        <w:rPr>
          <w:rFonts w:ascii="Times New Roman" w:hAnsi="Times New Roman" w:cs="Times New Roman"/>
          <w:sz w:val="16"/>
          <w:szCs w:val="16"/>
        </w:rPr>
        <w:t>X</w:t>
      </w:r>
      <w:r w:rsidR="00095CCA" w:rsidRPr="008F0FCD">
        <w:rPr>
          <w:rFonts w:ascii="Times New Roman" w:hAnsi="Times New Roman" w:cs="Times New Roman"/>
          <w:sz w:val="16"/>
          <w:szCs w:val="16"/>
        </w:rPr>
        <w:t>, XII, XIII i XIV b</w:t>
      </w:r>
      <w:r w:rsidRPr="008F0FCD">
        <w:rPr>
          <w:rFonts w:ascii="Times New Roman" w:hAnsi="Times New Roman" w:cs="Times New Roman"/>
          <w:sz w:val="16"/>
          <w:szCs w:val="16"/>
        </w:rPr>
        <w:t>)</w:t>
      </w:r>
    </w:p>
    <w:p w:rsidR="00252290" w:rsidRPr="0065249E" w:rsidRDefault="00183AB1" w:rsidP="00160DBC">
      <w:pPr>
        <w:pStyle w:val="Default"/>
        <w:numPr>
          <w:ilvl w:val="0"/>
          <w:numId w:val="5"/>
        </w:numPr>
        <w:spacing w:line="360" w:lineRule="auto"/>
        <w:jc w:val="both"/>
      </w:pPr>
      <w:r w:rsidRPr="0065249E">
        <w:t>N</w:t>
      </w:r>
      <w:r w:rsidR="001B2026" w:rsidRPr="0065249E">
        <w:t xml:space="preserve">ajliczniejszy udział </w:t>
      </w:r>
      <w:r w:rsidR="00046F19" w:rsidRPr="0065249E">
        <w:t xml:space="preserve">wśród osób bezrobotnych </w:t>
      </w:r>
      <w:r w:rsidR="001B2026" w:rsidRPr="0065249E">
        <w:t>stanowiły osoby posiadające wykształcenie zasadnicze zawodowe (2</w:t>
      </w:r>
      <w:r w:rsidR="0065249E" w:rsidRPr="0065249E">
        <w:t>7</w:t>
      </w:r>
      <w:r w:rsidR="001B2026" w:rsidRPr="0065249E">
        <w:t>,</w:t>
      </w:r>
      <w:r w:rsidR="0065249E" w:rsidRPr="0065249E">
        <w:t xml:space="preserve">8 </w:t>
      </w:r>
      <w:r w:rsidR="001B2026" w:rsidRPr="0065249E">
        <w:t>%)</w:t>
      </w:r>
      <w:r w:rsidRPr="0065249E">
        <w:t>,</w:t>
      </w:r>
      <w:r w:rsidR="001B2026" w:rsidRPr="0065249E">
        <w:t xml:space="preserve"> policealne</w:t>
      </w:r>
      <w:r w:rsidR="00AE5712" w:rsidRPr="0065249E">
        <w:t xml:space="preserve"> i </w:t>
      </w:r>
      <w:r w:rsidR="001B2026" w:rsidRPr="0065249E">
        <w:t>średnie zawodowe (2</w:t>
      </w:r>
      <w:r w:rsidR="0065249E" w:rsidRPr="0065249E">
        <w:t>6</w:t>
      </w:r>
      <w:r w:rsidR="001B2026" w:rsidRPr="0065249E">
        <w:t>,</w:t>
      </w:r>
      <w:r w:rsidR="0065249E" w:rsidRPr="0065249E">
        <w:t xml:space="preserve">1 </w:t>
      </w:r>
      <w:r w:rsidR="001B2026" w:rsidRPr="0065249E">
        <w:t>%)</w:t>
      </w:r>
      <w:r w:rsidRPr="0065249E">
        <w:t xml:space="preserve"> </w:t>
      </w:r>
      <w:r w:rsidRPr="0065249E">
        <w:lastRenderedPageBreak/>
        <w:t>oraz gimnazjalne</w:t>
      </w:r>
      <w:r w:rsidR="00AE5712" w:rsidRPr="0065249E">
        <w:t xml:space="preserve"> i </w:t>
      </w:r>
      <w:r w:rsidRPr="0065249E">
        <w:t>niższe (</w:t>
      </w:r>
      <w:r w:rsidR="0065249E" w:rsidRPr="0065249E">
        <w:t>19</w:t>
      </w:r>
      <w:r w:rsidRPr="0065249E">
        <w:t>,</w:t>
      </w:r>
      <w:r w:rsidR="0065249E" w:rsidRPr="0065249E">
        <w:t xml:space="preserve">5 </w:t>
      </w:r>
      <w:r w:rsidRPr="0065249E">
        <w:t>%) – szacuje się, że to właśnie</w:t>
      </w:r>
      <w:r w:rsidR="00AE5712" w:rsidRPr="0065249E">
        <w:t xml:space="preserve"> w </w:t>
      </w:r>
      <w:r w:rsidRPr="0065249E">
        <w:t>tych trzech grupach duży odsetek stanowią osoby pracujące</w:t>
      </w:r>
      <w:r w:rsidR="00AE5712" w:rsidRPr="0065249E">
        <w:t xml:space="preserve"> w </w:t>
      </w:r>
      <w:r w:rsidRPr="0065249E">
        <w:t>„szarej strefie”.</w:t>
      </w:r>
    </w:p>
    <w:p w:rsidR="00591D4B" w:rsidRPr="0065249E" w:rsidRDefault="001B7AFA" w:rsidP="00160DBC">
      <w:pPr>
        <w:pStyle w:val="Default"/>
        <w:numPr>
          <w:ilvl w:val="0"/>
          <w:numId w:val="5"/>
        </w:numPr>
        <w:spacing w:line="360" w:lineRule="auto"/>
        <w:jc w:val="both"/>
      </w:pPr>
      <w:r w:rsidRPr="0065249E">
        <w:t>N</w:t>
      </w:r>
      <w:r w:rsidR="00591D4B" w:rsidRPr="0065249E">
        <w:t>ajmniejszy udział odnotowuje się</w:t>
      </w:r>
      <w:r w:rsidR="00AE5712" w:rsidRPr="0065249E">
        <w:t xml:space="preserve"> w </w:t>
      </w:r>
      <w:r w:rsidR="00591D4B" w:rsidRPr="0065249E">
        <w:t>grupie osób</w:t>
      </w:r>
      <w:r w:rsidR="00AE5712" w:rsidRPr="0065249E">
        <w:t xml:space="preserve"> z </w:t>
      </w:r>
      <w:r w:rsidR="00591D4B" w:rsidRPr="0065249E">
        <w:t>wykształceniem średnim ogólnokształcącym (1</w:t>
      </w:r>
      <w:r w:rsidR="0065249E" w:rsidRPr="0065249E">
        <w:t>1</w:t>
      </w:r>
      <w:r w:rsidR="00591D4B" w:rsidRPr="0065249E">
        <w:t>,</w:t>
      </w:r>
      <w:r w:rsidR="0065249E" w:rsidRPr="0065249E">
        <w:t xml:space="preserve">2 </w:t>
      </w:r>
      <w:r w:rsidR="00591D4B" w:rsidRPr="0065249E">
        <w:t>%)</w:t>
      </w:r>
      <w:r w:rsidR="0065249E" w:rsidRPr="0065249E">
        <w:t>.</w:t>
      </w:r>
      <w:r w:rsidR="00591D4B" w:rsidRPr="0065249E">
        <w:t xml:space="preserve"> </w:t>
      </w:r>
      <w:r w:rsidR="0065249E" w:rsidRPr="0065249E">
        <w:t>P</w:t>
      </w:r>
      <w:r w:rsidR="00591D4B" w:rsidRPr="0065249E">
        <w:t>owodem może być fakt, że osoby kończące licea ogólnokształcące najczęściej kontynuują kształcenie na poziomie wyższym</w:t>
      </w:r>
      <w:r w:rsidR="00AE5712" w:rsidRPr="0065249E">
        <w:t xml:space="preserve"> </w:t>
      </w:r>
      <w:r w:rsidR="00787764" w:rsidRPr="0065249E">
        <w:t>(</w:t>
      </w:r>
      <w:r w:rsidR="00AE5712" w:rsidRPr="0065249E">
        <w:t>w </w:t>
      </w:r>
      <w:r w:rsidR="00591D4B" w:rsidRPr="0065249E">
        <w:t xml:space="preserve">trybie dziennym </w:t>
      </w:r>
      <w:r w:rsidR="00787764" w:rsidRPr="0065249E">
        <w:t xml:space="preserve">lub </w:t>
      </w:r>
      <w:r w:rsidR="00591D4B" w:rsidRPr="0065249E">
        <w:t>zaocznym</w:t>
      </w:r>
      <w:r w:rsidR="00787764" w:rsidRPr="0065249E">
        <w:t>)</w:t>
      </w:r>
      <w:r w:rsidR="002767B7" w:rsidRPr="0065249E">
        <w:t xml:space="preserve"> podejmując </w:t>
      </w:r>
      <w:r w:rsidR="00591D4B" w:rsidRPr="0065249E">
        <w:t>jednoc</w:t>
      </w:r>
      <w:r w:rsidR="002767B7" w:rsidRPr="0065249E">
        <w:t xml:space="preserve">ześnie </w:t>
      </w:r>
      <w:r w:rsidR="00591D4B" w:rsidRPr="0065249E">
        <w:t>pracę</w:t>
      </w:r>
      <w:r w:rsidR="002767B7" w:rsidRPr="0065249E">
        <w:t>,</w:t>
      </w:r>
      <w:r w:rsidR="00591D4B" w:rsidRPr="0065249E">
        <w:t xml:space="preserve"> </w:t>
      </w:r>
      <w:r w:rsidR="002767B7" w:rsidRPr="0065249E">
        <w:t>d</w:t>
      </w:r>
      <w:r w:rsidR="00591D4B" w:rsidRPr="0065249E">
        <w:t>latego nie rejestrują się</w:t>
      </w:r>
      <w:r w:rsidR="00AE5712" w:rsidRPr="0065249E">
        <w:t xml:space="preserve"> w </w:t>
      </w:r>
      <w:r w:rsidR="0065249E">
        <w:t>pośrednictwie pracy</w:t>
      </w:r>
      <w:r w:rsidRPr="0065249E">
        <w:t>.</w:t>
      </w:r>
    </w:p>
    <w:p w:rsidR="006E2413" w:rsidRPr="006E2413" w:rsidRDefault="001B7AFA" w:rsidP="00160DBC">
      <w:pPr>
        <w:pStyle w:val="Default"/>
        <w:numPr>
          <w:ilvl w:val="0"/>
          <w:numId w:val="5"/>
        </w:numPr>
        <w:spacing w:line="360" w:lineRule="auto"/>
        <w:jc w:val="both"/>
        <w:rPr>
          <w:lang w:eastAsia="pl-PL"/>
        </w:rPr>
      </w:pPr>
      <w:r w:rsidRPr="006E2413">
        <w:t>G</w:t>
      </w:r>
      <w:r w:rsidR="001B2026" w:rsidRPr="006E2413">
        <w:t>rupa bezrobotnych</w:t>
      </w:r>
      <w:r w:rsidR="00AE5712" w:rsidRPr="006E2413">
        <w:t xml:space="preserve"> z </w:t>
      </w:r>
      <w:r w:rsidR="001B2026" w:rsidRPr="006E2413">
        <w:t>wykształceniem wyższym t</w:t>
      </w:r>
      <w:r w:rsidR="00591D4B" w:rsidRPr="006E2413">
        <w:t>o</w:t>
      </w:r>
      <w:r w:rsidR="001B2026" w:rsidRPr="006E2413">
        <w:t xml:space="preserve"> 1</w:t>
      </w:r>
      <w:r w:rsidR="00143419" w:rsidRPr="006E2413">
        <w:t>5</w:t>
      </w:r>
      <w:r w:rsidR="001B2026" w:rsidRPr="006E2413">
        <w:t>,</w:t>
      </w:r>
      <w:r w:rsidR="006E2413" w:rsidRPr="006E2413">
        <w:t xml:space="preserve">5 </w:t>
      </w:r>
      <w:r w:rsidR="001B2026" w:rsidRPr="006E2413">
        <w:t>% ogółu</w:t>
      </w:r>
      <w:r w:rsidR="006E2413" w:rsidRPr="006E2413">
        <w:t>.</w:t>
      </w:r>
      <w:r w:rsidR="00591D4B" w:rsidRPr="006E2413">
        <w:t xml:space="preserve"> </w:t>
      </w:r>
      <w:r w:rsidR="006E2413" w:rsidRPr="006E2413">
        <w:t>O</w:t>
      </w:r>
      <w:r w:rsidR="001B2026" w:rsidRPr="006E2413">
        <w:t xml:space="preserve">d kilku lat </w:t>
      </w:r>
      <w:r w:rsidR="006E2413" w:rsidRPr="006E2413">
        <w:t xml:space="preserve">obserwujemy wzrost udziału </w:t>
      </w:r>
      <w:r w:rsidR="00183AB1" w:rsidRPr="006E2413">
        <w:t>osób</w:t>
      </w:r>
      <w:r w:rsidR="00AE5712" w:rsidRPr="006E2413">
        <w:t xml:space="preserve"> z </w:t>
      </w:r>
      <w:r w:rsidR="00183AB1" w:rsidRPr="006E2413">
        <w:t xml:space="preserve">wykształceniem wyższym wśród </w:t>
      </w:r>
      <w:r w:rsidR="001B2026" w:rsidRPr="006E2413">
        <w:t>bezrobotnych</w:t>
      </w:r>
      <w:r w:rsidR="006E2413" w:rsidRPr="006E2413">
        <w:t>.</w:t>
      </w:r>
    </w:p>
    <w:p w:rsidR="00591D4B" w:rsidRPr="00BB4C25" w:rsidRDefault="001B7AFA" w:rsidP="00160DBC">
      <w:pPr>
        <w:pStyle w:val="Default"/>
        <w:numPr>
          <w:ilvl w:val="0"/>
          <w:numId w:val="5"/>
        </w:numPr>
        <w:spacing w:line="360" w:lineRule="auto"/>
        <w:jc w:val="both"/>
        <w:rPr>
          <w:lang w:eastAsia="pl-PL"/>
        </w:rPr>
      </w:pPr>
      <w:r w:rsidRPr="00BB4C25">
        <w:t>A</w:t>
      </w:r>
      <w:r w:rsidR="00591D4B" w:rsidRPr="00BB4C25">
        <w:t>naliza czasu pozostawania bez pracy wyraźnie pokazuje, że</w:t>
      </w:r>
      <w:r w:rsidR="00AC7915">
        <w:t xml:space="preserve"> </w:t>
      </w:r>
      <w:r w:rsidR="00AE5712" w:rsidRPr="00BB4C25">
        <w:t>w</w:t>
      </w:r>
      <w:r w:rsidR="00AC7915">
        <w:t xml:space="preserve"> </w:t>
      </w:r>
      <w:r w:rsidR="000A5B66" w:rsidRPr="00BB4C25">
        <w:t>grupach osób</w:t>
      </w:r>
      <w:r w:rsidR="00AE5712" w:rsidRPr="00BB4C25">
        <w:t xml:space="preserve"> z </w:t>
      </w:r>
      <w:r w:rsidR="000A5B66" w:rsidRPr="00BB4C25">
        <w:t>wykształceniem zasadniczym zawodowym oraz</w:t>
      </w:r>
      <w:r w:rsidR="00AE5712" w:rsidRPr="00BB4C25">
        <w:t xml:space="preserve"> z </w:t>
      </w:r>
      <w:r w:rsidR="000A5B66" w:rsidRPr="00BB4C25">
        <w:t>gimnazjalnym</w:t>
      </w:r>
      <w:r w:rsidR="00AE5712" w:rsidRPr="00BB4C25">
        <w:t xml:space="preserve"> i </w:t>
      </w:r>
      <w:r w:rsidR="000A5B66" w:rsidRPr="00BB4C25">
        <w:t>niższym przybywa osób bezrobotnych wraz</w:t>
      </w:r>
      <w:r w:rsidR="00AE5712" w:rsidRPr="00BB4C25">
        <w:t xml:space="preserve"> z </w:t>
      </w:r>
      <w:r w:rsidR="000A5B66" w:rsidRPr="00BB4C25">
        <w:t>wydłużaniem się okresu b</w:t>
      </w:r>
      <w:r w:rsidR="00A97EF7" w:rsidRPr="00BB4C25">
        <w:t>raku</w:t>
      </w:r>
      <w:r w:rsidR="000A5B66" w:rsidRPr="00BB4C25">
        <w:t xml:space="preserve"> aktywności zawodowej</w:t>
      </w:r>
      <w:r w:rsidR="00E56128" w:rsidRPr="00BB4C25">
        <w:t>. W</w:t>
      </w:r>
      <w:r w:rsidR="00AE5712" w:rsidRPr="00BB4C25">
        <w:t> </w:t>
      </w:r>
      <w:r w:rsidR="000A5B66" w:rsidRPr="00BB4C25">
        <w:t>grupie osób pozostających bez pracy pow</w:t>
      </w:r>
      <w:r w:rsidR="00E56128" w:rsidRPr="00BB4C25">
        <w:t>yżej</w:t>
      </w:r>
      <w:r w:rsidR="000A5B66" w:rsidRPr="00BB4C25">
        <w:t xml:space="preserve"> 24 miesięcy</w:t>
      </w:r>
      <w:r w:rsidR="00F45FBA" w:rsidRPr="00BB4C25">
        <w:t xml:space="preserve"> </w:t>
      </w:r>
      <w:r w:rsidR="00C31034" w:rsidRPr="00BB4C25">
        <w:t>wykształcenie zasadnicze zawodowe</w:t>
      </w:r>
      <w:r w:rsidR="000A5B66" w:rsidRPr="00BB4C25">
        <w:t xml:space="preserve"> </w:t>
      </w:r>
      <w:r w:rsidR="00C31034" w:rsidRPr="00BB4C25">
        <w:t xml:space="preserve">posiada </w:t>
      </w:r>
      <w:r w:rsidR="00F45FBA" w:rsidRPr="00BB4C25">
        <w:t>3</w:t>
      </w:r>
      <w:r w:rsidR="00BB4C25" w:rsidRPr="00BB4C25">
        <w:t>0</w:t>
      </w:r>
      <w:r w:rsidR="00F45FBA" w:rsidRPr="00BB4C25">
        <w:t>,</w:t>
      </w:r>
      <w:r w:rsidR="00BB4C25" w:rsidRPr="00BB4C25">
        <w:t>5</w:t>
      </w:r>
      <w:r w:rsidR="006E2413" w:rsidRPr="00BB4C25">
        <w:t xml:space="preserve"> </w:t>
      </w:r>
      <w:r w:rsidR="00F45FBA" w:rsidRPr="00BB4C25">
        <w:t>%</w:t>
      </w:r>
      <w:r w:rsidR="000A5B66" w:rsidRPr="00BB4C25">
        <w:t>,</w:t>
      </w:r>
      <w:r w:rsidR="00AE5712" w:rsidRPr="00BB4C25">
        <w:t xml:space="preserve"> a </w:t>
      </w:r>
      <w:r w:rsidR="00C31034" w:rsidRPr="00BB4C25">
        <w:t>gimnazjalne</w:t>
      </w:r>
      <w:r w:rsidR="00AE5712" w:rsidRPr="00BB4C25">
        <w:t xml:space="preserve"> i </w:t>
      </w:r>
      <w:r w:rsidR="000A5B66" w:rsidRPr="00BB4C25">
        <w:t>niższ</w:t>
      </w:r>
      <w:r w:rsidR="00C31034" w:rsidRPr="00BB4C25">
        <w:t>e</w:t>
      </w:r>
      <w:r w:rsidR="000A5B66" w:rsidRPr="00BB4C25">
        <w:t xml:space="preserve"> </w:t>
      </w:r>
      <w:r w:rsidR="00C31034" w:rsidRPr="00BB4C25">
        <w:t xml:space="preserve">– </w:t>
      </w:r>
      <w:r w:rsidR="00F45FBA" w:rsidRPr="00BB4C25">
        <w:t>24,</w:t>
      </w:r>
      <w:r w:rsidR="00BB4C25" w:rsidRPr="00BB4C25">
        <w:t>3</w:t>
      </w:r>
      <w:r w:rsidR="006E2413" w:rsidRPr="00BB4C25">
        <w:t xml:space="preserve"> </w:t>
      </w:r>
      <w:r w:rsidR="00F45FBA" w:rsidRPr="00BB4C25">
        <w:t>% (bezrobotni ogółem</w:t>
      </w:r>
      <w:r w:rsidR="00BB4C25" w:rsidRPr="00BB4C25">
        <w:t xml:space="preserve"> powyżej 24 miesięcy</w:t>
      </w:r>
      <w:r w:rsidR="00F45FBA" w:rsidRPr="00BB4C25">
        <w:t>=100%).</w:t>
      </w:r>
    </w:p>
    <w:p w:rsidR="00FE08D7" w:rsidRDefault="00FE08D7" w:rsidP="001759E1">
      <w:pPr>
        <w:pStyle w:val="Default"/>
        <w:jc w:val="both"/>
        <w:outlineLvl w:val="1"/>
        <w:rPr>
          <w:b/>
          <w:bCs/>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6663FB" w:rsidRPr="00C75C71" w:rsidRDefault="006663FB" w:rsidP="001759E1">
      <w:pPr>
        <w:pStyle w:val="Default"/>
        <w:jc w:val="both"/>
        <w:outlineLvl w:val="1"/>
        <w:rPr>
          <w:b/>
          <w:bCs/>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B2026" w:rsidRPr="002A267D" w:rsidRDefault="001B2026" w:rsidP="002A267D">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4" w:name="_Toc938725"/>
      <w:r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Bezrobotni wg stażu pracy</w:t>
      </w:r>
      <w:bookmarkEnd w:id="14"/>
    </w:p>
    <w:p w:rsidR="001B2026" w:rsidRDefault="001B2026" w:rsidP="001B2026">
      <w:pPr>
        <w:pStyle w:val="Default"/>
        <w:jc w:val="both"/>
        <w:rPr>
          <w:b/>
          <w:bCs/>
          <w:sz w:val="16"/>
          <w:szCs w:val="16"/>
          <w:highlight w:val="yellow"/>
        </w:rPr>
      </w:pPr>
    </w:p>
    <w:p w:rsidR="006663FB" w:rsidRPr="006663FB" w:rsidRDefault="006663FB" w:rsidP="001B2026">
      <w:pPr>
        <w:pStyle w:val="Default"/>
        <w:jc w:val="both"/>
        <w:rPr>
          <w:b/>
          <w:bCs/>
          <w:sz w:val="16"/>
          <w:szCs w:val="16"/>
          <w:highlight w:val="yellow"/>
        </w:rPr>
      </w:pPr>
    </w:p>
    <w:p w:rsidR="00AE2F19" w:rsidRPr="00C75C71" w:rsidRDefault="00FC416D" w:rsidP="00DD4FBC">
      <w:pPr>
        <w:pStyle w:val="Bezodstpw"/>
        <w:jc w:val="center"/>
        <w:rPr>
          <w:rFonts w:ascii="Times New Roman" w:hAnsi="Times New Roman" w:cs="Times New Roman"/>
          <w:highlight w:val="yellow"/>
        </w:rPr>
      </w:pPr>
      <w:r w:rsidRPr="00FC416D">
        <w:rPr>
          <w:noProof/>
          <w:lang w:eastAsia="pl-PL"/>
        </w:rPr>
        <w:drawing>
          <wp:inline distT="0" distB="0" distL="0" distR="0">
            <wp:extent cx="4993320" cy="2588821"/>
            <wp:effectExtent l="0" t="0" r="0" b="254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993640" cy="2588987"/>
                    </a:xfrm>
                    <a:prstGeom prst="rect">
                      <a:avLst/>
                    </a:prstGeom>
                    <a:noFill/>
                    <a:ln>
                      <a:noFill/>
                    </a:ln>
                  </pic:spPr>
                </pic:pic>
              </a:graphicData>
            </a:graphic>
          </wp:inline>
        </w:drawing>
      </w:r>
    </w:p>
    <w:p w:rsidR="00D819E5" w:rsidRDefault="00D819E5" w:rsidP="00452A1B">
      <w:pPr>
        <w:pStyle w:val="Default"/>
        <w:pBdr>
          <w:bottom w:val="single" w:sz="4" w:space="1" w:color="auto"/>
        </w:pBdr>
        <w:jc w:val="both"/>
        <w:rPr>
          <w:sz w:val="16"/>
          <w:szCs w:val="16"/>
          <w:highlight w:val="yellow"/>
        </w:rPr>
      </w:pPr>
    </w:p>
    <w:p w:rsidR="006663FB" w:rsidRPr="006663FB" w:rsidRDefault="006663FB" w:rsidP="00452A1B">
      <w:pPr>
        <w:pStyle w:val="Default"/>
        <w:pBdr>
          <w:bottom w:val="single" w:sz="4" w:space="1" w:color="auto"/>
        </w:pBdr>
        <w:jc w:val="both"/>
        <w:rPr>
          <w:sz w:val="16"/>
          <w:szCs w:val="16"/>
          <w:highlight w:val="yellow"/>
        </w:rPr>
      </w:pPr>
    </w:p>
    <w:p w:rsidR="000A5B66" w:rsidRPr="00FC416D" w:rsidRDefault="001B7AFA" w:rsidP="00452A1B">
      <w:pPr>
        <w:pStyle w:val="Default"/>
        <w:pBdr>
          <w:bottom w:val="single" w:sz="4" w:space="1" w:color="auto"/>
        </w:pBdr>
        <w:jc w:val="both"/>
      </w:pPr>
      <w:r w:rsidRPr="00FC416D">
        <w:t>Wnioski:</w:t>
      </w:r>
    </w:p>
    <w:p w:rsidR="000A5B66" w:rsidRPr="008F0FCD" w:rsidRDefault="000A5B66" w:rsidP="000A5B66">
      <w:pPr>
        <w:pStyle w:val="Tekstpodstawowywcity"/>
        <w:spacing w:after="0" w:line="360" w:lineRule="auto"/>
        <w:ind w:left="0"/>
        <w:jc w:val="both"/>
        <w:rPr>
          <w:rFonts w:ascii="Times New Roman" w:hAnsi="Times New Roman" w:cs="Times New Roman"/>
          <w:sz w:val="16"/>
          <w:szCs w:val="16"/>
        </w:rPr>
      </w:pPr>
      <w:r w:rsidRPr="008F0FCD">
        <w:rPr>
          <w:rFonts w:ascii="Times New Roman" w:hAnsi="Times New Roman" w:cs="Times New Roman"/>
          <w:sz w:val="16"/>
          <w:szCs w:val="16"/>
        </w:rPr>
        <w:t>(na podstawie danych</w:t>
      </w:r>
      <w:r w:rsidR="00AE5712" w:rsidRPr="008F0FCD">
        <w:rPr>
          <w:rFonts w:ascii="Times New Roman" w:hAnsi="Times New Roman" w:cs="Times New Roman"/>
          <w:sz w:val="16"/>
          <w:szCs w:val="16"/>
        </w:rPr>
        <w:t xml:space="preserve"> z </w:t>
      </w:r>
      <w:r w:rsidR="00FE08D7" w:rsidRPr="008F0FCD">
        <w:rPr>
          <w:rFonts w:ascii="Times New Roman" w:hAnsi="Times New Roman" w:cs="Times New Roman"/>
          <w:sz w:val="16"/>
          <w:szCs w:val="16"/>
        </w:rPr>
        <w:t>t</w:t>
      </w:r>
      <w:r w:rsidRPr="008F0FCD">
        <w:rPr>
          <w:rFonts w:ascii="Times New Roman" w:hAnsi="Times New Roman" w:cs="Times New Roman"/>
          <w:sz w:val="16"/>
          <w:szCs w:val="16"/>
        </w:rPr>
        <w:t xml:space="preserve">abeli </w:t>
      </w:r>
      <w:r w:rsidR="00FE08D7" w:rsidRPr="008F0FCD">
        <w:rPr>
          <w:rFonts w:ascii="Times New Roman" w:hAnsi="Times New Roman" w:cs="Times New Roman"/>
          <w:sz w:val="16"/>
          <w:szCs w:val="16"/>
        </w:rPr>
        <w:t>XI</w:t>
      </w:r>
      <w:r w:rsidR="00095CCA" w:rsidRPr="008F0FCD">
        <w:rPr>
          <w:rFonts w:ascii="Times New Roman" w:hAnsi="Times New Roman" w:cs="Times New Roman"/>
          <w:sz w:val="16"/>
          <w:szCs w:val="16"/>
        </w:rPr>
        <w:t>, XII, XIII i XIV</w:t>
      </w:r>
      <w:r w:rsidR="007E4B81" w:rsidRPr="008F0FCD">
        <w:rPr>
          <w:rFonts w:ascii="Times New Roman" w:hAnsi="Times New Roman" w:cs="Times New Roman"/>
          <w:sz w:val="16"/>
          <w:szCs w:val="16"/>
        </w:rPr>
        <w:t xml:space="preserve"> c</w:t>
      </w:r>
      <w:r w:rsidR="001B7AFA" w:rsidRPr="008F0FCD">
        <w:rPr>
          <w:rFonts w:ascii="Times New Roman" w:hAnsi="Times New Roman" w:cs="Times New Roman"/>
          <w:sz w:val="16"/>
          <w:szCs w:val="16"/>
        </w:rPr>
        <w:t>)</w:t>
      </w:r>
    </w:p>
    <w:p w:rsidR="006663FB" w:rsidRPr="006663FB" w:rsidRDefault="001B7AFA" w:rsidP="006663FB">
      <w:pPr>
        <w:pStyle w:val="Default"/>
        <w:numPr>
          <w:ilvl w:val="0"/>
          <w:numId w:val="5"/>
        </w:numPr>
        <w:spacing w:line="360" w:lineRule="auto"/>
        <w:jc w:val="both"/>
      </w:pPr>
      <w:r w:rsidRPr="001312F4">
        <w:t>O</w:t>
      </w:r>
      <w:r w:rsidR="000A5B66" w:rsidRPr="001312F4">
        <w:t xml:space="preserve">soby </w:t>
      </w:r>
      <w:r w:rsidR="00847383" w:rsidRPr="001312F4">
        <w:t xml:space="preserve">bez stażu pracy </w:t>
      </w:r>
      <w:r w:rsidR="003658AA" w:rsidRPr="001312F4">
        <w:t>i</w:t>
      </w:r>
      <w:r w:rsidR="00847383" w:rsidRPr="001312F4">
        <w:t xml:space="preserve"> </w:t>
      </w:r>
      <w:r w:rsidR="000A5B66" w:rsidRPr="001312F4">
        <w:t>ze stażem pracy do 5 lat stanowią</w:t>
      </w:r>
      <w:r w:rsidR="00AE5712" w:rsidRPr="001312F4">
        <w:t xml:space="preserve"> w </w:t>
      </w:r>
      <w:r w:rsidR="000A5B66" w:rsidRPr="001312F4">
        <w:t xml:space="preserve">sumie </w:t>
      </w:r>
      <w:r w:rsidR="003658AA" w:rsidRPr="001312F4">
        <w:t>60</w:t>
      </w:r>
      <w:r w:rsidR="000A5B66" w:rsidRPr="001312F4">
        <w:t>,</w:t>
      </w:r>
      <w:r w:rsidR="007030B5" w:rsidRPr="001312F4">
        <w:t>6</w:t>
      </w:r>
      <w:r w:rsidR="001312F4" w:rsidRPr="001312F4">
        <w:t xml:space="preserve"> </w:t>
      </w:r>
      <w:r w:rsidR="000A5B66" w:rsidRPr="001312F4">
        <w:t xml:space="preserve">% ogółu </w:t>
      </w:r>
      <w:r w:rsidR="00A97EF7" w:rsidRPr="001312F4">
        <w:t xml:space="preserve">osób </w:t>
      </w:r>
      <w:r w:rsidR="000A5B66" w:rsidRPr="001312F4">
        <w:t>bezrobotnych – liczba ta wskazuje na większ</w:t>
      </w:r>
      <w:r w:rsidR="00C31034" w:rsidRPr="001312F4">
        <w:t>e</w:t>
      </w:r>
      <w:r w:rsidR="000A5B66" w:rsidRPr="001312F4">
        <w:t xml:space="preserve"> </w:t>
      </w:r>
      <w:r w:rsidR="00C31034" w:rsidRPr="001312F4">
        <w:t xml:space="preserve">trudności </w:t>
      </w:r>
      <w:r w:rsidR="000A5B66" w:rsidRPr="001312F4">
        <w:t>ze znalezieniem pracy</w:t>
      </w:r>
      <w:r w:rsidR="001153DE" w:rsidRPr="001312F4">
        <w:t xml:space="preserve"> wśród osób</w:t>
      </w:r>
      <w:r w:rsidR="00AE5712" w:rsidRPr="001312F4">
        <w:t xml:space="preserve"> z</w:t>
      </w:r>
      <w:r w:rsidR="001312F4" w:rsidRPr="001312F4">
        <w:t xml:space="preserve"> małym</w:t>
      </w:r>
      <w:r w:rsidR="00AE5712" w:rsidRPr="001312F4">
        <w:t> </w:t>
      </w:r>
      <w:r w:rsidR="001153DE" w:rsidRPr="001312F4">
        <w:t>doświadczeniem zawodowym</w:t>
      </w:r>
      <w:r w:rsidR="00847383" w:rsidRPr="001312F4">
        <w:t>.</w:t>
      </w:r>
      <w:r w:rsidR="006663FB">
        <w:br w:type="page"/>
      </w:r>
    </w:p>
    <w:p w:rsidR="001B2026" w:rsidRPr="0070756B" w:rsidRDefault="00847383" w:rsidP="00160DBC">
      <w:pPr>
        <w:pStyle w:val="Default"/>
        <w:numPr>
          <w:ilvl w:val="0"/>
          <w:numId w:val="5"/>
        </w:numPr>
        <w:spacing w:line="360" w:lineRule="auto"/>
        <w:jc w:val="both"/>
        <w:rPr>
          <w:b/>
          <w:bCs/>
        </w:rPr>
      </w:pPr>
      <w:r w:rsidRPr="0070756B">
        <w:lastRenderedPageBreak/>
        <w:t>W</w:t>
      </w:r>
      <w:r w:rsidR="001B2026" w:rsidRPr="0070756B">
        <w:t>arto zaznaczyć</w:t>
      </w:r>
      <w:r w:rsidR="00A97EF7" w:rsidRPr="0070756B">
        <w:t>,</w:t>
      </w:r>
      <w:r w:rsidR="001153DE" w:rsidRPr="0070756B">
        <w:t xml:space="preserve"> że</w:t>
      </w:r>
      <w:r w:rsidR="00AE5712" w:rsidRPr="0070756B">
        <w:t xml:space="preserve"> w </w:t>
      </w:r>
      <w:r w:rsidR="001B2026" w:rsidRPr="0070756B">
        <w:t xml:space="preserve">jeszcze większym stopniu opisana trudna sytuacja dotyczyła bezrobotnych kobiet bez </w:t>
      </w:r>
      <w:r w:rsidR="001153DE" w:rsidRPr="0070756B">
        <w:t xml:space="preserve">doświadczenia </w:t>
      </w:r>
      <w:r w:rsidR="00A97EF7" w:rsidRPr="0070756B">
        <w:t xml:space="preserve">zawodowego </w:t>
      </w:r>
      <w:r w:rsidR="001B2026" w:rsidRPr="0070756B">
        <w:t xml:space="preserve">lub </w:t>
      </w:r>
      <w:r w:rsidR="007B4BA3" w:rsidRPr="0070756B">
        <w:t>z krótkim stażem pracy (</w:t>
      </w:r>
      <w:r w:rsidR="001153DE" w:rsidRPr="0070756B">
        <w:t>do 5</w:t>
      </w:r>
      <w:r w:rsidR="006D3744" w:rsidRPr="0070756B">
        <w:t> </w:t>
      </w:r>
      <w:r w:rsidR="001153DE" w:rsidRPr="0070756B">
        <w:t>lat</w:t>
      </w:r>
      <w:r w:rsidR="007B4BA3" w:rsidRPr="0070756B">
        <w:t>). St</w:t>
      </w:r>
      <w:r w:rsidR="001B2026" w:rsidRPr="0070756B">
        <w:t xml:space="preserve">anowiły </w:t>
      </w:r>
      <w:r w:rsidR="001153DE" w:rsidRPr="0070756B">
        <w:t xml:space="preserve">one aż </w:t>
      </w:r>
      <w:r w:rsidR="001B2026" w:rsidRPr="0070756B">
        <w:t>6</w:t>
      </w:r>
      <w:r w:rsidR="0070756B" w:rsidRPr="0070756B">
        <w:t>5</w:t>
      </w:r>
      <w:r w:rsidR="009E19ED" w:rsidRPr="0070756B">
        <w:t>,</w:t>
      </w:r>
      <w:r w:rsidR="0070756B" w:rsidRPr="0070756B">
        <w:t xml:space="preserve">8 </w:t>
      </w:r>
      <w:r w:rsidR="001B2026" w:rsidRPr="0070756B">
        <w:t>%</w:t>
      </w:r>
      <w:r w:rsidR="00A97EF7" w:rsidRPr="0070756B">
        <w:t xml:space="preserve"> ogółu</w:t>
      </w:r>
      <w:r w:rsidRPr="0070756B">
        <w:t>.</w:t>
      </w:r>
    </w:p>
    <w:p w:rsidR="009E19ED" w:rsidRPr="0070756B" w:rsidRDefault="007F0993" w:rsidP="00B51C47">
      <w:pPr>
        <w:pStyle w:val="Default"/>
        <w:numPr>
          <w:ilvl w:val="0"/>
          <w:numId w:val="5"/>
        </w:numPr>
        <w:spacing w:line="360" w:lineRule="auto"/>
        <w:jc w:val="both"/>
        <w:rPr>
          <w:b/>
          <w:bCs/>
        </w:rPr>
      </w:pPr>
      <w:r w:rsidRPr="0070756B">
        <w:t>Osoby bezrobotne</w:t>
      </w:r>
      <w:r w:rsidR="009E19ED" w:rsidRPr="0070756B">
        <w:t xml:space="preserve"> </w:t>
      </w:r>
      <w:r w:rsidR="00AE5712" w:rsidRPr="0070756B">
        <w:t>z</w:t>
      </w:r>
      <w:r w:rsidR="009E19ED" w:rsidRPr="0070756B">
        <w:t xml:space="preserve"> </w:t>
      </w:r>
      <w:r w:rsidR="00597400" w:rsidRPr="0070756B">
        <w:t>ni</w:t>
      </w:r>
      <w:r w:rsidR="009E19ED" w:rsidRPr="0070756B">
        <w:t xml:space="preserve">skim </w:t>
      </w:r>
      <w:r w:rsidR="001153DE" w:rsidRPr="0070756B">
        <w:t xml:space="preserve">stażem pracy </w:t>
      </w:r>
      <w:r w:rsidRPr="0070756B">
        <w:t>przeważają</w:t>
      </w:r>
      <w:r w:rsidR="004C619B" w:rsidRPr="0070756B">
        <w:t xml:space="preserve"> </w:t>
      </w:r>
      <w:r w:rsidR="00AE5712" w:rsidRPr="0070756B">
        <w:t>w</w:t>
      </w:r>
      <w:r w:rsidR="004C619B" w:rsidRPr="0070756B">
        <w:t xml:space="preserve"> </w:t>
      </w:r>
      <w:r w:rsidR="001153DE" w:rsidRPr="0070756B">
        <w:t>każdej</w:t>
      </w:r>
      <w:r w:rsidR="004C619B" w:rsidRPr="0070756B">
        <w:t xml:space="preserve"> </w:t>
      </w:r>
      <w:r w:rsidR="001153DE" w:rsidRPr="0070756B">
        <w:t>kategorii</w:t>
      </w:r>
      <w:r w:rsidR="004C619B" w:rsidRPr="0070756B">
        <w:t xml:space="preserve"> </w:t>
      </w:r>
      <w:r w:rsidR="001153DE" w:rsidRPr="0070756B">
        <w:t>czasu pozostawania bez pracy</w:t>
      </w:r>
      <w:r w:rsidRPr="0070756B">
        <w:t>.</w:t>
      </w:r>
    </w:p>
    <w:p w:rsidR="001153DE" w:rsidRPr="009D05C1" w:rsidRDefault="009E19ED" w:rsidP="00B51C47">
      <w:pPr>
        <w:pStyle w:val="Default"/>
        <w:numPr>
          <w:ilvl w:val="0"/>
          <w:numId w:val="5"/>
        </w:numPr>
        <w:spacing w:line="360" w:lineRule="auto"/>
        <w:jc w:val="both"/>
        <w:rPr>
          <w:b/>
          <w:bCs/>
        </w:rPr>
      </w:pPr>
      <w:r w:rsidRPr="009D05C1">
        <w:t>G</w:t>
      </w:r>
      <w:r w:rsidR="007F0993" w:rsidRPr="009D05C1">
        <w:t xml:space="preserve">rupa </w:t>
      </w:r>
      <w:r w:rsidRPr="009D05C1">
        <w:t>bezrobotnych bez stażu pracy oraz ze stażem nie większym niż 5 lat wśród</w:t>
      </w:r>
      <w:r w:rsidR="007F0993" w:rsidRPr="009D05C1">
        <w:t xml:space="preserve"> pozostających bez pracy powyżej 24 miesięcy </w:t>
      </w:r>
      <w:r w:rsidRPr="009D05C1">
        <w:t xml:space="preserve">pozostaje </w:t>
      </w:r>
      <w:r w:rsidR="0070756B" w:rsidRPr="009D05C1">
        <w:t xml:space="preserve">również </w:t>
      </w:r>
      <w:r w:rsidR="00B51C47" w:rsidRPr="009D05C1">
        <w:t>naj</w:t>
      </w:r>
      <w:r w:rsidR="007F0993" w:rsidRPr="009D05C1">
        <w:t>licz</w:t>
      </w:r>
      <w:r w:rsidR="00B51C47" w:rsidRPr="009D05C1">
        <w:t>niejsz</w:t>
      </w:r>
      <w:r w:rsidRPr="009D05C1">
        <w:t>ą</w:t>
      </w:r>
      <w:r w:rsidR="0087429F" w:rsidRPr="009D05C1">
        <w:t xml:space="preserve"> tj. </w:t>
      </w:r>
      <w:r w:rsidR="007F0993" w:rsidRPr="009D05C1">
        <w:t xml:space="preserve">łącznie </w:t>
      </w:r>
      <w:r w:rsidR="004C619B" w:rsidRPr="009D05C1">
        <w:t xml:space="preserve">– </w:t>
      </w:r>
      <w:r w:rsidR="009D05C1">
        <w:t>58</w:t>
      </w:r>
      <w:r w:rsidR="004C619B" w:rsidRPr="009D05C1">
        <w:t>,</w:t>
      </w:r>
      <w:r w:rsidR="009D05C1">
        <w:t>8</w:t>
      </w:r>
      <w:r w:rsidR="009D05C1" w:rsidRPr="009D05C1">
        <w:t xml:space="preserve"> </w:t>
      </w:r>
      <w:r w:rsidR="004C619B" w:rsidRPr="009D05C1">
        <w:t>%</w:t>
      </w:r>
      <w:r w:rsidR="0087429F" w:rsidRPr="009D05C1">
        <w:t>.</w:t>
      </w:r>
    </w:p>
    <w:p w:rsidR="00912104" w:rsidRDefault="00FA36B2" w:rsidP="00FA36B2">
      <w:pPr>
        <w:pStyle w:val="Default"/>
        <w:spacing w:line="360" w:lineRule="auto"/>
        <w:jc w:val="center"/>
        <w:rPr>
          <w:b/>
          <w:bCs/>
          <w:sz w:val="16"/>
          <w:szCs w:val="16"/>
          <w:highlight w:val="yellow"/>
        </w:rPr>
      </w:pPr>
      <w:r w:rsidRPr="00FA36B2">
        <w:rPr>
          <w:noProof/>
          <w:lang w:eastAsia="pl-PL"/>
        </w:rPr>
        <w:drawing>
          <wp:inline distT="0" distB="0" distL="0" distR="0">
            <wp:extent cx="5569527" cy="3170712"/>
            <wp:effectExtent l="0" t="0" r="0" b="0"/>
            <wp:docPr id="721" name="Obraz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69775" cy="3170853"/>
                    </a:xfrm>
                    <a:prstGeom prst="rect">
                      <a:avLst/>
                    </a:prstGeom>
                    <a:noFill/>
                    <a:ln>
                      <a:noFill/>
                    </a:ln>
                  </pic:spPr>
                </pic:pic>
              </a:graphicData>
            </a:graphic>
          </wp:inline>
        </w:drawing>
      </w:r>
    </w:p>
    <w:p w:rsidR="00FA36B2" w:rsidRPr="00C75C71" w:rsidRDefault="00FA36B2" w:rsidP="00FA36B2">
      <w:pPr>
        <w:pStyle w:val="Default"/>
        <w:spacing w:line="360" w:lineRule="auto"/>
        <w:rPr>
          <w:b/>
          <w:bCs/>
          <w:sz w:val="16"/>
          <w:szCs w:val="16"/>
          <w:highlight w:val="yellow"/>
        </w:rPr>
      </w:pPr>
    </w:p>
    <w:p w:rsidR="00912104" w:rsidRPr="00C75C71" w:rsidRDefault="003709A3" w:rsidP="009D05C1">
      <w:pPr>
        <w:pStyle w:val="Default"/>
        <w:spacing w:line="360" w:lineRule="auto"/>
        <w:jc w:val="center"/>
        <w:rPr>
          <w:b/>
          <w:bCs/>
          <w:sz w:val="16"/>
          <w:szCs w:val="16"/>
          <w:highlight w:val="yellow"/>
        </w:rPr>
      </w:pPr>
      <w:r w:rsidRPr="003709A3">
        <w:rPr>
          <w:noProof/>
          <w:lang w:eastAsia="pl-PL"/>
        </w:rPr>
        <w:drawing>
          <wp:inline distT="0" distB="0" distL="0" distR="0">
            <wp:extent cx="5617028" cy="3216978"/>
            <wp:effectExtent l="0" t="0" r="3175" b="2540"/>
            <wp:docPr id="696" name="Obraz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29340" cy="3224030"/>
                    </a:xfrm>
                    <a:prstGeom prst="rect">
                      <a:avLst/>
                    </a:prstGeom>
                    <a:noFill/>
                    <a:ln>
                      <a:noFill/>
                    </a:ln>
                  </pic:spPr>
                </pic:pic>
              </a:graphicData>
            </a:graphic>
          </wp:inline>
        </w:drawing>
      </w:r>
    </w:p>
    <w:p w:rsidR="003709A3" w:rsidRDefault="003709A3" w:rsidP="003709A3">
      <w:pPr>
        <w:pStyle w:val="Default"/>
        <w:spacing w:line="360" w:lineRule="auto"/>
        <w:jc w:val="center"/>
        <w:rPr>
          <w:b/>
          <w:bCs/>
          <w:sz w:val="16"/>
          <w:szCs w:val="16"/>
          <w:highlight w:val="yellow"/>
        </w:rPr>
      </w:pPr>
      <w:r w:rsidRPr="003709A3">
        <w:rPr>
          <w:noProof/>
          <w:lang w:eastAsia="pl-PL"/>
        </w:rPr>
        <w:lastRenderedPageBreak/>
        <w:drawing>
          <wp:inline distT="0" distB="0" distL="0" distR="0" wp14:anchorId="3346C1F4" wp14:editId="3C8B6F81">
            <wp:extent cx="5759532" cy="1246909"/>
            <wp:effectExtent l="0" t="0" r="0" b="0"/>
            <wp:docPr id="699" name="Obraz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59450" cy="1246891"/>
                    </a:xfrm>
                    <a:prstGeom prst="rect">
                      <a:avLst/>
                    </a:prstGeom>
                    <a:noFill/>
                    <a:ln>
                      <a:noFill/>
                    </a:ln>
                  </pic:spPr>
                </pic:pic>
              </a:graphicData>
            </a:graphic>
          </wp:inline>
        </w:drawing>
      </w:r>
      <w:r w:rsidRPr="003709A3">
        <w:rPr>
          <w:noProof/>
          <w:lang w:eastAsia="pl-PL"/>
        </w:rPr>
        <w:drawing>
          <wp:inline distT="0" distB="0" distL="0" distR="0" wp14:anchorId="628D7118" wp14:editId="67388E9E">
            <wp:extent cx="5753594" cy="2951018"/>
            <wp:effectExtent l="0" t="0" r="0" b="1905"/>
            <wp:docPr id="711" name="Obraz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59450" cy="2954022"/>
                    </a:xfrm>
                    <a:prstGeom prst="rect">
                      <a:avLst/>
                    </a:prstGeom>
                    <a:noFill/>
                    <a:ln>
                      <a:noFill/>
                    </a:ln>
                  </pic:spPr>
                </pic:pic>
              </a:graphicData>
            </a:graphic>
          </wp:inline>
        </w:drawing>
      </w:r>
    </w:p>
    <w:p w:rsidR="003709A3" w:rsidRPr="009D05C1" w:rsidRDefault="003709A3" w:rsidP="009D05C1">
      <w:pPr>
        <w:pStyle w:val="Default"/>
        <w:rPr>
          <w:b/>
          <w:bCs/>
          <w:sz w:val="14"/>
          <w:szCs w:val="14"/>
          <w:highlight w:val="yellow"/>
        </w:rPr>
      </w:pPr>
    </w:p>
    <w:p w:rsidR="003709A3" w:rsidRDefault="003709A3" w:rsidP="003709A3">
      <w:pPr>
        <w:pStyle w:val="Default"/>
        <w:spacing w:line="360" w:lineRule="auto"/>
        <w:rPr>
          <w:b/>
          <w:bCs/>
          <w:sz w:val="16"/>
          <w:szCs w:val="16"/>
          <w:highlight w:val="yellow"/>
        </w:rPr>
      </w:pPr>
      <w:r w:rsidRPr="003709A3">
        <w:rPr>
          <w:noProof/>
          <w:lang w:eastAsia="pl-PL"/>
        </w:rPr>
        <w:drawing>
          <wp:inline distT="0" distB="0" distL="0" distR="0" wp14:anchorId="5666D96F" wp14:editId="42B063D2">
            <wp:extent cx="5753594" cy="4334493"/>
            <wp:effectExtent l="0" t="0" r="0" b="9525"/>
            <wp:docPr id="712" name="Obraz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59450" cy="4338905"/>
                    </a:xfrm>
                    <a:prstGeom prst="rect">
                      <a:avLst/>
                    </a:prstGeom>
                    <a:noFill/>
                    <a:ln>
                      <a:noFill/>
                    </a:ln>
                  </pic:spPr>
                </pic:pic>
              </a:graphicData>
            </a:graphic>
          </wp:inline>
        </w:drawing>
      </w:r>
    </w:p>
    <w:p w:rsidR="003709A3" w:rsidRDefault="003709A3">
      <w:pPr>
        <w:rPr>
          <w:rFonts w:ascii="Times New Roman" w:hAnsi="Times New Roman" w:cs="Times New Roman"/>
          <w:b/>
          <w:bCs/>
          <w:color w:val="000000"/>
          <w:sz w:val="16"/>
          <w:szCs w:val="16"/>
          <w:highlight w:val="yellow"/>
        </w:rPr>
      </w:pPr>
      <w:r>
        <w:rPr>
          <w:b/>
          <w:bCs/>
          <w:sz w:val="16"/>
          <w:szCs w:val="16"/>
          <w:highlight w:val="yellow"/>
        </w:rPr>
        <w:br w:type="page"/>
      </w:r>
    </w:p>
    <w:p w:rsidR="004C556B" w:rsidRPr="00C75C71" w:rsidRDefault="003709A3" w:rsidP="003709A3">
      <w:pPr>
        <w:pStyle w:val="Default"/>
        <w:spacing w:line="360" w:lineRule="auto"/>
        <w:jc w:val="center"/>
        <w:rPr>
          <w:b/>
          <w:bCs/>
          <w:sz w:val="16"/>
          <w:szCs w:val="16"/>
          <w:highlight w:val="yellow"/>
        </w:rPr>
      </w:pPr>
      <w:r w:rsidRPr="003709A3">
        <w:rPr>
          <w:noProof/>
          <w:lang w:eastAsia="pl-PL"/>
        </w:rPr>
        <w:lastRenderedPageBreak/>
        <w:drawing>
          <wp:inline distT="0" distB="0" distL="0" distR="0" wp14:anchorId="2825BC90" wp14:editId="4ABFA300">
            <wp:extent cx="5754488" cy="4310743"/>
            <wp:effectExtent l="0" t="0" r="0" b="0"/>
            <wp:docPr id="715" name="Obraz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59450" cy="4314460"/>
                    </a:xfrm>
                    <a:prstGeom prst="rect">
                      <a:avLst/>
                    </a:prstGeom>
                    <a:noFill/>
                    <a:ln>
                      <a:noFill/>
                    </a:ln>
                  </pic:spPr>
                </pic:pic>
              </a:graphicData>
            </a:graphic>
          </wp:inline>
        </w:drawing>
      </w:r>
    </w:p>
    <w:p w:rsidR="004C556B" w:rsidRDefault="004C556B" w:rsidP="003709A3">
      <w:pPr>
        <w:pStyle w:val="Default"/>
        <w:rPr>
          <w:b/>
          <w:bCs/>
          <w:sz w:val="16"/>
          <w:szCs w:val="16"/>
          <w:highlight w:val="yellow"/>
        </w:rPr>
      </w:pPr>
    </w:p>
    <w:p w:rsidR="007A6AB1" w:rsidRPr="003709A3" w:rsidRDefault="007A6AB1" w:rsidP="003709A3">
      <w:pPr>
        <w:pStyle w:val="Default"/>
        <w:rPr>
          <w:b/>
          <w:bCs/>
          <w:sz w:val="16"/>
          <w:szCs w:val="16"/>
          <w:highlight w:val="yellow"/>
        </w:rPr>
      </w:pPr>
    </w:p>
    <w:p w:rsidR="003709A3" w:rsidRPr="003709A3" w:rsidRDefault="003709A3" w:rsidP="003709A3">
      <w:pPr>
        <w:pStyle w:val="Default"/>
        <w:rPr>
          <w:b/>
          <w:bCs/>
          <w:sz w:val="16"/>
          <w:szCs w:val="16"/>
          <w:highlight w:val="yellow"/>
        </w:rPr>
      </w:pPr>
    </w:p>
    <w:p w:rsidR="00E324E9" w:rsidRPr="002A267D" w:rsidRDefault="00E324E9" w:rsidP="002A267D">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5" w:name="_Toc938726"/>
      <w:r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Bezrobotni zamieszkali na wsi</w:t>
      </w:r>
      <w:bookmarkEnd w:id="15"/>
    </w:p>
    <w:p w:rsidR="003709A3" w:rsidRPr="003709A3" w:rsidRDefault="003709A3" w:rsidP="003709A3">
      <w:pPr>
        <w:pStyle w:val="Default"/>
        <w:rPr>
          <w:b/>
          <w:bCs/>
          <w:sz w:val="16"/>
          <w:szCs w:val="16"/>
          <w:highlight w:val="yellow"/>
        </w:rPr>
      </w:pPr>
    </w:p>
    <w:p w:rsidR="003709A3" w:rsidRDefault="003709A3" w:rsidP="003709A3">
      <w:pPr>
        <w:pStyle w:val="Default"/>
        <w:rPr>
          <w:b/>
          <w:bCs/>
          <w:sz w:val="16"/>
          <w:szCs w:val="16"/>
          <w:highlight w:val="yellow"/>
        </w:rPr>
      </w:pPr>
    </w:p>
    <w:p w:rsidR="005E7DA0" w:rsidRDefault="005E7DA0" w:rsidP="003709A3">
      <w:pPr>
        <w:pStyle w:val="Default"/>
        <w:rPr>
          <w:b/>
          <w:bCs/>
          <w:sz w:val="16"/>
          <w:szCs w:val="16"/>
          <w:highlight w:val="yellow"/>
        </w:rPr>
      </w:pPr>
    </w:p>
    <w:p w:rsidR="00E324E9" w:rsidRPr="001D6F7F" w:rsidRDefault="00E324E9" w:rsidP="001D6F7F">
      <w:pPr>
        <w:pStyle w:val="Default"/>
        <w:spacing w:line="360" w:lineRule="auto"/>
        <w:ind w:firstLine="709"/>
        <w:jc w:val="both"/>
      </w:pPr>
      <w:r w:rsidRPr="001D6F7F">
        <w:t xml:space="preserve">Na </w:t>
      </w:r>
      <w:r w:rsidR="00F53FE2" w:rsidRPr="001D6F7F">
        <w:t>dzień 31</w:t>
      </w:r>
      <w:r w:rsidR="00A51FE0" w:rsidRPr="001D6F7F">
        <w:t xml:space="preserve"> XII ‘</w:t>
      </w:r>
      <w:r w:rsidR="00F53FE2" w:rsidRPr="001D6F7F">
        <w:t>1</w:t>
      </w:r>
      <w:r w:rsidR="009D05C1" w:rsidRPr="001D6F7F">
        <w:t>8</w:t>
      </w:r>
      <w:r w:rsidRPr="001D6F7F">
        <w:t xml:space="preserve"> r</w:t>
      </w:r>
      <w:r w:rsidR="00273E11" w:rsidRPr="001D6F7F">
        <w:t>oku</w:t>
      </w:r>
      <w:r w:rsidRPr="001D6F7F">
        <w:t xml:space="preserve"> spośród ogółu zarejestrowanych bezrobotnych </w:t>
      </w:r>
      <w:r w:rsidR="00ED5CA6" w:rsidRPr="001D6F7F">
        <w:t>5</w:t>
      </w:r>
      <w:r w:rsidR="001D6F7F" w:rsidRPr="001D6F7F">
        <w:t>2</w:t>
      </w:r>
      <w:r w:rsidRPr="001D6F7F">
        <w:t xml:space="preserve"> </w:t>
      </w:r>
      <w:r w:rsidR="001D6F7F" w:rsidRPr="001D6F7F">
        <w:t>334</w:t>
      </w:r>
      <w:r w:rsidRPr="001D6F7F">
        <w:t xml:space="preserve"> osób mieszkało na terenach wiejskich</w:t>
      </w:r>
      <w:r w:rsidR="00F53FE2" w:rsidRPr="001D6F7F">
        <w:t xml:space="preserve"> </w:t>
      </w:r>
      <w:r w:rsidR="00F27BF9">
        <w:t xml:space="preserve">tj. </w:t>
      </w:r>
      <w:r w:rsidR="001D6F7F">
        <w:t>63</w:t>
      </w:r>
      <w:r w:rsidR="003630C1" w:rsidRPr="001D6F7F">
        <w:t>,</w:t>
      </w:r>
      <w:r w:rsidR="001D6F7F">
        <w:t xml:space="preserve">1 </w:t>
      </w:r>
      <w:r w:rsidRPr="001D6F7F">
        <w:t>% ogółu bezrobotnych</w:t>
      </w:r>
      <w:r w:rsidR="00B56D55" w:rsidRPr="001D6F7F">
        <w:t>.</w:t>
      </w:r>
    </w:p>
    <w:p w:rsidR="001D6F7F" w:rsidRDefault="001D6F7F" w:rsidP="001D6F7F">
      <w:pPr>
        <w:pStyle w:val="Default"/>
        <w:jc w:val="both"/>
        <w:rPr>
          <w:sz w:val="16"/>
          <w:szCs w:val="16"/>
          <w:highlight w:val="yellow"/>
        </w:rPr>
      </w:pPr>
    </w:p>
    <w:p w:rsidR="005E7DA0" w:rsidRPr="001D6F7F" w:rsidRDefault="005E7DA0" w:rsidP="001D6F7F">
      <w:pPr>
        <w:pStyle w:val="Default"/>
        <w:jc w:val="both"/>
        <w:rPr>
          <w:sz w:val="16"/>
          <w:szCs w:val="16"/>
          <w:highlight w:val="yellow"/>
        </w:rPr>
      </w:pPr>
    </w:p>
    <w:p w:rsidR="009442F5" w:rsidRPr="001D6F7F" w:rsidRDefault="001D6F7F" w:rsidP="001D6F7F">
      <w:pPr>
        <w:pStyle w:val="Default"/>
        <w:jc w:val="both"/>
        <w:rPr>
          <w:sz w:val="16"/>
          <w:szCs w:val="16"/>
          <w:highlight w:val="yellow"/>
        </w:rPr>
      </w:pPr>
      <w:r w:rsidRPr="001D6F7F">
        <w:rPr>
          <w:noProof/>
          <w:lang w:eastAsia="pl-PL"/>
        </w:rPr>
        <w:drawing>
          <wp:inline distT="0" distB="0" distL="0" distR="0" wp14:anchorId="27868240" wp14:editId="6E3F9715">
            <wp:extent cx="5759450" cy="2227880"/>
            <wp:effectExtent l="0" t="0" r="0" b="127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59450" cy="2227880"/>
                    </a:xfrm>
                    <a:prstGeom prst="rect">
                      <a:avLst/>
                    </a:prstGeom>
                    <a:noFill/>
                    <a:ln>
                      <a:noFill/>
                    </a:ln>
                  </pic:spPr>
                </pic:pic>
              </a:graphicData>
            </a:graphic>
          </wp:inline>
        </w:drawing>
      </w:r>
    </w:p>
    <w:p w:rsidR="001D6F7F" w:rsidRDefault="001D6F7F">
      <w:pPr>
        <w:rPr>
          <w:rFonts w:ascii="Times New Roman" w:hAnsi="Times New Roman" w:cs="Times New Roman"/>
          <w:noProof/>
          <w:color w:val="000000"/>
          <w:sz w:val="24"/>
          <w:szCs w:val="24"/>
          <w:highlight w:val="yellow"/>
          <w:lang w:eastAsia="pl-PL"/>
        </w:rPr>
      </w:pPr>
      <w:r>
        <w:rPr>
          <w:noProof/>
          <w:highlight w:val="yellow"/>
          <w:lang w:eastAsia="pl-PL"/>
        </w:rPr>
        <w:br w:type="page"/>
      </w:r>
    </w:p>
    <w:p w:rsidR="001D6F7F" w:rsidRDefault="006359B0" w:rsidP="009A1F42">
      <w:pPr>
        <w:pStyle w:val="Default"/>
        <w:spacing w:line="360" w:lineRule="auto"/>
        <w:jc w:val="both"/>
        <w:rPr>
          <w:sz w:val="16"/>
          <w:szCs w:val="16"/>
          <w:highlight w:val="yellow"/>
        </w:rPr>
      </w:pPr>
      <w:r w:rsidRPr="006359B0">
        <w:rPr>
          <w:noProof/>
          <w:lang w:eastAsia="pl-PL"/>
        </w:rPr>
        <w:lastRenderedPageBreak/>
        <w:drawing>
          <wp:inline distT="0" distB="0" distL="0" distR="0" wp14:anchorId="5A3EF583" wp14:editId="3C5D96A8">
            <wp:extent cx="5759450" cy="763915"/>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59450" cy="763915"/>
                    </a:xfrm>
                    <a:prstGeom prst="rect">
                      <a:avLst/>
                    </a:prstGeom>
                    <a:noFill/>
                    <a:ln>
                      <a:noFill/>
                    </a:ln>
                  </pic:spPr>
                </pic:pic>
              </a:graphicData>
            </a:graphic>
          </wp:inline>
        </w:drawing>
      </w:r>
      <w:r w:rsidRPr="006359B0">
        <w:rPr>
          <w:noProof/>
          <w:lang w:eastAsia="pl-PL"/>
        </w:rPr>
        <w:drawing>
          <wp:inline distT="0" distB="0" distL="0" distR="0" wp14:anchorId="42F829B6" wp14:editId="4564FDD7">
            <wp:extent cx="5759450" cy="4363648"/>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59450" cy="4363648"/>
                    </a:xfrm>
                    <a:prstGeom prst="rect">
                      <a:avLst/>
                    </a:prstGeom>
                    <a:noFill/>
                    <a:ln>
                      <a:noFill/>
                    </a:ln>
                  </pic:spPr>
                </pic:pic>
              </a:graphicData>
            </a:graphic>
          </wp:inline>
        </w:drawing>
      </w:r>
    </w:p>
    <w:p w:rsidR="007A6AB1" w:rsidRPr="003709A3" w:rsidRDefault="007A6AB1" w:rsidP="007A6AB1">
      <w:pPr>
        <w:pStyle w:val="Default"/>
        <w:rPr>
          <w:b/>
          <w:bCs/>
          <w:sz w:val="16"/>
          <w:szCs w:val="16"/>
          <w:highlight w:val="yellow"/>
        </w:rPr>
      </w:pPr>
    </w:p>
    <w:p w:rsidR="00011FA8" w:rsidRPr="006359B0" w:rsidRDefault="00B56D55" w:rsidP="00452A1B">
      <w:pPr>
        <w:pStyle w:val="Default"/>
        <w:pBdr>
          <w:bottom w:val="single" w:sz="4" w:space="1" w:color="auto"/>
        </w:pBdr>
        <w:jc w:val="both"/>
      </w:pPr>
      <w:r w:rsidRPr="006359B0">
        <w:t>Wnioski</w:t>
      </w:r>
      <w:r w:rsidR="00011FA8" w:rsidRPr="006359B0">
        <w:t>:</w:t>
      </w:r>
    </w:p>
    <w:p w:rsidR="007A6AB1" w:rsidRPr="003709A3" w:rsidRDefault="00E135B6" w:rsidP="007A6AB1">
      <w:pPr>
        <w:pStyle w:val="Default"/>
        <w:rPr>
          <w:b/>
          <w:bCs/>
          <w:sz w:val="16"/>
          <w:szCs w:val="16"/>
          <w:highlight w:val="yellow"/>
        </w:rPr>
      </w:pPr>
      <w:r w:rsidRPr="008F0FCD">
        <w:rPr>
          <w:sz w:val="16"/>
          <w:szCs w:val="16"/>
        </w:rPr>
        <w:t>(na podstawie danych</w:t>
      </w:r>
      <w:r w:rsidR="00AE5712" w:rsidRPr="008F0FCD">
        <w:rPr>
          <w:sz w:val="16"/>
          <w:szCs w:val="16"/>
        </w:rPr>
        <w:t xml:space="preserve"> z </w:t>
      </w:r>
      <w:r w:rsidR="003630C1" w:rsidRPr="008F0FCD">
        <w:rPr>
          <w:sz w:val="16"/>
          <w:szCs w:val="16"/>
        </w:rPr>
        <w:t>t</w:t>
      </w:r>
      <w:r w:rsidRPr="008F0FCD">
        <w:rPr>
          <w:sz w:val="16"/>
          <w:szCs w:val="16"/>
        </w:rPr>
        <w:t>abel</w:t>
      </w:r>
      <w:r w:rsidR="003630C1" w:rsidRPr="008F0FCD">
        <w:rPr>
          <w:sz w:val="16"/>
          <w:szCs w:val="16"/>
        </w:rPr>
        <w:t>:</w:t>
      </w:r>
      <w:r w:rsidRPr="008F0FCD">
        <w:rPr>
          <w:sz w:val="16"/>
          <w:szCs w:val="16"/>
        </w:rPr>
        <w:t xml:space="preserve"> </w:t>
      </w:r>
      <w:r w:rsidR="003630C1" w:rsidRPr="008F0FCD">
        <w:rPr>
          <w:sz w:val="16"/>
          <w:szCs w:val="16"/>
        </w:rPr>
        <w:t>XV</w:t>
      </w:r>
      <w:r w:rsidR="00B56D55" w:rsidRPr="008F0FCD">
        <w:rPr>
          <w:sz w:val="16"/>
          <w:szCs w:val="16"/>
        </w:rPr>
        <w:t>,</w:t>
      </w:r>
      <w:r w:rsidRPr="008F0FCD">
        <w:rPr>
          <w:sz w:val="16"/>
          <w:szCs w:val="16"/>
        </w:rPr>
        <w:t xml:space="preserve"> </w:t>
      </w:r>
      <w:r w:rsidR="007E4B81" w:rsidRPr="008F0FCD">
        <w:rPr>
          <w:sz w:val="16"/>
          <w:szCs w:val="16"/>
        </w:rPr>
        <w:t>XVI, XVII i XVIII a, b</w:t>
      </w:r>
      <w:r w:rsidR="00B21DA4" w:rsidRPr="008F0FCD">
        <w:rPr>
          <w:sz w:val="16"/>
          <w:szCs w:val="16"/>
        </w:rPr>
        <w:t xml:space="preserve"> i</w:t>
      </w:r>
      <w:r w:rsidR="007E4B81" w:rsidRPr="008F0FCD">
        <w:rPr>
          <w:sz w:val="16"/>
          <w:szCs w:val="16"/>
        </w:rPr>
        <w:t xml:space="preserve"> c</w:t>
      </w:r>
      <w:r w:rsidR="00B56D55" w:rsidRPr="008F0FCD">
        <w:rPr>
          <w:sz w:val="16"/>
          <w:szCs w:val="16"/>
        </w:rPr>
        <w:t>)</w:t>
      </w:r>
    </w:p>
    <w:p w:rsidR="00E135B6" w:rsidRDefault="00E135B6" w:rsidP="00E135B6">
      <w:pPr>
        <w:pStyle w:val="Tekstpodstawowywcity"/>
        <w:spacing w:after="0" w:line="360" w:lineRule="auto"/>
        <w:ind w:left="0"/>
        <w:jc w:val="both"/>
        <w:rPr>
          <w:rFonts w:ascii="Times New Roman" w:hAnsi="Times New Roman" w:cs="Times New Roman"/>
          <w:sz w:val="16"/>
          <w:szCs w:val="16"/>
        </w:rPr>
      </w:pPr>
    </w:p>
    <w:p w:rsidR="007A6AB1" w:rsidRPr="008F0FCD" w:rsidRDefault="007A6AB1" w:rsidP="00E135B6">
      <w:pPr>
        <w:pStyle w:val="Tekstpodstawowywcity"/>
        <w:spacing w:after="0" w:line="360" w:lineRule="auto"/>
        <w:ind w:left="0"/>
        <w:jc w:val="both"/>
        <w:rPr>
          <w:rFonts w:ascii="Times New Roman" w:hAnsi="Times New Roman" w:cs="Times New Roman"/>
          <w:sz w:val="16"/>
          <w:szCs w:val="16"/>
        </w:rPr>
      </w:pPr>
    </w:p>
    <w:p w:rsidR="00407FE3" w:rsidRPr="006359B0" w:rsidRDefault="00137ADF" w:rsidP="00160DBC">
      <w:pPr>
        <w:pStyle w:val="Default"/>
        <w:numPr>
          <w:ilvl w:val="0"/>
          <w:numId w:val="2"/>
        </w:numPr>
        <w:spacing w:line="360" w:lineRule="auto"/>
        <w:jc w:val="both"/>
      </w:pPr>
      <w:r w:rsidRPr="006359B0">
        <w:t>W</w:t>
      </w:r>
      <w:r w:rsidR="00407FE3" w:rsidRPr="006359B0">
        <w:t> porównaniu ze stanem</w:t>
      </w:r>
      <w:r w:rsidR="00AE5712" w:rsidRPr="006359B0">
        <w:t xml:space="preserve"> z </w:t>
      </w:r>
      <w:r w:rsidR="00383A43" w:rsidRPr="006359B0">
        <w:t>31 XII ‘</w:t>
      </w:r>
      <w:r w:rsidR="00407FE3" w:rsidRPr="006359B0">
        <w:t>1</w:t>
      </w:r>
      <w:r w:rsidR="006359B0" w:rsidRPr="006359B0">
        <w:t>7</w:t>
      </w:r>
      <w:r w:rsidR="00AE5712" w:rsidRPr="006359B0">
        <w:t> r.</w:t>
      </w:r>
      <w:r w:rsidR="00407FE3" w:rsidRPr="006359B0">
        <w:t xml:space="preserve"> (</w:t>
      </w:r>
      <w:r w:rsidR="006359B0" w:rsidRPr="006359B0">
        <w:t>5</w:t>
      </w:r>
      <w:r w:rsidR="00AA5268" w:rsidRPr="006359B0">
        <w:t>7</w:t>
      </w:r>
      <w:r w:rsidR="00407FE3" w:rsidRPr="006359B0">
        <w:t xml:space="preserve"> </w:t>
      </w:r>
      <w:r w:rsidR="006359B0" w:rsidRPr="006359B0">
        <w:t>241</w:t>
      </w:r>
      <w:r w:rsidR="00407FE3" w:rsidRPr="006359B0">
        <w:t>) liczba bezrobotnych zamieszkałych na wsi spadła</w:t>
      </w:r>
      <w:r w:rsidR="00AE5712" w:rsidRPr="006359B0">
        <w:t xml:space="preserve"> o </w:t>
      </w:r>
      <w:r w:rsidR="006359B0" w:rsidRPr="006359B0">
        <w:t>4</w:t>
      </w:r>
      <w:r w:rsidR="00407FE3" w:rsidRPr="006359B0">
        <w:t xml:space="preserve"> </w:t>
      </w:r>
      <w:r w:rsidR="006359B0" w:rsidRPr="006359B0">
        <w:t>907</w:t>
      </w:r>
      <w:r w:rsidR="00407FE3" w:rsidRPr="006359B0">
        <w:t xml:space="preserve"> os</w:t>
      </w:r>
      <w:r w:rsidR="00AA5268" w:rsidRPr="006359B0">
        <w:t>ó</w:t>
      </w:r>
      <w:r w:rsidR="00407FE3" w:rsidRPr="006359B0">
        <w:t>b</w:t>
      </w:r>
      <w:r w:rsidR="00096666" w:rsidRPr="006359B0">
        <w:t xml:space="preserve"> we wszystkich powiatach województwa</w:t>
      </w:r>
      <w:r w:rsidRPr="006359B0">
        <w:t>.</w:t>
      </w:r>
    </w:p>
    <w:p w:rsidR="00DE77A9" w:rsidRDefault="00137ADF" w:rsidP="00DE77A9">
      <w:pPr>
        <w:pStyle w:val="Default"/>
        <w:numPr>
          <w:ilvl w:val="0"/>
          <w:numId w:val="2"/>
        </w:numPr>
        <w:spacing w:line="360" w:lineRule="auto"/>
        <w:jc w:val="both"/>
      </w:pPr>
      <w:r w:rsidRPr="006359B0">
        <w:t>N</w:t>
      </w:r>
      <w:r w:rsidR="000A50E1" w:rsidRPr="006359B0">
        <w:t xml:space="preserve">ajwyższy </w:t>
      </w:r>
      <w:r w:rsidR="00011FA8" w:rsidRPr="006359B0">
        <w:t xml:space="preserve">spadek </w:t>
      </w:r>
      <w:r w:rsidR="000A50E1" w:rsidRPr="006359B0">
        <w:t>bezrobotnych zamieszkałych na wsi odnotowano</w:t>
      </w:r>
      <w:r w:rsidR="00AE5712" w:rsidRPr="006359B0">
        <w:t xml:space="preserve"> w </w:t>
      </w:r>
      <w:r w:rsidR="000A50E1" w:rsidRPr="006359B0">
        <w:t>następujących powiatach</w:t>
      </w:r>
      <w:r w:rsidR="00DE77A9">
        <w:t xml:space="preserve"> mieleckim (22,2 %), dębickim (16,8 %), krośnieńskim (16,2 %), tarnobrzeskim (15,5 %), kolbuszowskim (15,0 %), przeworskim (12,5 %), bieszczadzkim (12,1 %) i lubaczowskim (10,2 %).</w:t>
      </w:r>
    </w:p>
    <w:p w:rsidR="007A6AB1" w:rsidRDefault="00137ADF" w:rsidP="00DE77A9">
      <w:pPr>
        <w:pStyle w:val="Default"/>
        <w:numPr>
          <w:ilvl w:val="0"/>
          <w:numId w:val="2"/>
        </w:numPr>
        <w:spacing w:line="360" w:lineRule="auto"/>
        <w:jc w:val="both"/>
      </w:pPr>
      <w:r w:rsidRPr="00DE77A9">
        <w:t>N</w:t>
      </w:r>
      <w:r w:rsidR="00011FA8" w:rsidRPr="00DE77A9">
        <w:t>ajniższy spadek bezrobotnych zamieszkałych na wsi odnotowano</w:t>
      </w:r>
      <w:r w:rsidR="00AE5712" w:rsidRPr="00DE77A9">
        <w:t xml:space="preserve"> w </w:t>
      </w:r>
      <w:r w:rsidR="00011FA8" w:rsidRPr="00DE77A9">
        <w:t xml:space="preserve">następujących powiatach </w:t>
      </w:r>
      <w:r w:rsidR="00DE77A9" w:rsidRPr="00DE77A9">
        <w:t>łańcuckim (</w:t>
      </w:r>
      <w:r w:rsidR="00F749D8">
        <w:t>1,4 %</w:t>
      </w:r>
      <w:r w:rsidR="00DE77A9" w:rsidRPr="00DE77A9">
        <w:t xml:space="preserve">), ropczycko-sędziszowskim </w:t>
      </w:r>
      <w:r w:rsidR="00F749D8">
        <w:t xml:space="preserve">i rzeszowskim </w:t>
      </w:r>
      <w:r w:rsidR="00DE77A9" w:rsidRPr="00DE77A9">
        <w:t>(</w:t>
      </w:r>
      <w:r w:rsidR="00F749D8">
        <w:t>po 2,6 %</w:t>
      </w:r>
      <w:r w:rsidR="00DE77A9" w:rsidRPr="00DE77A9">
        <w:t>),</w:t>
      </w:r>
      <w:r w:rsidR="00F749D8">
        <w:t xml:space="preserve"> </w:t>
      </w:r>
      <w:r w:rsidR="00DE77A9" w:rsidRPr="00DE77A9">
        <w:t>leskim (</w:t>
      </w:r>
      <w:r w:rsidR="00F749D8">
        <w:t>4,9 %</w:t>
      </w:r>
      <w:r w:rsidR="00DE77A9" w:rsidRPr="00DE77A9">
        <w:t>), niżańskim (</w:t>
      </w:r>
      <w:r w:rsidR="00F749D8">
        <w:t>5,8 %</w:t>
      </w:r>
      <w:r w:rsidR="00DE77A9" w:rsidRPr="00DE77A9">
        <w:t>), sanockim (</w:t>
      </w:r>
      <w:r w:rsidR="00F749D8">
        <w:t>6,1 %</w:t>
      </w:r>
      <w:r w:rsidR="00DE77A9" w:rsidRPr="00DE77A9">
        <w:t>), strzyżowskim (</w:t>
      </w:r>
      <w:r w:rsidR="00F749D8">
        <w:t>6,8 %</w:t>
      </w:r>
      <w:r w:rsidR="00DE77A9" w:rsidRPr="00DE77A9">
        <w:t>) i</w:t>
      </w:r>
      <w:r w:rsidR="00F749D8">
        <w:t> </w:t>
      </w:r>
      <w:r w:rsidR="00DE77A9" w:rsidRPr="00DE77A9">
        <w:t>jarosławskim (</w:t>
      </w:r>
      <w:r w:rsidR="00F749D8">
        <w:t>6,9 %</w:t>
      </w:r>
      <w:r w:rsidR="00DE77A9" w:rsidRPr="00DE77A9">
        <w:t>).</w:t>
      </w:r>
    </w:p>
    <w:p w:rsidR="007A6AB1" w:rsidRDefault="007A6AB1">
      <w:pPr>
        <w:rPr>
          <w:rFonts w:ascii="Times New Roman" w:hAnsi="Times New Roman" w:cs="Times New Roman"/>
          <w:color w:val="000000"/>
          <w:sz w:val="24"/>
          <w:szCs w:val="24"/>
        </w:rPr>
      </w:pPr>
      <w:r>
        <w:br w:type="page"/>
      </w:r>
    </w:p>
    <w:p w:rsidR="00D80063" w:rsidRPr="003E18D2" w:rsidRDefault="00DD09AB" w:rsidP="009A1F42">
      <w:pPr>
        <w:pStyle w:val="Default"/>
        <w:numPr>
          <w:ilvl w:val="0"/>
          <w:numId w:val="2"/>
        </w:numPr>
        <w:spacing w:line="360" w:lineRule="auto"/>
        <w:jc w:val="both"/>
      </w:pPr>
      <w:r w:rsidRPr="006359B0">
        <w:lastRenderedPageBreak/>
        <w:t xml:space="preserve">Z uzyskanych danych wynika również </w:t>
      </w:r>
      <w:r w:rsidR="00A95D0E" w:rsidRPr="006359B0">
        <w:t xml:space="preserve">związek </w:t>
      </w:r>
      <w:r w:rsidR="006359B0" w:rsidRPr="006359B0">
        <w:t>po</w:t>
      </w:r>
      <w:r w:rsidR="00925F63" w:rsidRPr="006359B0">
        <w:t xml:space="preserve">między </w:t>
      </w:r>
      <w:r w:rsidR="006359B0" w:rsidRPr="006359B0">
        <w:t xml:space="preserve">ilością bezrobotnych </w:t>
      </w:r>
      <w:r w:rsidRPr="006359B0">
        <w:t>na wsi</w:t>
      </w:r>
      <w:r w:rsidR="006359B0" w:rsidRPr="006359B0">
        <w:t>,</w:t>
      </w:r>
      <w:r w:rsidRPr="006359B0">
        <w:t xml:space="preserve"> a </w:t>
      </w:r>
      <w:r w:rsidR="005F44A0" w:rsidRPr="006359B0">
        <w:t>stopą bezroboci</w:t>
      </w:r>
      <w:r w:rsidRPr="006359B0">
        <w:t>a</w:t>
      </w:r>
      <w:r w:rsidR="00B77F9D" w:rsidRPr="006359B0">
        <w:t>.</w:t>
      </w:r>
      <w:r w:rsidRPr="006359B0">
        <w:t xml:space="preserve"> </w:t>
      </w:r>
      <w:r w:rsidR="00B77F9D" w:rsidRPr="003E18D2">
        <w:t>W</w:t>
      </w:r>
      <w:r w:rsidR="00AE5712" w:rsidRPr="003E18D2">
        <w:t> </w:t>
      </w:r>
      <w:r w:rsidR="00925F63" w:rsidRPr="003E18D2">
        <w:t>powiatach,</w:t>
      </w:r>
      <w:r w:rsidR="00AE5712" w:rsidRPr="003E18D2">
        <w:t xml:space="preserve"> </w:t>
      </w:r>
      <w:r w:rsidR="00F749D8">
        <w:t xml:space="preserve">gdzie </w:t>
      </w:r>
      <w:r w:rsidR="00B77F9D" w:rsidRPr="003E18D2">
        <w:t>odnotowano</w:t>
      </w:r>
      <w:r w:rsidR="00925F63" w:rsidRPr="003E18D2">
        <w:t xml:space="preserve"> </w:t>
      </w:r>
      <w:r w:rsidR="00B77F9D" w:rsidRPr="003E18D2">
        <w:t>znaczny</w:t>
      </w:r>
      <w:r w:rsidR="00925F63" w:rsidRPr="003E18D2">
        <w:t xml:space="preserve"> spadek </w:t>
      </w:r>
      <w:r w:rsidR="00C507DA" w:rsidRPr="003E18D2">
        <w:t>natężenia bezrobocia</w:t>
      </w:r>
      <w:r w:rsidR="00F749D8">
        <w:t xml:space="preserve"> </w:t>
      </w:r>
      <w:r w:rsidR="00925F63" w:rsidRPr="003E18D2">
        <w:t xml:space="preserve">jednocześnie </w:t>
      </w:r>
      <w:r w:rsidR="00B77F9D" w:rsidRPr="003E18D2">
        <w:t>nastąpił</w:t>
      </w:r>
      <w:r w:rsidR="00925F63" w:rsidRPr="003E18D2">
        <w:t xml:space="preserve"> spadek liczby bezrobotnych </w:t>
      </w:r>
      <w:r w:rsidR="00925F63" w:rsidRPr="00B31D37">
        <w:t>na wsi</w:t>
      </w:r>
      <w:r w:rsidR="00C507DA" w:rsidRPr="00B31D37">
        <w:t xml:space="preserve"> – powiat </w:t>
      </w:r>
      <w:r w:rsidR="00F749D8" w:rsidRPr="00B31D37">
        <w:t>mielecki</w:t>
      </w:r>
      <w:r w:rsidR="00C507DA" w:rsidRPr="00B31D37">
        <w:t xml:space="preserve"> (</w:t>
      </w:r>
      <w:r w:rsidR="00BE06DA">
        <w:t>1</w:t>
      </w:r>
      <w:r w:rsidR="00FC2383" w:rsidRPr="00B31D37">
        <w:t>,</w:t>
      </w:r>
      <w:r w:rsidR="00BE06DA">
        <w:t>1</w:t>
      </w:r>
      <w:r w:rsidR="00FC2383" w:rsidRPr="00B31D37">
        <w:t xml:space="preserve"> pkt. proc</w:t>
      </w:r>
      <w:r w:rsidR="00F749D8" w:rsidRPr="00B31D37">
        <w:t>.</w:t>
      </w:r>
      <w:r w:rsidR="00FC2383" w:rsidRPr="00B31D37">
        <w:t xml:space="preserve"> spadek stopy </w:t>
      </w:r>
      <w:r w:rsidR="00BE06DA">
        <w:t>vs.</w:t>
      </w:r>
      <w:r w:rsidR="00FC2383" w:rsidRPr="00B31D37">
        <w:t xml:space="preserve"> </w:t>
      </w:r>
      <w:r w:rsidR="00C507DA" w:rsidRPr="00B31D37">
        <w:t>2</w:t>
      </w:r>
      <w:r w:rsidR="00F749D8" w:rsidRPr="00B31D37">
        <w:t>2</w:t>
      </w:r>
      <w:r w:rsidR="00C507DA" w:rsidRPr="00B31D37">
        <w:t>,</w:t>
      </w:r>
      <w:r w:rsidR="00F749D8" w:rsidRPr="00B31D37">
        <w:t xml:space="preserve">2 </w:t>
      </w:r>
      <w:r w:rsidR="00FC2383" w:rsidRPr="00B31D37">
        <w:t>% spadek liczby bezrobotnych na wsi</w:t>
      </w:r>
      <w:r w:rsidR="002830E7" w:rsidRPr="00B31D37">
        <w:t xml:space="preserve">; przy założeniu, że stan na 31 XII </w:t>
      </w:r>
      <w:r w:rsidR="00F749D8" w:rsidRPr="00B31D37">
        <w:t>‘</w:t>
      </w:r>
      <w:r w:rsidR="002830E7" w:rsidRPr="00B31D37">
        <w:t>1</w:t>
      </w:r>
      <w:r w:rsidR="00F749D8" w:rsidRPr="00B31D37">
        <w:t>7</w:t>
      </w:r>
      <w:r w:rsidR="002830E7" w:rsidRPr="00B31D37">
        <w:t>=100%</w:t>
      </w:r>
      <w:r w:rsidR="00C507DA" w:rsidRPr="00B31D37">
        <w:t>), dębicki (</w:t>
      </w:r>
      <w:r w:rsidR="00BE06DA">
        <w:t>1</w:t>
      </w:r>
      <w:r w:rsidR="00FC2383" w:rsidRPr="00B31D37">
        <w:t>,</w:t>
      </w:r>
      <w:r w:rsidR="00BE06DA">
        <w:t>2</w:t>
      </w:r>
      <w:r w:rsidR="00FC2383" w:rsidRPr="00B31D37">
        <w:t xml:space="preserve"> pkt. proc. do </w:t>
      </w:r>
      <w:r w:rsidR="00F749D8" w:rsidRPr="00B31D37">
        <w:t>1</w:t>
      </w:r>
      <w:r w:rsidR="00C507DA" w:rsidRPr="00B31D37">
        <w:t>6,</w:t>
      </w:r>
      <w:r w:rsidR="00F749D8" w:rsidRPr="00B31D37">
        <w:t xml:space="preserve">8 </w:t>
      </w:r>
      <w:r w:rsidR="00FC2383" w:rsidRPr="00B31D37">
        <w:t>%</w:t>
      </w:r>
      <w:r w:rsidR="00C507DA" w:rsidRPr="00B31D37">
        <w:t xml:space="preserve">), </w:t>
      </w:r>
      <w:r w:rsidR="00F749D8" w:rsidRPr="00B31D37">
        <w:t>krośnieński</w:t>
      </w:r>
      <w:r w:rsidR="00C507DA" w:rsidRPr="00B31D37">
        <w:t xml:space="preserve"> (</w:t>
      </w:r>
      <w:r w:rsidR="00BE06DA">
        <w:t>1</w:t>
      </w:r>
      <w:r w:rsidR="00FC2383" w:rsidRPr="00B31D37">
        <w:t>,</w:t>
      </w:r>
      <w:r w:rsidR="00BE06DA">
        <w:t>2</w:t>
      </w:r>
      <w:r w:rsidR="00FC2383" w:rsidRPr="00B31D37">
        <w:t xml:space="preserve"> pkt. proc. do </w:t>
      </w:r>
      <w:r w:rsidR="00B31D37" w:rsidRPr="00B31D37">
        <w:t>16</w:t>
      </w:r>
      <w:r w:rsidR="00C507DA" w:rsidRPr="00B31D37">
        <w:t>,2</w:t>
      </w:r>
      <w:r w:rsidR="00B31D37" w:rsidRPr="00B31D37">
        <w:t xml:space="preserve"> </w:t>
      </w:r>
      <w:r w:rsidR="00FC2383" w:rsidRPr="00B31D37">
        <w:t>%</w:t>
      </w:r>
      <w:r w:rsidR="00C507DA" w:rsidRPr="00B31D37">
        <w:t>)</w:t>
      </w:r>
      <w:r w:rsidR="00B31D37" w:rsidRPr="00B31D37">
        <w:t>.</w:t>
      </w:r>
      <w:r w:rsidR="00B31D37">
        <w:t xml:space="preserve"> </w:t>
      </w:r>
      <w:r w:rsidR="00AA3114" w:rsidRPr="003E18D2">
        <w:t xml:space="preserve">Przyczyn omawianej </w:t>
      </w:r>
      <w:r w:rsidR="00D80063" w:rsidRPr="003E18D2">
        <w:t xml:space="preserve">tendencji </w:t>
      </w:r>
      <w:r w:rsidR="00AA3114" w:rsidRPr="003E18D2">
        <w:t>można poszukiwać w</w:t>
      </w:r>
      <w:r w:rsidR="00BE06DA">
        <w:t> </w:t>
      </w:r>
      <w:r w:rsidR="00AA3114" w:rsidRPr="003E18D2">
        <w:t>migracjach populacyjnych. O</w:t>
      </w:r>
      <w:r w:rsidR="00D80063" w:rsidRPr="003E18D2">
        <w:t>soby zamieszkałe na wsi podejmują pracę</w:t>
      </w:r>
      <w:r w:rsidR="00AA3114" w:rsidRPr="003E18D2">
        <w:t xml:space="preserve"> </w:t>
      </w:r>
      <w:r w:rsidR="00AE5712" w:rsidRPr="003E18D2">
        <w:t>w</w:t>
      </w:r>
      <w:r w:rsidR="00AA3114" w:rsidRPr="003E18D2">
        <w:t xml:space="preserve"> </w:t>
      </w:r>
      <w:r w:rsidR="00D80063" w:rsidRPr="003E18D2">
        <w:t xml:space="preserve">większych </w:t>
      </w:r>
      <w:r w:rsidR="00AA3114" w:rsidRPr="003E18D2">
        <w:t>ośrodkach miejskich w kraju</w:t>
      </w:r>
      <w:r w:rsidR="00441297" w:rsidRPr="003E18D2">
        <w:t xml:space="preserve"> lub</w:t>
      </w:r>
      <w:r w:rsidR="00383A43" w:rsidRPr="003E18D2">
        <w:t xml:space="preserve"> </w:t>
      </w:r>
      <w:r w:rsidR="000E084C" w:rsidRPr="003E18D2">
        <w:t xml:space="preserve">uzyskują </w:t>
      </w:r>
      <w:r w:rsidR="00A06DA8" w:rsidRPr="003E18D2">
        <w:t>sezonow</w:t>
      </w:r>
      <w:r w:rsidR="000E084C" w:rsidRPr="003E18D2">
        <w:t>e</w:t>
      </w:r>
      <w:r w:rsidR="00441297" w:rsidRPr="003E18D2">
        <w:t xml:space="preserve"> zatrudnienie</w:t>
      </w:r>
      <w:r w:rsidR="000E084C" w:rsidRPr="003E18D2">
        <w:t xml:space="preserve"> </w:t>
      </w:r>
      <w:r w:rsidR="00D80063" w:rsidRPr="003E18D2">
        <w:t>za</w:t>
      </w:r>
      <w:r w:rsidR="00AA3114" w:rsidRPr="003E18D2">
        <w:t xml:space="preserve"> </w:t>
      </w:r>
      <w:r w:rsidR="00D80063" w:rsidRPr="003E18D2">
        <w:t>granic</w:t>
      </w:r>
      <w:r w:rsidR="00441297" w:rsidRPr="003E18D2">
        <w:t>ą</w:t>
      </w:r>
      <w:r w:rsidR="00A97EF7" w:rsidRPr="003E18D2">
        <w:t>.</w:t>
      </w:r>
    </w:p>
    <w:p w:rsidR="00E135B6" w:rsidRPr="00603B40" w:rsidRDefault="0018460F" w:rsidP="00160DBC">
      <w:pPr>
        <w:pStyle w:val="Default"/>
        <w:numPr>
          <w:ilvl w:val="0"/>
          <w:numId w:val="6"/>
        </w:numPr>
        <w:spacing w:line="360" w:lineRule="auto"/>
        <w:jc w:val="both"/>
      </w:pPr>
      <w:r w:rsidRPr="00603B40">
        <w:t>Kumulacj</w:t>
      </w:r>
      <w:r w:rsidR="00603B40" w:rsidRPr="00603B40">
        <w:t>e</w:t>
      </w:r>
      <w:r w:rsidRPr="00603B40">
        <w:t xml:space="preserve"> </w:t>
      </w:r>
      <w:r w:rsidR="0029570C" w:rsidRPr="00603B40">
        <w:t>bezrobotnych zamieszkałych na wsi</w:t>
      </w:r>
      <w:r w:rsidR="00603B40">
        <w:t>,</w:t>
      </w:r>
      <w:r w:rsidR="0029570C" w:rsidRPr="00603B40">
        <w:t xml:space="preserve"> pozostaj</w:t>
      </w:r>
      <w:r w:rsidRPr="00603B40">
        <w:t xml:space="preserve">ących </w:t>
      </w:r>
      <w:r w:rsidR="0029570C" w:rsidRPr="00603B40">
        <w:t xml:space="preserve">bez zatrudnienia powyżej 24 miesięcy </w:t>
      </w:r>
      <w:r w:rsidRPr="00603B40">
        <w:t>nastąpił</w:t>
      </w:r>
      <w:r w:rsidR="00603B40" w:rsidRPr="00603B40">
        <w:t>y</w:t>
      </w:r>
      <w:r w:rsidRPr="00603B40">
        <w:t xml:space="preserve"> w przedzia</w:t>
      </w:r>
      <w:r w:rsidR="00603B40" w:rsidRPr="00603B40">
        <w:t>łach</w:t>
      </w:r>
      <w:r w:rsidRPr="00603B40">
        <w:t xml:space="preserve"> </w:t>
      </w:r>
      <w:r w:rsidR="00603B40">
        <w:t xml:space="preserve">ujętych </w:t>
      </w:r>
      <w:r w:rsidR="00603B40" w:rsidRPr="00603B40">
        <w:t xml:space="preserve">łącznie </w:t>
      </w:r>
      <w:r w:rsidR="00603B40">
        <w:t xml:space="preserve">jako </w:t>
      </w:r>
      <w:r w:rsidRPr="00603B40">
        <w:t xml:space="preserve">25-54 lat </w:t>
      </w:r>
      <w:r w:rsidR="000B6AD7" w:rsidRPr="00603B40">
        <w:t>(tj. zbliżony</w:t>
      </w:r>
      <w:r w:rsidR="00603B40" w:rsidRPr="00603B40">
        <w:t>ch</w:t>
      </w:r>
      <w:r w:rsidR="000B6AD7" w:rsidRPr="00603B40">
        <w:t xml:space="preserve"> do wieku produkcyjnego</w:t>
      </w:r>
      <w:r w:rsidR="00603B40" w:rsidRPr="00603B40">
        <w:t>) – 75</w:t>
      </w:r>
      <w:r w:rsidR="00E06FC9" w:rsidRPr="00603B40">
        <w:t>,</w:t>
      </w:r>
      <w:r w:rsidR="00603B40" w:rsidRPr="00603B40">
        <w:t xml:space="preserve">5 </w:t>
      </w:r>
      <w:r w:rsidRPr="00603B40">
        <w:t>% bezrobotnych ponad 24 miesiące</w:t>
      </w:r>
      <w:r w:rsidR="00A215D0" w:rsidRPr="00603B40">
        <w:t>.</w:t>
      </w:r>
    </w:p>
    <w:p w:rsidR="0029570C" w:rsidRPr="00603B40" w:rsidRDefault="00A215D0" w:rsidP="00160DBC">
      <w:pPr>
        <w:pStyle w:val="Default"/>
        <w:numPr>
          <w:ilvl w:val="0"/>
          <w:numId w:val="6"/>
        </w:numPr>
        <w:spacing w:line="360" w:lineRule="auto"/>
        <w:jc w:val="both"/>
      </w:pPr>
      <w:r w:rsidRPr="00603B40">
        <w:t>O</w:t>
      </w:r>
      <w:r w:rsidR="0029570C" w:rsidRPr="00603B40">
        <w:t>soby</w:t>
      </w:r>
      <w:r w:rsidR="00654604" w:rsidRPr="00603B40">
        <w:t xml:space="preserve"> </w:t>
      </w:r>
      <w:r w:rsidR="00AE5712" w:rsidRPr="00603B40">
        <w:t>z</w:t>
      </w:r>
      <w:r w:rsidR="00654604" w:rsidRPr="00603B40">
        <w:t xml:space="preserve"> </w:t>
      </w:r>
      <w:r w:rsidR="0029570C" w:rsidRPr="00603B40">
        <w:t xml:space="preserve">wykształceniem </w:t>
      </w:r>
      <w:r w:rsidR="00654604" w:rsidRPr="00603B40">
        <w:t xml:space="preserve">zasadniczym zawodowym </w:t>
      </w:r>
      <w:r w:rsidR="0029570C" w:rsidRPr="00603B40">
        <w:t>(</w:t>
      </w:r>
      <w:r w:rsidR="00654604" w:rsidRPr="00603B40">
        <w:t>3</w:t>
      </w:r>
      <w:r w:rsidR="00603B40" w:rsidRPr="00603B40">
        <w:t>0</w:t>
      </w:r>
      <w:r w:rsidR="0029570C" w:rsidRPr="00603B40">
        <w:t>,</w:t>
      </w:r>
      <w:r w:rsidR="00603B40" w:rsidRPr="00603B40">
        <w:t xml:space="preserve">8 </w:t>
      </w:r>
      <w:r w:rsidR="0029570C" w:rsidRPr="00603B40">
        <w:t>%) to najliczniejsza grupa bezrobotnych zamieszkałych na wsi</w:t>
      </w:r>
      <w:r w:rsidR="00764DB3" w:rsidRPr="00603B40">
        <w:t>.</w:t>
      </w:r>
      <w:r w:rsidR="0029570C" w:rsidRPr="00603B40">
        <w:t xml:space="preserve"> </w:t>
      </w:r>
      <w:r w:rsidR="00764DB3" w:rsidRPr="00603B40">
        <w:t>K</w:t>
      </w:r>
      <w:r w:rsidR="0029570C" w:rsidRPr="00603B40">
        <w:t xml:space="preserve">olejną </w:t>
      </w:r>
      <w:r w:rsidR="00654604" w:rsidRPr="00603B40">
        <w:t>są legitymując</w:t>
      </w:r>
      <w:r w:rsidR="00764DB3" w:rsidRPr="00603B40">
        <w:t>y</w:t>
      </w:r>
      <w:r w:rsidR="00654604" w:rsidRPr="00603B40">
        <w:t xml:space="preserve"> się wykształceniem policealnym i średnim zawodowym </w:t>
      </w:r>
      <w:r w:rsidR="0029570C" w:rsidRPr="00603B40">
        <w:t>(</w:t>
      </w:r>
      <w:r w:rsidR="00603B40" w:rsidRPr="00603B40">
        <w:t>26</w:t>
      </w:r>
      <w:r w:rsidR="0029570C" w:rsidRPr="00603B40">
        <w:t>,</w:t>
      </w:r>
      <w:r w:rsidR="00603B40" w:rsidRPr="00603B40">
        <w:t xml:space="preserve">2 </w:t>
      </w:r>
      <w:r w:rsidR="0029570C" w:rsidRPr="00603B40">
        <w:t>%)</w:t>
      </w:r>
      <w:r w:rsidR="00654604" w:rsidRPr="00603B40">
        <w:t>.</w:t>
      </w:r>
    </w:p>
    <w:p w:rsidR="00A215D0" w:rsidRPr="00603B40" w:rsidRDefault="00654604" w:rsidP="00160DBC">
      <w:pPr>
        <w:pStyle w:val="Default"/>
        <w:numPr>
          <w:ilvl w:val="0"/>
          <w:numId w:val="6"/>
        </w:numPr>
        <w:spacing w:line="360" w:lineRule="auto"/>
        <w:jc w:val="both"/>
      </w:pPr>
      <w:r w:rsidRPr="00603B40">
        <w:t xml:space="preserve">Udokumentowany </w:t>
      </w:r>
      <w:r w:rsidR="0029570C" w:rsidRPr="00603B40">
        <w:t>staż pracy</w:t>
      </w:r>
      <w:r w:rsidRPr="00603B40">
        <w:t xml:space="preserve">, który posiadają </w:t>
      </w:r>
      <w:r w:rsidR="00834BDD" w:rsidRPr="00603B40">
        <w:t xml:space="preserve">osoby zarejestrowane jako </w:t>
      </w:r>
      <w:r w:rsidRPr="00603B40">
        <w:t>bezrobotni na wsi</w:t>
      </w:r>
      <w:r w:rsidR="00834BDD" w:rsidRPr="00603B40">
        <w:t xml:space="preserve"> </w:t>
      </w:r>
      <w:r w:rsidR="0029570C" w:rsidRPr="00603B40">
        <w:t xml:space="preserve">wskazuje </w:t>
      </w:r>
      <w:r w:rsidR="006D5B43" w:rsidRPr="00603B40">
        <w:t>(podobnie jak w ogólnej populacji bezrobotnych)</w:t>
      </w:r>
      <w:r w:rsidR="00764DB3" w:rsidRPr="00603B40">
        <w:t xml:space="preserve"> </w:t>
      </w:r>
      <w:r w:rsidR="00B946C4" w:rsidRPr="00603B40">
        <w:t xml:space="preserve">wyraźnie </w:t>
      </w:r>
      <w:r w:rsidR="0029570C" w:rsidRPr="00603B40">
        <w:t>na najliczniejszą grupę osób</w:t>
      </w:r>
      <w:r w:rsidR="00834BDD" w:rsidRPr="00603B40">
        <w:t xml:space="preserve"> </w:t>
      </w:r>
      <w:r w:rsidR="00CA72C7" w:rsidRPr="00603B40">
        <w:t xml:space="preserve">bez stażu i </w:t>
      </w:r>
      <w:r w:rsidR="00AE5712" w:rsidRPr="00603B40">
        <w:t>z</w:t>
      </w:r>
      <w:r w:rsidR="00834BDD" w:rsidRPr="00603B40">
        <w:t xml:space="preserve"> </w:t>
      </w:r>
      <w:r w:rsidR="0029570C" w:rsidRPr="00603B40">
        <w:t>małym stażem pracy</w:t>
      </w:r>
      <w:r w:rsidR="00CA72C7" w:rsidRPr="00603B40">
        <w:t xml:space="preserve"> (</w:t>
      </w:r>
      <w:r w:rsidR="00603B40" w:rsidRPr="00603B40">
        <w:t xml:space="preserve">do </w:t>
      </w:r>
      <w:r w:rsidR="00CA72C7" w:rsidRPr="00603B40">
        <w:t>5 lat), która łą</w:t>
      </w:r>
      <w:r w:rsidR="0029570C" w:rsidRPr="00603B40">
        <w:t xml:space="preserve">cznie </w:t>
      </w:r>
      <w:r w:rsidR="00A97EF7" w:rsidRPr="00603B40">
        <w:t>stanowi</w:t>
      </w:r>
      <w:r w:rsidR="00CA72C7" w:rsidRPr="00603B40">
        <w:t>ła</w:t>
      </w:r>
      <w:r w:rsidR="00A97EF7" w:rsidRPr="00603B40">
        <w:t xml:space="preserve"> 6</w:t>
      </w:r>
      <w:r w:rsidR="00CA72C7" w:rsidRPr="00603B40">
        <w:t>2</w:t>
      </w:r>
      <w:r w:rsidR="00A97EF7" w:rsidRPr="00603B40">
        <w:t>,</w:t>
      </w:r>
      <w:r w:rsidR="00764DB3" w:rsidRPr="00603B40">
        <w:t>5</w:t>
      </w:r>
      <w:r w:rsidR="00603B40">
        <w:t xml:space="preserve"> </w:t>
      </w:r>
      <w:r w:rsidR="0029570C" w:rsidRPr="00603B40">
        <w:t>%</w:t>
      </w:r>
      <w:r w:rsidR="00B946C4" w:rsidRPr="00603B40">
        <w:t xml:space="preserve"> ogółu bezrobotnych na wsi</w:t>
      </w:r>
      <w:r w:rsidR="00A215D0" w:rsidRPr="00603B40">
        <w:t>.</w:t>
      </w:r>
    </w:p>
    <w:p w:rsidR="005873B5" w:rsidRPr="00C75C71" w:rsidRDefault="006359B0" w:rsidP="007A6AB1">
      <w:pPr>
        <w:pStyle w:val="Default"/>
        <w:spacing w:line="360" w:lineRule="auto"/>
        <w:jc w:val="both"/>
        <w:rPr>
          <w:highlight w:val="yellow"/>
        </w:rPr>
      </w:pPr>
      <w:r w:rsidRPr="006359B0">
        <w:rPr>
          <w:noProof/>
          <w:lang w:eastAsia="pl-PL"/>
        </w:rPr>
        <w:drawing>
          <wp:inline distT="0" distB="0" distL="0" distR="0" wp14:anchorId="6F81BEB9" wp14:editId="5F7EA854">
            <wp:extent cx="5759532" cy="3782291"/>
            <wp:effectExtent l="0" t="0" r="0" b="889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59450" cy="3782237"/>
                    </a:xfrm>
                    <a:prstGeom prst="rect">
                      <a:avLst/>
                    </a:prstGeom>
                    <a:noFill/>
                    <a:ln>
                      <a:noFill/>
                    </a:ln>
                  </pic:spPr>
                </pic:pic>
              </a:graphicData>
            </a:graphic>
          </wp:inline>
        </w:drawing>
      </w:r>
      <w:r w:rsidR="005873B5" w:rsidRPr="00C75C71">
        <w:rPr>
          <w:highlight w:val="yellow"/>
        </w:rPr>
        <w:br w:type="page"/>
      </w:r>
    </w:p>
    <w:p w:rsidR="005873B5" w:rsidRPr="00C75C71" w:rsidRDefault="006359B0">
      <w:pPr>
        <w:rPr>
          <w:highlight w:val="yellow"/>
        </w:rPr>
      </w:pPr>
      <w:r w:rsidRPr="006359B0">
        <w:rPr>
          <w:noProof/>
          <w:lang w:eastAsia="pl-PL"/>
        </w:rPr>
        <w:lastRenderedPageBreak/>
        <w:drawing>
          <wp:inline distT="0" distB="0" distL="0" distR="0" wp14:anchorId="6FA33884" wp14:editId="63BC1B82">
            <wp:extent cx="5759532" cy="3936670"/>
            <wp:effectExtent l="0" t="0" r="0" b="6985"/>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59450" cy="3936614"/>
                    </a:xfrm>
                    <a:prstGeom prst="rect">
                      <a:avLst/>
                    </a:prstGeom>
                    <a:noFill/>
                    <a:ln>
                      <a:noFill/>
                    </a:ln>
                  </pic:spPr>
                </pic:pic>
              </a:graphicData>
            </a:graphic>
          </wp:inline>
        </w:drawing>
      </w:r>
    </w:p>
    <w:p w:rsidR="003630C1" w:rsidRPr="006359B0" w:rsidRDefault="003630C1" w:rsidP="00A215D0">
      <w:pPr>
        <w:pStyle w:val="Bezodstpw"/>
        <w:jc w:val="both"/>
        <w:rPr>
          <w:rFonts w:ascii="Times New Roman" w:hAnsi="Times New Roman" w:cs="Times New Roman"/>
          <w:sz w:val="16"/>
          <w:szCs w:val="16"/>
          <w:highlight w:val="yellow"/>
        </w:rPr>
      </w:pPr>
    </w:p>
    <w:p w:rsidR="004A54BF" w:rsidRPr="00C75C71" w:rsidRDefault="006359B0" w:rsidP="00A215D0">
      <w:pPr>
        <w:pStyle w:val="Bezodstpw"/>
        <w:jc w:val="both"/>
        <w:rPr>
          <w:rFonts w:ascii="Times New Roman" w:hAnsi="Times New Roman" w:cs="Times New Roman"/>
          <w:highlight w:val="yellow"/>
        </w:rPr>
      </w:pPr>
      <w:r w:rsidRPr="006359B0">
        <w:rPr>
          <w:noProof/>
          <w:lang w:eastAsia="pl-PL"/>
        </w:rPr>
        <w:drawing>
          <wp:inline distT="0" distB="0" distL="0" distR="0" wp14:anchorId="54EE104B" wp14:editId="4BF3E2BD">
            <wp:extent cx="5759450" cy="4295938"/>
            <wp:effectExtent l="0" t="0" r="0" b="9525"/>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59450" cy="4295938"/>
                    </a:xfrm>
                    <a:prstGeom prst="rect">
                      <a:avLst/>
                    </a:prstGeom>
                    <a:noFill/>
                    <a:ln>
                      <a:noFill/>
                    </a:ln>
                  </pic:spPr>
                </pic:pic>
              </a:graphicData>
            </a:graphic>
          </wp:inline>
        </w:drawing>
      </w:r>
    </w:p>
    <w:p w:rsidR="009265F3" w:rsidRDefault="009265F3">
      <w:pPr>
        <w:rPr>
          <w:rFonts w:ascii="Times New Roman" w:hAnsi="Times New Roman" w:cs="Times New Roman"/>
          <w:highlight w:val="yellow"/>
        </w:rPr>
      </w:pPr>
      <w:r w:rsidRPr="00C75C71">
        <w:rPr>
          <w:rFonts w:ascii="Times New Roman" w:hAnsi="Times New Roman" w:cs="Times New Roman"/>
          <w:highlight w:val="yellow"/>
        </w:rPr>
        <w:br w:type="page"/>
      </w:r>
    </w:p>
    <w:p w:rsidR="006359B0" w:rsidRPr="006359B0" w:rsidRDefault="006359B0">
      <w:pPr>
        <w:rPr>
          <w:rFonts w:ascii="Times New Roman" w:hAnsi="Times New Roman" w:cs="Times New Roman"/>
          <w:sz w:val="16"/>
          <w:szCs w:val="16"/>
          <w:highlight w:val="yellow"/>
        </w:rPr>
      </w:pPr>
      <w:r w:rsidRPr="006359B0">
        <w:rPr>
          <w:noProof/>
          <w:lang w:eastAsia="pl-PL"/>
        </w:rPr>
        <w:lastRenderedPageBreak/>
        <w:drawing>
          <wp:inline distT="0" distB="0" distL="0" distR="0" wp14:anchorId="60EB4413" wp14:editId="3C9F7C8C">
            <wp:extent cx="5759531" cy="4459184"/>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59450" cy="4459121"/>
                    </a:xfrm>
                    <a:prstGeom prst="rect">
                      <a:avLst/>
                    </a:prstGeom>
                    <a:noFill/>
                    <a:ln>
                      <a:noFill/>
                    </a:ln>
                  </pic:spPr>
                </pic:pic>
              </a:graphicData>
            </a:graphic>
          </wp:inline>
        </w:drawing>
      </w:r>
    </w:p>
    <w:p w:rsidR="006359B0" w:rsidRPr="006359B0" w:rsidRDefault="006359B0" w:rsidP="006359B0">
      <w:pPr>
        <w:pStyle w:val="Bezodstpw"/>
        <w:rPr>
          <w:rFonts w:ascii="Times New Roman" w:hAnsi="Times New Roman" w:cs="Times New Roman"/>
          <w:sz w:val="16"/>
          <w:szCs w:val="16"/>
          <w:highlight w:val="yellow"/>
        </w:rPr>
      </w:pPr>
      <w:r w:rsidRPr="006359B0">
        <w:rPr>
          <w:noProof/>
          <w:lang w:eastAsia="pl-PL"/>
        </w:rPr>
        <w:drawing>
          <wp:inline distT="0" distB="0" distL="0" distR="0" wp14:anchorId="7217DE67" wp14:editId="18BC037E">
            <wp:extent cx="5759532" cy="3948546"/>
            <wp:effectExtent l="0" t="0" r="0" b="0"/>
            <wp:docPr id="672" name="Obraz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59450" cy="3948490"/>
                    </a:xfrm>
                    <a:prstGeom prst="rect">
                      <a:avLst/>
                    </a:prstGeom>
                    <a:noFill/>
                    <a:ln>
                      <a:noFill/>
                    </a:ln>
                  </pic:spPr>
                </pic:pic>
              </a:graphicData>
            </a:graphic>
          </wp:inline>
        </w:drawing>
      </w:r>
    </w:p>
    <w:p w:rsidR="009265F3" w:rsidRPr="00C75C71" w:rsidRDefault="009265F3">
      <w:pPr>
        <w:rPr>
          <w:rFonts w:ascii="Times New Roman" w:hAnsi="Times New Roman" w:cs="Times New Roman"/>
          <w:highlight w:val="yellow"/>
        </w:rPr>
      </w:pPr>
      <w:r w:rsidRPr="00C75C71">
        <w:rPr>
          <w:rFonts w:ascii="Times New Roman" w:hAnsi="Times New Roman" w:cs="Times New Roman"/>
          <w:highlight w:val="yellow"/>
        </w:rPr>
        <w:br w:type="page"/>
      </w:r>
    </w:p>
    <w:p w:rsidR="0067454E" w:rsidRPr="002A267D" w:rsidRDefault="0014696F" w:rsidP="002A267D">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6" w:name="_Toc938727"/>
      <w:r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B</w:t>
      </w:r>
      <w:r w:rsidR="0067454E"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ezrobotni</w:t>
      </w:r>
      <w:r w:rsidR="006359B0"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E5712"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t>
      </w:r>
      <w:r w:rsidR="006359B0"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7454E"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szczególnej</w:t>
      </w:r>
      <w:r w:rsidR="006359B0"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7454E"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sytuacji </w:t>
      </w:r>
      <w:r w:rsidR="006359B0"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7454E"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na </w:t>
      </w:r>
      <w:r w:rsidR="006359B0"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7454E"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rynku</w:t>
      </w:r>
      <w:r w:rsidR="006359B0"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7454E"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pracy</w:t>
      </w:r>
      <w:bookmarkEnd w:id="16"/>
    </w:p>
    <w:p w:rsidR="00EC4005" w:rsidRPr="008F0FCD" w:rsidRDefault="00EC4005" w:rsidP="00EC4005">
      <w:pPr>
        <w:pStyle w:val="Default"/>
        <w:spacing w:line="360" w:lineRule="auto"/>
        <w:jc w:val="both"/>
        <w:rPr>
          <w:sz w:val="16"/>
          <w:szCs w:val="16"/>
          <w:highlight w:val="yellow"/>
        </w:rPr>
      </w:pPr>
    </w:p>
    <w:p w:rsidR="0042214F" w:rsidRDefault="00CF6326" w:rsidP="00E63372">
      <w:pPr>
        <w:pStyle w:val="Default"/>
        <w:spacing w:line="360" w:lineRule="auto"/>
        <w:ind w:firstLine="709"/>
        <w:jc w:val="both"/>
      </w:pPr>
      <w:r w:rsidRPr="00684C08">
        <w:t>Wśród ogółu bezrobotnych zarejestrowanych</w:t>
      </w:r>
      <w:r w:rsidR="00AE5712" w:rsidRPr="00684C08">
        <w:t xml:space="preserve"> w </w:t>
      </w:r>
      <w:r w:rsidRPr="00684C08">
        <w:t xml:space="preserve">powiatowych urzędach pracy na </w:t>
      </w:r>
      <w:r w:rsidR="00E63372" w:rsidRPr="00684C08">
        <w:t>31</w:t>
      </w:r>
      <w:r w:rsidR="007E4B81" w:rsidRPr="00684C08">
        <w:t> </w:t>
      </w:r>
      <w:r w:rsidR="00E63372" w:rsidRPr="00684C08">
        <w:t>XII ‘</w:t>
      </w:r>
      <w:r w:rsidRPr="00684C08">
        <w:t>1</w:t>
      </w:r>
      <w:r w:rsidR="00684C08" w:rsidRPr="00684C08">
        <w:t>8</w:t>
      </w:r>
      <w:r w:rsidR="00AE5712" w:rsidRPr="00684C08">
        <w:t> r.</w:t>
      </w:r>
      <w:r w:rsidRPr="00684C08">
        <w:t xml:space="preserve"> odnotowano również grupy osób bezrobotnych zdefiniowane przez ustawę</w:t>
      </w:r>
      <w:r w:rsidR="00AE5712" w:rsidRPr="00684C08">
        <w:t xml:space="preserve"> o </w:t>
      </w:r>
      <w:r w:rsidRPr="00684C08">
        <w:t>promocji zatrudnienia</w:t>
      </w:r>
      <w:r w:rsidR="00AE5712" w:rsidRPr="00684C08">
        <w:t xml:space="preserve"> i </w:t>
      </w:r>
      <w:r w:rsidRPr="00684C08">
        <w:t xml:space="preserve">instytucjach rynku pracy </w:t>
      </w:r>
      <w:r w:rsidR="00EC4005" w:rsidRPr="00684C08">
        <w:t xml:space="preserve">na podstawie </w:t>
      </w:r>
      <w:r w:rsidRPr="00684C08">
        <w:t>art. 49</w:t>
      </w:r>
      <w:r w:rsidR="005234B9">
        <w:t xml:space="preserve"> – </w:t>
      </w:r>
      <w:r w:rsidRPr="00684C08">
        <w:t xml:space="preserve">jako </w:t>
      </w:r>
      <w:r w:rsidR="0042214F" w:rsidRPr="00684C08">
        <w:t>pozostające</w:t>
      </w:r>
      <w:r w:rsidR="00AE5712" w:rsidRPr="00684C08">
        <w:t xml:space="preserve"> w </w:t>
      </w:r>
      <w:r w:rsidRPr="00684C08">
        <w:t>szczególnej sytuacji na rynku prac</w:t>
      </w:r>
      <w:r w:rsidR="00EC4005" w:rsidRPr="00684C08">
        <w:t>y.</w:t>
      </w:r>
    </w:p>
    <w:p w:rsidR="00761896" w:rsidRPr="00761896" w:rsidRDefault="00761896" w:rsidP="00761896">
      <w:pPr>
        <w:pStyle w:val="Default"/>
        <w:jc w:val="both"/>
        <w:rPr>
          <w:sz w:val="16"/>
          <w:szCs w:val="16"/>
        </w:rPr>
      </w:pPr>
    </w:p>
    <w:p w:rsidR="009265F3" w:rsidRPr="00C75C71" w:rsidRDefault="00C7471C" w:rsidP="009265F3">
      <w:pPr>
        <w:pStyle w:val="Default"/>
        <w:spacing w:line="360" w:lineRule="auto"/>
        <w:jc w:val="both"/>
        <w:rPr>
          <w:highlight w:val="yellow"/>
        </w:rPr>
      </w:pPr>
      <w:r w:rsidRPr="00C7471C">
        <w:rPr>
          <w:noProof/>
          <w:lang w:eastAsia="pl-PL"/>
        </w:rPr>
        <w:drawing>
          <wp:inline distT="0" distB="0" distL="0" distR="0" wp14:anchorId="54BAB1E9" wp14:editId="1948166E">
            <wp:extent cx="5746221" cy="2262249"/>
            <wp:effectExtent l="0" t="0" r="6985" b="5080"/>
            <wp:docPr id="700" name="Obraz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59450" cy="2267457"/>
                    </a:xfrm>
                    <a:prstGeom prst="rect">
                      <a:avLst/>
                    </a:prstGeom>
                    <a:noFill/>
                    <a:ln>
                      <a:noFill/>
                    </a:ln>
                  </pic:spPr>
                </pic:pic>
              </a:graphicData>
            </a:graphic>
          </wp:inline>
        </w:drawing>
      </w:r>
    </w:p>
    <w:p w:rsidR="009265F3" w:rsidRPr="00C75C71" w:rsidRDefault="00C1752E" w:rsidP="00761896">
      <w:pPr>
        <w:pStyle w:val="Default"/>
        <w:jc w:val="both"/>
        <w:rPr>
          <w:highlight w:val="yellow"/>
        </w:rPr>
      </w:pPr>
      <w:r w:rsidRPr="00C1752E">
        <w:rPr>
          <w:noProof/>
          <w:lang w:eastAsia="pl-PL"/>
        </w:rPr>
        <w:drawing>
          <wp:inline distT="0" distB="0" distL="0" distR="0" wp14:anchorId="43BD1E21" wp14:editId="4939A10B">
            <wp:extent cx="5757170" cy="4827319"/>
            <wp:effectExtent l="0" t="0" r="0" b="0"/>
            <wp:docPr id="697" name="Obraz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59450" cy="4829231"/>
                    </a:xfrm>
                    <a:prstGeom prst="rect">
                      <a:avLst/>
                    </a:prstGeom>
                    <a:noFill/>
                    <a:ln>
                      <a:noFill/>
                    </a:ln>
                  </pic:spPr>
                </pic:pic>
              </a:graphicData>
            </a:graphic>
          </wp:inline>
        </w:drawing>
      </w:r>
      <w:r w:rsidR="009265F3" w:rsidRPr="00C75C71">
        <w:rPr>
          <w:highlight w:val="yellow"/>
        </w:rPr>
        <w:br w:type="page"/>
      </w:r>
    </w:p>
    <w:p w:rsidR="00E63372" w:rsidRPr="00C75C71" w:rsidRDefault="00CB54A1" w:rsidP="00394292">
      <w:pPr>
        <w:pStyle w:val="Bezodstpw"/>
        <w:jc w:val="both"/>
        <w:rPr>
          <w:rFonts w:ascii="Times New Roman" w:hAnsi="Times New Roman" w:cs="Times New Roman"/>
          <w:highlight w:val="yellow"/>
        </w:rPr>
      </w:pPr>
      <w:r w:rsidRPr="00CB54A1">
        <w:rPr>
          <w:noProof/>
          <w:lang w:eastAsia="pl-PL"/>
        </w:rPr>
        <w:lastRenderedPageBreak/>
        <w:drawing>
          <wp:inline distT="0" distB="0" distL="0" distR="0" wp14:anchorId="7BAB7704" wp14:editId="7C01BEA0">
            <wp:extent cx="5754867" cy="4197927"/>
            <wp:effectExtent l="0" t="0" r="0" b="0"/>
            <wp:docPr id="673" name="Obraz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59450" cy="4201270"/>
                    </a:xfrm>
                    <a:prstGeom prst="rect">
                      <a:avLst/>
                    </a:prstGeom>
                    <a:noFill/>
                    <a:ln>
                      <a:noFill/>
                    </a:ln>
                  </pic:spPr>
                </pic:pic>
              </a:graphicData>
            </a:graphic>
          </wp:inline>
        </w:drawing>
      </w:r>
    </w:p>
    <w:p w:rsidR="009265F3" w:rsidRPr="00CB54A1" w:rsidRDefault="009265F3" w:rsidP="00452A1B">
      <w:pPr>
        <w:pStyle w:val="Default"/>
        <w:pBdr>
          <w:bottom w:val="single" w:sz="4" w:space="1" w:color="auto"/>
        </w:pBdr>
        <w:jc w:val="both"/>
        <w:rPr>
          <w:sz w:val="14"/>
          <w:szCs w:val="14"/>
          <w:highlight w:val="yellow"/>
        </w:rPr>
      </w:pPr>
    </w:p>
    <w:p w:rsidR="00404BFA" w:rsidRPr="008F0FCD" w:rsidRDefault="000B5D76" w:rsidP="00452A1B">
      <w:pPr>
        <w:pStyle w:val="Default"/>
        <w:pBdr>
          <w:bottom w:val="single" w:sz="4" w:space="1" w:color="auto"/>
        </w:pBdr>
        <w:jc w:val="both"/>
      </w:pPr>
      <w:r w:rsidRPr="008F0FCD">
        <w:t>Wnioski:</w:t>
      </w:r>
    </w:p>
    <w:p w:rsidR="00404BFA" w:rsidRPr="008F0FCD" w:rsidRDefault="00404BFA" w:rsidP="00404BFA">
      <w:pPr>
        <w:pStyle w:val="Tekstpodstawowywcity"/>
        <w:spacing w:after="0" w:line="360" w:lineRule="auto"/>
        <w:ind w:left="0"/>
        <w:jc w:val="both"/>
        <w:rPr>
          <w:rFonts w:ascii="Times New Roman" w:hAnsi="Times New Roman" w:cs="Times New Roman"/>
          <w:sz w:val="16"/>
          <w:szCs w:val="16"/>
        </w:rPr>
      </w:pPr>
      <w:r w:rsidRPr="008F0FCD">
        <w:rPr>
          <w:rFonts w:ascii="Times New Roman" w:hAnsi="Times New Roman" w:cs="Times New Roman"/>
          <w:sz w:val="16"/>
          <w:szCs w:val="16"/>
        </w:rPr>
        <w:t>(na podstawie danych</w:t>
      </w:r>
      <w:r w:rsidR="00AE5712" w:rsidRPr="008F0FCD">
        <w:rPr>
          <w:rFonts w:ascii="Times New Roman" w:hAnsi="Times New Roman" w:cs="Times New Roman"/>
          <w:sz w:val="16"/>
          <w:szCs w:val="16"/>
        </w:rPr>
        <w:t xml:space="preserve"> z </w:t>
      </w:r>
      <w:r w:rsidR="00614E9A" w:rsidRPr="008F0FCD">
        <w:rPr>
          <w:rFonts w:ascii="Times New Roman" w:hAnsi="Times New Roman" w:cs="Times New Roman"/>
          <w:sz w:val="16"/>
          <w:szCs w:val="16"/>
        </w:rPr>
        <w:t>t</w:t>
      </w:r>
      <w:r w:rsidRPr="008F0FCD">
        <w:rPr>
          <w:rFonts w:ascii="Times New Roman" w:hAnsi="Times New Roman" w:cs="Times New Roman"/>
          <w:sz w:val="16"/>
          <w:szCs w:val="16"/>
        </w:rPr>
        <w:t>abel</w:t>
      </w:r>
      <w:r w:rsidR="00614E9A" w:rsidRPr="008F0FCD">
        <w:rPr>
          <w:rFonts w:ascii="Times New Roman" w:hAnsi="Times New Roman" w:cs="Times New Roman"/>
          <w:sz w:val="16"/>
          <w:szCs w:val="16"/>
        </w:rPr>
        <w:t>:</w:t>
      </w:r>
      <w:r w:rsidRPr="008F0FCD">
        <w:rPr>
          <w:rFonts w:ascii="Times New Roman" w:hAnsi="Times New Roman" w:cs="Times New Roman"/>
          <w:sz w:val="16"/>
          <w:szCs w:val="16"/>
        </w:rPr>
        <w:t xml:space="preserve"> </w:t>
      </w:r>
      <w:r w:rsidR="00614E9A" w:rsidRPr="008F0FCD">
        <w:rPr>
          <w:rFonts w:ascii="Times New Roman" w:hAnsi="Times New Roman" w:cs="Times New Roman"/>
          <w:sz w:val="16"/>
          <w:szCs w:val="16"/>
        </w:rPr>
        <w:t>XIX, XX i XXI</w:t>
      </w:r>
      <w:r w:rsidRPr="008F0FCD">
        <w:rPr>
          <w:rFonts w:ascii="Times New Roman" w:hAnsi="Times New Roman" w:cs="Times New Roman"/>
          <w:sz w:val="16"/>
          <w:szCs w:val="16"/>
        </w:rPr>
        <w:t>)</w:t>
      </w:r>
    </w:p>
    <w:p w:rsidR="00DD4FBC" w:rsidRPr="00C75C71" w:rsidRDefault="00DD4FBC" w:rsidP="00404BFA">
      <w:pPr>
        <w:pStyle w:val="Tekstpodstawowywcity"/>
        <w:spacing w:after="0" w:line="360" w:lineRule="auto"/>
        <w:ind w:left="0"/>
        <w:jc w:val="both"/>
        <w:rPr>
          <w:rFonts w:ascii="Times New Roman" w:hAnsi="Times New Roman" w:cs="Times New Roman"/>
          <w:sz w:val="16"/>
          <w:szCs w:val="16"/>
          <w:highlight w:val="yellow"/>
        </w:rPr>
      </w:pPr>
    </w:p>
    <w:p w:rsidR="0067454E" w:rsidRPr="00941870" w:rsidRDefault="00FB1767" w:rsidP="00160DBC">
      <w:pPr>
        <w:pStyle w:val="Default"/>
        <w:numPr>
          <w:ilvl w:val="0"/>
          <w:numId w:val="7"/>
        </w:numPr>
        <w:spacing w:line="360" w:lineRule="auto"/>
        <w:jc w:val="both"/>
      </w:pPr>
      <w:r w:rsidRPr="005234B9">
        <w:rPr>
          <w:u w:val="single"/>
        </w:rPr>
        <w:t>N</w:t>
      </w:r>
      <w:r w:rsidR="0067454E" w:rsidRPr="005234B9">
        <w:rPr>
          <w:u w:val="single"/>
        </w:rPr>
        <w:t>aj</w:t>
      </w:r>
      <w:r w:rsidR="007C0E95" w:rsidRPr="005234B9">
        <w:rPr>
          <w:u w:val="single"/>
        </w:rPr>
        <w:t>liczniejsz</w:t>
      </w:r>
      <w:r w:rsidR="00084282" w:rsidRPr="005234B9">
        <w:rPr>
          <w:u w:val="single"/>
        </w:rPr>
        <w:t>ą</w:t>
      </w:r>
      <w:r w:rsidR="007C0E95" w:rsidRPr="005234B9">
        <w:rPr>
          <w:u w:val="single"/>
        </w:rPr>
        <w:t xml:space="preserve"> grup</w:t>
      </w:r>
      <w:r w:rsidR="00084282" w:rsidRPr="005234B9">
        <w:rPr>
          <w:u w:val="single"/>
        </w:rPr>
        <w:t>ą</w:t>
      </w:r>
      <w:r w:rsidR="007C0E95" w:rsidRPr="005234B9">
        <w:rPr>
          <w:u w:val="single"/>
        </w:rPr>
        <w:t xml:space="preserve"> osób</w:t>
      </w:r>
      <w:r w:rsidR="00AE5712" w:rsidRPr="005234B9">
        <w:rPr>
          <w:u w:val="single"/>
        </w:rPr>
        <w:t xml:space="preserve"> w </w:t>
      </w:r>
      <w:r w:rsidR="007C0E95" w:rsidRPr="005234B9">
        <w:rPr>
          <w:u w:val="single"/>
        </w:rPr>
        <w:t xml:space="preserve">szczególnej sytuacji na rynku pracy </w:t>
      </w:r>
      <w:r w:rsidR="00084282" w:rsidRPr="005234B9">
        <w:rPr>
          <w:u w:val="single"/>
        </w:rPr>
        <w:t>są</w:t>
      </w:r>
      <w:r w:rsidR="007C0E95" w:rsidRPr="005234B9">
        <w:rPr>
          <w:u w:val="single"/>
        </w:rPr>
        <w:t xml:space="preserve"> osoby długotrwale bezrobotne</w:t>
      </w:r>
      <w:r w:rsidR="005234B9" w:rsidRPr="00F14E71">
        <w:t xml:space="preserve"> – </w:t>
      </w:r>
      <w:r w:rsidR="00941870" w:rsidRPr="00941870">
        <w:t>47</w:t>
      </w:r>
      <w:r w:rsidR="007C0E95" w:rsidRPr="00941870">
        <w:t> </w:t>
      </w:r>
      <w:r w:rsidR="00941870" w:rsidRPr="00941870">
        <w:t>197</w:t>
      </w:r>
      <w:r w:rsidR="007C0E95" w:rsidRPr="00941870">
        <w:t xml:space="preserve"> (</w:t>
      </w:r>
      <w:r w:rsidR="00941870" w:rsidRPr="00941870">
        <w:t>56</w:t>
      </w:r>
      <w:r w:rsidR="0067454E" w:rsidRPr="00941870">
        <w:t>,</w:t>
      </w:r>
      <w:r w:rsidR="00941870" w:rsidRPr="00941870">
        <w:t xml:space="preserve">9 </w:t>
      </w:r>
      <w:r w:rsidR="0067454E" w:rsidRPr="00941870">
        <w:t>%</w:t>
      </w:r>
      <w:r w:rsidR="007C0E95" w:rsidRPr="00941870">
        <w:t>)</w:t>
      </w:r>
      <w:r w:rsidR="00E434BE" w:rsidRPr="00941870">
        <w:t>.</w:t>
      </w:r>
      <w:r w:rsidR="007C0E95" w:rsidRPr="00941870">
        <w:t xml:space="preserve"> </w:t>
      </w:r>
      <w:r w:rsidR="00E434BE" w:rsidRPr="00941870">
        <w:t>W</w:t>
      </w:r>
      <w:r w:rsidR="00AE5712" w:rsidRPr="00941870">
        <w:t> </w:t>
      </w:r>
      <w:r w:rsidR="007C0E95" w:rsidRPr="00941870">
        <w:t xml:space="preserve">stosunku do </w:t>
      </w:r>
      <w:r w:rsidR="00E434BE" w:rsidRPr="00941870">
        <w:t>’</w:t>
      </w:r>
      <w:r w:rsidR="007C0E95" w:rsidRPr="00941870">
        <w:t>1</w:t>
      </w:r>
      <w:r w:rsidR="00941870" w:rsidRPr="00941870">
        <w:t>7 r.</w:t>
      </w:r>
      <w:r w:rsidR="00E434BE" w:rsidRPr="00941870">
        <w:t xml:space="preserve"> (</w:t>
      </w:r>
      <w:r w:rsidR="00941870" w:rsidRPr="00941870">
        <w:t>54</w:t>
      </w:r>
      <w:r w:rsidR="007C0E95" w:rsidRPr="00941870">
        <w:t> </w:t>
      </w:r>
      <w:r w:rsidR="00941870" w:rsidRPr="00941870">
        <w:t>543</w:t>
      </w:r>
      <w:r w:rsidR="007C0E95" w:rsidRPr="00941870">
        <w:t>) liczba ta spadła</w:t>
      </w:r>
      <w:r w:rsidR="00AD036F" w:rsidRPr="00941870">
        <w:t xml:space="preserve"> </w:t>
      </w:r>
      <w:r w:rsidR="00AE5712" w:rsidRPr="00941870">
        <w:t>o</w:t>
      </w:r>
      <w:r w:rsidR="00A97D64" w:rsidRPr="00941870">
        <w:t> </w:t>
      </w:r>
      <w:r w:rsidR="00941870" w:rsidRPr="00941870">
        <w:t>7</w:t>
      </w:r>
      <w:r w:rsidR="00A97D64" w:rsidRPr="00941870">
        <w:t> </w:t>
      </w:r>
      <w:r w:rsidR="00941870" w:rsidRPr="00941870">
        <w:t>346</w:t>
      </w:r>
      <w:r w:rsidR="00A97D64" w:rsidRPr="00941870">
        <w:t xml:space="preserve"> </w:t>
      </w:r>
      <w:r w:rsidR="007C0E95" w:rsidRPr="00941870">
        <w:t>osób</w:t>
      </w:r>
      <w:r w:rsidRPr="00941870">
        <w:t>.</w:t>
      </w:r>
    </w:p>
    <w:p w:rsidR="00CC18AD" w:rsidRPr="00941870" w:rsidRDefault="00CC18AD" w:rsidP="00160DBC">
      <w:pPr>
        <w:pStyle w:val="Default"/>
        <w:numPr>
          <w:ilvl w:val="0"/>
          <w:numId w:val="7"/>
        </w:numPr>
        <w:spacing w:line="360" w:lineRule="auto"/>
        <w:jc w:val="both"/>
      </w:pPr>
      <w:r w:rsidRPr="00941870">
        <w:t xml:space="preserve">Odnotowano spadek </w:t>
      </w:r>
      <w:r w:rsidR="00A97D64" w:rsidRPr="00941870">
        <w:t>udziału</w:t>
      </w:r>
      <w:r w:rsidRPr="00941870">
        <w:t xml:space="preserve"> </w:t>
      </w:r>
      <w:r w:rsidR="005027E6" w:rsidRPr="00941870">
        <w:t xml:space="preserve">bezrobotnych </w:t>
      </w:r>
      <w:r w:rsidRPr="00941870">
        <w:t xml:space="preserve">długotrwale, które </w:t>
      </w:r>
      <w:r w:rsidR="00A97D64" w:rsidRPr="00941870">
        <w:t xml:space="preserve">to </w:t>
      </w:r>
      <w:r w:rsidRPr="00941870">
        <w:t xml:space="preserve">na koniec </w:t>
      </w:r>
      <w:r w:rsidR="00A97D64" w:rsidRPr="00941870">
        <w:t>‘</w:t>
      </w:r>
      <w:r w:rsidRPr="00941870">
        <w:t>1</w:t>
      </w:r>
      <w:r w:rsidR="00941870" w:rsidRPr="00941870">
        <w:t>8</w:t>
      </w:r>
      <w:r w:rsidRPr="00941870">
        <w:t xml:space="preserve"> roku stanowiły </w:t>
      </w:r>
      <w:r w:rsidR="00941870" w:rsidRPr="00941870">
        <w:t>56</w:t>
      </w:r>
      <w:r w:rsidRPr="00941870">
        <w:t>,</w:t>
      </w:r>
      <w:r w:rsidR="00941870" w:rsidRPr="00941870">
        <w:t xml:space="preserve">9 </w:t>
      </w:r>
      <w:r w:rsidRPr="00941870">
        <w:t xml:space="preserve">% ogólnej liczby bezrobotnych (na koniec </w:t>
      </w:r>
      <w:r w:rsidR="00A97D64" w:rsidRPr="00941870">
        <w:t>‘</w:t>
      </w:r>
      <w:r w:rsidRPr="00941870">
        <w:t>1</w:t>
      </w:r>
      <w:r w:rsidR="00941870" w:rsidRPr="00941870">
        <w:t>7</w:t>
      </w:r>
      <w:r w:rsidRPr="00941870">
        <w:t xml:space="preserve"> roku było to 6</w:t>
      </w:r>
      <w:r w:rsidR="00A97D64" w:rsidRPr="00941870">
        <w:t>0</w:t>
      </w:r>
      <w:r w:rsidRPr="00941870">
        <w:t>,</w:t>
      </w:r>
      <w:r w:rsidR="00941870" w:rsidRPr="00941870">
        <w:t xml:space="preserve">0 </w:t>
      </w:r>
      <w:r w:rsidRPr="00941870">
        <w:t>% ogółu).</w:t>
      </w:r>
    </w:p>
    <w:p w:rsidR="005A09D1" w:rsidRDefault="00FB1767" w:rsidP="005A09D1">
      <w:pPr>
        <w:pStyle w:val="Default"/>
        <w:numPr>
          <w:ilvl w:val="0"/>
          <w:numId w:val="7"/>
        </w:numPr>
        <w:spacing w:line="360" w:lineRule="auto"/>
        <w:jc w:val="both"/>
      </w:pPr>
      <w:r w:rsidRPr="000C52EC">
        <w:t>N</w:t>
      </w:r>
      <w:r w:rsidR="00435EF8" w:rsidRPr="000C52EC">
        <w:t xml:space="preserve">ajwiększy odsetek osób długotrwale bezrobotnych </w:t>
      </w:r>
      <w:r w:rsidR="005A09D1">
        <w:t>(bezrobotni ogółem</w:t>
      </w:r>
      <w:r w:rsidR="005A09D1">
        <w:rPr>
          <w:rStyle w:val="Odwoanieprzypisudolnego"/>
        </w:rPr>
        <w:footnoteReference w:id="16"/>
      </w:r>
      <w:r w:rsidR="005A09D1">
        <w:t xml:space="preserve">=100%) </w:t>
      </w:r>
      <w:r w:rsidR="000C52EC">
        <w:t xml:space="preserve">odnotowano </w:t>
      </w:r>
      <w:r w:rsidR="00AE5712" w:rsidRPr="000C52EC">
        <w:t>w </w:t>
      </w:r>
      <w:r w:rsidR="005A09D1">
        <w:t>m.</w:t>
      </w:r>
      <w:r w:rsidR="00435EF8" w:rsidRPr="000C52EC">
        <w:t xml:space="preserve"> </w:t>
      </w:r>
      <w:r w:rsidR="005A09D1">
        <w:t>Przemyślu (65,8 %), m. Rzeszowie (63,1 %), powiecie jarosławskim (62,0 %), brzozowskim (61,8 %), bieszczadzki (60,4 %), strzyżowskim (60,3 %) i jasielskim (60,2 %).</w:t>
      </w:r>
    </w:p>
    <w:p w:rsidR="005A09D1" w:rsidRPr="005A09D1" w:rsidRDefault="00CB472E" w:rsidP="005A09D1">
      <w:pPr>
        <w:pStyle w:val="Default"/>
        <w:numPr>
          <w:ilvl w:val="0"/>
          <w:numId w:val="7"/>
        </w:numPr>
        <w:spacing w:line="360" w:lineRule="auto"/>
        <w:jc w:val="both"/>
      </w:pPr>
      <w:r w:rsidRPr="005A09D1">
        <w:t>N</w:t>
      </w:r>
      <w:r w:rsidR="00435EF8" w:rsidRPr="005A09D1">
        <w:t xml:space="preserve">ajmniejszy odsetek osób długotrwale bezrobotnych </w:t>
      </w:r>
      <w:r w:rsidR="000C52EC" w:rsidRPr="005A09D1">
        <w:t>to powiat</w:t>
      </w:r>
      <w:r w:rsidR="005A09D1" w:rsidRPr="005A09D1">
        <w:t xml:space="preserve"> krośnieński (43,2 %), m. Krosno (44,2 %), powiat stalowowolski (44,5 %), lubaczowski (48,0 %), tarnobrzeski (48,9 %) i mielecki (49,2 %).</w:t>
      </w:r>
    </w:p>
    <w:p w:rsidR="00C207A0" w:rsidRPr="00C207A0" w:rsidRDefault="00B64D86" w:rsidP="00C207A0">
      <w:pPr>
        <w:pStyle w:val="Default"/>
        <w:numPr>
          <w:ilvl w:val="0"/>
          <w:numId w:val="7"/>
        </w:numPr>
        <w:spacing w:line="360" w:lineRule="auto"/>
        <w:jc w:val="both"/>
      </w:pPr>
      <w:r w:rsidRPr="00C207A0">
        <w:t xml:space="preserve">Przyjmując stan na koniec </w:t>
      </w:r>
      <w:r w:rsidR="003E6FFD" w:rsidRPr="00C207A0">
        <w:t>201</w:t>
      </w:r>
      <w:r w:rsidR="005A09D1" w:rsidRPr="00C207A0">
        <w:t>7</w:t>
      </w:r>
      <w:r w:rsidR="003E6FFD" w:rsidRPr="00C207A0">
        <w:t xml:space="preserve"> r. </w:t>
      </w:r>
      <w:r w:rsidR="00A76EE4" w:rsidRPr="00C207A0">
        <w:t>jako</w:t>
      </w:r>
      <w:r w:rsidRPr="00C207A0">
        <w:t xml:space="preserve"> 100</w:t>
      </w:r>
      <w:r w:rsidR="005A09D1" w:rsidRPr="00C207A0">
        <w:t xml:space="preserve"> </w:t>
      </w:r>
      <w:r w:rsidRPr="00C207A0">
        <w:t>%</w:t>
      </w:r>
      <w:r w:rsidR="00A76EE4" w:rsidRPr="00C207A0">
        <w:t>,</w:t>
      </w:r>
      <w:r w:rsidRPr="00C207A0">
        <w:t xml:space="preserve"> </w:t>
      </w:r>
      <w:r w:rsidR="008F5BF7" w:rsidRPr="00C207A0">
        <w:t xml:space="preserve">odnotowano </w:t>
      </w:r>
      <w:r w:rsidR="003E6FFD" w:rsidRPr="00C207A0">
        <w:t>spadek długotrwale bezrobotnych we wszystkich powiatach</w:t>
      </w:r>
      <w:r w:rsidR="006341AA" w:rsidRPr="00C207A0">
        <w:t xml:space="preserve">. </w:t>
      </w:r>
      <w:r w:rsidR="00C207A0" w:rsidRPr="00C207A0">
        <w:t>N</w:t>
      </w:r>
      <w:r w:rsidR="006341AA" w:rsidRPr="00C207A0">
        <w:t>ajwiększ</w:t>
      </w:r>
      <w:r w:rsidR="00C207A0" w:rsidRPr="00C207A0">
        <w:t>e</w:t>
      </w:r>
      <w:r w:rsidR="006341AA" w:rsidRPr="00C207A0">
        <w:t xml:space="preserve"> </w:t>
      </w:r>
      <w:r w:rsidR="00C101E2" w:rsidRPr="00C207A0">
        <w:t>dotyczył</w:t>
      </w:r>
      <w:r w:rsidR="00C207A0" w:rsidRPr="00C207A0">
        <w:t>y</w:t>
      </w:r>
      <w:r w:rsidR="00C101E2" w:rsidRPr="00C207A0">
        <w:t xml:space="preserve"> </w:t>
      </w:r>
      <w:r w:rsidR="00C207A0" w:rsidRPr="00C207A0">
        <w:t>m. Krosna (</w:t>
      </w:r>
      <w:r w:rsidR="009F1E33">
        <w:t>32,6 %</w:t>
      </w:r>
      <w:r w:rsidR="00C207A0" w:rsidRPr="00C207A0">
        <w:t xml:space="preserve">), </w:t>
      </w:r>
      <w:r w:rsidR="00C207A0" w:rsidRPr="00C207A0">
        <w:lastRenderedPageBreak/>
        <w:t>powiatu krośnieńskiego (</w:t>
      </w:r>
      <w:r w:rsidR="009F1E33">
        <w:t>31,4 %</w:t>
      </w:r>
      <w:r w:rsidR="00C207A0" w:rsidRPr="00C207A0">
        <w:t>), mieleckiego (</w:t>
      </w:r>
      <w:r w:rsidR="009B4670">
        <w:t>25,7 %</w:t>
      </w:r>
      <w:r w:rsidR="00C207A0" w:rsidRPr="00C207A0">
        <w:t>), m. Tarnobrzegu (</w:t>
      </w:r>
      <w:r w:rsidR="009B4670">
        <w:t>23,9 %</w:t>
      </w:r>
      <w:r w:rsidR="00C207A0" w:rsidRPr="00C207A0">
        <w:t>), powiatu tarnobrzeskiego (</w:t>
      </w:r>
      <w:r w:rsidR="009B4670">
        <w:t>23,3 %</w:t>
      </w:r>
      <w:r w:rsidR="00C207A0" w:rsidRPr="00C207A0">
        <w:t>), dębickiego (</w:t>
      </w:r>
      <w:r w:rsidR="009B4670">
        <w:t>22,5 %</w:t>
      </w:r>
      <w:r w:rsidR="00C207A0" w:rsidRPr="00C207A0">
        <w:t>) i kolbuszowskiego (</w:t>
      </w:r>
      <w:r w:rsidR="009B4670">
        <w:t>22,4 %</w:t>
      </w:r>
      <w:r w:rsidR="00C207A0" w:rsidRPr="00C207A0">
        <w:t>).</w:t>
      </w:r>
    </w:p>
    <w:p w:rsidR="008F5BF7" w:rsidRPr="00041BD2" w:rsidRDefault="00CB472E" w:rsidP="008F5BF7">
      <w:pPr>
        <w:pStyle w:val="Default"/>
        <w:numPr>
          <w:ilvl w:val="0"/>
          <w:numId w:val="7"/>
        </w:numPr>
        <w:spacing w:line="360" w:lineRule="auto"/>
        <w:jc w:val="both"/>
      </w:pPr>
      <w:r w:rsidRPr="00041BD2">
        <w:rPr>
          <w:u w:val="single"/>
        </w:rPr>
        <w:t>D</w:t>
      </w:r>
      <w:r w:rsidR="007C0E95" w:rsidRPr="00041BD2">
        <w:rPr>
          <w:u w:val="single"/>
        </w:rPr>
        <w:t>rugą</w:t>
      </w:r>
      <w:r w:rsidR="00AE5712" w:rsidRPr="00041BD2">
        <w:rPr>
          <w:u w:val="single"/>
        </w:rPr>
        <w:t xml:space="preserve"> w </w:t>
      </w:r>
      <w:r w:rsidR="007C0E95" w:rsidRPr="00041BD2">
        <w:rPr>
          <w:u w:val="single"/>
        </w:rPr>
        <w:t>kolejności względem liczebności stanowi grupa osób do 30 roku życia</w:t>
      </w:r>
      <w:r w:rsidR="007C0E95" w:rsidRPr="00041BD2">
        <w:t xml:space="preserve">, która </w:t>
      </w:r>
      <w:r w:rsidR="002474CA" w:rsidRPr="00041BD2">
        <w:t>w</w:t>
      </w:r>
      <w:r w:rsidR="00A76EE4" w:rsidRPr="00041BD2">
        <w:t> </w:t>
      </w:r>
      <w:r w:rsidR="002474CA" w:rsidRPr="00041BD2">
        <w:t>201</w:t>
      </w:r>
      <w:r w:rsidR="00C207A0" w:rsidRPr="00041BD2">
        <w:t>8</w:t>
      </w:r>
      <w:r w:rsidR="002474CA" w:rsidRPr="00041BD2">
        <w:t xml:space="preserve"> r. obejmowała</w:t>
      </w:r>
      <w:r w:rsidR="007C0E95" w:rsidRPr="00041BD2">
        <w:t xml:space="preserve"> </w:t>
      </w:r>
      <w:r w:rsidR="00A76EE4" w:rsidRPr="00041BD2">
        <w:t>2</w:t>
      </w:r>
      <w:r w:rsidR="00041BD2" w:rsidRPr="00041BD2">
        <w:t>4</w:t>
      </w:r>
      <w:r w:rsidR="007C0E95" w:rsidRPr="00041BD2">
        <w:t> </w:t>
      </w:r>
      <w:r w:rsidR="00041BD2" w:rsidRPr="00041BD2">
        <w:t>119</w:t>
      </w:r>
      <w:r w:rsidR="007C0E95" w:rsidRPr="00041BD2">
        <w:t xml:space="preserve"> os</w:t>
      </w:r>
      <w:r w:rsidR="00A76EE4" w:rsidRPr="00041BD2">
        <w:t>ó</w:t>
      </w:r>
      <w:r w:rsidR="007C0E95" w:rsidRPr="00041BD2">
        <w:t>b (</w:t>
      </w:r>
      <w:r w:rsidR="00041BD2" w:rsidRPr="00041BD2">
        <w:t>29</w:t>
      </w:r>
      <w:r w:rsidR="00F6040F" w:rsidRPr="00041BD2">
        <w:t>,</w:t>
      </w:r>
      <w:r w:rsidR="00041BD2" w:rsidRPr="00041BD2">
        <w:t xml:space="preserve">1 </w:t>
      </w:r>
      <w:r w:rsidR="00F6040F" w:rsidRPr="00041BD2">
        <w:t>%</w:t>
      </w:r>
      <w:r w:rsidR="00041BD2" w:rsidRPr="00041BD2">
        <w:t xml:space="preserve"> ogółu bezrobotnych</w:t>
      </w:r>
      <w:r w:rsidR="007C0E95" w:rsidRPr="00041BD2">
        <w:t>)</w:t>
      </w:r>
      <w:r w:rsidR="00A76EE4" w:rsidRPr="00041BD2">
        <w:t>.</w:t>
      </w:r>
      <w:r w:rsidR="007C0E95" w:rsidRPr="00041BD2">
        <w:t xml:space="preserve"> </w:t>
      </w:r>
      <w:r w:rsidR="00A76EE4" w:rsidRPr="00041BD2">
        <w:t>W</w:t>
      </w:r>
      <w:r w:rsidR="008F5BF7" w:rsidRPr="00041BD2">
        <w:t xml:space="preserve"> stosunku do roku </w:t>
      </w:r>
      <w:r w:rsidR="00A76EE4" w:rsidRPr="00041BD2">
        <w:t>poprzedniego</w:t>
      </w:r>
      <w:r w:rsidR="008F5BF7" w:rsidRPr="00041BD2">
        <w:t xml:space="preserve"> (</w:t>
      </w:r>
      <w:r w:rsidR="00041BD2" w:rsidRPr="00041BD2">
        <w:t>27</w:t>
      </w:r>
      <w:r w:rsidR="008F5BF7" w:rsidRPr="00041BD2">
        <w:t> </w:t>
      </w:r>
      <w:r w:rsidR="00041BD2" w:rsidRPr="00041BD2">
        <w:t>007</w:t>
      </w:r>
      <w:r w:rsidR="008F5BF7" w:rsidRPr="00041BD2">
        <w:t>) spadła o </w:t>
      </w:r>
      <w:r w:rsidR="00041BD2" w:rsidRPr="00041BD2">
        <w:t>2</w:t>
      </w:r>
      <w:r w:rsidR="008F5BF7" w:rsidRPr="00041BD2">
        <w:t> </w:t>
      </w:r>
      <w:r w:rsidR="00041BD2" w:rsidRPr="00041BD2">
        <w:t>888</w:t>
      </w:r>
      <w:r w:rsidR="008F5BF7" w:rsidRPr="00041BD2">
        <w:t xml:space="preserve"> osób.</w:t>
      </w:r>
    </w:p>
    <w:p w:rsidR="00041BD2" w:rsidRPr="0040598E" w:rsidRDefault="00CB472E" w:rsidP="006C76D7">
      <w:pPr>
        <w:pStyle w:val="Default"/>
        <w:numPr>
          <w:ilvl w:val="0"/>
          <w:numId w:val="7"/>
        </w:numPr>
        <w:spacing w:line="360" w:lineRule="auto"/>
        <w:jc w:val="both"/>
      </w:pPr>
      <w:r w:rsidRPr="0040598E">
        <w:t>N</w:t>
      </w:r>
      <w:r w:rsidR="007B1E3D" w:rsidRPr="0040598E">
        <w:t>ajwię</w:t>
      </w:r>
      <w:r w:rsidR="00041BD2" w:rsidRPr="0040598E">
        <w:t xml:space="preserve">kszy udział w stosunku do bezrobotnych ogółem - </w:t>
      </w:r>
      <w:r w:rsidR="007B1E3D" w:rsidRPr="0040598E">
        <w:t>bezrobotnych</w:t>
      </w:r>
      <w:r w:rsidR="00AE5712" w:rsidRPr="0040598E">
        <w:t xml:space="preserve"> </w:t>
      </w:r>
      <w:r w:rsidR="007B1E3D" w:rsidRPr="0040598E">
        <w:t>do 30 roku życia odnotowuje</w:t>
      </w:r>
      <w:r w:rsidR="00041BD2" w:rsidRPr="0040598E">
        <w:t>my</w:t>
      </w:r>
      <w:r w:rsidR="00AE5712" w:rsidRPr="0040598E">
        <w:t xml:space="preserve"> w </w:t>
      </w:r>
      <w:r w:rsidR="007B1E3D" w:rsidRPr="0040598E">
        <w:t>powiatach</w:t>
      </w:r>
      <w:r w:rsidR="00AA14F6" w:rsidRPr="0040598E">
        <w:t xml:space="preserve"> </w:t>
      </w:r>
      <w:r w:rsidR="006C76D7" w:rsidRPr="0040598E">
        <w:t>leżajskim (</w:t>
      </w:r>
      <w:r w:rsidR="00355649">
        <w:t>35,0 %</w:t>
      </w:r>
      <w:r w:rsidR="006C76D7" w:rsidRPr="0040598E">
        <w:t xml:space="preserve">), niżańskim </w:t>
      </w:r>
      <w:r w:rsidR="00355649">
        <w:t xml:space="preserve">i lubaczowskim </w:t>
      </w:r>
      <w:r w:rsidR="006C76D7" w:rsidRPr="0040598E">
        <w:t>(</w:t>
      </w:r>
      <w:r w:rsidR="00355649">
        <w:t>po 33,0 %</w:t>
      </w:r>
      <w:r w:rsidR="006C76D7" w:rsidRPr="0040598E">
        <w:t>),</w:t>
      </w:r>
      <w:r w:rsidR="00355649">
        <w:t xml:space="preserve"> </w:t>
      </w:r>
      <w:r w:rsidR="006C76D7" w:rsidRPr="0040598E">
        <w:t>przemyskim (</w:t>
      </w:r>
      <w:r w:rsidR="00355649">
        <w:t>32,9 %</w:t>
      </w:r>
      <w:r w:rsidR="006C76D7" w:rsidRPr="0040598E">
        <w:t xml:space="preserve">), rzeszowskim </w:t>
      </w:r>
      <w:r w:rsidR="00355649">
        <w:t xml:space="preserve">i kolbuszowskim </w:t>
      </w:r>
      <w:r w:rsidR="006C76D7" w:rsidRPr="0040598E">
        <w:t>(</w:t>
      </w:r>
      <w:r w:rsidR="00355649">
        <w:t>po 32,7 %</w:t>
      </w:r>
      <w:r w:rsidR="006C76D7" w:rsidRPr="0040598E">
        <w:t>), ropczycko-sędziszowskim (</w:t>
      </w:r>
      <w:r w:rsidR="00355649">
        <w:t>32,3 %</w:t>
      </w:r>
      <w:r w:rsidR="006C76D7" w:rsidRPr="0040598E">
        <w:t>), przeworskim (</w:t>
      </w:r>
      <w:r w:rsidR="00355649">
        <w:t>31,7 %</w:t>
      </w:r>
      <w:r w:rsidR="006C76D7" w:rsidRPr="0040598E">
        <w:t>), tarnobrzeskim (</w:t>
      </w:r>
      <w:r w:rsidR="00355649">
        <w:t>31,3 %</w:t>
      </w:r>
      <w:r w:rsidR="006C76D7" w:rsidRPr="0040598E">
        <w:t>), dębickim (</w:t>
      </w:r>
      <w:r w:rsidR="00355649">
        <w:t>30,8 %</w:t>
      </w:r>
      <w:r w:rsidR="006C76D7" w:rsidRPr="0040598E">
        <w:t>), łańcuckim (</w:t>
      </w:r>
      <w:r w:rsidR="00355649">
        <w:t>30,5 %</w:t>
      </w:r>
      <w:r w:rsidR="006C76D7" w:rsidRPr="0040598E">
        <w:t>) i leskim (</w:t>
      </w:r>
      <w:r w:rsidR="00355649">
        <w:t>30,1 %</w:t>
      </w:r>
      <w:r w:rsidR="006C76D7" w:rsidRPr="0040598E">
        <w:t>).</w:t>
      </w:r>
    </w:p>
    <w:p w:rsidR="00041BD2" w:rsidRPr="0040598E" w:rsidRDefault="00CB472E" w:rsidP="0040598E">
      <w:pPr>
        <w:pStyle w:val="Default"/>
        <w:numPr>
          <w:ilvl w:val="0"/>
          <w:numId w:val="7"/>
        </w:numPr>
        <w:spacing w:line="360" w:lineRule="auto"/>
        <w:jc w:val="both"/>
      </w:pPr>
      <w:r w:rsidRPr="0040598E">
        <w:t>N</w:t>
      </w:r>
      <w:r w:rsidR="007B1E3D" w:rsidRPr="0040598E">
        <w:t>ajmniej</w:t>
      </w:r>
      <w:r w:rsidR="00041BD2" w:rsidRPr="0040598E">
        <w:t>szy udział (przyjmując bezrobotnych ogółem za 100,0%) odnotowujemy w</w:t>
      </w:r>
      <w:r w:rsidR="0040598E" w:rsidRPr="0040598E">
        <w:t> mieście Krośnie (</w:t>
      </w:r>
      <w:r w:rsidR="00355649">
        <w:t>19,8 %</w:t>
      </w:r>
      <w:r w:rsidR="0040598E" w:rsidRPr="0040598E">
        <w:t>), m. Przemyślu (</w:t>
      </w:r>
      <w:r w:rsidR="00355649">
        <w:t>21,0 %</w:t>
      </w:r>
      <w:r w:rsidR="0040598E" w:rsidRPr="0040598E">
        <w:t>), m. Tarnobrzeg (</w:t>
      </w:r>
      <w:r w:rsidR="00355649">
        <w:t>21,2 %</w:t>
      </w:r>
      <w:r w:rsidR="0040598E" w:rsidRPr="0040598E">
        <w:t>), m. Rzeszów (</w:t>
      </w:r>
      <w:r w:rsidR="00355649">
        <w:t>22,2 %</w:t>
      </w:r>
      <w:r w:rsidR="0040598E" w:rsidRPr="0040598E">
        <w:t xml:space="preserve">), powiecie jasielskim </w:t>
      </w:r>
      <w:r w:rsidR="00355649">
        <w:t xml:space="preserve">i stalowowolskim </w:t>
      </w:r>
      <w:r w:rsidR="0040598E" w:rsidRPr="0040598E">
        <w:t>(</w:t>
      </w:r>
      <w:r w:rsidR="00355649">
        <w:t>po 26,0 %</w:t>
      </w:r>
      <w:r w:rsidR="0040598E" w:rsidRPr="0040598E">
        <w:t xml:space="preserve">), </w:t>
      </w:r>
      <w:r w:rsidR="00355649">
        <w:t>i</w:t>
      </w:r>
      <w:r w:rsidR="0040598E" w:rsidRPr="0040598E">
        <w:t xml:space="preserve"> brzozowskim (</w:t>
      </w:r>
      <w:r w:rsidR="00355649">
        <w:t>26,2 %</w:t>
      </w:r>
      <w:r w:rsidR="0040598E" w:rsidRPr="0040598E">
        <w:t>)</w:t>
      </w:r>
      <w:r w:rsidR="0040598E" w:rsidRPr="0040598E">
        <w:rPr>
          <w:rStyle w:val="Odwoanieprzypisudolnego"/>
        </w:rPr>
        <w:footnoteReference w:id="17"/>
      </w:r>
      <w:r w:rsidR="0040598E" w:rsidRPr="0040598E">
        <w:t>.</w:t>
      </w:r>
    </w:p>
    <w:p w:rsidR="00F6040F" w:rsidRPr="00A20C5C" w:rsidRDefault="00CB472E" w:rsidP="00160DBC">
      <w:pPr>
        <w:pStyle w:val="Bezodstpw"/>
        <w:numPr>
          <w:ilvl w:val="0"/>
          <w:numId w:val="7"/>
        </w:numPr>
        <w:spacing w:line="360" w:lineRule="auto"/>
        <w:jc w:val="both"/>
        <w:rPr>
          <w:rFonts w:ascii="Times New Roman" w:hAnsi="Times New Roman" w:cs="Times New Roman"/>
          <w:sz w:val="24"/>
          <w:szCs w:val="24"/>
        </w:rPr>
      </w:pPr>
      <w:r w:rsidRPr="00A20C5C">
        <w:rPr>
          <w:rFonts w:ascii="Times New Roman" w:hAnsi="Times New Roman" w:cs="Times New Roman"/>
          <w:sz w:val="24"/>
          <w:szCs w:val="24"/>
          <w:u w:val="single"/>
        </w:rPr>
        <w:t>T</w:t>
      </w:r>
      <w:r w:rsidR="007C0E95" w:rsidRPr="00A20C5C">
        <w:rPr>
          <w:rFonts w:ascii="Times New Roman" w:hAnsi="Times New Roman" w:cs="Times New Roman"/>
          <w:sz w:val="24"/>
          <w:szCs w:val="24"/>
          <w:u w:val="single"/>
        </w:rPr>
        <w:t>rzecią</w:t>
      </w:r>
      <w:r w:rsidR="00AE5712" w:rsidRPr="00A20C5C">
        <w:rPr>
          <w:rFonts w:ascii="Times New Roman" w:hAnsi="Times New Roman" w:cs="Times New Roman"/>
          <w:sz w:val="24"/>
          <w:szCs w:val="24"/>
          <w:u w:val="single"/>
        </w:rPr>
        <w:t xml:space="preserve"> w </w:t>
      </w:r>
      <w:r w:rsidR="007C0E95" w:rsidRPr="00A20C5C">
        <w:rPr>
          <w:rFonts w:ascii="Times New Roman" w:hAnsi="Times New Roman" w:cs="Times New Roman"/>
          <w:sz w:val="24"/>
          <w:szCs w:val="24"/>
          <w:u w:val="single"/>
        </w:rPr>
        <w:t>kolejności pod względem liczebności stanowi grupa osób powyżej 50 roku życia</w:t>
      </w:r>
      <w:r w:rsidR="007C0E95" w:rsidRPr="00A20C5C">
        <w:rPr>
          <w:rFonts w:ascii="Times New Roman" w:hAnsi="Times New Roman" w:cs="Times New Roman"/>
          <w:sz w:val="24"/>
          <w:szCs w:val="24"/>
        </w:rPr>
        <w:t xml:space="preserve">, która </w:t>
      </w:r>
      <w:r w:rsidR="00A97EF7" w:rsidRPr="00A20C5C">
        <w:rPr>
          <w:rFonts w:ascii="Times New Roman" w:hAnsi="Times New Roman" w:cs="Times New Roman"/>
          <w:sz w:val="24"/>
          <w:szCs w:val="24"/>
        </w:rPr>
        <w:t>obejm</w:t>
      </w:r>
      <w:r w:rsidR="00C207A0" w:rsidRPr="00A20C5C">
        <w:rPr>
          <w:rFonts w:ascii="Times New Roman" w:hAnsi="Times New Roman" w:cs="Times New Roman"/>
          <w:sz w:val="24"/>
          <w:szCs w:val="24"/>
        </w:rPr>
        <w:t xml:space="preserve">owała na koniec 2018 roku – </w:t>
      </w:r>
      <w:r w:rsidR="00883A9D" w:rsidRPr="00A20C5C">
        <w:rPr>
          <w:rFonts w:ascii="Times New Roman" w:hAnsi="Times New Roman" w:cs="Times New Roman"/>
          <w:sz w:val="24"/>
          <w:szCs w:val="24"/>
        </w:rPr>
        <w:t>1</w:t>
      </w:r>
      <w:r w:rsidR="00A20C5C" w:rsidRPr="00A20C5C">
        <w:rPr>
          <w:rFonts w:ascii="Times New Roman" w:hAnsi="Times New Roman" w:cs="Times New Roman"/>
          <w:sz w:val="24"/>
          <w:szCs w:val="24"/>
        </w:rPr>
        <w:t>9</w:t>
      </w:r>
      <w:r w:rsidR="007C0E95" w:rsidRPr="00A20C5C">
        <w:rPr>
          <w:rFonts w:ascii="Times New Roman" w:hAnsi="Times New Roman" w:cs="Times New Roman"/>
          <w:sz w:val="24"/>
          <w:szCs w:val="24"/>
        </w:rPr>
        <w:t xml:space="preserve"> </w:t>
      </w:r>
      <w:r w:rsidR="00A20C5C" w:rsidRPr="00A20C5C">
        <w:rPr>
          <w:rFonts w:ascii="Times New Roman" w:hAnsi="Times New Roman" w:cs="Times New Roman"/>
          <w:sz w:val="24"/>
          <w:szCs w:val="24"/>
        </w:rPr>
        <w:t>822</w:t>
      </w:r>
      <w:r w:rsidR="007C0E95" w:rsidRPr="00A20C5C">
        <w:rPr>
          <w:rFonts w:ascii="Times New Roman" w:hAnsi="Times New Roman" w:cs="Times New Roman"/>
          <w:sz w:val="24"/>
          <w:szCs w:val="24"/>
        </w:rPr>
        <w:t xml:space="preserve"> os</w:t>
      </w:r>
      <w:r w:rsidR="00883A9D" w:rsidRPr="00A20C5C">
        <w:rPr>
          <w:rFonts w:ascii="Times New Roman" w:hAnsi="Times New Roman" w:cs="Times New Roman"/>
          <w:sz w:val="24"/>
          <w:szCs w:val="24"/>
        </w:rPr>
        <w:t>o</w:t>
      </w:r>
      <w:r w:rsidR="007C0E95" w:rsidRPr="00A20C5C">
        <w:rPr>
          <w:rFonts w:ascii="Times New Roman" w:hAnsi="Times New Roman" w:cs="Times New Roman"/>
          <w:sz w:val="24"/>
          <w:szCs w:val="24"/>
        </w:rPr>
        <w:t>b</w:t>
      </w:r>
      <w:r w:rsidR="00883A9D" w:rsidRPr="00A20C5C">
        <w:rPr>
          <w:rFonts w:ascii="Times New Roman" w:hAnsi="Times New Roman" w:cs="Times New Roman"/>
          <w:sz w:val="24"/>
          <w:szCs w:val="24"/>
        </w:rPr>
        <w:t>y</w:t>
      </w:r>
      <w:r w:rsidR="007C0E95" w:rsidRPr="00A20C5C">
        <w:rPr>
          <w:rFonts w:ascii="Times New Roman" w:hAnsi="Times New Roman" w:cs="Times New Roman"/>
          <w:sz w:val="24"/>
          <w:szCs w:val="24"/>
        </w:rPr>
        <w:t xml:space="preserve"> (2</w:t>
      </w:r>
      <w:r w:rsidR="00E12615" w:rsidRPr="00A20C5C">
        <w:rPr>
          <w:rFonts w:ascii="Times New Roman" w:hAnsi="Times New Roman" w:cs="Times New Roman"/>
          <w:sz w:val="24"/>
          <w:szCs w:val="24"/>
        </w:rPr>
        <w:t>3</w:t>
      </w:r>
      <w:r w:rsidR="007C0E95" w:rsidRPr="00A20C5C">
        <w:rPr>
          <w:rFonts w:ascii="Times New Roman" w:hAnsi="Times New Roman" w:cs="Times New Roman"/>
          <w:sz w:val="24"/>
          <w:szCs w:val="24"/>
        </w:rPr>
        <w:t>,</w:t>
      </w:r>
      <w:r w:rsidR="00883A9D" w:rsidRPr="00A20C5C">
        <w:rPr>
          <w:rFonts w:ascii="Times New Roman" w:hAnsi="Times New Roman" w:cs="Times New Roman"/>
          <w:sz w:val="24"/>
          <w:szCs w:val="24"/>
        </w:rPr>
        <w:t>9</w:t>
      </w:r>
      <w:r w:rsidR="00A20C5C" w:rsidRPr="00A20C5C">
        <w:rPr>
          <w:rFonts w:ascii="Times New Roman" w:hAnsi="Times New Roman" w:cs="Times New Roman"/>
          <w:sz w:val="24"/>
          <w:szCs w:val="24"/>
        </w:rPr>
        <w:t xml:space="preserve"> </w:t>
      </w:r>
      <w:r w:rsidR="007C0E95" w:rsidRPr="00A20C5C">
        <w:rPr>
          <w:rFonts w:ascii="Times New Roman" w:hAnsi="Times New Roman" w:cs="Times New Roman"/>
          <w:sz w:val="24"/>
          <w:szCs w:val="24"/>
        </w:rPr>
        <w:t>%) –</w:t>
      </w:r>
      <w:r w:rsidR="00AE5712" w:rsidRPr="00A20C5C">
        <w:rPr>
          <w:rFonts w:ascii="Times New Roman" w:hAnsi="Times New Roman" w:cs="Times New Roman"/>
          <w:sz w:val="24"/>
          <w:szCs w:val="24"/>
        </w:rPr>
        <w:t xml:space="preserve"> w </w:t>
      </w:r>
      <w:r w:rsidR="007C0E95" w:rsidRPr="00A20C5C">
        <w:rPr>
          <w:rFonts w:ascii="Times New Roman" w:hAnsi="Times New Roman" w:cs="Times New Roman"/>
          <w:sz w:val="24"/>
          <w:szCs w:val="24"/>
        </w:rPr>
        <w:t xml:space="preserve">stosunku do </w:t>
      </w:r>
      <w:r w:rsidR="00E12615" w:rsidRPr="00A20C5C">
        <w:rPr>
          <w:rFonts w:ascii="Times New Roman" w:hAnsi="Times New Roman" w:cs="Times New Roman"/>
          <w:sz w:val="24"/>
          <w:szCs w:val="24"/>
        </w:rPr>
        <w:t>‘1</w:t>
      </w:r>
      <w:r w:rsidR="00A20C5C" w:rsidRPr="00A20C5C">
        <w:rPr>
          <w:rFonts w:ascii="Times New Roman" w:hAnsi="Times New Roman" w:cs="Times New Roman"/>
          <w:sz w:val="24"/>
          <w:szCs w:val="24"/>
        </w:rPr>
        <w:t>7</w:t>
      </w:r>
      <w:r w:rsidR="00E12615" w:rsidRPr="00A20C5C">
        <w:rPr>
          <w:rFonts w:ascii="Times New Roman" w:hAnsi="Times New Roman" w:cs="Times New Roman"/>
          <w:sz w:val="24"/>
          <w:szCs w:val="24"/>
        </w:rPr>
        <w:t xml:space="preserve"> </w:t>
      </w:r>
      <w:r w:rsidR="007C0E95" w:rsidRPr="00A20C5C">
        <w:rPr>
          <w:rFonts w:ascii="Times New Roman" w:hAnsi="Times New Roman" w:cs="Times New Roman"/>
          <w:sz w:val="24"/>
          <w:szCs w:val="24"/>
        </w:rPr>
        <w:t>r</w:t>
      </w:r>
      <w:r w:rsidR="00E12615" w:rsidRPr="00A20C5C">
        <w:rPr>
          <w:rFonts w:ascii="Times New Roman" w:hAnsi="Times New Roman" w:cs="Times New Roman"/>
          <w:sz w:val="24"/>
          <w:szCs w:val="24"/>
        </w:rPr>
        <w:t>.</w:t>
      </w:r>
      <w:r w:rsidR="007C0E95" w:rsidRPr="00A20C5C">
        <w:rPr>
          <w:rFonts w:ascii="Times New Roman" w:hAnsi="Times New Roman" w:cs="Times New Roman"/>
          <w:sz w:val="24"/>
          <w:szCs w:val="24"/>
        </w:rPr>
        <w:t xml:space="preserve"> (2</w:t>
      </w:r>
      <w:r w:rsidR="00A20C5C" w:rsidRPr="00A20C5C">
        <w:rPr>
          <w:rFonts w:ascii="Times New Roman" w:hAnsi="Times New Roman" w:cs="Times New Roman"/>
          <w:sz w:val="24"/>
          <w:szCs w:val="24"/>
        </w:rPr>
        <w:t>1</w:t>
      </w:r>
      <w:r w:rsidR="007C0E95" w:rsidRPr="00A20C5C">
        <w:rPr>
          <w:rFonts w:ascii="Times New Roman" w:hAnsi="Times New Roman" w:cs="Times New Roman"/>
          <w:sz w:val="24"/>
          <w:szCs w:val="24"/>
        </w:rPr>
        <w:t xml:space="preserve"> </w:t>
      </w:r>
      <w:r w:rsidR="00A20C5C" w:rsidRPr="00A20C5C">
        <w:rPr>
          <w:rFonts w:ascii="Times New Roman" w:hAnsi="Times New Roman" w:cs="Times New Roman"/>
          <w:sz w:val="24"/>
          <w:szCs w:val="24"/>
        </w:rPr>
        <w:t>733</w:t>
      </w:r>
      <w:r w:rsidR="007C0E95" w:rsidRPr="00A20C5C">
        <w:rPr>
          <w:rFonts w:ascii="Times New Roman" w:hAnsi="Times New Roman" w:cs="Times New Roman"/>
          <w:sz w:val="24"/>
          <w:szCs w:val="24"/>
        </w:rPr>
        <w:t xml:space="preserve">) liczba ta </w:t>
      </w:r>
      <w:r w:rsidR="00A20C5C" w:rsidRPr="00A20C5C">
        <w:rPr>
          <w:rFonts w:ascii="Times New Roman" w:hAnsi="Times New Roman" w:cs="Times New Roman"/>
          <w:sz w:val="24"/>
          <w:szCs w:val="24"/>
        </w:rPr>
        <w:t xml:space="preserve">zmniejszyła się </w:t>
      </w:r>
      <w:r w:rsidR="00AE5712" w:rsidRPr="00A20C5C">
        <w:rPr>
          <w:rFonts w:ascii="Times New Roman" w:hAnsi="Times New Roman" w:cs="Times New Roman"/>
          <w:sz w:val="24"/>
          <w:szCs w:val="24"/>
        </w:rPr>
        <w:t>o </w:t>
      </w:r>
      <w:r w:rsidR="00A20C5C" w:rsidRPr="00A20C5C">
        <w:rPr>
          <w:rFonts w:ascii="Times New Roman" w:hAnsi="Times New Roman" w:cs="Times New Roman"/>
          <w:sz w:val="24"/>
          <w:szCs w:val="24"/>
        </w:rPr>
        <w:t>1 911</w:t>
      </w:r>
      <w:r w:rsidR="007C0E95" w:rsidRPr="00A20C5C">
        <w:rPr>
          <w:rFonts w:ascii="Times New Roman" w:hAnsi="Times New Roman" w:cs="Times New Roman"/>
          <w:sz w:val="24"/>
          <w:szCs w:val="24"/>
        </w:rPr>
        <w:t xml:space="preserve"> os</w:t>
      </w:r>
      <w:r w:rsidR="00E12615" w:rsidRPr="00A20C5C">
        <w:rPr>
          <w:rFonts w:ascii="Times New Roman" w:hAnsi="Times New Roman" w:cs="Times New Roman"/>
          <w:sz w:val="24"/>
          <w:szCs w:val="24"/>
        </w:rPr>
        <w:t>ó</w:t>
      </w:r>
      <w:r w:rsidR="007C0E95" w:rsidRPr="00A20C5C">
        <w:rPr>
          <w:rFonts w:ascii="Times New Roman" w:hAnsi="Times New Roman" w:cs="Times New Roman"/>
          <w:sz w:val="24"/>
          <w:szCs w:val="24"/>
        </w:rPr>
        <w:t>b</w:t>
      </w:r>
      <w:r w:rsidRPr="00A20C5C">
        <w:rPr>
          <w:rFonts w:ascii="Times New Roman" w:hAnsi="Times New Roman" w:cs="Times New Roman"/>
          <w:sz w:val="24"/>
          <w:szCs w:val="24"/>
        </w:rPr>
        <w:t>.</w:t>
      </w:r>
    </w:p>
    <w:p w:rsidR="004407CB" w:rsidRPr="004407CB" w:rsidRDefault="00CC18AD" w:rsidP="00160DBC">
      <w:pPr>
        <w:pStyle w:val="Bezodstpw"/>
        <w:numPr>
          <w:ilvl w:val="0"/>
          <w:numId w:val="7"/>
        </w:numPr>
        <w:spacing w:line="360" w:lineRule="auto"/>
        <w:jc w:val="both"/>
        <w:rPr>
          <w:rFonts w:ascii="Times New Roman" w:hAnsi="Times New Roman" w:cs="Times New Roman"/>
          <w:sz w:val="24"/>
          <w:szCs w:val="24"/>
        </w:rPr>
      </w:pPr>
      <w:r w:rsidRPr="004407CB">
        <w:rPr>
          <w:rFonts w:ascii="Times New Roman" w:hAnsi="Times New Roman" w:cs="Times New Roman"/>
          <w:sz w:val="24"/>
          <w:szCs w:val="24"/>
        </w:rPr>
        <w:t>Na koniec 201</w:t>
      </w:r>
      <w:r w:rsidR="009F1E33" w:rsidRPr="004407CB">
        <w:rPr>
          <w:rFonts w:ascii="Times New Roman" w:hAnsi="Times New Roman" w:cs="Times New Roman"/>
          <w:sz w:val="24"/>
          <w:szCs w:val="24"/>
        </w:rPr>
        <w:t>8</w:t>
      </w:r>
      <w:r w:rsidRPr="004407CB">
        <w:rPr>
          <w:rFonts w:ascii="Times New Roman" w:hAnsi="Times New Roman" w:cs="Times New Roman"/>
          <w:sz w:val="24"/>
          <w:szCs w:val="24"/>
        </w:rPr>
        <w:t xml:space="preserve"> r</w:t>
      </w:r>
      <w:r w:rsidR="00883A9D" w:rsidRPr="004407CB">
        <w:rPr>
          <w:rFonts w:ascii="Times New Roman" w:hAnsi="Times New Roman" w:cs="Times New Roman"/>
          <w:sz w:val="24"/>
          <w:szCs w:val="24"/>
        </w:rPr>
        <w:t>.</w:t>
      </w:r>
      <w:r w:rsidRPr="004407CB">
        <w:rPr>
          <w:rFonts w:ascii="Times New Roman" w:hAnsi="Times New Roman" w:cs="Times New Roman"/>
          <w:sz w:val="24"/>
          <w:szCs w:val="24"/>
        </w:rPr>
        <w:t xml:space="preserve"> </w:t>
      </w:r>
      <w:r w:rsidR="00E12615" w:rsidRPr="004407CB">
        <w:rPr>
          <w:rFonts w:ascii="Times New Roman" w:hAnsi="Times New Roman" w:cs="Times New Roman"/>
          <w:sz w:val="24"/>
          <w:szCs w:val="24"/>
        </w:rPr>
        <w:t xml:space="preserve">udział </w:t>
      </w:r>
      <w:r w:rsidRPr="004407CB">
        <w:rPr>
          <w:rFonts w:ascii="Times New Roman" w:hAnsi="Times New Roman" w:cs="Times New Roman"/>
          <w:sz w:val="24"/>
          <w:szCs w:val="24"/>
        </w:rPr>
        <w:t>bezrobotnych po 50 roku życia</w:t>
      </w:r>
      <w:r w:rsidR="004407CB" w:rsidRPr="004407CB">
        <w:rPr>
          <w:rFonts w:ascii="Times New Roman" w:hAnsi="Times New Roman" w:cs="Times New Roman"/>
          <w:sz w:val="24"/>
          <w:szCs w:val="24"/>
        </w:rPr>
        <w:t xml:space="preserve"> wśród bezrobotnych ogółem –</w:t>
      </w:r>
      <w:r w:rsidRPr="004407CB">
        <w:rPr>
          <w:rFonts w:ascii="Times New Roman" w:hAnsi="Times New Roman" w:cs="Times New Roman"/>
          <w:sz w:val="24"/>
          <w:szCs w:val="24"/>
        </w:rPr>
        <w:t>2</w:t>
      </w:r>
      <w:r w:rsidR="00E12615" w:rsidRPr="004407CB">
        <w:rPr>
          <w:rFonts w:ascii="Times New Roman" w:hAnsi="Times New Roman" w:cs="Times New Roman"/>
          <w:sz w:val="24"/>
          <w:szCs w:val="24"/>
        </w:rPr>
        <w:t>3</w:t>
      </w:r>
      <w:r w:rsidRPr="004407CB">
        <w:rPr>
          <w:rFonts w:ascii="Times New Roman" w:hAnsi="Times New Roman" w:cs="Times New Roman"/>
          <w:sz w:val="24"/>
          <w:szCs w:val="24"/>
        </w:rPr>
        <w:t>,</w:t>
      </w:r>
      <w:r w:rsidR="00883A9D" w:rsidRPr="004407CB">
        <w:rPr>
          <w:rFonts w:ascii="Times New Roman" w:hAnsi="Times New Roman" w:cs="Times New Roman"/>
          <w:sz w:val="24"/>
          <w:szCs w:val="24"/>
        </w:rPr>
        <w:t>9</w:t>
      </w:r>
      <w:r w:rsidR="004407CB" w:rsidRPr="004407CB">
        <w:rPr>
          <w:rFonts w:ascii="Times New Roman" w:hAnsi="Times New Roman" w:cs="Times New Roman"/>
          <w:sz w:val="24"/>
          <w:szCs w:val="24"/>
        </w:rPr>
        <w:t xml:space="preserve"> </w:t>
      </w:r>
      <w:r w:rsidRPr="004407CB">
        <w:rPr>
          <w:rFonts w:ascii="Times New Roman" w:hAnsi="Times New Roman" w:cs="Times New Roman"/>
          <w:sz w:val="24"/>
          <w:szCs w:val="24"/>
        </w:rPr>
        <w:t>%</w:t>
      </w:r>
      <w:r w:rsidR="004407CB" w:rsidRPr="004407CB">
        <w:rPr>
          <w:rFonts w:ascii="Times New Roman" w:hAnsi="Times New Roman" w:cs="Times New Roman"/>
          <w:sz w:val="24"/>
          <w:szCs w:val="24"/>
        </w:rPr>
        <w:t>, był taki sam jak rok wcześniej (31 XII 2017 – również 23,9 %).</w:t>
      </w:r>
    </w:p>
    <w:p w:rsidR="004407CB" w:rsidRPr="00BA0D45" w:rsidRDefault="00CB472E" w:rsidP="00BA0D45">
      <w:pPr>
        <w:pStyle w:val="Bezodstpw"/>
        <w:numPr>
          <w:ilvl w:val="0"/>
          <w:numId w:val="7"/>
        </w:numPr>
        <w:spacing w:line="360" w:lineRule="auto"/>
        <w:jc w:val="both"/>
        <w:rPr>
          <w:rFonts w:ascii="Times New Roman" w:hAnsi="Times New Roman" w:cs="Times New Roman"/>
          <w:sz w:val="24"/>
          <w:szCs w:val="24"/>
        </w:rPr>
      </w:pPr>
      <w:r w:rsidRPr="00BA0D45">
        <w:rPr>
          <w:rFonts w:ascii="Times New Roman" w:hAnsi="Times New Roman" w:cs="Times New Roman"/>
          <w:sz w:val="24"/>
          <w:szCs w:val="24"/>
        </w:rPr>
        <w:t>N</w:t>
      </w:r>
      <w:r w:rsidR="0044373E" w:rsidRPr="00BA0D45">
        <w:rPr>
          <w:rFonts w:ascii="Times New Roman" w:hAnsi="Times New Roman" w:cs="Times New Roman"/>
          <w:sz w:val="24"/>
          <w:szCs w:val="24"/>
        </w:rPr>
        <w:t>ajwięcej osób bezrobotnych</w:t>
      </w:r>
      <w:r w:rsidR="00AE5712" w:rsidRPr="00BA0D45">
        <w:rPr>
          <w:rFonts w:ascii="Times New Roman" w:hAnsi="Times New Roman" w:cs="Times New Roman"/>
          <w:sz w:val="24"/>
          <w:szCs w:val="24"/>
        </w:rPr>
        <w:t xml:space="preserve"> w </w:t>
      </w:r>
      <w:r w:rsidR="0044373E" w:rsidRPr="00BA0D45">
        <w:rPr>
          <w:rFonts w:ascii="Times New Roman" w:hAnsi="Times New Roman" w:cs="Times New Roman"/>
          <w:sz w:val="24"/>
          <w:szCs w:val="24"/>
        </w:rPr>
        <w:t>grupie powyżej 50 roku życia odnotowuje</w:t>
      </w:r>
      <w:r w:rsidR="004407CB" w:rsidRPr="00BA0D45">
        <w:rPr>
          <w:rFonts w:ascii="Times New Roman" w:hAnsi="Times New Roman" w:cs="Times New Roman"/>
          <w:sz w:val="24"/>
          <w:szCs w:val="24"/>
        </w:rPr>
        <w:t>my</w:t>
      </w:r>
      <w:r w:rsidR="00AE5712" w:rsidRPr="00BA0D45">
        <w:rPr>
          <w:rFonts w:ascii="Times New Roman" w:hAnsi="Times New Roman" w:cs="Times New Roman"/>
          <w:sz w:val="24"/>
          <w:szCs w:val="24"/>
        </w:rPr>
        <w:t xml:space="preserve"> w</w:t>
      </w:r>
      <w:r w:rsidR="00367D82" w:rsidRPr="00BA0D45">
        <w:rPr>
          <w:rFonts w:ascii="Times New Roman" w:hAnsi="Times New Roman" w:cs="Times New Roman"/>
          <w:sz w:val="24"/>
          <w:szCs w:val="24"/>
        </w:rPr>
        <w:t xml:space="preserve"> </w:t>
      </w:r>
      <w:r w:rsidR="00BA0D45" w:rsidRPr="00BA0D45">
        <w:rPr>
          <w:rFonts w:ascii="Times New Roman" w:hAnsi="Times New Roman" w:cs="Times New Roman"/>
          <w:sz w:val="24"/>
          <w:szCs w:val="24"/>
        </w:rPr>
        <w:t>powiecie stalowowolskim (</w:t>
      </w:r>
      <w:r w:rsidR="0094242C">
        <w:rPr>
          <w:rFonts w:ascii="Times New Roman" w:hAnsi="Times New Roman" w:cs="Times New Roman"/>
          <w:sz w:val="24"/>
          <w:szCs w:val="24"/>
        </w:rPr>
        <w:t>29,7 %</w:t>
      </w:r>
      <w:r w:rsidR="00BA0D45" w:rsidRPr="00BA0D45">
        <w:rPr>
          <w:rFonts w:ascii="Times New Roman" w:hAnsi="Times New Roman" w:cs="Times New Roman"/>
          <w:sz w:val="24"/>
          <w:szCs w:val="24"/>
        </w:rPr>
        <w:t>), m. Krośnie (</w:t>
      </w:r>
      <w:r w:rsidR="0094242C">
        <w:rPr>
          <w:rFonts w:ascii="Times New Roman" w:hAnsi="Times New Roman" w:cs="Times New Roman"/>
          <w:sz w:val="24"/>
          <w:szCs w:val="24"/>
        </w:rPr>
        <w:t>29,4 %</w:t>
      </w:r>
      <w:r w:rsidR="00BA0D45" w:rsidRPr="00BA0D45">
        <w:rPr>
          <w:rFonts w:ascii="Times New Roman" w:hAnsi="Times New Roman" w:cs="Times New Roman"/>
          <w:sz w:val="24"/>
          <w:szCs w:val="24"/>
        </w:rPr>
        <w:t>), powiecie krośnieńskim (</w:t>
      </w:r>
      <w:r w:rsidR="0094242C">
        <w:rPr>
          <w:rFonts w:ascii="Times New Roman" w:hAnsi="Times New Roman" w:cs="Times New Roman"/>
          <w:sz w:val="24"/>
          <w:szCs w:val="24"/>
        </w:rPr>
        <w:t>28,2 %</w:t>
      </w:r>
      <w:r w:rsidR="00BA0D45" w:rsidRPr="00BA0D45">
        <w:rPr>
          <w:rFonts w:ascii="Times New Roman" w:hAnsi="Times New Roman" w:cs="Times New Roman"/>
          <w:sz w:val="24"/>
          <w:szCs w:val="24"/>
        </w:rPr>
        <w:t>), kolbuszowskim (</w:t>
      </w:r>
      <w:r w:rsidR="0094242C">
        <w:rPr>
          <w:rFonts w:ascii="Times New Roman" w:hAnsi="Times New Roman" w:cs="Times New Roman"/>
          <w:sz w:val="24"/>
          <w:szCs w:val="24"/>
        </w:rPr>
        <w:t>27,4 %</w:t>
      </w:r>
      <w:r w:rsidR="00BA0D45" w:rsidRPr="00BA0D45">
        <w:rPr>
          <w:rFonts w:ascii="Times New Roman" w:hAnsi="Times New Roman" w:cs="Times New Roman"/>
          <w:sz w:val="24"/>
          <w:szCs w:val="24"/>
        </w:rPr>
        <w:t>), m. Rzeszowie (</w:t>
      </w:r>
      <w:r w:rsidR="0094242C">
        <w:rPr>
          <w:rFonts w:ascii="Times New Roman" w:hAnsi="Times New Roman" w:cs="Times New Roman"/>
          <w:sz w:val="24"/>
          <w:szCs w:val="24"/>
        </w:rPr>
        <w:t>27,3 %</w:t>
      </w:r>
      <w:r w:rsidR="00BA0D45" w:rsidRPr="00BA0D45">
        <w:rPr>
          <w:rFonts w:ascii="Times New Roman" w:hAnsi="Times New Roman" w:cs="Times New Roman"/>
          <w:sz w:val="24"/>
          <w:szCs w:val="24"/>
        </w:rPr>
        <w:t>), m. Przemyślu (</w:t>
      </w:r>
      <w:r w:rsidR="0094242C">
        <w:rPr>
          <w:rFonts w:ascii="Times New Roman" w:hAnsi="Times New Roman" w:cs="Times New Roman"/>
          <w:sz w:val="24"/>
          <w:szCs w:val="24"/>
        </w:rPr>
        <w:t>26,5 %</w:t>
      </w:r>
      <w:r w:rsidR="00BA0D45" w:rsidRPr="00BA0D45">
        <w:rPr>
          <w:rFonts w:ascii="Times New Roman" w:hAnsi="Times New Roman" w:cs="Times New Roman"/>
          <w:sz w:val="24"/>
          <w:szCs w:val="24"/>
        </w:rPr>
        <w:t xml:space="preserve">), powiecie lubaczowskim </w:t>
      </w:r>
      <w:r w:rsidR="0094242C">
        <w:rPr>
          <w:rFonts w:ascii="Times New Roman" w:hAnsi="Times New Roman" w:cs="Times New Roman"/>
          <w:sz w:val="24"/>
          <w:szCs w:val="24"/>
        </w:rPr>
        <w:t xml:space="preserve">i </w:t>
      </w:r>
      <w:r w:rsidR="0094242C" w:rsidRPr="00BA0D45">
        <w:rPr>
          <w:rFonts w:ascii="Times New Roman" w:hAnsi="Times New Roman" w:cs="Times New Roman"/>
          <w:sz w:val="24"/>
          <w:szCs w:val="24"/>
        </w:rPr>
        <w:t xml:space="preserve">m. Tarnobrzegu </w:t>
      </w:r>
      <w:r w:rsidR="00BA0D45" w:rsidRPr="00BA0D45">
        <w:rPr>
          <w:rFonts w:ascii="Times New Roman" w:hAnsi="Times New Roman" w:cs="Times New Roman"/>
          <w:sz w:val="24"/>
          <w:szCs w:val="24"/>
        </w:rPr>
        <w:t>(</w:t>
      </w:r>
      <w:r w:rsidR="0094242C">
        <w:rPr>
          <w:rFonts w:ascii="Times New Roman" w:hAnsi="Times New Roman" w:cs="Times New Roman"/>
          <w:sz w:val="24"/>
          <w:szCs w:val="24"/>
        </w:rPr>
        <w:t>po 26,1 %</w:t>
      </w:r>
      <w:r w:rsidR="00BA0D45" w:rsidRPr="00BA0D45">
        <w:rPr>
          <w:rFonts w:ascii="Times New Roman" w:hAnsi="Times New Roman" w:cs="Times New Roman"/>
          <w:sz w:val="24"/>
          <w:szCs w:val="24"/>
        </w:rPr>
        <w:t>)</w:t>
      </w:r>
      <w:r w:rsidR="0094242C">
        <w:rPr>
          <w:rFonts w:ascii="Times New Roman" w:hAnsi="Times New Roman" w:cs="Times New Roman"/>
          <w:sz w:val="24"/>
          <w:szCs w:val="24"/>
        </w:rPr>
        <w:t xml:space="preserve"> i</w:t>
      </w:r>
      <w:r w:rsidR="00BA0D45" w:rsidRPr="00BA0D45">
        <w:rPr>
          <w:rFonts w:ascii="Times New Roman" w:hAnsi="Times New Roman" w:cs="Times New Roman"/>
          <w:sz w:val="24"/>
          <w:szCs w:val="24"/>
        </w:rPr>
        <w:t xml:space="preserve"> powiecie mieleckim (</w:t>
      </w:r>
      <w:r w:rsidR="0094242C">
        <w:rPr>
          <w:rFonts w:ascii="Times New Roman" w:hAnsi="Times New Roman" w:cs="Times New Roman"/>
          <w:sz w:val="24"/>
          <w:szCs w:val="24"/>
        </w:rPr>
        <w:t>26,0 %</w:t>
      </w:r>
      <w:r w:rsidR="00BA0D45" w:rsidRPr="00BA0D45">
        <w:rPr>
          <w:rFonts w:ascii="Times New Roman" w:hAnsi="Times New Roman" w:cs="Times New Roman"/>
          <w:sz w:val="24"/>
          <w:szCs w:val="24"/>
        </w:rPr>
        <w:t>).</w:t>
      </w:r>
    </w:p>
    <w:p w:rsidR="004407CB" w:rsidRPr="00D90AF8" w:rsidRDefault="00CB472E" w:rsidP="00D90AF8">
      <w:pPr>
        <w:pStyle w:val="Bezodstpw"/>
        <w:numPr>
          <w:ilvl w:val="0"/>
          <w:numId w:val="7"/>
        </w:numPr>
        <w:spacing w:line="360" w:lineRule="auto"/>
        <w:jc w:val="both"/>
        <w:rPr>
          <w:rFonts w:ascii="Times New Roman" w:hAnsi="Times New Roman" w:cs="Times New Roman"/>
          <w:b/>
          <w:bCs/>
          <w:color w:val="000000"/>
          <w:sz w:val="24"/>
          <w:szCs w:val="24"/>
        </w:rPr>
      </w:pPr>
      <w:r w:rsidRPr="00D90AF8">
        <w:rPr>
          <w:rFonts w:ascii="Times New Roman" w:hAnsi="Times New Roman" w:cs="Times New Roman"/>
          <w:sz w:val="24"/>
          <w:szCs w:val="24"/>
        </w:rPr>
        <w:t>N</w:t>
      </w:r>
      <w:r w:rsidR="0044373E" w:rsidRPr="00D90AF8">
        <w:rPr>
          <w:rFonts w:ascii="Times New Roman" w:hAnsi="Times New Roman" w:cs="Times New Roman"/>
          <w:sz w:val="24"/>
          <w:szCs w:val="24"/>
        </w:rPr>
        <w:t>ajmniej osób bezrobotnych</w:t>
      </w:r>
      <w:r w:rsidR="00AE5712" w:rsidRPr="00D90AF8">
        <w:rPr>
          <w:rFonts w:ascii="Times New Roman" w:hAnsi="Times New Roman" w:cs="Times New Roman"/>
          <w:sz w:val="24"/>
          <w:szCs w:val="24"/>
        </w:rPr>
        <w:t xml:space="preserve"> w </w:t>
      </w:r>
      <w:r w:rsidR="0044373E" w:rsidRPr="00D90AF8">
        <w:rPr>
          <w:rFonts w:ascii="Times New Roman" w:hAnsi="Times New Roman" w:cs="Times New Roman"/>
          <w:sz w:val="24"/>
          <w:szCs w:val="24"/>
        </w:rPr>
        <w:t>grupie powyżej 50 roku życia odnotowuje</w:t>
      </w:r>
      <w:r w:rsidR="004407CB" w:rsidRPr="00D90AF8">
        <w:rPr>
          <w:rFonts w:ascii="Times New Roman" w:hAnsi="Times New Roman" w:cs="Times New Roman"/>
          <w:sz w:val="24"/>
          <w:szCs w:val="24"/>
        </w:rPr>
        <w:t xml:space="preserve">my </w:t>
      </w:r>
      <w:r w:rsidR="00AE5712" w:rsidRPr="00D90AF8">
        <w:rPr>
          <w:rFonts w:ascii="Times New Roman" w:hAnsi="Times New Roman" w:cs="Times New Roman"/>
          <w:sz w:val="24"/>
          <w:szCs w:val="24"/>
        </w:rPr>
        <w:t>w</w:t>
      </w:r>
      <w:r w:rsidR="00BA0D45" w:rsidRPr="00D90AF8">
        <w:rPr>
          <w:rFonts w:ascii="Times New Roman" w:hAnsi="Times New Roman" w:cs="Times New Roman"/>
          <w:sz w:val="24"/>
          <w:szCs w:val="24"/>
        </w:rPr>
        <w:t xml:space="preserve"> </w:t>
      </w:r>
      <w:r w:rsidR="00D90AF8" w:rsidRPr="00D90AF8">
        <w:rPr>
          <w:rFonts w:ascii="Times New Roman" w:hAnsi="Times New Roman" w:cs="Times New Roman"/>
          <w:sz w:val="24"/>
          <w:szCs w:val="24"/>
        </w:rPr>
        <w:t>powiecie przeworskim (</w:t>
      </w:r>
      <w:r w:rsidR="005063A4">
        <w:rPr>
          <w:rFonts w:ascii="Times New Roman" w:hAnsi="Times New Roman" w:cs="Times New Roman"/>
          <w:sz w:val="24"/>
          <w:szCs w:val="24"/>
        </w:rPr>
        <w:t>19,5 %</w:t>
      </w:r>
      <w:r w:rsidR="00D90AF8" w:rsidRPr="00D90AF8">
        <w:rPr>
          <w:rFonts w:ascii="Times New Roman" w:hAnsi="Times New Roman" w:cs="Times New Roman"/>
          <w:sz w:val="24"/>
          <w:szCs w:val="24"/>
        </w:rPr>
        <w:t>), ropczycko-sędziszowskim (</w:t>
      </w:r>
      <w:r w:rsidR="005063A4">
        <w:rPr>
          <w:rFonts w:ascii="Times New Roman" w:hAnsi="Times New Roman" w:cs="Times New Roman"/>
          <w:sz w:val="24"/>
          <w:szCs w:val="24"/>
        </w:rPr>
        <w:t>19,8 %</w:t>
      </w:r>
      <w:r w:rsidR="00D90AF8" w:rsidRPr="00D90AF8">
        <w:rPr>
          <w:rFonts w:ascii="Times New Roman" w:hAnsi="Times New Roman" w:cs="Times New Roman"/>
          <w:sz w:val="24"/>
          <w:szCs w:val="24"/>
        </w:rPr>
        <w:t>), leżajskim (</w:t>
      </w:r>
      <w:r w:rsidR="005063A4">
        <w:rPr>
          <w:rFonts w:ascii="Times New Roman" w:hAnsi="Times New Roman" w:cs="Times New Roman"/>
          <w:sz w:val="24"/>
          <w:szCs w:val="24"/>
        </w:rPr>
        <w:t>21,0 %</w:t>
      </w:r>
      <w:r w:rsidR="00D90AF8" w:rsidRPr="00D90AF8">
        <w:rPr>
          <w:rFonts w:ascii="Times New Roman" w:hAnsi="Times New Roman" w:cs="Times New Roman"/>
          <w:sz w:val="24"/>
          <w:szCs w:val="24"/>
        </w:rPr>
        <w:t>), przemyskim (</w:t>
      </w:r>
      <w:r w:rsidR="005063A4">
        <w:rPr>
          <w:rFonts w:ascii="Times New Roman" w:hAnsi="Times New Roman" w:cs="Times New Roman"/>
          <w:sz w:val="24"/>
          <w:szCs w:val="24"/>
        </w:rPr>
        <w:t>21,1 %</w:t>
      </w:r>
      <w:r w:rsidR="00D90AF8" w:rsidRPr="00D90AF8">
        <w:rPr>
          <w:rFonts w:ascii="Times New Roman" w:hAnsi="Times New Roman" w:cs="Times New Roman"/>
          <w:sz w:val="24"/>
          <w:szCs w:val="24"/>
        </w:rPr>
        <w:t>), rzeszowskim (</w:t>
      </w:r>
      <w:r w:rsidR="005063A4">
        <w:rPr>
          <w:rFonts w:ascii="Times New Roman" w:hAnsi="Times New Roman" w:cs="Times New Roman"/>
          <w:sz w:val="24"/>
          <w:szCs w:val="24"/>
        </w:rPr>
        <w:t>22,0 %</w:t>
      </w:r>
      <w:r w:rsidR="00D90AF8" w:rsidRPr="00D90AF8">
        <w:rPr>
          <w:rFonts w:ascii="Times New Roman" w:hAnsi="Times New Roman" w:cs="Times New Roman"/>
          <w:sz w:val="24"/>
          <w:szCs w:val="24"/>
        </w:rPr>
        <w:t>), jarosławskim (</w:t>
      </w:r>
      <w:r w:rsidR="005063A4">
        <w:rPr>
          <w:rFonts w:ascii="Times New Roman" w:hAnsi="Times New Roman" w:cs="Times New Roman"/>
          <w:sz w:val="24"/>
          <w:szCs w:val="24"/>
        </w:rPr>
        <w:t>22,5 %</w:t>
      </w:r>
      <w:r w:rsidR="00D90AF8" w:rsidRPr="00D90AF8">
        <w:rPr>
          <w:rFonts w:ascii="Times New Roman" w:hAnsi="Times New Roman" w:cs="Times New Roman"/>
          <w:sz w:val="24"/>
          <w:szCs w:val="24"/>
        </w:rPr>
        <w:t>) czy strzyżowskim (</w:t>
      </w:r>
      <w:r w:rsidR="005063A4">
        <w:rPr>
          <w:rFonts w:ascii="Times New Roman" w:hAnsi="Times New Roman" w:cs="Times New Roman"/>
          <w:sz w:val="24"/>
          <w:szCs w:val="24"/>
        </w:rPr>
        <w:t>22,9 %</w:t>
      </w:r>
      <w:r w:rsidR="00D90AF8" w:rsidRPr="00D90AF8">
        <w:rPr>
          <w:rFonts w:ascii="Times New Roman" w:hAnsi="Times New Roman" w:cs="Times New Roman"/>
          <w:sz w:val="24"/>
          <w:szCs w:val="24"/>
        </w:rPr>
        <w:t>).</w:t>
      </w:r>
    </w:p>
    <w:p w:rsidR="001C41B6" w:rsidRPr="001C41B6" w:rsidRDefault="00D90AF8" w:rsidP="001C41B6">
      <w:pPr>
        <w:pStyle w:val="Bezodstpw"/>
        <w:numPr>
          <w:ilvl w:val="0"/>
          <w:numId w:val="7"/>
        </w:numPr>
        <w:spacing w:line="360" w:lineRule="auto"/>
        <w:jc w:val="both"/>
        <w:rPr>
          <w:rFonts w:ascii="Times New Roman" w:hAnsi="Times New Roman" w:cs="Times New Roman"/>
          <w:sz w:val="24"/>
          <w:szCs w:val="24"/>
        </w:rPr>
      </w:pPr>
      <w:r w:rsidRPr="001C41B6">
        <w:rPr>
          <w:rFonts w:ascii="Times New Roman" w:hAnsi="Times New Roman" w:cs="Times New Roman"/>
          <w:sz w:val="24"/>
          <w:szCs w:val="24"/>
        </w:rPr>
        <w:t>Należy nadmienić</w:t>
      </w:r>
      <w:r w:rsidR="001C41B6" w:rsidRPr="001C41B6">
        <w:rPr>
          <w:rFonts w:ascii="Times New Roman" w:hAnsi="Times New Roman" w:cs="Times New Roman"/>
          <w:sz w:val="24"/>
          <w:szCs w:val="24"/>
        </w:rPr>
        <w:t>,</w:t>
      </w:r>
      <w:r w:rsidRPr="001C41B6">
        <w:rPr>
          <w:rFonts w:ascii="Times New Roman" w:hAnsi="Times New Roman" w:cs="Times New Roman"/>
          <w:sz w:val="24"/>
          <w:szCs w:val="24"/>
        </w:rPr>
        <w:t xml:space="preserve"> że znaczna cześć bezrobotnych </w:t>
      </w:r>
      <w:r w:rsidR="001C41B6" w:rsidRPr="001C41B6">
        <w:rPr>
          <w:rFonts w:ascii="Times New Roman" w:hAnsi="Times New Roman" w:cs="Times New Roman"/>
          <w:sz w:val="24"/>
          <w:szCs w:val="24"/>
        </w:rPr>
        <w:t xml:space="preserve">to osoby w wieku od </w:t>
      </w:r>
      <w:r w:rsidRPr="001C41B6">
        <w:rPr>
          <w:rFonts w:ascii="Times New Roman" w:hAnsi="Times New Roman" w:cs="Times New Roman"/>
          <w:sz w:val="24"/>
          <w:szCs w:val="24"/>
        </w:rPr>
        <w:t>31</w:t>
      </w:r>
      <w:r w:rsidR="005063A4" w:rsidRPr="001C41B6">
        <w:rPr>
          <w:rFonts w:ascii="Times New Roman" w:hAnsi="Times New Roman" w:cs="Times New Roman"/>
          <w:sz w:val="24"/>
          <w:szCs w:val="24"/>
        </w:rPr>
        <w:t xml:space="preserve"> </w:t>
      </w:r>
      <w:r w:rsidR="001C41B6" w:rsidRPr="001C41B6">
        <w:rPr>
          <w:rFonts w:ascii="Times New Roman" w:hAnsi="Times New Roman" w:cs="Times New Roman"/>
          <w:sz w:val="24"/>
          <w:szCs w:val="24"/>
        </w:rPr>
        <w:t>do</w:t>
      </w:r>
      <w:r w:rsidR="005063A4" w:rsidRPr="001C41B6">
        <w:rPr>
          <w:rFonts w:ascii="Times New Roman" w:hAnsi="Times New Roman" w:cs="Times New Roman"/>
          <w:sz w:val="24"/>
          <w:szCs w:val="24"/>
        </w:rPr>
        <w:t xml:space="preserve"> </w:t>
      </w:r>
      <w:r w:rsidRPr="001C41B6">
        <w:rPr>
          <w:rFonts w:ascii="Times New Roman" w:hAnsi="Times New Roman" w:cs="Times New Roman"/>
          <w:sz w:val="24"/>
          <w:szCs w:val="24"/>
        </w:rPr>
        <w:t>50</w:t>
      </w:r>
      <w:r w:rsidR="005063A4" w:rsidRPr="001C41B6">
        <w:rPr>
          <w:rFonts w:ascii="Times New Roman" w:hAnsi="Times New Roman" w:cs="Times New Roman"/>
          <w:sz w:val="24"/>
          <w:szCs w:val="24"/>
        </w:rPr>
        <w:t xml:space="preserve"> lat</w:t>
      </w:r>
      <w:r w:rsidRPr="001C41B6">
        <w:rPr>
          <w:rFonts w:ascii="Times New Roman" w:hAnsi="Times New Roman" w:cs="Times New Roman"/>
          <w:sz w:val="24"/>
          <w:szCs w:val="24"/>
        </w:rPr>
        <w:t xml:space="preserve">, co oznacza </w:t>
      </w:r>
      <w:r w:rsidR="005063A4" w:rsidRPr="001C41B6">
        <w:rPr>
          <w:rFonts w:ascii="Times New Roman" w:hAnsi="Times New Roman" w:cs="Times New Roman"/>
          <w:sz w:val="24"/>
          <w:szCs w:val="24"/>
        </w:rPr>
        <w:t xml:space="preserve">zawartą w tym przedziale najlepszą część </w:t>
      </w:r>
      <w:r w:rsidRPr="001C41B6">
        <w:rPr>
          <w:rFonts w:ascii="Times New Roman" w:hAnsi="Times New Roman" w:cs="Times New Roman"/>
          <w:sz w:val="24"/>
          <w:szCs w:val="24"/>
        </w:rPr>
        <w:t>wiek</w:t>
      </w:r>
      <w:r w:rsidR="005063A4" w:rsidRPr="001C41B6">
        <w:rPr>
          <w:rFonts w:ascii="Times New Roman" w:hAnsi="Times New Roman" w:cs="Times New Roman"/>
          <w:sz w:val="24"/>
          <w:szCs w:val="24"/>
        </w:rPr>
        <w:t>u</w:t>
      </w:r>
      <w:r w:rsidRPr="001C41B6">
        <w:rPr>
          <w:rFonts w:ascii="Times New Roman" w:hAnsi="Times New Roman" w:cs="Times New Roman"/>
          <w:sz w:val="24"/>
          <w:szCs w:val="24"/>
        </w:rPr>
        <w:t xml:space="preserve"> produkcyjn</w:t>
      </w:r>
      <w:r w:rsidR="005063A4" w:rsidRPr="001C41B6">
        <w:rPr>
          <w:rFonts w:ascii="Times New Roman" w:hAnsi="Times New Roman" w:cs="Times New Roman"/>
          <w:sz w:val="24"/>
          <w:szCs w:val="24"/>
        </w:rPr>
        <w:t xml:space="preserve">ego </w:t>
      </w:r>
      <w:r w:rsidRPr="001C41B6">
        <w:rPr>
          <w:rFonts w:ascii="Times New Roman" w:hAnsi="Times New Roman" w:cs="Times New Roman"/>
          <w:sz w:val="24"/>
          <w:szCs w:val="24"/>
        </w:rPr>
        <w:t>i mobiln</w:t>
      </w:r>
      <w:r w:rsidR="005063A4" w:rsidRPr="001C41B6">
        <w:rPr>
          <w:rFonts w:ascii="Times New Roman" w:hAnsi="Times New Roman" w:cs="Times New Roman"/>
          <w:sz w:val="24"/>
          <w:szCs w:val="24"/>
        </w:rPr>
        <w:t>ego (</w:t>
      </w:r>
      <w:r w:rsidR="001C41B6" w:rsidRPr="001C41B6">
        <w:rPr>
          <w:rFonts w:ascii="Times New Roman" w:hAnsi="Times New Roman" w:cs="Times New Roman"/>
          <w:sz w:val="24"/>
          <w:szCs w:val="24"/>
        </w:rPr>
        <w:t xml:space="preserve">18 </w:t>
      </w:r>
      <w:r w:rsidRPr="001C41B6">
        <w:rPr>
          <w:rFonts w:ascii="Times New Roman" w:hAnsi="Times New Roman" w:cs="Times New Roman"/>
          <w:sz w:val="24"/>
          <w:szCs w:val="24"/>
        </w:rPr>
        <w:t>do 44 lat</w:t>
      </w:r>
      <w:r w:rsidR="005063A4" w:rsidRPr="001C41B6">
        <w:rPr>
          <w:rFonts w:ascii="Times New Roman" w:hAnsi="Times New Roman" w:cs="Times New Roman"/>
          <w:sz w:val="24"/>
          <w:szCs w:val="24"/>
        </w:rPr>
        <w:t>)</w:t>
      </w:r>
      <w:r w:rsidRPr="001C41B6">
        <w:rPr>
          <w:rFonts w:ascii="Times New Roman" w:hAnsi="Times New Roman" w:cs="Times New Roman"/>
          <w:sz w:val="24"/>
          <w:szCs w:val="24"/>
        </w:rPr>
        <w:t xml:space="preserve">. Kumulacje 31 </w:t>
      </w:r>
      <w:r w:rsidR="001C41B6" w:rsidRPr="001C41B6">
        <w:rPr>
          <w:rFonts w:ascii="Times New Roman" w:hAnsi="Times New Roman" w:cs="Times New Roman"/>
          <w:sz w:val="24"/>
          <w:szCs w:val="24"/>
        </w:rPr>
        <w:t>–</w:t>
      </w:r>
      <w:r w:rsidRPr="001C41B6">
        <w:rPr>
          <w:rFonts w:ascii="Times New Roman" w:hAnsi="Times New Roman" w:cs="Times New Roman"/>
          <w:sz w:val="24"/>
          <w:szCs w:val="24"/>
        </w:rPr>
        <w:t xml:space="preserve"> 50 </w:t>
      </w:r>
      <w:r w:rsidR="007059C9">
        <w:rPr>
          <w:rFonts w:ascii="Times New Roman" w:hAnsi="Times New Roman" w:cs="Times New Roman"/>
          <w:sz w:val="24"/>
          <w:szCs w:val="24"/>
        </w:rPr>
        <w:t>(</w:t>
      </w:r>
      <w:r w:rsidR="005063A4" w:rsidRPr="001C41B6">
        <w:rPr>
          <w:rFonts w:ascii="Times New Roman" w:hAnsi="Times New Roman" w:cs="Times New Roman"/>
          <w:sz w:val="24"/>
          <w:szCs w:val="24"/>
        </w:rPr>
        <w:t xml:space="preserve">w stosunku do bezrobotnych ogółem </w:t>
      </w:r>
      <w:r w:rsidR="007059C9">
        <w:rPr>
          <w:rFonts w:ascii="Times New Roman" w:hAnsi="Times New Roman" w:cs="Times New Roman"/>
          <w:sz w:val="24"/>
          <w:szCs w:val="24"/>
        </w:rPr>
        <w:t xml:space="preserve">dla danego powiatu) </w:t>
      </w:r>
      <w:r w:rsidRPr="001C41B6">
        <w:rPr>
          <w:rFonts w:ascii="Times New Roman" w:hAnsi="Times New Roman" w:cs="Times New Roman"/>
          <w:sz w:val="24"/>
          <w:szCs w:val="24"/>
        </w:rPr>
        <w:t xml:space="preserve">to </w:t>
      </w:r>
      <w:r w:rsidR="005063A4" w:rsidRPr="001C41B6">
        <w:rPr>
          <w:rFonts w:ascii="Times New Roman" w:hAnsi="Times New Roman" w:cs="Times New Roman"/>
          <w:sz w:val="24"/>
          <w:szCs w:val="24"/>
        </w:rPr>
        <w:t>m. Tarnobrzeg (</w:t>
      </w:r>
      <w:r w:rsidR="001C41B6" w:rsidRPr="001C41B6">
        <w:rPr>
          <w:rFonts w:ascii="Times New Roman" w:hAnsi="Times New Roman" w:cs="Times New Roman"/>
          <w:sz w:val="24"/>
          <w:szCs w:val="24"/>
        </w:rPr>
        <w:t>52,7 %</w:t>
      </w:r>
      <w:r w:rsidR="005063A4" w:rsidRPr="001C41B6">
        <w:rPr>
          <w:rFonts w:ascii="Times New Roman" w:hAnsi="Times New Roman" w:cs="Times New Roman"/>
          <w:sz w:val="24"/>
          <w:szCs w:val="24"/>
        </w:rPr>
        <w:t>), m. Przemyśl (</w:t>
      </w:r>
      <w:r w:rsidR="001C41B6" w:rsidRPr="001C41B6">
        <w:rPr>
          <w:rFonts w:ascii="Times New Roman" w:hAnsi="Times New Roman" w:cs="Times New Roman"/>
          <w:sz w:val="24"/>
          <w:szCs w:val="24"/>
        </w:rPr>
        <w:t>52,5 %</w:t>
      </w:r>
      <w:r w:rsidR="005063A4" w:rsidRPr="001C41B6">
        <w:rPr>
          <w:rFonts w:ascii="Times New Roman" w:hAnsi="Times New Roman" w:cs="Times New Roman"/>
          <w:sz w:val="24"/>
          <w:szCs w:val="24"/>
        </w:rPr>
        <w:t>), m. Krosno (</w:t>
      </w:r>
      <w:r w:rsidR="001C41B6" w:rsidRPr="001C41B6">
        <w:rPr>
          <w:rFonts w:ascii="Times New Roman" w:hAnsi="Times New Roman" w:cs="Times New Roman"/>
          <w:sz w:val="24"/>
          <w:szCs w:val="24"/>
        </w:rPr>
        <w:t>50,8 %</w:t>
      </w:r>
      <w:r w:rsidR="005063A4" w:rsidRPr="001C41B6">
        <w:rPr>
          <w:rFonts w:ascii="Times New Roman" w:hAnsi="Times New Roman" w:cs="Times New Roman"/>
          <w:sz w:val="24"/>
          <w:szCs w:val="24"/>
        </w:rPr>
        <w:t>), powiat jasielski (</w:t>
      </w:r>
      <w:r w:rsidR="001C41B6" w:rsidRPr="001C41B6">
        <w:rPr>
          <w:rFonts w:ascii="Times New Roman" w:hAnsi="Times New Roman" w:cs="Times New Roman"/>
          <w:sz w:val="24"/>
          <w:szCs w:val="24"/>
        </w:rPr>
        <w:t>50,7 %</w:t>
      </w:r>
      <w:r w:rsidR="005063A4" w:rsidRPr="001C41B6">
        <w:rPr>
          <w:rFonts w:ascii="Times New Roman" w:hAnsi="Times New Roman" w:cs="Times New Roman"/>
          <w:sz w:val="24"/>
          <w:szCs w:val="24"/>
        </w:rPr>
        <w:t>) i m. Rzeszów (</w:t>
      </w:r>
      <w:r w:rsidR="001C41B6" w:rsidRPr="001C41B6">
        <w:rPr>
          <w:rFonts w:ascii="Times New Roman" w:hAnsi="Times New Roman" w:cs="Times New Roman"/>
          <w:sz w:val="24"/>
          <w:szCs w:val="24"/>
        </w:rPr>
        <w:t>50,5 %</w:t>
      </w:r>
      <w:r w:rsidR="005063A4" w:rsidRPr="001C41B6">
        <w:rPr>
          <w:rFonts w:ascii="Times New Roman" w:hAnsi="Times New Roman" w:cs="Times New Roman"/>
          <w:sz w:val="24"/>
          <w:szCs w:val="24"/>
        </w:rPr>
        <w:t>).</w:t>
      </w:r>
      <w:r w:rsidR="001C41B6" w:rsidRPr="001C41B6">
        <w:rPr>
          <w:rFonts w:ascii="Times New Roman" w:hAnsi="Times New Roman" w:cs="Times New Roman"/>
          <w:sz w:val="24"/>
          <w:szCs w:val="24"/>
        </w:rPr>
        <w:br w:type="page"/>
      </w:r>
    </w:p>
    <w:p w:rsidR="00EC4005" w:rsidRDefault="00EC4005" w:rsidP="002A267D">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7" w:name="_Toc938728"/>
      <w:r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 xml:space="preserve">Bezrobotni </w:t>
      </w:r>
      <w:r w:rsidR="00CB54A1"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wg </w:t>
      </w:r>
      <w:r w:rsidR="00CB54A1"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Polskiej</w:t>
      </w:r>
      <w:r w:rsidR="00CB54A1"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Klasyfikacji</w:t>
      </w:r>
      <w:r w:rsidR="00CB54A1"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63CE5"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Działalności</w:t>
      </w:r>
      <w:bookmarkEnd w:id="17"/>
    </w:p>
    <w:p w:rsidR="002A267D" w:rsidRDefault="002A267D" w:rsidP="002A267D">
      <w:pPr>
        <w:spacing w:after="0" w:line="240" w:lineRule="auto"/>
        <w:rPr>
          <w:sz w:val="16"/>
          <w:szCs w:val="16"/>
          <w:lang w:val="de-DE" w:eastAsia="pl-PL"/>
        </w:rPr>
      </w:pPr>
    </w:p>
    <w:p w:rsidR="00F953EF" w:rsidRDefault="00F953EF" w:rsidP="002A267D">
      <w:pPr>
        <w:spacing w:after="0" w:line="240" w:lineRule="auto"/>
        <w:rPr>
          <w:sz w:val="16"/>
          <w:szCs w:val="16"/>
          <w:lang w:val="de-DE" w:eastAsia="pl-PL"/>
        </w:rPr>
      </w:pPr>
    </w:p>
    <w:p w:rsidR="00F953EF" w:rsidRPr="002A267D" w:rsidRDefault="00F953EF" w:rsidP="002A267D">
      <w:pPr>
        <w:spacing w:after="0" w:line="240" w:lineRule="auto"/>
        <w:rPr>
          <w:sz w:val="16"/>
          <w:szCs w:val="16"/>
          <w:lang w:val="de-DE" w:eastAsia="pl-PL"/>
        </w:rPr>
      </w:pPr>
    </w:p>
    <w:p w:rsidR="00614E9A" w:rsidRDefault="007059C9" w:rsidP="006A3CE0">
      <w:pPr>
        <w:pStyle w:val="Default"/>
        <w:jc w:val="both"/>
        <w:rPr>
          <w:highlight w:val="yellow"/>
        </w:rPr>
      </w:pPr>
      <w:r w:rsidRPr="007059C9">
        <w:rPr>
          <w:noProof/>
          <w:lang w:eastAsia="pl-PL"/>
        </w:rPr>
        <w:drawing>
          <wp:inline distT="0" distB="0" distL="0" distR="0" wp14:anchorId="71417F3E" wp14:editId="78BB5D77">
            <wp:extent cx="5759308" cy="4209802"/>
            <wp:effectExtent l="0" t="0" r="0" b="635"/>
            <wp:docPr id="729" name="Obraz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59450" cy="4209906"/>
                    </a:xfrm>
                    <a:prstGeom prst="rect">
                      <a:avLst/>
                    </a:prstGeom>
                    <a:noFill/>
                    <a:ln>
                      <a:noFill/>
                    </a:ln>
                  </pic:spPr>
                </pic:pic>
              </a:graphicData>
            </a:graphic>
          </wp:inline>
        </w:drawing>
      </w:r>
    </w:p>
    <w:p w:rsidR="002A267D" w:rsidRPr="00F953EF" w:rsidRDefault="002A267D" w:rsidP="006A3CE0">
      <w:pPr>
        <w:pStyle w:val="Default"/>
        <w:jc w:val="both"/>
        <w:rPr>
          <w:sz w:val="16"/>
          <w:szCs w:val="16"/>
          <w:highlight w:val="yellow"/>
        </w:rPr>
      </w:pPr>
    </w:p>
    <w:p w:rsidR="00D315FE" w:rsidRDefault="00D315FE" w:rsidP="006A3CE0">
      <w:pPr>
        <w:pStyle w:val="Default"/>
        <w:jc w:val="both"/>
        <w:rPr>
          <w:sz w:val="16"/>
          <w:szCs w:val="16"/>
          <w:highlight w:val="yellow"/>
        </w:rPr>
      </w:pPr>
    </w:p>
    <w:p w:rsidR="00CB54A1" w:rsidRPr="00CB54A1" w:rsidRDefault="00CB54A1" w:rsidP="006A3CE0">
      <w:pPr>
        <w:pStyle w:val="Default"/>
        <w:jc w:val="both"/>
        <w:rPr>
          <w:sz w:val="16"/>
          <w:szCs w:val="16"/>
          <w:highlight w:val="yellow"/>
        </w:rPr>
      </w:pPr>
    </w:p>
    <w:p w:rsidR="009A6205" w:rsidRPr="007059C9" w:rsidRDefault="002B6DF5" w:rsidP="00452A1B">
      <w:pPr>
        <w:pStyle w:val="Default"/>
        <w:pBdr>
          <w:bottom w:val="single" w:sz="4" w:space="1" w:color="auto"/>
        </w:pBdr>
        <w:jc w:val="both"/>
      </w:pPr>
      <w:r w:rsidRPr="007059C9">
        <w:t>Wnioski</w:t>
      </w:r>
      <w:r w:rsidR="009A6205" w:rsidRPr="007059C9">
        <w:t>:</w:t>
      </w:r>
    </w:p>
    <w:p w:rsidR="009A6205" w:rsidRPr="007059C9" w:rsidRDefault="009A6205" w:rsidP="009A6205">
      <w:pPr>
        <w:pStyle w:val="Tekstpodstawowywcity"/>
        <w:spacing w:after="0" w:line="360" w:lineRule="auto"/>
        <w:ind w:left="0"/>
        <w:jc w:val="both"/>
        <w:rPr>
          <w:rFonts w:ascii="Times New Roman" w:hAnsi="Times New Roman" w:cs="Times New Roman"/>
          <w:sz w:val="16"/>
          <w:szCs w:val="16"/>
        </w:rPr>
      </w:pPr>
      <w:r w:rsidRPr="007059C9">
        <w:rPr>
          <w:rFonts w:ascii="Times New Roman" w:hAnsi="Times New Roman" w:cs="Times New Roman"/>
          <w:sz w:val="16"/>
          <w:szCs w:val="16"/>
        </w:rPr>
        <w:t>(na podstawie danych</w:t>
      </w:r>
      <w:r w:rsidR="00AE5712" w:rsidRPr="007059C9">
        <w:rPr>
          <w:rFonts w:ascii="Times New Roman" w:hAnsi="Times New Roman" w:cs="Times New Roman"/>
          <w:sz w:val="16"/>
          <w:szCs w:val="16"/>
        </w:rPr>
        <w:t xml:space="preserve"> z </w:t>
      </w:r>
      <w:r w:rsidR="00614E9A" w:rsidRPr="007059C9">
        <w:rPr>
          <w:rFonts w:ascii="Times New Roman" w:hAnsi="Times New Roman" w:cs="Times New Roman"/>
          <w:sz w:val="16"/>
          <w:szCs w:val="16"/>
        </w:rPr>
        <w:t>t</w:t>
      </w:r>
      <w:r w:rsidRPr="007059C9">
        <w:rPr>
          <w:rFonts w:ascii="Times New Roman" w:hAnsi="Times New Roman" w:cs="Times New Roman"/>
          <w:sz w:val="16"/>
          <w:szCs w:val="16"/>
        </w:rPr>
        <w:t xml:space="preserve">abeli </w:t>
      </w:r>
      <w:r w:rsidR="00614E9A" w:rsidRPr="007059C9">
        <w:rPr>
          <w:rFonts w:ascii="Times New Roman" w:hAnsi="Times New Roman" w:cs="Times New Roman"/>
          <w:sz w:val="16"/>
          <w:szCs w:val="16"/>
        </w:rPr>
        <w:t>XXII</w:t>
      </w:r>
      <w:r w:rsidR="002B6DF5" w:rsidRPr="007059C9">
        <w:rPr>
          <w:rFonts w:ascii="Times New Roman" w:hAnsi="Times New Roman" w:cs="Times New Roman"/>
          <w:sz w:val="16"/>
          <w:szCs w:val="16"/>
        </w:rPr>
        <w:t>)</w:t>
      </w:r>
    </w:p>
    <w:p w:rsidR="00C10230" w:rsidRDefault="00C10230" w:rsidP="00CB54A1">
      <w:pPr>
        <w:pStyle w:val="Tekstpodstawowywcity"/>
        <w:spacing w:after="0" w:line="240" w:lineRule="auto"/>
        <w:ind w:left="0"/>
        <w:jc w:val="both"/>
        <w:rPr>
          <w:rFonts w:ascii="Times New Roman" w:hAnsi="Times New Roman" w:cs="Times New Roman"/>
          <w:sz w:val="16"/>
          <w:szCs w:val="16"/>
          <w:highlight w:val="yellow"/>
        </w:rPr>
      </w:pPr>
    </w:p>
    <w:p w:rsidR="00CB54A1" w:rsidRPr="00C75C71" w:rsidRDefault="00CB54A1" w:rsidP="00CB54A1">
      <w:pPr>
        <w:pStyle w:val="Tekstpodstawowywcity"/>
        <w:spacing w:after="0" w:line="240" w:lineRule="auto"/>
        <w:ind w:left="0"/>
        <w:jc w:val="both"/>
        <w:rPr>
          <w:rFonts w:ascii="Times New Roman" w:hAnsi="Times New Roman" w:cs="Times New Roman"/>
          <w:sz w:val="16"/>
          <w:szCs w:val="16"/>
          <w:highlight w:val="yellow"/>
        </w:rPr>
      </w:pPr>
    </w:p>
    <w:p w:rsidR="00C10230" w:rsidRPr="00DF03A0" w:rsidRDefault="00230EA3" w:rsidP="00C10230">
      <w:pPr>
        <w:pStyle w:val="Default"/>
        <w:numPr>
          <w:ilvl w:val="0"/>
          <w:numId w:val="7"/>
        </w:numPr>
        <w:spacing w:line="360" w:lineRule="auto"/>
        <w:jc w:val="both"/>
      </w:pPr>
      <w:r w:rsidRPr="00DF03A0">
        <w:rPr>
          <w:color w:val="000000" w:themeColor="text1"/>
        </w:rPr>
        <w:t>N</w:t>
      </w:r>
      <w:r w:rsidR="00EC4005" w:rsidRPr="00DF03A0">
        <w:rPr>
          <w:color w:val="000000" w:themeColor="text1"/>
        </w:rPr>
        <w:t xml:space="preserve">ajwięcej </w:t>
      </w:r>
      <w:r w:rsidRPr="00DF03A0">
        <w:rPr>
          <w:color w:val="000000" w:themeColor="text1"/>
        </w:rPr>
        <w:t xml:space="preserve">osób </w:t>
      </w:r>
      <w:r w:rsidR="00EC4005" w:rsidRPr="00DF03A0">
        <w:rPr>
          <w:color w:val="000000" w:themeColor="text1"/>
        </w:rPr>
        <w:t>bezrobotnych pracowało poprzednio</w:t>
      </w:r>
      <w:r w:rsidR="00AE5712" w:rsidRPr="00DF03A0">
        <w:rPr>
          <w:color w:val="000000" w:themeColor="text1"/>
        </w:rPr>
        <w:t xml:space="preserve"> w </w:t>
      </w:r>
      <w:r w:rsidR="00EC4005" w:rsidRPr="00DF03A0">
        <w:rPr>
          <w:color w:val="000000" w:themeColor="text1"/>
        </w:rPr>
        <w:t xml:space="preserve">zakładach pracy należących do następujących sekcji PKD </w:t>
      </w:r>
      <w:r w:rsidR="00C10230" w:rsidRPr="00DF03A0">
        <w:t>handel hurtowy i detaliczny (w tym naprawa pojazdów samochodowych  i  motocykli) – 1</w:t>
      </w:r>
      <w:r w:rsidR="00DF03A0" w:rsidRPr="00DF03A0">
        <w:t>6</w:t>
      </w:r>
      <w:r w:rsidR="00C10230" w:rsidRPr="00DF03A0">
        <w:t>,</w:t>
      </w:r>
      <w:r w:rsidR="00DF03A0" w:rsidRPr="00DF03A0">
        <w:t xml:space="preserve">5 </w:t>
      </w:r>
      <w:r w:rsidR="00C10230" w:rsidRPr="00DF03A0">
        <w:t>%, przetwórstwo przemysłowe – 1</w:t>
      </w:r>
      <w:r w:rsidR="00DF03A0" w:rsidRPr="00DF03A0">
        <w:t>6</w:t>
      </w:r>
      <w:r w:rsidR="00C10230" w:rsidRPr="00DF03A0">
        <w:t>,1</w:t>
      </w:r>
      <w:r w:rsidR="00DF03A0" w:rsidRPr="00DF03A0">
        <w:t xml:space="preserve"> </w:t>
      </w:r>
      <w:r w:rsidR="00C10230" w:rsidRPr="00DF03A0">
        <w:t>%, budownictwo – (</w:t>
      </w:r>
      <w:r w:rsidR="00DF03A0" w:rsidRPr="00DF03A0">
        <w:t>9</w:t>
      </w:r>
      <w:r w:rsidR="00C10230" w:rsidRPr="00DF03A0">
        <w:t>,</w:t>
      </w:r>
      <w:r w:rsidR="00DF03A0" w:rsidRPr="00DF03A0">
        <w:t xml:space="preserve">4 </w:t>
      </w:r>
      <w:r w:rsidR="00C10230" w:rsidRPr="00DF03A0">
        <w:t>%) oraz w sekcji pozostała działalność usługowa (</w:t>
      </w:r>
      <w:r w:rsidR="00DF03A0" w:rsidRPr="00DF03A0">
        <w:t>4</w:t>
      </w:r>
      <w:r w:rsidR="00C10230" w:rsidRPr="00DF03A0">
        <w:t>,9</w:t>
      </w:r>
      <w:r w:rsidR="00DF03A0" w:rsidRPr="00DF03A0">
        <w:t xml:space="preserve"> </w:t>
      </w:r>
      <w:r w:rsidR="00C10230" w:rsidRPr="00DF03A0">
        <w:t>%).</w:t>
      </w:r>
    </w:p>
    <w:p w:rsidR="00D62E27" w:rsidRPr="00CB54A1" w:rsidRDefault="00D62E27" w:rsidP="00CB54A1">
      <w:pPr>
        <w:pStyle w:val="Default"/>
        <w:jc w:val="both"/>
        <w:rPr>
          <w:sz w:val="16"/>
          <w:szCs w:val="16"/>
          <w:highlight w:val="yellow"/>
        </w:rPr>
      </w:pPr>
    </w:p>
    <w:p w:rsidR="009E1353" w:rsidRPr="00DF03A0" w:rsidRDefault="00230EA3" w:rsidP="00C10230">
      <w:pPr>
        <w:pStyle w:val="Default"/>
        <w:numPr>
          <w:ilvl w:val="0"/>
          <w:numId w:val="7"/>
        </w:numPr>
        <w:spacing w:line="360" w:lineRule="auto"/>
        <w:jc w:val="both"/>
      </w:pPr>
      <w:r w:rsidRPr="00DF03A0">
        <w:t>N</w:t>
      </w:r>
      <w:r w:rsidR="00EC4005" w:rsidRPr="00DF03A0">
        <w:t xml:space="preserve">ajmniej </w:t>
      </w:r>
      <w:r w:rsidRPr="00DF03A0">
        <w:t xml:space="preserve">osób </w:t>
      </w:r>
      <w:r w:rsidR="009A6205" w:rsidRPr="00DF03A0">
        <w:t>bezrobotnych pracowało poprzednio</w:t>
      </w:r>
      <w:r w:rsidR="00AE5712" w:rsidRPr="00DF03A0">
        <w:t xml:space="preserve"> w </w:t>
      </w:r>
      <w:r w:rsidR="009A6205" w:rsidRPr="00DF03A0">
        <w:t>zakładach pracy należących do następujących sekcji PKD</w:t>
      </w:r>
      <w:r w:rsidR="00C10230" w:rsidRPr="00DF03A0">
        <w:t xml:space="preserve"> </w:t>
      </w:r>
      <w:r w:rsidR="001D7069" w:rsidRPr="00DF03A0">
        <w:t>działalność związana z kulturą rozrywką i rekreacją (</w:t>
      </w:r>
      <w:r w:rsidR="00DF03A0" w:rsidRPr="00DF03A0">
        <w:t>0</w:t>
      </w:r>
      <w:r w:rsidR="001D7069" w:rsidRPr="00DF03A0">
        <w:t>,</w:t>
      </w:r>
      <w:r w:rsidR="00DF03A0" w:rsidRPr="00DF03A0">
        <w:t xml:space="preserve">8 </w:t>
      </w:r>
      <w:r w:rsidR="001D7069" w:rsidRPr="00DF03A0">
        <w:t>%), działalność finansowa i ubezpieczeniowa (1,</w:t>
      </w:r>
      <w:r w:rsidR="00DF03A0" w:rsidRPr="00DF03A0">
        <w:t xml:space="preserve">0 </w:t>
      </w:r>
      <w:r w:rsidR="001D7069" w:rsidRPr="00DF03A0">
        <w:t>%),</w:t>
      </w:r>
      <w:r w:rsidR="00C10230" w:rsidRPr="00DF03A0">
        <w:t xml:space="preserve"> gospodarstwa domowe zatrudniające pracowników; produkujące wyroby i świadczące usługi na własne potrzeby (1,</w:t>
      </w:r>
      <w:r w:rsidR="00DF03A0" w:rsidRPr="00DF03A0">
        <w:t xml:space="preserve">1 </w:t>
      </w:r>
      <w:r w:rsidR="00C10230" w:rsidRPr="00DF03A0">
        <w:t xml:space="preserve">%), </w:t>
      </w:r>
      <w:r w:rsidR="001D7069" w:rsidRPr="00DF03A0">
        <w:t>opieka zdrowotna i pomoc społeczna (2,</w:t>
      </w:r>
      <w:r w:rsidR="00DF03A0" w:rsidRPr="00DF03A0">
        <w:t xml:space="preserve">2 </w:t>
      </w:r>
      <w:r w:rsidR="001D7069" w:rsidRPr="00DF03A0">
        <w:t>%)</w:t>
      </w:r>
      <w:r w:rsidR="00D62E27" w:rsidRPr="00DF03A0">
        <w:t>.</w:t>
      </w:r>
    </w:p>
    <w:p w:rsidR="007632F1" w:rsidRPr="00C75C71" w:rsidRDefault="007632F1">
      <w:pPr>
        <w:rPr>
          <w:rFonts w:ascii="Times New Roman" w:hAnsi="Times New Roman" w:cs="Times New Roman"/>
          <w:bCs/>
          <w:color w:val="000000"/>
          <w:sz w:val="24"/>
          <w:szCs w:val="24"/>
          <w:highlight w:val="yellow"/>
        </w:rPr>
      </w:pPr>
      <w:r w:rsidRPr="00C75C71">
        <w:rPr>
          <w:bCs/>
          <w:highlight w:val="yellow"/>
        </w:rPr>
        <w:br w:type="page"/>
      </w:r>
    </w:p>
    <w:p w:rsidR="00EC4005" w:rsidRPr="002A267D" w:rsidRDefault="00EC4005" w:rsidP="002A267D">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8" w:name="_Toc938729"/>
      <w:r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 xml:space="preserve">Bezrobotni </w:t>
      </w:r>
      <w:r w:rsidR="007059C9"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wg </w:t>
      </w:r>
      <w:r w:rsidR="007059C9"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zawodów</w:t>
      </w:r>
      <w:bookmarkEnd w:id="18"/>
    </w:p>
    <w:p w:rsidR="00EC4005" w:rsidRPr="00C75C71" w:rsidRDefault="00EC4005" w:rsidP="00EC4005">
      <w:pPr>
        <w:pStyle w:val="Default"/>
        <w:jc w:val="both"/>
        <w:rPr>
          <w:b/>
          <w:bCs/>
          <w:highlight w:val="yellow"/>
        </w:rPr>
      </w:pPr>
    </w:p>
    <w:p w:rsidR="0021024C" w:rsidRPr="00C75C71" w:rsidRDefault="00593121" w:rsidP="00AE2F19">
      <w:pPr>
        <w:pStyle w:val="Bezodstpw"/>
        <w:jc w:val="both"/>
        <w:rPr>
          <w:rFonts w:ascii="Times New Roman" w:hAnsi="Times New Roman" w:cs="Times New Roman"/>
          <w:highlight w:val="yellow"/>
        </w:rPr>
      </w:pPr>
      <w:r w:rsidRPr="00593121">
        <w:rPr>
          <w:noProof/>
          <w:lang w:eastAsia="pl-PL"/>
        </w:rPr>
        <w:drawing>
          <wp:inline distT="0" distB="0" distL="0" distR="0" wp14:anchorId="4284BAD0" wp14:editId="78FFA389">
            <wp:extent cx="5759450" cy="8291880"/>
            <wp:effectExtent l="0" t="0" r="0" b="0"/>
            <wp:docPr id="732" name="Obraz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59450" cy="8291880"/>
                    </a:xfrm>
                    <a:prstGeom prst="rect">
                      <a:avLst/>
                    </a:prstGeom>
                    <a:noFill/>
                    <a:ln>
                      <a:noFill/>
                    </a:ln>
                  </pic:spPr>
                </pic:pic>
              </a:graphicData>
            </a:graphic>
          </wp:inline>
        </w:drawing>
      </w:r>
    </w:p>
    <w:p w:rsidR="00593121" w:rsidRDefault="00DF03A0" w:rsidP="00614E9A">
      <w:pPr>
        <w:pStyle w:val="Default"/>
        <w:pBdr>
          <w:bottom w:val="single" w:sz="4" w:space="1" w:color="auto"/>
        </w:pBdr>
        <w:jc w:val="both"/>
        <w:rPr>
          <w:highlight w:val="yellow"/>
        </w:rPr>
      </w:pPr>
      <w:r w:rsidRPr="00DF03A0">
        <w:rPr>
          <w:noProof/>
          <w:lang w:eastAsia="pl-PL"/>
        </w:rPr>
        <w:lastRenderedPageBreak/>
        <w:drawing>
          <wp:inline distT="0" distB="0" distL="0" distR="0" wp14:anchorId="3A18A79D" wp14:editId="5EE30342">
            <wp:extent cx="5735781" cy="540327"/>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44167" cy="541117"/>
                    </a:xfrm>
                    <a:prstGeom prst="rect">
                      <a:avLst/>
                    </a:prstGeom>
                    <a:noFill/>
                    <a:ln>
                      <a:noFill/>
                    </a:ln>
                  </pic:spPr>
                </pic:pic>
              </a:graphicData>
            </a:graphic>
          </wp:inline>
        </w:drawing>
      </w:r>
    </w:p>
    <w:p w:rsidR="00593121" w:rsidRDefault="00593121" w:rsidP="00614E9A">
      <w:pPr>
        <w:pStyle w:val="Default"/>
        <w:pBdr>
          <w:bottom w:val="single" w:sz="4" w:space="1" w:color="auto"/>
        </w:pBdr>
        <w:jc w:val="both"/>
        <w:rPr>
          <w:highlight w:val="yellow"/>
        </w:rPr>
      </w:pPr>
      <w:r w:rsidRPr="00593121">
        <w:rPr>
          <w:noProof/>
          <w:lang w:eastAsia="pl-PL"/>
        </w:rPr>
        <w:drawing>
          <wp:inline distT="0" distB="0" distL="0" distR="0" wp14:anchorId="637482FE" wp14:editId="07D241B6">
            <wp:extent cx="5735781" cy="3758541"/>
            <wp:effectExtent l="0" t="0" r="0" b="0"/>
            <wp:docPr id="734" name="Obraz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36765" cy="3759186"/>
                    </a:xfrm>
                    <a:prstGeom prst="rect">
                      <a:avLst/>
                    </a:prstGeom>
                    <a:noFill/>
                    <a:ln>
                      <a:noFill/>
                    </a:ln>
                  </pic:spPr>
                </pic:pic>
              </a:graphicData>
            </a:graphic>
          </wp:inline>
        </w:drawing>
      </w:r>
    </w:p>
    <w:p w:rsidR="00593121" w:rsidRDefault="00593121" w:rsidP="00614E9A">
      <w:pPr>
        <w:pStyle w:val="Default"/>
        <w:pBdr>
          <w:bottom w:val="single" w:sz="4" w:space="1" w:color="auto"/>
        </w:pBdr>
        <w:jc w:val="both"/>
        <w:rPr>
          <w:highlight w:val="yellow"/>
        </w:rPr>
      </w:pPr>
      <w:r w:rsidRPr="00593121">
        <w:rPr>
          <w:noProof/>
          <w:lang w:eastAsia="pl-PL"/>
        </w:rPr>
        <w:drawing>
          <wp:inline distT="0" distB="0" distL="0" distR="0" wp14:anchorId="20D4610D" wp14:editId="0E9BEB12">
            <wp:extent cx="5759450" cy="481893"/>
            <wp:effectExtent l="0" t="0" r="0" b="0"/>
            <wp:docPr id="735" name="Obraz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59450" cy="481893"/>
                    </a:xfrm>
                    <a:prstGeom prst="rect">
                      <a:avLst/>
                    </a:prstGeom>
                    <a:noFill/>
                    <a:ln>
                      <a:noFill/>
                    </a:ln>
                  </pic:spPr>
                </pic:pic>
              </a:graphicData>
            </a:graphic>
          </wp:inline>
        </w:drawing>
      </w:r>
    </w:p>
    <w:p w:rsidR="00593121" w:rsidRDefault="00593121" w:rsidP="00614E9A">
      <w:pPr>
        <w:pStyle w:val="Default"/>
        <w:pBdr>
          <w:bottom w:val="single" w:sz="4" w:space="1" w:color="auto"/>
        </w:pBdr>
        <w:jc w:val="both"/>
        <w:rPr>
          <w:sz w:val="16"/>
          <w:szCs w:val="16"/>
          <w:highlight w:val="yellow"/>
        </w:rPr>
      </w:pPr>
    </w:p>
    <w:p w:rsidR="00F953EF" w:rsidRDefault="00F953EF" w:rsidP="00614E9A">
      <w:pPr>
        <w:pStyle w:val="Default"/>
        <w:pBdr>
          <w:bottom w:val="single" w:sz="4" w:space="1" w:color="auto"/>
        </w:pBdr>
        <w:jc w:val="both"/>
        <w:rPr>
          <w:sz w:val="16"/>
          <w:szCs w:val="16"/>
          <w:highlight w:val="yellow"/>
        </w:rPr>
      </w:pPr>
    </w:p>
    <w:p w:rsidR="00F953EF" w:rsidRPr="00593121" w:rsidRDefault="00F953EF" w:rsidP="00614E9A">
      <w:pPr>
        <w:pStyle w:val="Default"/>
        <w:pBdr>
          <w:bottom w:val="single" w:sz="4" w:space="1" w:color="auto"/>
        </w:pBdr>
        <w:jc w:val="both"/>
        <w:rPr>
          <w:sz w:val="16"/>
          <w:szCs w:val="16"/>
          <w:highlight w:val="yellow"/>
        </w:rPr>
      </w:pPr>
    </w:p>
    <w:p w:rsidR="00A44C67" w:rsidRPr="00593121" w:rsidRDefault="00230EA3" w:rsidP="00614E9A">
      <w:pPr>
        <w:pStyle w:val="Default"/>
        <w:pBdr>
          <w:bottom w:val="single" w:sz="4" w:space="1" w:color="auto"/>
        </w:pBdr>
        <w:jc w:val="both"/>
      </w:pPr>
      <w:r w:rsidRPr="00593121">
        <w:t>Wnioski:</w:t>
      </w:r>
    </w:p>
    <w:p w:rsidR="00A44C67" w:rsidRDefault="00A44C67" w:rsidP="00A44C67">
      <w:pPr>
        <w:pStyle w:val="Tekstpodstawowywcity"/>
        <w:spacing w:after="0" w:line="360" w:lineRule="auto"/>
        <w:ind w:left="0"/>
        <w:jc w:val="both"/>
        <w:rPr>
          <w:rFonts w:ascii="Times New Roman" w:hAnsi="Times New Roman" w:cs="Times New Roman"/>
          <w:sz w:val="16"/>
          <w:szCs w:val="16"/>
        </w:rPr>
      </w:pPr>
      <w:r w:rsidRPr="00593121">
        <w:rPr>
          <w:rFonts w:ascii="Times New Roman" w:hAnsi="Times New Roman" w:cs="Times New Roman"/>
          <w:sz w:val="16"/>
          <w:szCs w:val="16"/>
        </w:rPr>
        <w:t>(na podstawie danych</w:t>
      </w:r>
      <w:r w:rsidR="00AE5712" w:rsidRPr="00593121">
        <w:rPr>
          <w:rFonts w:ascii="Times New Roman" w:hAnsi="Times New Roman" w:cs="Times New Roman"/>
          <w:sz w:val="16"/>
          <w:szCs w:val="16"/>
        </w:rPr>
        <w:t xml:space="preserve"> z </w:t>
      </w:r>
      <w:r w:rsidR="0021024C" w:rsidRPr="00593121">
        <w:rPr>
          <w:rFonts w:ascii="Times New Roman" w:hAnsi="Times New Roman" w:cs="Times New Roman"/>
          <w:sz w:val="16"/>
          <w:szCs w:val="16"/>
        </w:rPr>
        <w:t>t</w:t>
      </w:r>
      <w:r w:rsidRPr="00593121">
        <w:rPr>
          <w:rFonts w:ascii="Times New Roman" w:hAnsi="Times New Roman" w:cs="Times New Roman"/>
          <w:sz w:val="16"/>
          <w:szCs w:val="16"/>
        </w:rPr>
        <w:t xml:space="preserve">abeli </w:t>
      </w:r>
      <w:r w:rsidR="0021024C" w:rsidRPr="00593121">
        <w:rPr>
          <w:rFonts w:ascii="Times New Roman" w:hAnsi="Times New Roman" w:cs="Times New Roman"/>
          <w:sz w:val="16"/>
          <w:szCs w:val="16"/>
        </w:rPr>
        <w:t>XXIV</w:t>
      </w:r>
      <w:r w:rsidRPr="00593121">
        <w:rPr>
          <w:rFonts w:ascii="Times New Roman" w:hAnsi="Times New Roman" w:cs="Times New Roman"/>
          <w:sz w:val="16"/>
          <w:szCs w:val="16"/>
        </w:rPr>
        <w:t>)</w:t>
      </w:r>
    </w:p>
    <w:p w:rsidR="00593121" w:rsidRDefault="00593121" w:rsidP="00F953EF">
      <w:pPr>
        <w:pStyle w:val="Tekstpodstawowywcity"/>
        <w:spacing w:after="0" w:line="240" w:lineRule="auto"/>
        <w:ind w:left="0"/>
        <w:jc w:val="both"/>
        <w:rPr>
          <w:rFonts w:ascii="Times New Roman" w:hAnsi="Times New Roman" w:cs="Times New Roman"/>
          <w:sz w:val="16"/>
          <w:szCs w:val="16"/>
        </w:rPr>
      </w:pPr>
    </w:p>
    <w:p w:rsidR="00F953EF" w:rsidRPr="00593121" w:rsidRDefault="00F953EF" w:rsidP="00F953EF">
      <w:pPr>
        <w:pStyle w:val="Tekstpodstawowywcity"/>
        <w:spacing w:after="0" w:line="240" w:lineRule="auto"/>
        <w:ind w:left="0"/>
        <w:jc w:val="both"/>
        <w:rPr>
          <w:rFonts w:ascii="Times New Roman" w:hAnsi="Times New Roman" w:cs="Times New Roman"/>
          <w:sz w:val="16"/>
          <w:szCs w:val="16"/>
        </w:rPr>
      </w:pPr>
    </w:p>
    <w:p w:rsidR="00A44C67" w:rsidRPr="00B24B2F" w:rsidRDefault="00EC6281" w:rsidP="00160DBC">
      <w:pPr>
        <w:pStyle w:val="Bezodstpw"/>
        <w:numPr>
          <w:ilvl w:val="0"/>
          <w:numId w:val="8"/>
        </w:numPr>
        <w:spacing w:line="360" w:lineRule="auto"/>
        <w:jc w:val="both"/>
        <w:rPr>
          <w:rFonts w:ascii="Times New Roman" w:hAnsi="Times New Roman" w:cs="Times New Roman"/>
          <w:sz w:val="24"/>
          <w:szCs w:val="24"/>
        </w:rPr>
      </w:pPr>
      <w:r w:rsidRPr="00B24B2F">
        <w:rPr>
          <w:rFonts w:ascii="Times New Roman" w:hAnsi="Times New Roman" w:cs="Times New Roman"/>
          <w:sz w:val="24"/>
          <w:szCs w:val="24"/>
        </w:rPr>
        <w:t>N</w:t>
      </w:r>
      <w:r w:rsidR="00A44C67" w:rsidRPr="00B24B2F">
        <w:rPr>
          <w:rFonts w:ascii="Times New Roman" w:hAnsi="Times New Roman" w:cs="Times New Roman"/>
          <w:sz w:val="24"/>
          <w:szCs w:val="24"/>
        </w:rPr>
        <w:t>a dzień 31</w:t>
      </w:r>
      <w:r w:rsidR="0021024C" w:rsidRPr="00B24B2F">
        <w:rPr>
          <w:rFonts w:ascii="Times New Roman" w:hAnsi="Times New Roman" w:cs="Times New Roman"/>
          <w:sz w:val="24"/>
          <w:szCs w:val="24"/>
        </w:rPr>
        <w:t xml:space="preserve"> XII ‘</w:t>
      </w:r>
      <w:r w:rsidR="00A44C67" w:rsidRPr="00B24B2F">
        <w:rPr>
          <w:rFonts w:ascii="Times New Roman" w:hAnsi="Times New Roman" w:cs="Times New Roman"/>
          <w:sz w:val="24"/>
          <w:szCs w:val="24"/>
        </w:rPr>
        <w:t>1</w:t>
      </w:r>
      <w:r w:rsidR="00DF03A0" w:rsidRPr="00B24B2F">
        <w:rPr>
          <w:rFonts w:ascii="Times New Roman" w:hAnsi="Times New Roman" w:cs="Times New Roman"/>
          <w:sz w:val="24"/>
          <w:szCs w:val="24"/>
        </w:rPr>
        <w:t>8</w:t>
      </w:r>
      <w:r w:rsidR="00AE5712" w:rsidRPr="00B24B2F">
        <w:rPr>
          <w:rFonts w:ascii="Times New Roman" w:hAnsi="Times New Roman" w:cs="Times New Roman"/>
          <w:sz w:val="24"/>
          <w:szCs w:val="24"/>
        </w:rPr>
        <w:t> r.</w:t>
      </w:r>
      <w:r w:rsidR="00A44C67" w:rsidRPr="00B24B2F">
        <w:rPr>
          <w:rFonts w:ascii="Times New Roman" w:hAnsi="Times New Roman" w:cs="Times New Roman"/>
          <w:sz w:val="24"/>
          <w:szCs w:val="24"/>
        </w:rPr>
        <w:t xml:space="preserve"> odnotowano największą liczbę bezrobotnych</w:t>
      </w:r>
      <w:r w:rsidR="00AE5712" w:rsidRPr="00B24B2F">
        <w:rPr>
          <w:rFonts w:ascii="Times New Roman" w:hAnsi="Times New Roman" w:cs="Times New Roman"/>
          <w:sz w:val="24"/>
          <w:szCs w:val="24"/>
        </w:rPr>
        <w:t xml:space="preserve"> w </w:t>
      </w:r>
      <w:r w:rsidR="00A44C67" w:rsidRPr="00B24B2F">
        <w:rPr>
          <w:rFonts w:ascii="Times New Roman" w:hAnsi="Times New Roman" w:cs="Times New Roman"/>
          <w:sz w:val="24"/>
          <w:szCs w:val="24"/>
        </w:rPr>
        <w:t>następujących grupach zawodów robotnicy przemysłowi</w:t>
      </w:r>
      <w:r w:rsidR="00AE5712" w:rsidRPr="00B24B2F">
        <w:rPr>
          <w:rFonts w:ascii="Times New Roman" w:hAnsi="Times New Roman" w:cs="Times New Roman"/>
          <w:sz w:val="24"/>
          <w:szCs w:val="24"/>
        </w:rPr>
        <w:t xml:space="preserve"> i </w:t>
      </w:r>
      <w:r w:rsidR="00A44C67" w:rsidRPr="00B24B2F">
        <w:rPr>
          <w:rFonts w:ascii="Times New Roman" w:hAnsi="Times New Roman" w:cs="Times New Roman"/>
          <w:sz w:val="24"/>
          <w:szCs w:val="24"/>
        </w:rPr>
        <w:t>rzemieślnicy – 2</w:t>
      </w:r>
      <w:r w:rsidR="000765F3" w:rsidRPr="00B24B2F">
        <w:rPr>
          <w:rFonts w:ascii="Times New Roman" w:hAnsi="Times New Roman" w:cs="Times New Roman"/>
          <w:sz w:val="24"/>
          <w:szCs w:val="24"/>
        </w:rPr>
        <w:t>6</w:t>
      </w:r>
      <w:r w:rsidR="00A44C67" w:rsidRPr="00B24B2F">
        <w:rPr>
          <w:rFonts w:ascii="Times New Roman" w:hAnsi="Times New Roman" w:cs="Times New Roman"/>
          <w:sz w:val="24"/>
          <w:szCs w:val="24"/>
        </w:rPr>
        <w:t>,</w:t>
      </w:r>
      <w:r w:rsidR="00B24B2F" w:rsidRPr="00B24B2F">
        <w:rPr>
          <w:rFonts w:ascii="Times New Roman" w:hAnsi="Times New Roman" w:cs="Times New Roman"/>
          <w:sz w:val="24"/>
          <w:szCs w:val="24"/>
        </w:rPr>
        <w:t xml:space="preserve">2 </w:t>
      </w:r>
      <w:r w:rsidR="00A44C67" w:rsidRPr="00B24B2F">
        <w:rPr>
          <w:rFonts w:ascii="Times New Roman" w:hAnsi="Times New Roman" w:cs="Times New Roman"/>
          <w:sz w:val="24"/>
          <w:szCs w:val="24"/>
        </w:rPr>
        <w:t xml:space="preserve">%, pracownicy usług </w:t>
      </w:r>
      <w:r w:rsidR="00AE5712" w:rsidRPr="00B24B2F">
        <w:rPr>
          <w:rFonts w:ascii="Times New Roman" w:hAnsi="Times New Roman" w:cs="Times New Roman"/>
          <w:sz w:val="24"/>
          <w:szCs w:val="24"/>
        </w:rPr>
        <w:t>i </w:t>
      </w:r>
      <w:r w:rsidR="00A44C67" w:rsidRPr="00B24B2F">
        <w:rPr>
          <w:rFonts w:ascii="Times New Roman" w:hAnsi="Times New Roman" w:cs="Times New Roman"/>
          <w:sz w:val="24"/>
          <w:szCs w:val="24"/>
        </w:rPr>
        <w:t xml:space="preserve">sprzedawcy – </w:t>
      </w:r>
      <w:r w:rsidR="000765F3" w:rsidRPr="00B24B2F">
        <w:rPr>
          <w:rFonts w:ascii="Times New Roman" w:hAnsi="Times New Roman" w:cs="Times New Roman"/>
          <w:sz w:val="24"/>
          <w:szCs w:val="24"/>
        </w:rPr>
        <w:t>2</w:t>
      </w:r>
      <w:r w:rsidR="00B24B2F" w:rsidRPr="00B24B2F">
        <w:rPr>
          <w:rFonts w:ascii="Times New Roman" w:hAnsi="Times New Roman" w:cs="Times New Roman"/>
          <w:sz w:val="24"/>
          <w:szCs w:val="24"/>
        </w:rPr>
        <w:t>1</w:t>
      </w:r>
      <w:r w:rsidR="00A44C67" w:rsidRPr="00B24B2F">
        <w:rPr>
          <w:rFonts w:ascii="Times New Roman" w:hAnsi="Times New Roman" w:cs="Times New Roman"/>
          <w:sz w:val="24"/>
          <w:szCs w:val="24"/>
        </w:rPr>
        <w:t>,</w:t>
      </w:r>
      <w:r w:rsidR="00B24B2F" w:rsidRPr="00B24B2F">
        <w:rPr>
          <w:rFonts w:ascii="Times New Roman" w:hAnsi="Times New Roman" w:cs="Times New Roman"/>
          <w:sz w:val="24"/>
          <w:szCs w:val="24"/>
        </w:rPr>
        <w:t xml:space="preserve">1 </w:t>
      </w:r>
      <w:r w:rsidR="00A44C67" w:rsidRPr="00B24B2F">
        <w:rPr>
          <w:rFonts w:ascii="Times New Roman" w:hAnsi="Times New Roman" w:cs="Times New Roman"/>
          <w:sz w:val="24"/>
          <w:szCs w:val="24"/>
        </w:rPr>
        <w:t>%, technicy</w:t>
      </w:r>
      <w:r w:rsidR="00AE5712" w:rsidRPr="00B24B2F">
        <w:rPr>
          <w:rFonts w:ascii="Times New Roman" w:hAnsi="Times New Roman" w:cs="Times New Roman"/>
          <w:sz w:val="24"/>
          <w:szCs w:val="24"/>
        </w:rPr>
        <w:t xml:space="preserve"> i </w:t>
      </w:r>
      <w:r w:rsidR="00A44C67" w:rsidRPr="00B24B2F">
        <w:rPr>
          <w:rFonts w:ascii="Times New Roman" w:hAnsi="Times New Roman" w:cs="Times New Roman"/>
          <w:sz w:val="24"/>
          <w:szCs w:val="24"/>
        </w:rPr>
        <w:t>inny średni personel – 16,</w:t>
      </w:r>
      <w:r w:rsidR="00B24B2F" w:rsidRPr="00B24B2F">
        <w:rPr>
          <w:rFonts w:ascii="Times New Roman" w:hAnsi="Times New Roman" w:cs="Times New Roman"/>
          <w:sz w:val="24"/>
          <w:szCs w:val="24"/>
        </w:rPr>
        <w:t xml:space="preserve">5 </w:t>
      </w:r>
      <w:r w:rsidR="00A44C67" w:rsidRPr="00B24B2F">
        <w:rPr>
          <w:rFonts w:ascii="Times New Roman" w:hAnsi="Times New Roman" w:cs="Times New Roman"/>
          <w:sz w:val="24"/>
          <w:szCs w:val="24"/>
        </w:rPr>
        <w:t>%, specjaliści – 13,</w:t>
      </w:r>
      <w:r w:rsidR="00F17C27" w:rsidRPr="00B24B2F">
        <w:rPr>
          <w:rFonts w:ascii="Times New Roman" w:hAnsi="Times New Roman" w:cs="Times New Roman"/>
          <w:sz w:val="24"/>
          <w:szCs w:val="24"/>
        </w:rPr>
        <w:t>9</w:t>
      </w:r>
      <w:r w:rsidR="00B24B2F" w:rsidRPr="00B24B2F">
        <w:rPr>
          <w:rFonts w:ascii="Times New Roman" w:hAnsi="Times New Roman" w:cs="Times New Roman"/>
          <w:sz w:val="24"/>
          <w:szCs w:val="24"/>
        </w:rPr>
        <w:t xml:space="preserve"> </w:t>
      </w:r>
      <w:r w:rsidR="00A44C67" w:rsidRPr="00B24B2F">
        <w:rPr>
          <w:rFonts w:ascii="Times New Roman" w:hAnsi="Times New Roman" w:cs="Times New Roman"/>
          <w:sz w:val="24"/>
          <w:szCs w:val="24"/>
        </w:rPr>
        <w:t xml:space="preserve">%), pracownicy przy pracach prostych – </w:t>
      </w:r>
      <w:r w:rsidR="00B24B2F" w:rsidRPr="00B24B2F">
        <w:rPr>
          <w:rFonts w:ascii="Times New Roman" w:hAnsi="Times New Roman" w:cs="Times New Roman"/>
          <w:sz w:val="24"/>
          <w:szCs w:val="24"/>
        </w:rPr>
        <w:t xml:space="preserve">8,8 </w:t>
      </w:r>
      <w:r w:rsidR="00A44C67" w:rsidRPr="00B24B2F">
        <w:rPr>
          <w:rFonts w:ascii="Times New Roman" w:hAnsi="Times New Roman" w:cs="Times New Roman"/>
          <w:sz w:val="24"/>
          <w:szCs w:val="24"/>
        </w:rPr>
        <w:t>%</w:t>
      </w:r>
      <w:r w:rsidRPr="00B24B2F">
        <w:rPr>
          <w:rFonts w:ascii="Times New Roman" w:hAnsi="Times New Roman" w:cs="Times New Roman"/>
          <w:sz w:val="24"/>
          <w:szCs w:val="24"/>
        </w:rPr>
        <w:t>.</w:t>
      </w:r>
    </w:p>
    <w:p w:rsidR="00A44C67" w:rsidRPr="001E280A" w:rsidRDefault="00EC6281" w:rsidP="003A171F">
      <w:pPr>
        <w:pStyle w:val="Bezodstpw"/>
        <w:numPr>
          <w:ilvl w:val="0"/>
          <w:numId w:val="8"/>
        </w:numPr>
        <w:spacing w:line="360" w:lineRule="auto"/>
        <w:jc w:val="both"/>
        <w:rPr>
          <w:rFonts w:ascii="Times New Roman" w:hAnsi="Times New Roman" w:cs="Times New Roman"/>
          <w:sz w:val="24"/>
          <w:szCs w:val="24"/>
        </w:rPr>
      </w:pPr>
      <w:r w:rsidRPr="001E280A">
        <w:rPr>
          <w:rFonts w:ascii="Times New Roman" w:hAnsi="Times New Roman" w:cs="Times New Roman"/>
          <w:sz w:val="24"/>
          <w:szCs w:val="24"/>
        </w:rPr>
        <w:t>N</w:t>
      </w:r>
      <w:r w:rsidR="00A44C67" w:rsidRPr="001E280A">
        <w:rPr>
          <w:rFonts w:ascii="Times New Roman" w:hAnsi="Times New Roman" w:cs="Times New Roman"/>
          <w:sz w:val="24"/>
          <w:szCs w:val="24"/>
        </w:rPr>
        <w:t>ajmniej bezrobotnych odnotowano</w:t>
      </w:r>
      <w:r w:rsidR="00AE5712" w:rsidRPr="001E280A">
        <w:rPr>
          <w:rFonts w:ascii="Times New Roman" w:hAnsi="Times New Roman" w:cs="Times New Roman"/>
          <w:sz w:val="24"/>
          <w:szCs w:val="24"/>
        </w:rPr>
        <w:t xml:space="preserve"> w </w:t>
      </w:r>
      <w:r w:rsidR="00A44C67" w:rsidRPr="001E280A">
        <w:rPr>
          <w:rFonts w:ascii="Times New Roman" w:hAnsi="Times New Roman" w:cs="Times New Roman"/>
          <w:sz w:val="24"/>
          <w:szCs w:val="24"/>
        </w:rPr>
        <w:t>następujących grupach zawodów siły zbrojne – 0,0</w:t>
      </w:r>
      <w:r w:rsidR="00B24B2F" w:rsidRPr="001E280A">
        <w:rPr>
          <w:rFonts w:ascii="Times New Roman" w:hAnsi="Times New Roman" w:cs="Times New Roman"/>
          <w:sz w:val="24"/>
          <w:szCs w:val="24"/>
        </w:rPr>
        <w:t xml:space="preserve">3 </w:t>
      </w:r>
      <w:r w:rsidR="00A44C67" w:rsidRPr="001E280A">
        <w:rPr>
          <w:rFonts w:ascii="Times New Roman" w:hAnsi="Times New Roman" w:cs="Times New Roman"/>
          <w:sz w:val="24"/>
          <w:szCs w:val="24"/>
        </w:rPr>
        <w:t>%</w:t>
      </w:r>
      <w:r w:rsidR="00B24B2F" w:rsidRPr="001E280A">
        <w:rPr>
          <w:rFonts w:ascii="Times New Roman" w:hAnsi="Times New Roman" w:cs="Times New Roman"/>
          <w:sz w:val="24"/>
          <w:szCs w:val="24"/>
        </w:rPr>
        <w:t xml:space="preserve">, </w:t>
      </w:r>
      <w:r w:rsidR="003A171F" w:rsidRPr="001E280A">
        <w:rPr>
          <w:rFonts w:ascii="Times New Roman" w:hAnsi="Times New Roman" w:cs="Times New Roman"/>
          <w:sz w:val="24"/>
          <w:szCs w:val="24"/>
        </w:rPr>
        <w:t xml:space="preserve">przedstawiciele władz publicznych, wyżsi urzędnicy i kierownicy </w:t>
      </w:r>
      <w:r w:rsidR="00A44C67" w:rsidRPr="001E280A">
        <w:rPr>
          <w:rFonts w:ascii="Times New Roman" w:hAnsi="Times New Roman" w:cs="Times New Roman"/>
          <w:sz w:val="24"/>
          <w:szCs w:val="24"/>
        </w:rPr>
        <w:t xml:space="preserve">– </w:t>
      </w:r>
      <w:r w:rsidR="00B24B2F" w:rsidRPr="001E280A">
        <w:rPr>
          <w:rFonts w:ascii="Times New Roman" w:hAnsi="Times New Roman" w:cs="Times New Roman"/>
          <w:sz w:val="24"/>
          <w:szCs w:val="24"/>
        </w:rPr>
        <w:t>0</w:t>
      </w:r>
      <w:r w:rsidR="00A44C67" w:rsidRPr="001E280A">
        <w:rPr>
          <w:rFonts w:ascii="Times New Roman" w:hAnsi="Times New Roman" w:cs="Times New Roman"/>
          <w:sz w:val="24"/>
          <w:szCs w:val="24"/>
        </w:rPr>
        <w:t>,</w:t>
      </w:r>
      <w:r w:rsidR="00B24B2F" w:rsidRPr="001E280A">
        <w:rPr>
          <w:rFonts w:ascii="Times New Roman" w:hAnsi="Times New Roman" w:cs="Times New Roman"/>
          <w:sz w:val="24"/>
          <w:szCs w:val="24"/>
        </w:rPr>
        <w:t xml:space="preserve">7 </w:t>
      </w:r>
      <w:r w:rsidR="00A44C67" w:rsidRPr="001E280A">
        <w:rPr>
          <w:rFonts w:ascii="Times New Roman" w:hAnsi="Times New Roman" w:cs="Times New Roman"/>
          <w:sz w:val="24"/>
          <w:szCs w:val="24"/>
        </w:rPr>
        <w:t>%, rolnicy, ogrodnicy, leśnicy</w:t>
      </w:r>
      <w:r w:rsidR="00AE5712" w:rsidRPr="001E280A">
        <w:rPr>
          <w:rFonts w:ascii="Times New Roman" w:hAnsi="Times New Roman" w:cs="Times New Roman"/>
          <w:sz w:val="24"/>
          <w:szCs w:val="24"/>
        </w:rPr>
        <w:t xml:space="preserve"> i </w:t>
      </w:r>
      <w:r w:rsidR="00A44C67" w:rsidRPr="001E280A">
        <w:rPr>
          <w:rFonts w:ascii="Times New Roman" w:hAnsi="Times New Roman" w:cs="Times New Roman"/>
          <w:sz w:val="24"/>
          <w:szCs w:val="24"/>
        </w:rPr>
        <w:t>rybacy –</w:t>
      </w:r>
      <w:r w:rsidR="00B24B2F" w:rsidRPr="001E280A">
        <w:rPr>
          <w:rFonts w:ascii="Times New Roman" w:hAnsi="Times New Roman" w:cs="Times New Roman"/>
          <w:sz w:val="24"/>
          <w:szCs w:val="24"/>
        </w:rPr>
        <w:t xml:space="preserve"> 2</w:t>
      </w:r>
      <w:r w:rsidR="00A44C67" w:rsidRPr="001E280A">
        <w:rPr>
          <w:rFonts w:ascii="Times New Roman" w:hAnsi="Times New Roman" w:cs="Times New Roman"/>
          <w:sz w:val="24"/>
          <w:szCs w:val="24"/>
        </w:rPr>
        <w:t>,</w:t>
      </w:r>
      <w:r w:rsidR="00B24B2F" w:rsidRPr="001E280A">
        <w:rPr>
          <w:rFonts w:ascii="Times New Roman" w:hAnsi="Times New Roman" w:cs="Times New Roman"/>
          <w:sz w:val="24"/>
          <w:szCs w:val="24"/>
        </w:rPr>
        <w:t xml:space="preserve">0 </w:t>
      </w:r>
      <w:r w:rsidR="00A44C67" w:rsidRPr="001E280A">
        <w:rPr>
          <w:rFonts w:ascii="Times New Roman" w:hAnsi="Times New Roman" w:cs="Times New Roman"/>
          <w:sz w:val="24"/>
          <w:szCs w:val="24"/>
        </w:rPr>
        <w:t>%, pracownicy biurowi – 4,</w:t>
      </w:r>
      <w:r w:rsidR="001E280A" w:rsidRPr="001E280A">
        <w:rPr>
          <w:rFonts w:ascii="Times New Roman" w:hAnsi="Times New Roman" w:cs="Times New Roman"/>
          <w:sz w:val="24"/>
          <w:szCs w:val="24"/>
        </w:rPr>
        <w:t xml:space="preserve">5 </w:t>
      </w:r>
      <w:r w:rsidR="00A44C67" w:rsidRPr="001E280A">
        <w:rPr>
          <w:rFonts w:ascii="Times New Roman" w:hAnsi="Times New Roman" w:cs="Times New Roman"/>
          <w:sz w:val="24"/>
          <w:szCs w:val="24"/>
        </w:rPr>
        <w:t>%</w:t>
      </w:r>
      <w:r w:rsidR="00F1229B" w:rsidRPr="001E280A">
        <w:rPr>
          <w:rFonts w:ascii="Times New Roman" w:hAnsi="Times New Roman" w:cs="Times New Roman"/>
          <w:sz w:val="24"/>
          <w:szCs w:val="24"/>
        </w:rPr>
        <w:t>, operatorzy</w:t>
      </w:r>
      <w:r w:rsidR="00AE5712" w:rsidRPr="001E280A">
        <w:rPr>
          <w:rFonts w:ascii="Times New Roman" w:hAnsi="Times New Roman" w:cs="Times New Roman"/>
          <w:sz w:val="24"/>
          <w:szCs w:val="24"/>
        </w:rPr>
        <w:t xml:space="preserve"> i </w:t>
      </w:r>
      <w:r w:rsidR="00F1229B" w:rsidRPr="001E280A">
        <w:rPr>
          <w:rFonts w:ascii="Times New Roman" w:hAnsi="Times New Roman" w:cs="Times New Roman"/>
          <w:sz w:val="24"/>
          <w:szCs w:val="24"/>
        </w:rPr>
        <w:t>monterzy maszyn</w:t>
      </w:r>
      <w:r w:rsidR="00AE5712" w:rsidRPr="001E280A">
        <w:rPr>
          <w:rFonts w:ascii="Times New Roman" w:hAnsi="Times New Roman" w:cs="Times New Roman"/>
          <w:sz w:val="24"/>
          <w:szCs w:val="24"/>
        </w:rPr>
        <w:t xml:space="preserve"> i </w:t>
      </w:r>
      <w:r w:rsidR="00F1229B" w:rsidRPr="001E280A">
        <w:rPr>
          <w:rFonts w:ascii="Times New Roman" w:hAnsi="Times New Roman" w:cs="Times New Roman"/>
          <w:sz w:val="24"/>
          <w:szCs w:val="24"/>
        </w:rPr>
        <w:t>urządzeń – 6,</w:t>
      </w:r>
      <w:r w:rsidR="001E280A" w:rsidRPr="001E280A">
        <w:rPr>
          <w:rFonts w:ascii="Times New Roman" w:hAnsi="Times New Roman" w:cs="Times New Roman"/>
          <w:sz w:val="24"/>
          <w:szCs w:val="24"/>
        </w:rPr>
        <w:t xml:space="preserve">4 </w:t>
      </w:r>
      <w:r w:rsidR="00F1229B" w:rsidRPr="001E280A">
        <w:rPr>
          <w:rFonts w:ascii="Times New Roman" w:hAnsi="Times New Roman" w:cs="Times New Roman"/>
          <w:sz w:val="24"/>
          <w:szCs w:val="24"/>
        </w:rPr>
        <w:t>%)</w:t>
      </w:r>
      <w:r w:rsidRPr="001E280A">
        <w:rPr>
          <w:rFonts w:ascii="Times New Roman" w:hAnsi="Times New Roman" w:cs="Times New Roman"/>
          <w:sz w:val="24"/>
          <w:szCs w:val="24"/>
        </w:rPr>
        <w:t>.</w:t>
      </w:r>
    </w:p>
    <w:p w:rsidR="00A44C67" w:rsidRPr="00250D74" w:rsidRDefault="009355BE" w:rsidP="00160DBC">
      <w:pPr>
        <w:pStyle w:val="Bezodstpw"/>
        <w:numPr>
          <w:ilvl w:val="0"/>
          <w:numId w:val="8"/>
        </w:numPr>
        <w:spacing w:line="360" w:lineRule="auto"/>
        <w:jc w:val="both"/>
        <w:rPr>
          <w:rFonts w:ascii="Times New Roman" w:hAnsi="Times New Roman" w:cs="Times New Roman"/>
          <w:sz w:val="24"/>
          <w:szCs w:val="24"/>
        </w:rPr>
      </w:pPr>
      <w:r w:rsidRPr="00250D74">
        <w:rPr>
          <w:rFonts w:ascii="Times New Roman" w:hAnsi="Times New Roman" w:cs="Times New Roman"/>
          <w:sz w:val="24"/>
          <w:szCs w:val="24"/>
        </w:rPr>
        <w:t>O</w:t>
      </w:r>
      <w:r w:rsidR="00FF4F72" w:rsidRPr="00250D74">
        <w:rPr>
          <w:rFonts w:ascii="Times New Roman" w:hAnsi="Times New Roman" w:cs="Times New Roman"/>
          <w:sz w:val="24"/>
          <w:szCs w:val="24"/>
        </w:rPr>
        <w:t xml:space="preserve">soby bez zawodu </w:t>
      </w:r>
      <w:r w:rsidRPr="00250D74">
        <w:rPr>
          <w:rFonts w:ascii="Times New Roman" w:hAnsi="Times New Roman" w:cs="Times New Roman"/>
          <w:sz w:val="24"/>
          <w:szCs w:val="24"/>
        </w:rPr>
        <w:t>stanowiły 13,</w:t>
      </w:r>
      <w:r w:rsidR="00250D74" w:rsidRPr="00250D74">
        <w:rPr>
          <w:rFonts w:ascii="Times New Roman" w:hAnsi="Times New Roman" w:cs="Times New Roman"/>
          <w:sz w:val="24"/>
          <w:szCs w:val="24"/>
        </w:rPr>
        <w:t xml:space="preserve">1 </w:t>
      </w:r>
      <w:r w:rsidRPr="00250D74">
        <w:rPr>
          <w:rFonts w:ascii="Times New Roman" w:hAnsi="Times New Roman" w:cs="Times New Roman"/>
          <w:sz w:val="24"/>
          <w:szCs w:val="24"/>
        </w:rPr>
        <w:t>% ogółu bezrobotnych.</w:t>
      </w:r>
    </w:p>
    <w:p w:rsidR="00A5457B" w:rsidRDefault="00A5457B" w:rsidP="00A5457B">
      <w:pPr>
        <w:pStyle w:val="Bezodstpw"/>
        <w:jc w:val="both"/>
        <w:rPr>
          <w:rFonts w:ascii="Times New Roman" w:hAnsi="Times New Roman" w:cs="Times New Roman"/>
          <w:sz w:val="16"/>
          <w:szCs w:val="16"/>
          <w:highlight w:val="yellow"/>
        </w:rPr>
      </w:pPr>
    </w:p>
    <w:p w:rsidR="002A267D" w:rsidRDefault="002A267D">
      <w:pPr>
        <w:rPr>
          <w:rFonts w:ascii="Times New Roman" w:hAnsi="Times New Roman" w:cs="Times New Roman"/>
          <w:sz w:val="16"/>
          <w:szCs w:val="16"/>
          <w:highlight w:val="yellow"/>
        </w:rPr>
      </w:pPr>
      <w:r>
        <w:rPr>
          <w:rFonts w:ascii="Times New Roman" w:hAnsi="Times New Roman" w:cs="Times New Roman"/>
          <w:sz w:val="16"/>
          <w:szCs w:val="16"/>
          <w:highlight w:val="yellow"/>
        </w:rPr>
        <w:br w:type="page"/>
      </w:r>
    </w:p>
    <w:p w:rsidR="00EC6281" w:rsidRPr="00C75C71" w:rsidRDefault="00593121" w:rsidP="007632F1">
      <w:pPr>
        <w:pStyle w:val="Bezodstpw"/>
        <w:ind w:left="1410" w:hanging="1410"/>
        <w:jc w:val="center"/>
        <w:rPr>
          <w:highlight w:val="yellow"/>
        </w:rPr>
      </w:pPr>
      <w:r w:rsidRPr="00593121">
        <w:rPr>
          <w:noProof/>
          <w:lang w:eastAsia="pl-PL"/>
        </w:rPr>
        <w:lastRenderedPageBreak/>
        <w:drawing>
          <wp:inline distT="0" distB="0" distL="0" distR="0" wp14:anchorId="28156151" wp14:editId="57431792">
            <wp:extent cx="5759450" cy="4020311"/>
            <wp:effectExtent l="0" t="0" r="0" b="0"/>
            <wp:docPr id="736" name="Obraz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59450" cy="4020311"/>
                    </a:xfrm>
                    <a:prstGeom prst="rect">
                      <a:avLst/>
                    </a:prstGeom>
                    <a:noFill/>
                    <a:ln>
                      <a:noFill/>
                    </a:ln>
                  </pic:spPr>
                </pic:pic>
              </a:graphicData>
            </a:graphic>
          </wp:inline>
        </w:drawing>
      </w:r>
    </w:p>
    <w:p w:rsidR="00A737F5" w:rsidRPr="00C75C71" w:rsidRDefault="00A737F5" w:rsidP="00EC4005">
      <w:pPr>
        <w:spacing w:after="0" w:line="240" w:lineRule="auto"/>
        <w:jc w:val="both"/>
        <w:rPr>
          <w:rFonts w:ascii="Times New Roman" w:hAnsi="Times New Roman" w:cs="Times New Roman"/>
          <w:color w:val="000000"/>
          <w:sz w:val="16"/>
          <w:szCs w:val="16"/>
          <w:highlight w:val="yellow"/>
        </w:rPr>
      </w:pPr>
    </w:p>
    <w:p w:rsidR="00A737F5" w:rsidRDefault="00A737F5" w:rsidP="00EC4005">
      <w:pPr>
        <w:spacing w:after="0" w:line="240" w:lineRule="auto"/>
        <w:jc w:val="both"/>
        <w:rPr>
          <w:rFonts w:ascii="Times New Roman" w:hAnsi="Times New Roman" w:cs="Times New Roman"/>
          <w:color w:val="000000"/>
          <w:sz w:val="16"/>
          <w:szCs w:val="16"/>
          <w:highlight w:val="yellow"/>
        </w:rPr>
      </w:pPr>
    </w:p>
    <w:p w:rsidR="00D5748A" w:rsidRPr="00C75C71" w:rsidRDefault="00D5748A" w:rsidP="00EC4005">
      <w:pPr>
        <w:spacing w:after="0" w:line="240" w:lineRule="auto"/>
        <w:jc w:val="both"/>
        <w:rPr>
          <w:rFonts w:ascii="Times New Roman" w:hAnsi="Times New Roman" w:cs="Times New Roman"/>
          <w:color w:val="000000"/>
          <w:sz w:val="16"/>
          <w:szCs w:val="16"/>
          <w:highlight w:val="yellow"/>
        </w:rPr>
      </w:pPr>
    </w:p>
    <w:p w:rsidR="00F1229B" w:rsidRPr="00593121" w:rsidRDefault="00EC6281" w:rsidP="0005008C">
      <w:pPr>
        <w:pStyle w:val="Default"/>
        <w:pBdr>
          <w:bottom w:val="single" w:sz="4" w:space="1" w:color="auto"/>
        </w:pBdr>
        <w:shd w:val="clear" w:color="auto" w:fill="FFFFFF" w:themeFill="background1"/>
        <w:jc w:val="both"/>
      </w:pPr>
      <w:r w:rsidRPr="00593121">
        <w:t>Wnioski:</w:t>
      </w:r>
    </w:p>
    <w:p w:rsidR="00F1229B" w:rsidRPr="00593121" w:rsidRDefault="00F1229B" w:rsidP="00F1229B">
      <w:pPr>
        <w:pStyle w:val="Tekstpodstawowywcity"/>
        <w:spacing w:after="0" w:line="360" w:lineRule="auto"/>
        <w:ind w:left="0"/>
        <w:jc w:val="both"/>
        <w:rPr>
          <w:rFonts w:ascii="Times New Roman" w:hAnsi="Times New Roman" w:cs="Times New Roman"/>
          <w:sz w:val="16"/>
          <w:szCs w:val="16"/>
        </w:rPr>
      </w:pPr>
      <w:r w:rsidRPr="00593121">
        <w:rPr>
          <w:rFonts w:ascii="Times New Roman" w:hAnsi="Times New Roman" w:cs="Times New Roman"/>
          <w:sz w:val="16"/>
          <w:szCs w:val="16"/>
        </w:rPr>
        <w:t>(na podstawie danych</w:t>
      </w:r>
      <w:r w:rsidR="00AE5712" w:rsidRPr="00593121">
        <w:rPr>
          <w:rFonts w:ascii="Times New Roman" w:hAnsi="Times New Roman" w:cs="Times New Roman"/>
          <w:sz w:val="16"/>
          <w:szCs w:val="16"/>
        </w:rPr>
        <w:t xml:space="preserve"> z </w:t>
      </w:r>
      <w:r w:rsidR="00BC5E80" w:rsidRPr="00593121">
        <w:rPr>
          <w:rFonts w:ascii="Times New Roman" w:hAnsi="Times New Roman" w:cs="Times New Roman"/>
          <w:sz w:val="16"/>
          <w:szCs w:val="16"/>
        </w:rPr>
        <w:t>t</w:t>
      </w:r>
      <w:r w:rsidRPr="00593121">
        <w:rPr>
          <w:rFonts w:ascii="Times New Roman" w:hAnsi="Times New Roman" w:cs="Times New Roman"/>
          <w:sz w:val="16"/>
          <w:szCs w:val="16"/>
        </w:rPr>
        <w:t xml:space="preserve">abeli </w:t>
      </w:r>
      <w:r w:rsidR="00BC5E80" w:rsidRPr="00593121">
        <w:rPr>
          <w:rFonts w:ascii="Times New Roman" w:hAnsi="Times New Roman" w:cs="Times New Roman"/>
          <w:sz w:val="16"/>
          <w:szCs w:val="16"/>
        </w:rPr>
        <w:t>XXIII</w:t>
      </w:r>
      <w:r w:rsidR="00EC6281" w:rsidRPr="00593121">
        <w:rPr>
          <w:rFonts w:ascii="Times New Roman" w:hAnsi="Times New Roman" w:cs="Times New Roman"/>
          <w:sz w:val="16"/>
          <w:szCs w:val="16"/>
        </w:rPr>
        <w:t>)</w:t>
      </w:r>
    </w:p>
    <w:p w:rsidR="00EF4A76" w:rsidRDefault="00EF4A76" w:rsidP="00D5748A">
      <w:pPr>
        <w:pStyle w:val="Tekstpodstawowywcity"/>
        <w:spacing w:after="0" w:line="240" w:lineRule="auto"/>
        <w:ind w:left="0"/>
        <w:jc w:val="both"/>
        <w:rPr>
          <w:rFonts w:ascii="Times New Roman" w:hAnsi="Times New Roman" w:cs="Times New Roman"/>
          <w:sz w:val="16"/>
          <w:szCs w:val="16"/>
          <w:highlight w:val="yellow"/>
        </w:rPr>
      </w:pPr>
    </w:p>
    <w:p w:rsidR="00D5748A" w:rsidRDefault="00D5748A" w:rsidP="00D5748A">
      <w:pPr>
        <w:pStyle w:val="Tekstpodstawowywcity"/>
        <w:spacing w:after="0" w:line="240" w:lineRule="auto"/>
        <w:ind w:left="0"/>
        <w:jc w:val="both"/>
        <w:rPr>
          <w:rFonts w:ascii="Times New Roman" w:hAnsi="Times New Roman" w:cs="Times New Roman"/>
          <w:sz w:val="16"/>
          <w:szCs w:val="16"/>
          <w:highlight w:val="yellow"/>
        </w:rPr>
      </w:pPr>
    </w:p>
    <w:p w:rsidR="00D5748A" w:rsidRPr="00C75C71" w:rsidRDefault="00D5748A" w:rsidP="00D5748A">
      <w:pPr>
        <w:pStyle w:val="Tekstpodstawowywcity"/>
        <w:spacing w:after="0" w:line="240" w:lineRule="auto"/>
        <w:ind w:left="0"/>
        <w:jc w:val="both"/>
        <w:rPr>
          <w:rFonts w:ascii="Times New Roman" w:hAnsi="Times New Roman" w:cs="Times New Roman"/>
          <w:sz w:val="16"/>
          <w:szCs w:val="16"/>
          <w:highlight w:val="yellow"/>
        </w:rPr>
      </w:pPr>
    </w:p>
    <w:p w:rsidR="006E35A4" w:rsidRPr="006E35A4" w:rsidRDefault="00C851A5" w:rsidP="009355BE">
      <w:pPr>
        <w:pStyle w:val="Bezodstpw"/>
        <w:numPr>
          <w:ilvl w:val="0"/>
          <w:numId w:val="10"/>
        </w:numPr>
        <w:spacing w:line="360" w:lineRule="auto"/>
        <w:jc w:val="both"/>
        <w:rPr>
          <w:rFonts w:ascii="Times New Roman" w:hAnsi="Times New Roman" w:cs="Times New Roman"/>
          <w:color w:val="000000"/>
          <w:sz w:val="24"/>
          <w:szCs w:val="24"/>
        </w:rPr>
      </w:pPr>
      <w:r w:rsidRPr="006E35A4">
        <w:rPr>
          <w:rFonts w:ascii="Times New Roman" w:hAnsi="Times New Roman" w:cs="Times New Roman"/>
          <w:sz w:val="24"/>
          <w:szCs w:val="24"/>
        </w:rPr>
        <w:t>W</w:t>
      </w:r>
      <w:r w:rsidR="00F1229B" w:rsidRPr="006E35A4">
        <w:rPr>
          <w:rFonts w:ascii="Times New Roman" w:hAnsi="Times New Roman" w:cs="Times New Roman"/>
          <w:sz w:val="24"/>
          <w:szCs w:val="24"/>
        </w:rPr>
        <w:t xml:space="preserve"> dniu 31</w:t>
      </w:r>
      <w:r w:rsidR="00A5457B" w:rsidRPr="006E35A4">
        <w:rPr>
          <w:rFonts w:ascii="Times New Roman" w:hAnsi="Times New Roman" w:cs="Times New Roman"/>
          <w:sz w:val="24"/>
          <w:szCs w:val="24"/>
        </w:rPr>
        <w:t xml:space="preserve"> XII ‘</w:t>
      </w:r>
      <w:r w:rsidR="00F1229B" w:rsidRPr="006E35A4">
        <w:rPr>
          <w:rFonts w:ascii="Times New Roman" w:hAnsi="Times New Roman" w:cs="Times New Roman"/>
          <w:sz w:val="24"/>
          <w:szCs w:val="24"/>
        </w:rPr>
        <w:t>1</w:t>
      </w:r>
      <w:r w:rsidR="00250D74" w:rsidRPr="006E35A4">
        <w:rPr>
          <w:rFonts w:ascii="Times New Roman" w:hAnsi="Times New Roman" w:cs="Times New Roman"/>
          <w:sz w:val="24"/>
          <w:szCs w:val="24"/>
        </w:rPr>
        <w:t>8</w:t>
      </w:r>
      <w:r w:rsidR="00F1229B" w:rsidRPr="006E35A4">
        <w:rPr>
          <w:rFonts w:ascii="Times New Roman" w:hAnsi="Times New Roman" w:cs="Times New Roman"/>
          <w:sz w:val="24"/>
          <w:szCs w:val="24"/>
        </w:rPr>
        <w:t xml:space="preserve"> r</w:t>
      </w:r>
      <w:r w:rsidR="00A5457B" w:rsidRPr="006E35A4">
        <w:rPr>
          <w:rFonts w:ascii="Times New Roman" w:hAnsi="Times New Roman" w:cs="Times New Roman"/>
          <w:sz w:val="24"/>
          <w:szCs w:val="24"/>
        </w:rPr>
        <w:t>.</w:t>
      </w:r>
      <w:r w:rsidR="00AE5712" w:rsidRPr="006E35A4">
        <w:rPr>
          <w:rFonts w:ascii="Times New Roman" w:hAnsi="Times New Roman" w:cs="Times New Roman"/>
          <w:sz w:val="24"/>
          <w:szCs w:val="24"/>
        </w:rPr>
        <w:t xml:space="preserve"> </w:t>
      </w:r>
      <w:r w:rsidR="00250D74" w:rsidRPr="006E35A4">
        <w:rPr>
          <w:rFonts w:ascii="Times New Roman" w:hAnsi="Times New Roman" w:cs="Times New Roman"/>
          <w:sz w:val="24"/>
          <w:szCs w:val="24"/>
        </w:rPr>
        <w:t>(</w:t>
      </w:r>
      <w:r w:rsidR="00AE5712" w:rsidRPr="006E35A4">
        <w:rPr>
          <w:rFonts w:ascii="Times New Roman" w:hAnsi="Times New Roman" w:cs="Times New Roman"/>
          <w:sz w:val="24"/>
          <w:szCs w:val="24"/>
        </w:rPr>
        <w:t>w </w:t>
      </w:r>
      <w:r w:rsidR="00F1229B" w:rsidRPr="006E35A4">
        <w:rPr>
          <w:rFonts w:ascii="Times New Roman" w:hAnsi="Times New Roman" w:cs="Times New Roman"/>
          <w:sz w:val="24"/>
          <w:szCs w:val="24"/>
        </w:rPr>
        <w:t xml:space="preserve">porównaniu </w:t>
      </w:r>
      <w:r w:rsidR="00250D74" w:rsidRPr="006E35A4">
        <w:rPr>
          <w:rFonts w:ascii="Times New Roman" w:hAnsi="Times New Roman" w:cs="Times New Roman"/>
          <w:sz w:val="24"/>
          <w:szCs w:val="24"/>
        </w:rPr>
        <w:t>rdr.)</w:t>
      </w:r>
      <w:r w:rsidR="00AE5712" w:rsidRPr="006E35A4">
        <w:rPr>
          <w:rFonts w:ascii="Times New Roman" w:hAnsi="Times New Roman" w:cs="Times New Roman"/>
          <w:sz w:val="24"/>
          <w:szCs w:val="24"/>
        </w:rPr>
        <w:t xml:space="preserve"> </w:t>
      </w:r>
      <w:r w:rsidR="009355BE" w:rsidRPr="006E35A4">
        <w:rPr>
          <w:rFonts w:ascii="Times New Roman" w:hAnsi="Times New Roman" w:cs="Times New Roman"/>
          <w:sz w:val="24"/>
          <w:szCs w:val="24"/>
          <w:u w:val="single"/>
        </w:rPr>
        <w:t>w</w:t>
      </w:r>
      <w:r w:rsidR="00250D74" w:rsidRPr="006E35A4">
        <w:rPr>
          <w:rFonts w:ascii="Times New Roman" w:hAnsi="Times New Roman" w:cs="Times New Roman"/>
          <w:sz w:val="24"/>
          <w:szCs w:val="24"/>
          <w:u w:val="single"/>
        </w:rPr>
        <w:t xml:space="preserve"> 9</w:t>
      </w:r>
      <w:r w:rsidR="009355BE" w:rsidRPr="006E35A4">
        <w:rPr>
          <w:rFonts w:ascii="Times New Roman" w:hAnsi="Times New Roman" w:cs="Times New Roman"/>
          <w:sz w:val="24"/>
          <w:szCs w:val="24"/>
          <w:u w:val="single"/>
        </w:rPr>
        <w:t xml:space="preserve"> grupach </w:t>
      </w:r>
      <w:r w:rsidR="00F1229B" w:rsidRPr="006E35A4">
        <w:rPr>
          <w:rFonts w:ascii="Times New Roman" w:hAnsi="Times New Roman" w:cs="Times New Roman"/>
          <w:sz w:val="24"/>
          <w:szCs w:val="24"/>
          <w:u w:val="single"/>
        </w:rPr>
        <w:t xml:space="preserve">odnotowano </w:t>
      </w:r>
      <w:r w:rsidR="009355BE" w:rsidRPr="006E35A4">
        <w:rPr>
          <w:rFonts w:ascii="Times New Roman" w:hAnsi="Times New Roman" w:cs="Times New Roman"/>
          <w:sz w:val="24"/>
          <w:szCs w:val="24"/>
          <w:u w:val="single"/>
        </w:rPr>
        <w:t xml:space="preserve">spadki </w:t>
      </w:r>
      <w:r w:rsidR="00F1229B" w:rsidRPr="006E35A4">
        <w:rPr>
          <w:rFonts w:ascii="Times New Roman" w:hAnsi="Times New Roman" w:cs="Times New Roman"/>
          <w:sz w:val="24"/>
          <w:szCs w:val="24"/>
          <w:u w:val="single"/>
        </w:rPr>
        <w:t>liczby bezrobotnych</w:t>
      </w:r>
      <w:r w:rsidR="00250D74" w:rsidRPr="006E35A4">
        <w:rPr>
          <w:rFonts w:ascii="Times New Roman" w:hAnsi="Times New Roman" w:cs="Times New Roman"/>
          <w:sz w:val="24"/>
          <w:szCs w:val="24"/>
          <w:u w:val="single"/>
        </w:rPr>
        <w:t> </w:t>
      </w:r>
      <w:r w:rsidR="00250D74" w:rsidRPr="006E35A4">
        <w:rPr>
          <w:rStyle w:val="Odwoanieprzypisudolnego"/>
          <w:rFonts w:ascii="Times New Roman" w:hAnsi="Times New Roman" w:cs="Times New Roman"/>
          <w:sz w:val="24"/>
          <w:szCs w:val="24"/>
          <w:u w:val="single"/>
        </w:rPr>
        <w:footnoteReference w:id="18"/>
      </w:r>
      <w:r w:rsidR="005D4323" w:rsidRPr="006E35A4">
        <w:rPr>
          <w:rFonts w:ascii="Times New Roman" w:hAnsi="Times New Roman" w:cs="Times New Roman"/>
          <w:sz w:val="24"/>
          <w:szCs w:val="24"/>
        </w:rPr>
        <w:t>.</w:t>
      </w:r>
    </w:p>
    <w:p w:rsidR="005D4323" w:rsidRPr="009E5F73" w:rsidRDefault="009355BE" w:rsidP="009355BE">
      <w:pPr>
        <w:pStyle w:val="Bezodstpw"/>
        <w:numPr>
          <w:ilvl w:val="0"/>
          <w:numId w:val="10"/>
        </w:numPr>
        <w:spacing w:line="360" w:lineRule="auto"/>
        <w:jc w:val="both"/>
        <w:rPr>
          <w:rFonts w:ascii="Times New Roman" w:hAnsi="Times New Roman" w:cs="Times New Roman"/>
          <w:color w:val="000000"/>
          <w:sz w:val="24"/>
          <w:szCs w:val="24"/>
        </w:rPr>
      </w:pPr>
      <w:r w:rsidRPr="009E5F73">
        <w:rPr>
          <w:rFonts w:ascii="Times New Roman" w:hAnsi="Times New Roman" w:cs="Times New Roman"/>
          <w:sz w:val="24"/>
          <w:szCs w:val="24"/>
        </w:rPr>
        <w:t xml:space="preserve">Kumulowały się w </w:t>
      </w:r>
      <w:r w:rsidR="005D4323" w:rsidRPr="009E5F73">
        <w:rPr>
          <w:rFonts w:ascii="Times New Roman" w:hAnsi="Times New Roman" w:cs="Times New Roman"/>
          <w:sz w:val="24"/>
          <w:szCs w:val="24"/>
        </w:rPr>
        <w:t>następując</w:t>
      </w:r>
      <w:r w:rsidRPr="009E5F73">
        <w:rPr>
          <w:rFonts w:ascii="Times New Roman" w:hAnsi="Times New Roman" w:cs="Times New Roman"/>
          <w:sz w:val="24"/>
          <w:szCs w:val="24"/>
        </w:rPr>
        <w:t>ych</w:t>
      </w:r>
      <w:r w:rsidR="009E5F73" w:rsidRPr="009E5F73">
        <w:rPr>
          <w:rFonts w:ascii="Times New Roman" w:hAnsi="Times New Roman" w:cs="Times New Roman"/>
          <w:sz w:val="24"/>
          <w:szCs w:val="24"/>
        </w:rPr>
        <w:t xml:space="preserve"> – </w:t>
      </w:r>
      <w:r w:rsidR="005D4323" w:rsidRPr="009E5F73">
        <w:rPr>
          <w:rFonts w:ascii="Times New Roman" w:hAnsi="Times New Roman" w:cs="Times New Roman"/>
          <w:sz w:val="24"/>
          <w:szCs w:val="24"/>
        </w:rPr>
        <w:t>robotnicy przemysłowi i rzemieślnicy</w:t>
      </w:r>
      <w:r w:rsidR="008756C4" w:rsidRPr="009E5F73">
        <w:rPr>
          <w:rFonts w:ascii="Times New Roman" w:hAnsi="Times New Roman" w:cs="Times New Roman"/>
          <w:sz w:val="24"/>
          <w:szCs w:val="24"/>
        </w:rPr>
        <w:t xml:space="preserve"> (spadek</w:t>
      </w:r>
      <w:r w:rsidR="006F7D43" w:rsidRPr="009E5F73">
        <w:rPr>
          <w:rFonts w:ascii="Times New Roman" w:hAnsi="Times New Roman" w:cs="Times New Roman"/>
          <w:sz w:val="24"/>
          <w:szCs w:val="24"/>
        </w:rPr>
        <w:t xml:space="preserve"> o </w:t>
      </w:r>
      <w:r w:rsidR="00250D74" w:rsidRPr="009E5F73">
        <w:rPr>
          <w:rFonts w:ascii="Times New Roman" w:hAnsi="Times New Roman" w:cs="Times New Roman"/>
          <w:sz w:val="24"/>
          <w:szCs w:val="24"/>
        </w:rPr>
        <w:t>2</w:t>
      </w:r>
      <w:r w:rsidRPr="009E5F73">
        <w:rPr>
          <w:rFonts w:ascii="Times New Roman" w:hAnsi="Times New Roman" w:cs="Times New Roman"/>
          <w:sz w:val="24"/>
          <w:szCs w:val="24"/>
        </w:rPr>
        <w:t> </w:t>
      </w:r>
      <w:r w:rsidR="00250D74" w:rsidRPr="009E5F73">
        <w:rPr>
          <w:rFonts w:ascii="Times New Roman" w:hAnsi="Times New Roman" w:cs="Times New Roman"/>
          <w:sz w:val="24"/>
          <w:szCs w:val="24"/>
        </w:rPr>
        <w:t>364</w:t>
      </w:r>
      <w:r w:rsidRPr="009E5F73">
        <w:rPr>
          <w:rFonts w:ascii="Times New Roman" w:hAnsi="Times New Roman" w:cs="Times New Roman"/>
          <w:sz w:val="24"/>
          <w:szCs w:val="24"/>
        </w:rPr>
        <w:t xml:space="preserve"> </w:t>
      </w:r>
      <w:r w:rsidR="008756C4" w:rsidRPr="009E5F73">
        <w:rPr>
          <w:rFonts w:ascii="Times New Roman" w:hAnsi="Times New Roman" w:cs="Times New Roman"/>
          <w:sz w:val="24"/>
          <w:szCs w:val="24"/>
        </w:rPr>
        <w:t xml:space="preserve">bezrobotnych), </w:t>
      </w:r>
      <w:r w:rsidR="006E35A4" w:rsidRPr="009E5F73">
        <w:rPr>
          <w:rFonts w:ascii="Times New Roman" w:hAnsi="Times New Roman" w:cs="Times New Roman"/>
          <w:sz w:val="24"/>
          <w:szCs w:val="24"/>
        </w:rPr>
        <w:t xml:space="preserve">technicy i inny średni personel (spadek o 1 046), specjaliści (spadek o 999), </w:t>
      </w:r>
      <w:r w:rsidR="008756C4" w:rsidRPr="009E5F73">
        <w:rPr>
          <w:rFonts w:ascii="Times New Roman" w:hAnsi="Times New Roman" w:cs="Times New Roman"/>
          <w:sz w:val="24"/>
          <w:szCs w:val="24"/>
        </w:rPr>
        <w:t>pracownicy usług i sprzedawcy (</w:t>
      </w:r>
      <w:r w:rsidR="006F7D43" w:rsidRPr="009E5F73">
        <w:rPr>
          <w:rFonts w:ascii="Times New Roman" w:hAnsi="Times New Roman" w:cs="Times New Roman"/>
          <w:sz w:val="24"/>
          <w:szCs w:val="24"/>
        </w:rPr>
        <w:t xml:space="preserve">spadek o </w:t>
      </w:r>
      <w:r w:rsidR="006E35A4" w:rsidRPr="009E5F73">
        <w:rPr>
          <w:rFonts w:ascii="Times New Roman" w:hAnsi="Times New Roman" w:cs="Times New Roman"/>
          <w:sz w:val="24"/>
          <w:szCs w:val="24"/>
        </w:rPr>
        <w:t>972</w:t>
      </w:r>
      <w:r w:rsidR="008756C4" w:rsidRPr="009E5F73">
        <w:rPr>
          <w:rFonts w:ascii="Times New Roman" w:hAnsi="Times New Roman" w:cs="Times New Roman"/>
          <w:sz w:val="24"/>
          <w:szCs w:val="24"/>
        </w:rPr>
        <w:t>)</w:t>
      </w:r>
      <w:r w:rsidR="006E35A4" w:rsidRPr="009E5F73">
        <w:rPr>
          <w:rFonts w:ascii="Times New Roman" w:hAnsi="Times New Roman" w:cs="Times New Roman"/>
          <w:sz w:val="24"/>
          <w:szCs w:val="24"/>
        </w:rPr>
        <w:t>.</w:t>
      </w:r>
      <w:r w:rsidR="008756C4" w:rsidRPr="009E5F73">
        <w:rPr>
          <w:rFonts w:ascii="Times New Roman" w:hAnsi="Times New Roman" w:cs="Times New Roman"/>
          <w:sz w:val="24"/>
          <w:szCs w:val="24"/>
        </w:rPr>
        <w:t xml:space="preserve">   </w:t>
      </w:r>
    </w:p>
    <w:p w:rsidR="00B73D07" w:rsidRPr="006E35A4" w:rsidRDefault="00060DFF" w:rsidP="00160DBC">
      <w:pPr>
        <w:pStyle w:val="Bezodstpw"/>
        <w:numPr>
          <w:ilvl w:val="0"/>
          <w:numId w:val="9"/>
        </w:numPr>
        <w:spacing w:line="360" w:lineRule="auto"/>
        <w:jc w:val="both"/>
        <w:rPr>
          <w:rFonts w:ascii="Times New Roman" w:hAnsi="Times New Roman" w:cs="Times New Roman"/>
          <w:sz w:val="24"/>
          <w:szCs w:val="24"/>
        </w:rPr>
      </w:pPr>
      <w:r w:rsidRPr="006E35A4">
        <w:rPr>
          <w:rFonts w:ascii="Times New Roman" w:hAnsi="Times New Roman" w:cs="Times New Roman"/>
          <w:sz w:val="24"/>
          <w:szCs w:val="24"/>
        </w:rPr>
        <w:t>S</w:t>
      </w:r>
      <w:r w:rsidR="005148CD" w:rsidRPr="006E35A4">
        <w:rPr>
          <w:rFonts w:ascii="Times New Roman" w:hAnsi="Times New Roman" w:cs="Times New Roman"/>
          <w:sz w:val="24"/>
          <w:szCs w:val="24"/>
        </w:rPr>
        <w:t>padek nastąpił</w:t>
      </w:r>
      <w:r w:rsidR="00AE5712" w:rsidRPr="006E35A4">
        <w:rPr>
          <w:rFonts w:ascii="Times New Roman" w:hAnsi="Times New Roman" w:cs="Times New Roman"/>
          <w:sz w:val="24"/>
          <w:szCs w:val="24"/>
        </w:rPr>
        <w:t xml:space="preserve"> </w:t>
      </w:r>
      <w:r w:rsidRPr="006E35A4">
        <w:rPr>
          <w:rFonts w:ascii="Times New Roman" w:hAnsi="Times New Roman" w:cs="Times New Roman"/>
          <w:sz w:val="24"/>
          <w:szCs w:val="24"/>
        </w:rPr>
        <w:t xml:space="preserve">również </w:t>
      </w:r>
      <w:r w:rsidR="00AE5712" w:rsidRPr="006E35A4">
        <w:rPr>
          <w:rFonts w:ascii="Times New Roman" w:hAnsi="Times New Roman" w:cs="Times New Roman"/>
          <w:sz w:val="24"/>
          <w:szCs w:val="24"/>
        </w:rPr>
        <w:t>w </w:t>
      </w:r>
      <w:r w:rsidR="005148CD" w:rsidRPr="006E35A4">
        <w:rPr>
          <w:rFonts w:ascii="Times New Roman" w:hAnsi="Times New Roman" w:cs="Times New Roman"/>
          <w:sz w:val="24"/>
          <w:szCs w:val="24"/>
        </w:rPr>
        <w:t>grupie osób bez zawodu (</w:t>
      </w:r>
      <w:r w:rsidR="00600379" w:rsidRPr="006E35A4">
        <w:rPr>
          <w:rFonts w:ascii="Times New Roman" w:hAnsi="Times New Roman" w:cs="Times New Roman"/>
          <w:sz w:val="24"/>
          <w:szCs w:val="24"/>
        </w:rPr>
        <w:t>1</w:t>
      </w:r>
      <w:r w:rsidR="005148CD" w:rsidRPr="006E35A4">
        <w:rPr>
          <w:rFonts w:ascii="Times New Roman" w:hAnsi="Times New Roman" w:cs="Times New Roman"/>
          <w:sz w:val="24"/>
          <w:szCs w:val="24"/>
        </w:rPr>
        <w:t> </w:t>
      </w:r>
      <w:r w:rsidR="006E35A4" w:rsidRPr="006E35A4">
        <w:rPr>
          <w:rFonts w:ascii="Times New Roman" w:hAnsi="Times New Roman" w:cs="Times New Roman"/>
          <w:sz w:val="24"/>
          <w:szCs w:val="24"/>
        </w:rPr>
        <w:t>232</w:t>
      </w:r>
      <w:r w:rsidR="005148CD" w:rsidRPr="006E35A4">
        <w:rPr>
          <w:rFonts w:ascii="Times New Roman" w:hAnsi="Times New Roman" w:cs="Times New Roman"/>
          <w:sz w:val="24"/>
          <w:szCs w:val="24"/>
        </w:rPr>
        <w:t>).</w:t>
      </w:r>
      <w:r w:rsidR="00600379" w:rsidRPr="006E35A4">
        <w:rPr>
          <w:rFonts w:ascii="Times New Roman" w:hAnsi="Times New Roman" w:cs="Times New Roman"/>
          <w:sz w:val="24"/>
          <w:szCs w:val="24"/>
        </w:rPr>
        <w:t xml:space="preserve"> </w:t>
      </w:r>
      <w:r w:rsidR="00B73D07" w:rsidRPr="006E35A4">
        <w:rPr>
          <w:rFonts w:ascii="Times New Roman" w:hAnsi="Times New Roman" w:cs="Times New Roman"/>
          <w:sz w:val="24"/>
          <w:szCs w:val="24"/>
        </w:rPr>
        <w:t>W grupie osób bez zawodu spadek</w:t>
      </w:r>
      <w:r w:rsidR="00AE5712" w:rsidRPr="006E35A4">
        <w:rPr>
          <w:rFonts w:ascii="Times New Roman" w:hAnsi="Times New Roman" w:cs="Times New Roman"/>
          <w:sz w:val="24"/>
          <w:szCs w:val="24"/>
        </w:rPr>
        <w:t xml:space="preserve"> w </w:t>
      </w:r>
      <w:r w:rsidR="00B73D07" w:rsidRPr="006E35A4">
        <w:rPr>
          <w:rFonts w:ascii="Times New Roman" w:hAnsi="Times New Roman" w:cs="Times New Roman"/>
          <w:sz w:val="24"/>
          <w:szCs w:val="24"/>
        </w:rPr>
        <w:t>stosunku do liczby</w:t>
      </w:r>
      <w:r w:rsidR="00AE5712" w:rsidRPr="006E35A4">
        <w:rPr>
          <w:rFonts w:ascii="Times New Roman" w:hAnsi="Times New Roman" w:cs="Times New Roman"/>
          <w:sz w:val="24"/>
          <w:szCs w:val="24"/>
        </w:rPr>
        <w:t xml:space="preserve"> z </w:t>
      </w:r>
      <w:r w:rsidR="00B73D07" w:rsidRPr="006E35A4">
        <w:rPr>
          <w:rFonts w:ascii="Times New Roman" w:hAnsi="Times New Roman" w:cs="Times New Roman"/>
          <w:sz w:val="24"/>
          <w:szCs w:val="24"/>
        </w:rPr>
        <w:t>końca 201</w:t>
      </w:r>
      <w:r w:rsidR="006E35A4" w:rsidRPr="006E35A4">
        <w:rPr>
          <w:rFonts w:ascii="Times New Roman" w:hAnsi="Times New Roman" w:cs="Times New Roman"/>
          <w:sz w:val="24"/>
          <w:szCs w:val="24"/>
        </w:rPr>
        <w:t>7</w:t>
      </w:r>
      <w:r w:rsidR="00AE5712" w:rsidRPr="006E35A4">
        <w:rPr>
          <w:rFonts w:ascii="Times New Roman" w:hAnsi="Times New Roman" w:cs="Times New Roman"/>
          <w:sz w:val="24"/>
          <w:szCs w:val="24"/>
        </w:rPr>
        <w:t> r</w:t>
      </w:r>
      <w:r w:rsidR="006E35A4" w:rsidRPr="006E35A4">
        <w:rPr>
          <w:rFonts w:ascii="Times New Roman" w:hAnsi="Times New Roman" w:cs="Times New Roman"/>
          <w:sz w:val="24"/>
          <w:szCs w:val="24"/>
        </w:rPr>
        <w:t>oku</w:t>
      </w:r>
      <w:r w:rsidR="00B73D07" w:rsidRPr="006E35A4">
        <w:rPr>
          <w:rFonts w:ascii="Times New Roman" w:hAnsi="Times New Roman" w:cs="Times New Roman"/>
          <w:sz w:val="24"/>
          <w:szCs w:val="24"/>
        </w:rPr>
        <w:t xml:space="preserve"> wyniósł </w:t>
      </w:r>
      <w:r w:rsidR="006E35A4" w:rsidRPr="006E35A4">
        <w:rPr>
          <w:rFonts w:ascii="Times New Roman" w:hAnsi="Times New Roman" w:cs="Times New Roman"/>
          <w:sz w:val="24"/>
          <w:szCs w:val="24"/>
        </w:rPr>
        <w:t>10</w:t>
      </w:r>
      <w:r w:rsidR="00B73D07" w:rsidRPr="006E35A4">
        <w:rPr>
          <w:rFonts w:ascii="Times New Roman" w:hAnsi="Times New Roman" w:cs="Times New Roman"/>
          <w:sz w:val="24"/>
          <w:szCs w:val="24"/>
        </w:rPr>
        <w:t>,</w:t>
      </w:r>
      <w:r w:rsidR="006E35A4" w:rsidRPr="006E35A4">
        <w:rPr>
          <w:rFonts w:ascii="Times New Roman" w:hAnsi="Times New Roman" w:cs="Times New Roman"/>
          <w:sz w:val="24"/>
          <w:szCs w:val="24"/>
        </w:rPr>
        <w:t xml:space="preserve">2 </w:t>
      </w:r>
      <w:r w:rsidR="00B73D07" w:rsidRPr="006E35A4">
        <w:rPr>
          <w:rFonts w:ascii="Times New Roman" w:hAnsi="Times New Roman" w:cs="Times New Roman"/>
          <w:sz w:val="24"/>
          <w:szCs w:val="24"/>
        </w:rPr>
        <w:t>% podczas gdy spadek liczby osób bezrobotnych</w:t>
      </w:r>
      <w:r w:rsidR="001B5D0B" w:rsidRPr="006E35A4">
        <w:rPr>
          <w:rFonts w:ascii="Times New Roman" w:hAnsi="Times New Roman" w:cs="Times New Roman"/>
          <w:sz w:val="24"/>
          <w:szCs w:val="24"/>
        </w:rPr>
        <w:t xml:space="preserve"> </w:t>
      </w:r>
      <w:r w:rsidRPr="006E35A4">
        <w:rPr>
          <w:rFonts w:ascii="Times New Roman" w:hAnsi="Times New Roman" w:cs="Times New Roman"/>
          <w:sz w:val="24"/>
          <w:szCs w:val="24"/>
        </w:rPr>
        <w:t xml:space="preserve">posiadających zawód </w:t>
      </w:r>
      <w:r w:rsidR="001B5D0B" w:rsidRPr="006E35A4">
        <w:rPr>
          <w:rFonts w:ascii="Times New Roman" w:hAnsi="Times New Roman" w:cs="Times New Roman"/>
          <w:sz w:val="24"/>
          <w:szCs w:val="24"/>
        </w:rPr>
        <w:t xml:space="preserve">wyniósł </w:t>
      </w:r>
      <w:r w:rsidR="006E35A4" w:rsidRPr="006E35A4">
        <w:rPr>
          <w:rFonts w:ascii="Times New Roman" w:hAnsi="Times New Roman" w:cs="Times New Roman"/>
          <w:sz w:val="24"/>
          <w:szCs w:val="24"/>
        </w:rPr>
        <w:t>8</w:t>
      </w:r>
      <w:r w:rsidR="001B5D0B" w:rsidRPr="006E35A4">
        <w:rPr>
          <w:rFonts w:ascii="Times New Roman" w:hAnsi="Times New Roman" w:cs="Times New Roman"/>
          <w:sz w:val="24"/>
          <w:szCs w:val="24"/>
        </w:rPr>
        <w:t>,</w:t>
      </w:r>
      <w:r w:rsidR="006E35A4" w:rsidRPr="006E35A4">
        <w:rPr>
          <w:rFonts w:ascii="Times New Roman" w:hAnsi="Times New Roman" w:cs="Times New Roman"/>
          <w:sz w:val="24"/>
          <w:szCs w:val="24"/>
        </w:rPr>
        <w:t xml:space="preserve">6 </w:t>
      </w:r>
      <w:r w:rsidR="001B5D0B" w:rsidRPr="006E35A4">
        <w:rPr>
          <w:rFonts w:ascii="Times New Roman" w:hAnsi="Times New Roman" w:cs="Times New Roman"/>
          <w:sz w:val="24"/>
          <w:szCs w:val="24"/>
        </w:rPr>
        <w:t>%.</w:t>
      </w:r>
    </w:p>
    <w:p w:rsidR="008E7DEA" w:rsidRPr="00C75C71" w:rsidRDefault="0005295A">
      <w:pPr>
        <w:rPr>
          <w:sz w:val="24"/>
          <w:szCs w:val="24"/>
          <w:highlight w:val="yellow"/>
        </w:rPr>
        <w:sectPr w:rsidR="008E7DEA" w:rsidRPr="00C75C71" w:rsidSect="00EF41CF">
          <w:footerReference w:type="default" r:id="rId64"/>
          <w:pgSz w:w="11906" w:h="16838"/>
          <w:pgMar w:top="1418" w:right="1418" w:bottom="1418" w:left="1418" w:header="709" w:footer="709" w:gutter="0"/>
          <w:cols w:space="708"/>
          <w:docGrid w:linePitch="360"/>
        </w:sectPr>
      </w:pPr>
      <w:r w:rsidRPr="00C75C71">
        <w:rPr>
          <w:sz w:val="24"/>
          <w:szCs w:val="24"/>
          <w:highlight w:val="yellow"/>
        </w:rPr>
        <w:br w:type="page"/>
      </w:r>
    </w:p>
    <w:p w:rsidR="0067454E" w:rsidRPr="002A267D" w:rsidRDefault="0067454E" w:rsidP="002A267D">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9" w:name="_Toc938730"/>
      <w:r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Wolne miejsca pracy</w:t>
      </w:r>
      <w:r w:rsidR="00AE5712"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i </w:t>
      </w:r>
      <w:r w:rsidR="002F6C19"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miejsca </w:t>
      </w:r>
      <w:r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aktywizacji zawodowej</w:t>
      </w:r>
      <w:bookmarkEnd w:id="19"/>
    </w:p>
    <w:p w:rsidR="00C851A5" w:rsidRPr="00C75C71" w:rsidRDefault="00C851A5" w:rsidP="009A1F42">
      <w:pPr>
        <w:pStyle w:val="Default"/>
        <w:jc w:val="both"/>
        <w:rPr>
          <w:bCs/>
          <w:highlight w:val="yellow"/>
        </w:rPr>
      </w:pPr>
    </w:p>
    <w:p w:rsidR="0067454E" w:rsidRPr="00C75C71" w:rsidRDefault="0067454E" w:rsidP="009A1F42">
      <w:pPr>
        <w:pStyle w:val="Default"/>
        <w:jc w:val="both"/>
        <w:rPr>
          <w:b/>
          <w:bCs/>
          <w:highlight w:val="yellow"/>
        </w:rPr>
      </w:pPr>
    </w:p>
    <w:p w:rsidR="00C851A5" w:rsidRPr="00C75C71" w:rsidRDefault="001C3D6D" w:rsidP="00C851A5">
      <w:pPr>
        <w:pStyle w:val="Default"/>
        <w:spacing w:line="360" w:lineRule="auto"/>
        <w:jc w:val="both"/>
        <w:rPr>
          <w:highlight w:val="yellow"/>
        </w:rPr>
        <w:sectPr w:rsidR="00C851A5" w:rsidRPr="00C75C71" w:rsidSect="00EF41CF">
          <w:pgSz w:w="16838" w:h="11906" w:orient="landscape"/>
          <w:pgMar w:top="1418" w:right="1418" w:bottom="1418" w:left="1418" w:header="709" w:footer="709" w:gutter="0"/>
          <w:cols w:space="708"/>
          <w:docGrid w:linePitch="360"/>
        </w:sectPr>
      </w:pPr>
      <w:r w:rsidRPr="001C3D6D">
        <w:rPr>
          <w:noProof/>
          <w:lang w:eastAsia="pl-PL"/>
        </w:rPr>
        <w:drawing>
          <wp:inline distT="0" distB="0" distL="0" distR="0" wp14:anchorId="778D2D1C" wp14:editId="7E089470">
            <wp:extent cx="8891270" cy="4334148"/>
            <wp:effectExtent l="0" t="0" r="5080"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891270" cy="4334148"/>
                    </a:xfrm>
                    <a:prstGeom prst="rect">
                      <a:avLst/>
                    </a:prstGeom>
                    <a:noFill/>
                    <a:ln>
                      <a:noFill/>
                    </a:ln>
                  </pic:spPr>
                </pic:pic>
              </a:graphicData>
            </a:graphic>
          </wp:inline>
        </w:drawing>
      </w:r>
    </w:p>
    <w:p w:rsidR="00DC2FC5" w:rsidRPr="002A267D" w:rsidRDefault="00DC2FC5" w:rsidP="00DC2FC5">
      <w:pPr>
        <w:autoSpaceDE w:val="0"/>
        <w:autoSpaceDN w:val="0"/>
        <w:adjustRightInd w:val="0"/>
        <w:spacing w:after="0" w:line="200" w:lineRule="exact"/>
        <w:jc w:val="both"/>
        <w:rPr>
          <w:rFonts w:ascii="Times New Roman" w:hAnsi="Times New Roman" w:cs="Times New Roman"/>
          <w:b/>
          <w:bCs/>
          <w:color w:val="000000"/>
          <w:sz w:val="16"/>
          <w:szCs w:val="16"/>
          <w:highlight w:val="yellow"/>
        </w:rPr>
      </w:pPr>
    </w:p>
    <w:p w:rsidR="00A44896" w:rsidRDefault="001C3D6D" w:rsidP="001C3D6D">
      <w:pPr>
        <w:spacing w:after="0" w:line="240" w:lineRule="auto"/>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80DF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9</w:t>
      </w:r>
      <w:r w:rsidRPr="00680DF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1C3D6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Wolne miejsca pracy i miejsca aktywizacji zawodowej</w:t>
      </w:r>
    </w:p>
    <w:p w:rsidR="001C3D6D" w:rsidRDefault="00A44896" w:rsidP="00A44896">
      <w:pPr>
        <w:spacing w:after="0" w:line="240" w:lineRule="auto"/>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1C3D6D" w:rsidRPr="001C3D6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(oferty pracy)</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1C3D6D" w:rsidRPr="001C3D6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zgłoszone</w:t>
      </w:r>
      <w:r w:rsidR="001C3D6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1C3D6D" w:rsidRPr="001C3D6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do PUP w latach 2004–201</w:t>
      </w:r>
      <w:r w:rsidR="001C3D6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8</w:t>
      </w:r>
    </w:p>
    <w:p w:rsidR="00DC2FC5" w:rsidRPr="00C75C71" w:rsidRDefault="00A44896" w:rsidP="00DC2FC5">
      <w:pPr>
        <w:pStyle w:val="Default"/>
        <w:jc w:val="both"/>
        <w:rPr>
          <w:color w:val="auto"/>
          <w:highlight w:val="yellow"/>
        </w:rPr>
      </w:pPr>
      <w:r>
        <w:rPr>
          <w:noProof/>
          <w:lang w:eastAsia="pl-PL"/>
        </w:rPr>
        <w:drawing>
          <wp:anchor distT="0" distB="0" distL="114300" distR="114300" simplePos="0" relativeHeight="251805696" behindDoc="1" locked="0" layoutInCell="1" allowOverlap="1" wp14:anchorId="7A04AA8B" wp14:editId="200F8CF6">
            <wp:simplePos x="0" y="0"/>
            <wp:positionH relativeFrom="column">
              <wp:posOffset>209550</wp:posOffset>
            </wp:positionH>
            <wp:positionV relativeFrom="paragraph">
              <wp:posOffset>99060</wp:posOffset>
            </wp:positionV>
            <wp:extent cx="5129530" cy="2653665"/>
            <wp:effectExtent l="0" t="0" r="0" b="0"/>
            <wp:wrapTight wrapText="bothSides">
              <wp:wrapPolygon edited="0">
                <wp:start x="3850" y="775"/>
                <wp:lineTo x="2005" y="1240"/>
                <wp:lineTo x="1845" y="1396"/>
                <wp:lineTo x="2166" y="16902"/>
                <wp:lineTo x="5455" y="18452"/>
                <wp:lineTo x="7300" y="18607"/>
                <wp:lineTo x="17006" y="20778"/>
                <wp:lineTo x="17407" y="21088"/>
                <wp:lineTo x="18530" y="21088"/>
                <wp:lineTo x="19172" y="18452"/>
                <wp:lineTo x="19573" y="2326"/>
                <wp:lineTo x="16846" y="1861"/>
                <wp:lineTo x="5535" y="775"/>
                <wp:lineTo x="3850" y="775"/>
              </wp:wrapPolygon>
            </wp:wrapTight>
            <wp:docPr id="683" name="Wykres 683"/>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14:sizeRelH relativeFrom="page">
              <wp14:pctWidth>0</wp14:pctWidth>
            </wp14:sizeRelH>
            <wp14:sizeRelV relativeFrom="page">
              <wp14:pctHeight>0</wp14:pctHeight>
            </wp14:sizeRelV>
          </wp:anchor>
        </w:drawing>
      </w:r>
    </w:p>
    <w:p w:rsidR="00DC2FC5" w:rsidRPr="00C75C71" w:rsidRDefault="00DC2FC5" w:rsidP="00DC2FC5">
      <w:pPr>
        <w:pStyle w:val="Default"/>
        <w:jc w:val="both"/>
        <w:rPr>
          <w:color w:val="auto"/>
          <w:sz w:val="22"/>
          <w:szCs w:val="22"/>
          <w:highlight w:val="yellow"/>
        </w:rPr>
      </w:pPr>
    </w:p>
    <w:p w:rsidR="00A44896" w:rsidRDefault="00A44896" w:rsidP="00614E9A">
      <w:pPr>
        <w:pStyle w:val="Default"/>
        <w:pBdr>
          <w:bottom w:val="single" w:sz="4" w:space="1" w:color="auto"/>
        </w:pBdr>
        <w:jc w:val="both"/>
        <w:rPr>
          <w:sz w:val="22"/>
          <w:szCs w:val="22"/>
          <w:highlight w:val="yellow"/>
        </w:rPr>
      </w:pPr>
    </w:p>
    <w:p w:rsidR="00A44896" w:rsidRDefault="00A44896" w:rsidP="00614E9A">
      <w:pPr>
        <w:pStyle w:val="Default"/>
        <w:pBdr>
          <w:bottom w:val="single" w:sz="4" w:space="1" w:color="auto"/>
        </w:pBdr>
        <w:jc w:val="both"/>
        <w:rPr>
          <w:sz w:val="22"/>
          <w:szCs w:val="22"/>
          <w:highlight w:val="yellow"/>
        </w:rPr>
      </w:pPr>
    </w:p>
    <w:p w:rsidR="00A44896" w:rsidRDefault="00A44896" w:rsidP="00614E9A">
      <w:pPr>
        <w:pStyle w:val="Default"/>
        <w:pBdr>
          <w:bottom w:val="single" w:sz="4" w:space="1" w:color="auto"/>
        </w:pBdr>
        <w:jc w:val="both"/>
        <w:rPr>
          <w:sz w:val="22"/>
          <w:szCs w:val="22"/>
          <w:highlight w:val="yellow"/>
        </w:rPr>
      </w:pPr>
    </w:p>
    <w:p w:rsidR="00A44896" w:rsidRDefault="00A44896" w:rsidP="00614E9A">
      <w:pPr>
        <w:pStyle w:val="Default"/>
        <w:pBdr>
          <w:bottom w:val="single" w:sz="4" w:space="1" w:color="auto"/>
        </w:pBdr>
        <w:jc w:val="both"/>
        <w:rPr>
          <w:sz w:val="22"/>
          <w:szCs w:val="22"/>
          <w:highlight w:val="yellow"/>
        </w:rPr>
      </w:pPr>
    </w:p>
    <w:p w:rsidR="00A44896" w:rsidRDefault="00A44896" w:rsidP="00614E9A">
      <w:pPr>
        <w:pStyle w:val="Default"/>
        <w:pBdr>
          <w:bottom w:val="single" w:sz="4" w:space="1" w:color="auto"/>
        </w:pBdr>
        <w:jc w:val="both"/>
        <w:rPr>
          <w:sz w:val="22"/>
          <w:szCs w:val="22"/>
          <w:highlight w:val="yellow"/>
        </w:rPr>
      </w:pPr>
    </w:p>
    <w:p w:rsidR="00A44896" w:rsidRDefault="00A44896" w:rsidP="00614E9A">
      <w:pPr>
        <w:pStyle w:val="Default"/>
        <w:pBdr>
          <w:bottom w:val="single" w:sz="4" w:space="1" w:color="auto"/>
        </w:pBdr>
        <w:jc w:val="both"/>
        <w:rPr>
          <w:sz w:val="22"/>
          <w:szCs w:val="22"/>
          <w:highlight w:val="yellow"/>
        </w:rPr>
      </w:pPr>
    </w:p>
    <w:p w:rsidR="00A44896" w:rsidRDefault="00A44896" w:rsidP="00614E9A">
      <w:pPr>
        <w:pStyle w:val="Default"/>
        <w:pBdr>
          <w:bottom w:val="single" w:sz="4" w:space="1" w:color="auto"/>
        </w:pBdr>
        <w:jc w:val="both"/>
        <w:rPr>
          <w:sz w:val="22"/>
          <w:szCs w:val="22"/>
          <w:highlight w:val="yellow"/>
        </w:rPr>
      </w:pPr>
    </w:p>
    <w:p w:rsidR="00A44896" w:rsidRDefault="00A44896" w:rsidP="00614E9A">
      <w:pPr>
        <w:pStyle w:val="Default"/>
        <w:pBdr>
          <w:bottom w:val="single" w:sz="4" w:space="1" w:color="auto"/>
        </w:pBdr>
        <w:jc w:val="both"/>
        <w:rPr>
          <w:sz w:val="22"/>
          <w:szCs w:val="22"/>
          <w:highlight w:val="yellow"/>
        </w:rPr>
      </w:pPr>
    </w:p>
    <w:p w:rsidR="00A44896" w:rsidRDefault="00A44896" w:rsidP="00614E9A">
      <w:pPr>
        <w:pStyle w:val="Default"/>
        <w:pBdr>
          <w:bottom w:val="single" w:sz="4" w:space="1" w:color="auto"/>
        </w:pBdr>
        <w:jc w:val="both"/>
        <w:rPr>
          <w:sz w:val="22"/>
          <w:szCs w:val="22"/>
          <w:highlight w:val="yellow"/>
        </w:rPr>
      </w:pPr>
    </w:p>
    <w:p w:rsidR="00A44896" w:rsidRDefault="00A44896" w:rsidP="00614E9A">
      <w:pPr>
        <w:pStyle w:val="Default"/>
        <w:pBdr>
          <w:bottom w:val="single" w:sz="4" w:space="1" w:color="auto"/>
        </w:pBdr>
        <w:jc w:val="both"/>
        <w:rPr>
          <w:sz w:val="22"/>
          <w:szCs w:val="22"/>
          <w:highlight w:val="yellow"/>
        </w:rPr>
      </w:pPr>
    </w:p>
    <w:p w:rsidR="00A44896" w:rsidRDefault="00A44896" w:rsidP="00614E9A">
      <w:pPr>
        <w:pStyle w:val="Default"/>
        <w:pBdr>
          <w:bottom w:val="single" w:sz="4" w:space="1" w:color="auto"/>
        </w:pBdr>
        <w:jc w:val="both"/>
        <w:rPr>
          <w:sz w:val="22"/>
          <w:szCs w:val="22"/>
          <w:highlight w:val="yellow"/>
        </w:rPr>
      </w:pPr>
    </w:p>
    <w:p w:rsidR="00A44896" w:rsidRDefault="00A44896" w:rsidP="00614E9A">
      <w:pPr>
        <w:pStyle w:val="Default"/>
        <w:pBdr>
          <w:bottom w:val="single" w:sz="4" w:space="1" w:color="auto"/>
        </w:pBdr>
        <w:jc w:val="both"/>
        <w:rPr>
          <w:sz w:val="22"/>
          <w:szCs w:val="22"/>
          <w:highlight w:val="yellow"/>
        </w:rPr>
      </w:pPr>
    </w:p>
    <w:p w:rsidR="00A44896" w:rsidRDefault="00A44896" w:rsidP="00614E9A">
      <w:pPr>
        <w:pStyle w:val="Default"/>
        <w:pBdr>
          <w:bottom w:val="single" w:sz="4" w:space="1" w:color="auto"/>
        </w:pBdr>
        <w:jc w:val="both"/>
        <w:rPr>
          <w:sz w:val="22"/>
          <w:szCs w:val="22"/>
          <w:highlight w:val="yellow"/>
        </w:rPr>
      </w:pPr>
    </w:p>
    <w:p w:rsidR="002A267D" w:rsidRDefault="002A267D" w:rsidP="00614E9A">
      <w:pPr>
        <w:pStyle w:val="Default"/>
        <w:pBdr>
          <w:bottom w:val="single" w:sz="4" w:space="1" w:color="auto"/>
        </w:pBdr>
        <w:jc w:val="both"/>
        <w:rPr>
          <w:sz w:val="22"/>
          <w:szCs w:val="22"/>
          <w:highlight w:val="yellow"/>
        </w:rPr>
      </w:pPr>
    </w:p>
    <w:p w:rsidR="008E7DEA" w:rsidRPr="00A44896" w:rsidRDefault="00C851A5" w:rsidP="00614E9A">
      <w:pPr>
        <w:pStyle w:val="Default"/>
        <w:pBdr>
          <w:bottom w:val="single" w:sz="4" w:space="1" w:color="auto"/>
        </w:pBdr>
        <w:jc w:val="both"/>
        <w:rPr>
          <w:sz w:val="22"/>
          <w:szCs w:val="22"/>
        </w:rPr>
      </w:pPr>
      <w:r w:rsidRPr="00A44896">
        <w:rPr>
          <w:sz w:val="22"/>
          <w:szCs w:val="22"/>
        </w:rPr>
        <w:t>Wnioski:</w:t>
      </w:r>
    </w:p>
    <w:p w:rsidR="008E7DEA" w:rsidRPr="003D0209" w:rsidRDefault="008E7DEA" w:rsidP="008E7DEA">
      <w:pPr>
        <w:pStyle w:val="Tekstpodstawowywcity"/>
        <w:spacing w:after="0" w:line="360" w:lineRule="auto"/>
        <w:ind w:left="0"/>
        <w:jc w:val="both"/>
        <w:rPr>
          <w:rFonts w:ascii="Times New Roman" w:hAnsi="Times New Roman" w:cs="Times New Roman"/>
          <w:sz w:val="18"/>
          <w:szCs w:val="18"/>
        </w:rPr>
      </w:pPr>
      <w:r w:rsidRPr="003D0209">
        <w:rPr>
          <w:rFonts w:ascii="Times New Roman" w:hAnsi="Times New Roman" w:cs="Times New Roman"/>
          <w:sz w:val="18"/>
          <w:szCs w:val="18"/>
        </w:rPr>
        <w:t>(na podstawie danych</w:t>
      </w:r>
      <w:r w:rsidR="00AE5712" w:rsidRPr="003D0209">
        <w:rPr>
          <w:rFonts w:ascii="Times New Roman" w:hAnsi="Times New Roman" w:cs="Times New Roman"/>
          <w:sz w:val="18"/>
          <w:szCs w:val="18"/>
        </w:rPr>
        <w:t xml:space="preserve"> z </w:t>
      </w:r>
      <w:r w:rsidR="00D6428C" w:rsidRPr="003D0209">
        <w:rPr>
          <w:rFonts w:ascii="Times New Roman" w:hAnsi="Times New Roman" w:cs="Times New Roman"/>
          <w:sz w:val="18"/>
          <w:szCs w:val="18"/>
        </w:rPr>
        <w:t>t</w:t>
      </w:r>
      <w:r w:rsidRPr="003D0209">
        <w:rPr>
          <w:rFonts w:ascii="Times New Roman" w:hAnsi="Times New Roman" w:cs="Times New Roman"/>
          <w:sz w:val="18"/>
          <w:szCs w:val="18"/>
        </w:rPr>
        <w:t xml:space="preserve">abeli </w:t>
      </w:r>
      <w:r w:rsidR="00D6428C" w:rsidRPr="003D0209">
        <w:rPr>
          <w:rFonts w:ascii="Times New Roman" w:hAnsi="Times New Roman" w:cs="Times New Roman"/>
          <w:sz w:val="18"/>
          <w:szCs w:val="18"/>
        </w:rPr>
        <w:t>XXVI</w:t>
      </w:r>
      <w:r w:rsidR="00AE5712" w:rsidRPr="003D0209">
        <w:rPr>
          <w:rFonts w:ascii="Times New Roman" w:hAnsi="Times New Roman" w:cs="Times New Roman"/>
          <w:sz w:val="18"/>
          <w:szCs w:val="18"/>
        </w:rPr>
        <w:t xml:space="preserve"> i </w:t>
      </w:r>
      <w:r w:rsidR="00D6428C" w:rsidRPr="003D0209">
        <w:rPr>
          <w:rFonts w:ascii="Times New Roman" w:hAnsi="Times New Roman" w:cs="Times New Roman"/>
          <w:sz w:val="18"/>
          <w:szCs w:val="18"/>
        </w:rPr>
        <w:t>w</w:t>
      </w:r>
      <w:r w:rsidR="00DC2FC5" w:rsidRPr="003D0209">
        <w:rPr>
          <w:rFonts w:ascii="Times New Roman" w:hAnsi="Times New Roman" w:cs="Times New Roman"/>
          <w:sz w:val="18"/>
          <w:szCs w:val="18"/>
        </w:rPr>
        <w:t xml:space="preserve">ykresu </w:t>
      </w:r>
      <w:r w:rsidR="003D0209">
        <w:rPr>
          <w:rFonts w:ascii="Times New Roman" w:hAnsi="Times New Roman" w:cs="Times New Roman"/>
          <w:sz w:val="18"/>
          <w:szCs w:val="18"/>
        </w:rPr>
        <w:t>9</w:t>
      </w:r>
      <w:r w:rsidRPr="003D0209">
        <w:rPr>
          <w:rFonts w:ascii="Times New Roman" w:hAnsi="Times New Roman" w:cs="Times New Roman"/>
          <w:sz w:val="18"/>
          <w:szCs w:val="18"/>
        </w:rPr>
        <w:t>)</w:t>
      </w:r>
    </w:p>
    <w:p w:rsidR="00D6428C" w:rsidRPr="00C75C71" w:rsidRDefault="00D6428C" w:rsidP="008E7DEA">
      <w:pPr>
        <w:pStyle w:val="Tekstpodstawowywcity"/>
        <w:spacing w:after="0" w:line="360" w:lineRule="auto"/>
        <w:ind w:left="0"/>
        <w:jc w:val="both"/>
        <w:rPr>
          <w:rFonts w:ascii="Times New Roman" w:hAnsi="Times New Roman" w:cs="Times New Roman"/>
          <w:sz w:val="16"/>
          <w:szCs w:val="16"/>
          <w:highlight w:val="yellow"/>
        </w:rPr>
      </w:pPr>
    </w:p>
    <w:p w:rsidR="001B5D0B" w:rsidRPr="00CA0833" w:rsidRDefault="00C71750" w:rsidP="00C71750">
      <w:pPr>
        <w:pStyle w:val="Bezodstpw"/>
        <w:numPr>
          <w:ilvl w:val="0"/>
          <w:numId w:val="10"/>
        </w:numPr>
        <w:spacing w:line="360" w:lineRule="auto"/>
        <w:jc w:val="both"/>
        <w:rPr>
          <w:rFonts w:ascii="Times New Roman" w:hAnsi="Times New Roman" w:cs="Times New Roman"/>
          <w:sz w:val="24"/>
          <w:szCs w:val="24"/>
        </w:rPr>
      </w:pPr>
      <w:r w:rsidRPr="00CA0833">
        <w:rPr>
          <w:rFonts w:ascii="Times New Roman" w:hAnsi="Times New Roman" w:cs="Times New Roman"/>
          <w:sz w:val="24"/>
          <w:szCs w:val="24"/>
        </w:rPr>
        <w:t>W</w:t>
      </w:r>
      <w:r w:rsidR="00AE5712" w:rsidRPr="00CA0833">
        <w:rPr>
          <w:rFonts w:ascii="Times New Roman" w:hAnsi="Times New Roman" w:cs="Times New Roman"/>
          <w:sz w:val="24"/>
          <w:szCs w:val="24"/>
        </w:rPr>
        <w:t> </w:t>
      </w:r>
      <w:r w:rsidR="00A326C7" w:rsidRPr="00CA0833">
        <w:rPr>
          <w:rFonts w:ascii="Times New Roman" w:hAnsi="Times New Roman" w:cs="Times New Roman"/>
          <w:sz w:val="24"/>
          <w:szCs w:val="24"/>
        </w:rPr>
        <w:t>latach</w:t>
      </w:r>
      <w:r w:rsidR="002605E4" w:rsidRPr="00CA0833">
        <w:rPr>
          <w:rFonts w:ascii="Times New Roman" w:hAnsi="Times New Roman" w:cs="Times New Roman"/>
          <w:sz w:val="24"/>
          <w:szCs w:val="24"/>
        </w:rPr>
        <w:t xml:space="preserve"> </w:t>
      </w:r>
      <w:r w:rsidR="002B17CB" w:rsidRPr="00CA0833">
        <w:rPr>
          <w:rFonts w:ascii="Times New Roman" w:hAnsi="Times New Roman" w:cs="Times New Roman"/>
          <w:sz w:val="24"/>
          <w:szCs w:val="24"/>
        </w:rPr>
        <w:t>‘</w:t>
      </w:r>
      <w:r w:rsidR="00A326C7" w:rsidRPr="00CA0833">
        <w:rPr>
          <w:rFonts w:ascii="Times New Roman" w:hAnsi="Times New Roman" w:cs="Times New Roman"/>
          <w:sz w:val="24"/>
          <w:szCs w:val="24"/>
        </w:rPr>
        <w:t>04–</w:t>
      </w:r>
      <w:r w:rsidR="002B17CB" w:rsidRPr="00CA0833">
        <w:rPr>
          <w:rFonts w:ascii="Times New Roman" w:hAnsi="Times New Roman" w:cs="Times New Roman"/>
          <w:sz w:val="24"/>
          <w:szCs w:val="24"/>
        </w:rPr>
        <w:t>‘</w:t>
      </w:r>
      <w:r w:rsidR="00A326C7" w:rsidRPr="00CA0833">
        <w:rPr>
          <w:rFonts w:ascii="Times New Roman" w:hAnsi="Times New Roman" w:cs="Times New Roman"/>
          <w:sz w:val="24"/>
          <w:szCs w:val="24"/>
        </w:rPr>
        <w:t>0</w:t>
      </w:r>
      <w:r w:rsidR="00A44896" w:rsidRPr="00CA0833">
        <w:rPr>
          <w:rFonts w:ascii="Times New Roman" w:hAnsi="Times New Roman" w:cs="Times New Roman"/>
          <w:sz w:val="24"/>
          <w:szCs w:val="24"/>
        </w:rPr>
        <w:t>8</w:t>
      </w:r>
      <w:r w:rsidR="00A326C7" w:rsidRPr="00CA0833">
        <w:rPr>
          <w:rFonts w:ascii="Times New Roman" w:hAnsi="Times New Roman" w:cs="Times New Roman"/>
          <w:sz w:val="24"/>
          <w:szCs w:val="24"/>
        </w:rPr>
        <w:t xml:space="preserve"> następował wzrost liczby wolnych miejsc pracy</w:t>
      </w:r>
      <w:r w:rsidR="00AE5712" w:rsidRPr="00CA0833">
        <w:rPr>
          <w:rFonts w:ascii="Times New Roman" w:hAnsi="Times New Roman" w:cs="Times New Roman"/>
          <w:sz w:val="24"/>
          <w:szCs w:val="24"/>
        </w:rPr>
        <w:t xml:space="preserve"> i </w:t>
      </w:r>
      <w:r w:rsidR="00A326C7" w:rsidRPr="00CA0833">
        <w:rPr>
          <w:rFonts w:ascii="Times New Roman" w:hAnsi="Times New Roman" w:cs="Times New Roman"/>
          <w:sz w:val="24"/>
          <w:szCs w:val="24"/>
        </w:rPr>
        <w:t>aktywizacji zawodowej.</w:t>
      </w:r>
      <w:r w:rsidR="00AE5712" w:rsidRPr="00CA0833">
        <w:rPr>
          <w:rFonts w:ascii="Times New Roman" w:hAnsi="Times New Roman" w:cs="Times New Roman"/>
          <w:sz w:val="24"/>
          <w:szCs w:val="24"/>
        </w:rPr>
        <w:t xml:space="preserve"> </w:t>
      </w:r>
      <w:r w:rsidRPr="00CA0833">
        <w:rPr>
          <w:rFonts w:ascii="Times New Roman" w:hAnsi="Times New Roman" w:cs="Times New Roman"/>
          <w:sz w:val="24"/>
          <w:szCs w:val="24"/>
        </w:rPr>
        <w:t>W</w:t>
      </w:r>
      <w:r w:rsidR="00AE5712" w:rsidRPr="00CA0833">
        <w:rPr>
          <w:rFonts w:ascii="Times New Roman" w:hAnsi="Times New Roman" w:cs="Times New Roman"/>
          <w:sz w:val="24"/>
          <w:szCs w:val="24"/>
        </w:rPr>
        <w:t> </w:t>
      </w:r>
      <w:r w:rsidR="002B17CB" w:rsidRPr="00CA0833">
        <w:rPr>
          <w:rFonts w:ascii="Times New Roman" w:hAnsi="Times New Roman" w:cs="Times New Roman"/>
          <w:sz w:val="24"/>
          <w:szCs w:val="24"/>
        </w:rPr>
        <w:t>‘</w:t>
      </w:r>
      <w:r w:rsidR="00A326C7" w:rsidRPr="00CA0833">
        <w:rPr>
          <w:rFonts w:ascii="Times New Roman" w:hAnsi="Times New Roman" w:cs="Times New Roman"/>
          <w:sz w:val="24"/>
          <w:szCs w:val="24"/>
        </w:rPr>
        <w:t>09</w:t>
      </w:r>
      <w:r w:rsidR="00AE5712" w:rsidRPr="00CA0833">
        <w:rPr>
          <w:rFonts w:ascii="Times New Roman" w:hAnsi="Times New Roman" w:cs="Times New Roman"/>
          <w:sz w:val="24"/>
          <w:szCs w:val="24"/>
        </w:rPr>
        <w:t> r.</w:t>
      </w:r>
      <w:r w:rsidR="00A326C7" w:rsidRPr="00CA0833">
        <w:rPr>
          <w:rFonts w:ascii="Times New Roman" w:hAnsi="Times New Roman" w:cs="Times New Roman"/>
          <w:sz w:val="24"/>
          <w:szCs w:val="24"/>
        </w:rPr>
        <w:t xml:space="preserve"> odnotowano ich </w:t>
      </w:r>
      <w:r w:rsidR="002605E4" w:rsidRPr="00CA0833">
        <w:rPr>
          <w:rFonts w:ascii="Times New Roman" w:hAnsi="Times New Roman" w:cs="Times New Roman"/>
          <w:sz w:val="24"/>
          <w:szCs w:val="24"/>
        </w:rPr>
        <w:t xml:space="preserve">spadek </w:t>
      </w:r>
      <w:r w:rsidR="00AE5712" w:rsidRPr="00CA0833">
        <w:rPr>
          <w:rFonts w:ascii="Times New Roman" w:hAnsi="Times New Roman" w:cs="Times New Roman"/>
          <w:sz w:val="24"/>
          <w:szCs w:val="24"/>
        </w:rPr>
        <w:t>w </w:t>
      </w:r>
      <w:r w:rsidR="00A326C7" w:rsidRPr="00CA0833">
        <w:rPr>
          <w:rFonts w:ascii="Times New Roman" w:hAnsi="Times New Roman" w:cs="Times New Roman"/>
          <w:sz w:val="24"/>
          <w:szCs w:val="24"/>
        </w:rPr>
        <w:t>porównaniu</w:t>
      </w:r>
      <w:r w:rsidR="00D94663" w:rsidRPr="00CA0833">
        <w:rPr>
          <w:rFonts w:ascii="Times New Roman" w:hAnsi="Times New Roman" w:cs="Times New Roman"/>
          <w:sz w:val="24"/>
          <w:szCs w:val="24"/>
        </w:rPr>
        <w:t xml:space="preserve"> do</w:t>
      </w:r>
      <w:r w:rsidR="00A326C7" w:rsidRPr="00CA0833">
        <w:rPr>
          <w:rFonts w:ascii="Times New Roman" w:hAnsi="Times New Roman" w:cs="Times New Roman"/>
          <w:sz w:val="24"/>
          <w:szCs w:val="24"/>
        </w:rPr>
        <w:t xml:space="preserve"> </w:t>
      </w:r>
      <w:r w:rsidR="002B17CB" w:rsidRPr="00CA0833">
        <w:rPr>
          <w:rFonts w:ascii="Times New Roman" w:hAnsi="Times New Roman" w:cs="Times New Roman"/>
          <w:sz w:val="24"/>
          <w:szCs w:val="24"/>
        </w:rPr>
        <w:t>‘</w:t>
      </w:r>
      <w:r w:rsidR="00A326C7" w:rsidRPr="00CA0833">
        <w:rPr>
          <w:rFonts w:ascii="Times New Roman" w:hAnsi="Times New Roman" w:cs="Times New Roman"/>
          <w:sz w:val="24"/>
          <w:szCs w:val="24"/>
        </w:rPr>
        <w:t>0</w:t>
      </w:r>
      <w:r w:rsidR="004520F6" w:rsidRPr="00CA0833">
        <w:rPr>
          <w:rFonts w:ascii="Times New Roman" w:hAnsi="Times New Roman" w:cs="Times New Roman"/>
          <w:sz w:val="24"/>
          <w:szCs w:val="24"/>
        </w:rPr>
        <w:t>8</w:t>
      </w:r>
      <w:r w:rsidR="00AE5712" w:rsidRPr="00CA0833">
        <w:rPr>
          <w:rFonts w:ascii="Times New Roman" w:hAnsi="Times New Roman" w:cs="Times New Roman"/>
          <w:sz w:val="24"/>
          <w:szCs w:val="24"/>
        </w:rPr>
        <w:t> r.</w:t>
      </w:r>
      <w:r w:rsidR="002B17CB" w:rsidRPr="00CA0833">
        <w:rPr>
          <w:rFonts w:ascii="Times New Roman" w:hAnsi="Times New Roman" w:cs="Times New Roman"/>
          <w:sz w:val="24"/>
          <w:szCs w:val="24"/>
        </w:rPr>
        <w:t xml:space="preserve"> – </w:t>
      </w:r>
      <w:r w:rsidR="00D94663" w:rsidRPr="00CA0833">
        <w:rPr>
          <w:rFonts w:ascii="Times New Roman" w:hAnsi="Times New Roman" w:cs="Times New Roman"/>
          <w:sz w:val="24"/>
          <w:szCs w:val="24"/>
        </w:rPr>
        <w:t xml:space="preserve">o </w:t>
      </w:r>
      <w:r w:rsidR="00A326C7" w:rsidRPr="00CA0833">
        <w:rPr>
          <w:rFonts w:ascii="Times New Roman" w:hAnsi="Times New Roman" w:cs="Times New Roman"/>
          <w:sz w:val="24"/>
          <w:szCs w:val="24"/>
        </w:rPr>
        <w:t>3</w:t>
      </w:r>
      <w:r w:rsidR="00D94663" w:rsidRPr="00CA0833">
        <w:rPr>
          <w:rFonts w:ascii="Times New Roman" w:hAnsi="Times New Roman" w:cs="Times New Roman"/>
          <w:sz w:val="24"/>
          <w:szCs w:val="24"/>
        </w:rPr>
        <w:t> </w:t>
      </w:r>
      <w:r w:rsidR="00A326C7" w:rsidRPr="00CA0833">
        <w:rPr>
          <w:rFonts w:ascii="Times New Roman" w:hAnsi="Times New Roman" w:cs="Times New Roman"/>
          <w:sz w:val="24"/>
          <w:szCs w:val="24"/>
        </w:rPr>
        <w:t>783 oferty.</w:t>
      </w:r>
      <w:r w:rsidR="00AE5712" w:rsidRPr="00CA0833">
        <w:rPr>
          <w:rFonts w:ascii="Times New Roman" w:hAnsi="Times New Roman" w:cs="Times New Roman"/>
          <w:sz w:val="24"/>
          <w:szCs w:val="24"/>
        </w:rPr>
        <w:t xml:space="preserve"> </w:t>
      </w:r>
      <w:r w:rsidRPr="00CA0833">
        <w:rPr>
          <w:rFonts w:ascii="Times New Roman" w:hAnsi="Times New Roman" w:cs="Times New Roman"/>
          <w:sz w:val="24"/>
          <w:szCs w:val="24"/>
        </w:rPr>
        <w:t>W</w:t>
      </w:r>
      <w:r w:rsidR="00AE5712" w:rsidRPr="00CA0833">
        <w:rPr>
          <w:rFonts w:ascii="Times New Roman" w:hAnsi="Times New Roman" w:cs="Times New Roman"/>
          <w:sz w:val="24"/>
          <w:szCs w:val="24"/>
        </w:rPr>
        <w:t> </w:t>
      </w:r>
      <w:r w:rsidR="002B17CB" w:rsidRPr="00CA0833">
        <w:rPr>
          <w:rFonts w:ascii="Times New Roman" w:hAnsi="Times New Roman" w:cs="Times New Roman"/>
          <w:sz w:val="24"/>
          <w:szCs w:val="24"/>
        </w:rPr>
        <w:t>‘</w:t>
      </w:r>
      <w:r w:rsidR="001B5D0B" w:rsidRPr="00CA0833">
        <w:rPr>
          <w:rFonts w:ascii="Times New Roman" w:hAnsi="Times New Roman" w:cs="Times New Roman"/>
          <w:sz w:val="24"/>
          <w:szCs w:val="24"/>
        </w:rPr>
        <w:t>11</w:t>
      </w:r>
      <w:r w:rsidR="00AE5712" w:rsidRPr="00CA0833">
        <w:rPr>
          <w:rFonts w:ascii="Times New Roman" w:hAnsi="Times New Roman" w:cs="Times New Roman"/>
          <w:sz w:val="24"/>
          <w:szCs w:val="24"/>
        </w:rPr>
        <w:t> r.</w:t>
      </w:r>
      <w:r w:rsidR="001B5D0B" w:rsidRPr="00CA0833">
        <w:rPr>
          <w:rFonts w:ascii="Times New Roman" w:hAnsi="Times New Roman" w:cs="Times New Roman"/>
          <w:sz w:val="24"/>
          <w:szCs w:val="24"/>
        </w:rPr>
        <w:t xml:space="preserve"> ponownie odnotowano spadek do poziomu najniższego od </w:t>
      </w:r>
      <w:r w:rsidR="00CA0833" w:rsidRPr="00CA0833">
        <w:rPr>
          <w:rFonts w:ascii="Times New Roman" w:hAnsi="Times New Roman" w:cs="Times New Roman"/>
          <w:sz w:val="24"/>
          <w:szCs w:val="24"/>
        </w:rPr>
        <w:t>20</w:t>
      </w:r>
      <w:r w:rsidR="001B5D0B" w:rsidRPr="00CA0833">
        <w:rPr>
          <w:rFonts w:ascii="Times New Roman" w:hAnsi="Times New Roman" w:cs="Times New Roman"/>
          <w:sz w:val="24"/>
          <w:szCs w:val="24"/>
        </w:rPr>
        <w:t>0</w:t>
      </w:r>
      <w:r w:rsidR="002B17CB" w:rsidRPr="00CA0833">
        <w:rPr>
          <w:rFonts w:ascii="Times New Roman" w:hAnsi="Times New Roman" w:cs="Times New Roman"/>
          <w:sz w:val="24"/>
          <w:szCs w:val="24"/>
        </w:rPr>
        <w:t>6</w:t>
      </w:r>
      <w:r w:rsidR="00AE5712" w:rsidRPr="00CA0833">
        <w:rPr>
          <w:rFonts w:ascii="Times New Roman" w:hAnsi="Times New Roman" w:cs="Times New Roman"/>
          <w:sz w:val="24"/>
          <w:szCs w:val="24"/>
        </w:rPr>
        <w:t> r</w:t>
      </w:r>
      <w:r w:rsidR="002B17CB" w:rsidRPr="00CA0833">
        <w:rPr>
          <w:rFonts w:ascii="Times New Roman" w:hAnsi="Times New Roman" w:cs="Times New Roman"/>
          <w:sz w:val="24"/>
          <w:szCs w:val="24"/>
        </w:rPr>
        <w:t>oku</w:t>
      </w:r>
      <w:r w:rsidR="00CA0833" w:rsidRPr="00CA0833">
        <w:rPr>
          <w:rFonts w:ascii="Times New Roman" w:hAnsi="Times New Roman" w:cs="Times New Roman"/>
          <w:sz w:val="24"/>
          <w:szCs w:val="24"/>
        </w:rPr>
        <w:t>.</w:t>
      </w:r>
      <w:r w:rsidR="001B5D0B" w:rsidRPr="00CA0833">
        <w:rPr>
          <w:rFonts w:ascii="Times New Roman" w:hAnsi="Times New Roman" w:cs="Times New Roman"/>
          <w:sz w:val="24"/>
          <w:szCs w:val="24"/>
        </w:rPr>
        <w:t xml:space="preserve"> </w:t>
      </w:r>
      <w:r w:rsidR="00CA0833" w:rsidRPr="00CA0833">
        <w:rPr>
          <w:rFonts w:ascii="Times New Roman" w:hAnsi="Times New Roman" w:cs="Times New Roman"/>
          <w:sz w:val="24"/>
          <w:szCs w:val="24"/>
        </w:rPr>
        <w:t xml:space="preserve">W okresie </w:t>
      </w:r>
      <w:r w:rsidR="00B407AB" w:rsidRPr="00CA0833">
        <w:rPr>
          <w:rFonts w:ascii="Times New Roman" w:hAnsi="Times New Roman" w:cs="Times New Roman"/>
          <w:sz w:val="24"/>
          <w:szCs w:val="24"/>
        </w:rPr>
        <w:t>201</w:t>
      </w:r>
      <w:r w:rsidR="002B17CB" w:rsidRPr="00CA0833">
        <w:rPr>
          <w:rFonts w:ascii="Times New Roman" w:hAnsi="Times New Roman" w:cs="Times New Roman"/>
          <w:sz w:val="24"/>
          <w:szCs w:val="24"/>
        </w:rPr>
        <w:t>2</w:t>
      </w:r>
      <w:r w:rsidR="00CA0833" w:rsidRPr="00CA0833">
        <w:rPr>
          <w:rFonts w:ascii="Times New Roman" w:hAnsi="Times New Roman" w:cs="Times New Roman"/>
          <w:sz w:val="24"/>
          <w:szCs w:val="24"/>
        </w:rPr>
        <w:t xml:space="preserve"> –</w:t>
      </w:r>
      <w:r w:rsidR="00A57E7E" w:rsidRPr="00CA0833">
        <w:rPr>
          <w:rFonts w:ascii="Times New Roman" w:hAnsi="Times New Roman" w:cs="Times New Roman"/>
          <w:sz w:val="24"/>
          <w:szCs w:val="24"/>
        </w:rPr>
        <w:t xml:space="preserve"> 2017 roku </w:t>
      </w:r>
      <w:r w:rsidR="001B5D0B" w:rsidRPr="00CA0833">
        <w:rPr>
          <w:rFonts w:ascii="Times New Roman" w:hAnsi="Times New Roman" w:cs="Times New Roman"/>
          <w:sz w:val="24"/>
          <w:szCs w:val="24"/>
        </w:rPr>
        <w:t>nast</w:t>
      </w:r>
      <w:r w:rsidR="002B17CB" w:rsidRPr="00CA0833">
        <w:rPr>
          <w:rFonts w:ascii="Times New Roman" w:hAnsi="Times New Roman" w:cs="Times New Roman"/>
          <w:sz w:val="24"/>
          <w:szCs w:val="24"/>
        </w:rPr>
        <w:t>ęp</w:t>
      </w:r>
      <w:r w:rsidR="00CA0833">
        <w:rPr>
          <w:rFonts w:ascii="Times New Roman" w:hAnsi="Times New Roman" w:cs="Times New Roman"/>
          <w:sz w:val="24"/>
          <w:szCs w:val="24"/>
        </w:rPr>
        <w:t xml:space="preserve">ował </w:t>
      </w:r>
      <w:r w:rsidR="001B5D0B" w:rsidRPr="00CA0833">
        <w:rPr>
          <w:rFonts w:ascii="Times New Roman" w:hAnsi="Times New Roman" w:cs="Times New Roman"/>
          <w:sz w:val="24"/>
          <w:szCs w:val="24"/>
        </w:rPr>
        <w:t>wzrost</w:t>
      </w:r>
      <w:r w:rsidR="002B17CB" w:rsidRPr="00CA0833">
        <w:rPr>
          <w:rFonts w:ascii="Times New Roman" w:hAnsi="Times New Roman" w:cs="Times New Roman"/>
          <w:sz w:val="24"/>
          <w:szCs w:val="24"/>
        </w:rPr>
        <w:t xml:space="preserve"> </w:t>
      </w:r>
      <w:r w:rsidR="00CA0833">
        <w:rPr>
          <w:rFonts w:ascii="Times New Roman" w:hAnsi="Times New Roman" w:cs="Times New Roman"/>
          <w:sz w:val="24"/>
          <w:szCs w:val="24"/>
        </w:rPr>
        <w:t xml:space="preserve">liczby </w:t>
      </w:r>
      <w:r w:rsidR="002B17CB" w:rsidRPr="00CA0833">
        <w:rPr>
          <w:rFonts w:ascii="Times New Roman" w:hAnsi="Times New Roman" w:cs="Times New Roman"/>
          <w:sz w:val="24"/>
          <w:szCs w:val="24"/>
        </w:rPr>
        <w:t>ofert</w:t>
      </w:r>
      <w:r w:rsidR="00B407AB" w:rsidRPr="00CA0833">
        <w:rPr>
          <w:rFonts w:ascii="Times New Roman" w:hAnsi="Times New Roman" w:cs="Times New Roman"/>
          <w:sz w:val="24"/>
          <w:szCs w:val="24"/>
        </w:rPr>
        <w:t xml:space="preserve"> </w:t>
      </w:r>
      <w:r w:rsidR="002B17CB" w:rsidRPr="00CA0833">
        <w:rPr>
          <w:rFonts w:ascii="Times New Roman" w:hAnsi="Times New Roman" w:cs="Times New Roman"/>
          <w:sz w:val="24"/>
          <w:szCs w:val="24"/>
        </w:rPr>
        <w:t>zgłoszonych przez pracodawców do PUP</w:t>
      </w:r>
      <w:r w:rsidR="001B5D0B" w:rsidRPr="00CA0833">
        <w:rPr>
          <w:rFonts w:ascii="Times New Roman" w:hAnsi="Times New Roman" w:cs="Times New Roman"/>
          <w:sz w:val="24"/>
          <w:szCs w:val="24"/>
        </w:rPr>
        <w:t>.</w:t>
      </w:r>
      <w:r w:rsidR="00AE5712" w:rsidRPr="00CA0833">
        <w:rPr>
          <w:rFonts w:ascii="Times New Roman" w:hAnsi="Times New Roman" w:cs="Times New Roman"/>
          <w:sz w:val="24"/>
          <w:szCs w:val="24"/>
        </w:rPr>
        <w:t xml:space="preserve"> </w:t>
      </w:r>
      <w:r w:rsidRPr="00CA0833">
        <w:rPr>
          <w:rFonts w:ascii="Times New Roman" w:hAnsi="Times New Roman" w:cs="Times New Roman"/>
          <w:sz w:val="24"/>
          <w:szCs w:val="24"/>
        </w:rPr>
        <w:t>W</w:t>
      </w:r>
      <w:r w:rsidR="00AE5712" w:rsidRPr="00CA0833">
        <w:rPr>
          <w:rFonts w:ascii="Times New Roman" w:hAnsi="Times New Roman" w:cs="Times New Roman"/>
          <w:sz w:val="24"/>
          <w:szCs w:val="24"/>
        </w:rPr>
        <w:t> </w:t>
      </w:r>
      <w:r w:rsidR="00A57E7E" w:rsidRPr="00CA0833">
        <w:rPr>
          <w:rFonts w:ascii="Times New Roman" w:hAnsi="Times New Roman" w:cs="Times New Roman"/>
          <w:sz w:val="24"/>
          <w:szCs w:val="24"/>
        </w:rPr>
        <w:t>20</w:t>
      </w:r>
      <w:r w:rsidR="00A326C7" w:rsidRPr="00CA0833">
        <w:rPr>
          <w:rFonts w:ascii="Times New Roman" w:hAnsi="Times New Roman" w:cs="Times New Roman"/>
          <w:sz w:val="24"/>
          <w:szCs w:val="24"/>
        </w:rPr>
        <w:t>1</w:t>
      </w:r>
      <w:r w:rsidR="00A57E7E" w:rsidRPr="00CA0833">
        <w:rPr>
          <w:rFonts w:ascii="Times New Roman" w:hAnsi="Times New Roman" w:cs="Times New Roman"/>
          <w:sz w:val="24"/>
          <w:szCs w:val="24"/>
        </w:rPr>
        <w:t>8</w:t>
      </w:r>
      <w:r w:rsidR="00AE5712" w:rsidRPr="00CA0833">
        <w:rPr>
          <w:rFonts w:ascii="Times New Roman" w:hAnsi="Times New Roman" w:cs="Times New Roman"/>
          <w:sz w:val="24"/>
          <w:szCs w:val="24"/>
        </w:rPr>
        <w:t> r</w:t>
      </w:r>
      <w:r w:rsidR="00A57E7E" w:rsidRPr="00CA0833">
        <w:rPr>
          <w:rFonts w:ascii="Times New Roman" w:hAnsi="Times New Roman" w:cs="Times New Roman"/>
          <w:sz w:val="24"/>
          <w:szCs w:val="24"/>
        </w:rPr>
        <w:t>oku</w:t>
      </w:r>
      <w:r w:rsidR="00AE5712" w:rsidRPr="00CA0833">
        <w:rPr>
          <w:rFonts w:ascii="Times New Roman" w:hAnsi="Times New Roman" w:cs="Times New Roman"/>
          <w:sz w:val="24"/>
          <w:szCs w:val="24"/>
        </w:rPr>
        <w:t xml:space="preserve"> w </w:t>
      </w:r>
      <w:r w:rsidR="00A326C7" w:rsidRPr="00CA0833">
        <w:rPr>
          <w:rFonts w:ascii="Times New Roman" w:hAnsi="Times New Roman" w:cs="Times New Roman"/>
          <w:sz w:val="24"/>
          <w:szCs w:val="24"/>
        </w:rPr>
        <w:t xml:space="preserve">porównaniu </w:t>
      </w:r>
      <w:r w:rsidR="00446016" w:rsidRPr="00CA0833">
        <w:rPr>
          <w:rFonts w:ascii="Times New Roman" w:hAnsi="Times New Roman" w:cs="Times New Roman"/>
          <w:sz w:val="24"/>
          <w:szCs w:val="24"/>
        </w:rPr>
        <w:t xml:space="preserve">do roku poprzedniego </w:t>
      </w:r>
      <w:r w:rsidR="00CA0833">
        <w:rPr>
          <w:rFonts w:ascii="Times New Roman" w:hAnsi="Times New Roman" w:cs="Times New Roman"/>
          <w:sz w:val="24"/>
          <w:szCs w:val="24"/>
        </w:rPr>
        <w:t xml:space="preserve">odnotowano </w:t>
      </w:r>
      <w:r w:rsidR="00A57E7E" w:rsidRPr="00CA0833">
        <w:rPr>
          <w:rFonts w:ascii="Times New Roman" w:hAnsi="Times New Roman" w:cs="Times New Roman"/>
          <w:sz w:val="24"/>
          <w:szCs w:val="24"/>
        </w:rPr>
        <w:t>spadek</w:t>
      </w:r>
      <w:r w:rsidR="00AE5712" w:rsidRPr="00CA0833">
        <w:rPr>
          <w:rFonts w:ascii="Times New Roman" w:hAnsi="Times New Roman" w:cs="Times New Roman"/>
          <w:sz w:val="24"/>
          <w:szCs w:val="24"/>
        </w:rPr>
        <w:t xml:space="preserve"> o </w:t>
      </w:r>
      <w:r w:rsidR="00A57E7E" w:rsidRPr="00CA0833">
        <w:rPr>
          <w:rFonts w:ascii="Times New Roman" w:hAnsi="Times New Roman" w:cs="Times New Roman"/>
          <w:sz w:val="24"/>
          <w:szCs w:val="24"/>
        </w:rPr>
        <w:t>14 398</w:t>
      </w:r>
      <w:r w:rsidR="00A326C7" w:rsidRPr="00CA0833">
        <w:rPr>
          <w:rFonts w:ascii="Times New Roman" w:hAnsi="Times New Roman" w:cs="Times New Roman"/>
          <w:sz w:val="24"/>
          <w:szCs w:val="24"/>
        </w:rPr>
        <w:t xml:space="preserve"> ofert. </w:t>
      </w:r>
    </w:p>
    <w:p w:rsidR="00D94663" w:rsidRPr="00CA0833" w:rsidRDefault="00F63B04" w:rsidP="00160DBC">
      <w:pPr>
        <w:pStyle w:val="Bezodstpw"/>
        <w:numPr>
          <w:ilvl w:val="0"/>
          <w:numId w:val="10"/>
        </w:numPr>
        <w:spacing w:line="360" w:lineRule="auto"/>
        <w:jc w:val="both"/>
        <w:rPr>
          <w:rFonts w:ascii="Times New Roman" w:hAnsi="Times New Roman" w:cs="Times New Roman"/>
          <w:sz w:val="24"/>
          <w:szCs w:val="24"/>
        </w:rPr>
      </w:pPr>
      <w:r w:rsidRPr="00CA0833">
        <w:rPr>
          <w:rFonts w:ascii="Times New Roman" w:hAnsi="Times New Roman" w:cs="Times New Roman"/>
          <w:sz w:val="24"/>
          <w:szCs w:val="24"/>
          <w:u w:val="single"/>
        </w:rPr>
        <w:t>W 201</w:t>
      </w:r>
      <w:r w:rsidR="00CA0833" w:rsidRPr="00CA0833">
        <w:rPr>
          <w:rFonts w:ascii="Times New Roman" w:hAnsi="Times New Roman" w:cs="Times New Roman"/>
          <w:sz w:val="24"/>
          <w:szCs w:val="24"/>
          <w:u w:val="single"/>
        </w:rPr>
        <w:t>8</w:t>
      </w:r>
      <w:r w:rsidR="00AE5712" w:rsidRPr="00CA0833">
        <w:rPr>
          <w:rFonts w:ascii="Times New Roman" w:hAnsi="Times New Roman" w:cs="Times New Roman"/>
          <w:sz w:val="24"/>
          <w:szCs w:val="24"/>
          <w:u w:val="single"/>
        </w:rPr>
        <w:t> r</w:t>
      </w:r>
      <w:r w:rsidR="009C1190" w:rsidRPr="00CA0833">
        <w:rPr>
          <w:rFonts w:ascii="Times New Roman" w:hAnsi="Times New Roman" w:cs="Times New Roman"/>
          <w:sz w:val="24"/>
          <w:szCs w:val="24"/>
          <w:u w:val="single"/>
        </w:rPr>
        <w:t>oku</w:t>
      </w:r>
      <w:r w:rsidR="00AE5712" w:rsidRPr="00CA0833">
        <w:rPr>
          <w:rFonts w:ascii="Times New Roman" w:hAnsi="Times New Roman" w:cs="Times New Roman"/>
          <w:sz w:val="24"/>
          <w:szCs w:val="24"/>
          <w:u w:val="single"/>
        </w:rPr>
        <w:t xml:space="preserve"> w </w:t>
      </w:r>
      <w:r w:rsidRPr="00CA0833">
        <w:rPr>
          <w:rFonts w:ascii="Times New Roman" w:hAnsi="Times New Roman" w:cs="Times New Roman"/>
          <w:sz w:val="24"/>
          <w:szCs w:val="24"/>
          <w:u w:val="single"/>
        </w:rPr>
        <w:t xml:space="preserve">województwie podkarpackim odnotowano </w:t>
      </w:r>
      <w:r w:rsidR="00CA0833" w:rsidRPr="00CA0833">
        <w:rPr>
          <w:rFonts w:ascii="Times New Roman" w:hAnsi="Times New Roman" w:cs="Times New Roman"/>
          <w:sz w:val="24"/>
          <w:szCs w:val="24"/>
          <w:u w:val="single"/>
        </w:rPr>
        <w:t>61 438</w:t>
      </w:r>
      <w:r w:rsidRPr="00CA0833">
        <w:rPr>
          <w:rFonts w:ascii="Times New Roman" w:hAnsi="Times New Roman" w:cs="Times New Roman"/>
          <w:sz w:val="24"/>
          <w:szCs w:val="24"/>
          <w:u w:val="single"/>
        </w:rPr>
        <w:t xml:space="preserve"> zgłoszonych </w:t>
      </w:r>
      <w:r w:rsidR="00CA0833" w:rsidRPr="00CA0833">
        <w:rPr>
          <w:rFonts w:ascii="Times New Roman" w:hAnsi="Times New Roman" w:cs="Times New Roman"/>
          <w:sz w:val="24"/>
          <w:szCs w:val="24"/>
          <w:u w:val="single"/>
        </w:rPr>
        <w:t xml:space="preserve">do PUP </w:t>
      </w:r>
      <w:r w:rsidR="00CA0833">
        <w:rPr>
          <w:rFonts w:ascii="Times New Roman" w:hAnsi="Times New Roman" w:cs="Times New Roman"/>
          <w:sz w:val="24"/>
          <w:szCs w:val="24"/>
          <w:u w:val="single"/>
        </w:rPr>
        <w:t>wolnych miejsc pracy i miejsc aktywizacji zawodowej</w:t>
      </w:r>
      <w:r w:rsidRPr="00CA0833">
        <w:rPr>
          <w:rFonts w:ascii="Times New Roman" w:hAnsi="Times New Roman" w:cs="Times New Roman"/>
          <w:sz w:val="24"/>
          <w:szCs w:val="24"/>
          <w:u w:val="single"/>
        </w:rPr>
        <w:t>.</w:t>
      </w:r>
    </w:p>
    <w:p w:rsidR="00D22C55" w:rsidRPr="00CA0833" w:rsidRDefault="00CA0833" w:rsidP="00004257">
      <w:pPr>
        <w:pStyle w:val="Bezodstpw"/>
        <w:numPr>
          <w:ilvl w:val="0"/>
          <w:numId w:val="10"/>
        </w:numPr>
        <w:spacing w:line="360" w:lineRule="auto"/>
        <w:jc w:val="both"/>
        <w:rPr>
          <w:rFonts w:ascii="Times New Roman" w:hAnsi="Times New Roman" w:cs="Times New Roman"/>
          <w:sz w:val="24"/>
          <w:szCs w:val="24"/>
        </w:rPr>
      </w:pPr>
      <w:r w:rsidRPr="00CA0833">
        <w:rPr>
          <w:rFonts w:ascii="Times New Roman" w:hAnsi="Times New Roman" w:cs="Times New Roman"/>
          <w:sz w:val="24"/>
          <w:szCs w:val="24"/>
        </w:rPr>
        <w:t xml:space="preserve">Z ofert ogółem (61 438) ofertami pracy subsydiowanej </w:t>
      </w:r>
      <w:r w:rsidRPr="007A2764">
        <w:rPr>
          <w:rFonts w:ascii="Times New Roman" w:hAnsi="Times New Roman" w:cs="Times New Roman"/>
          <w:sz w:val="24"/>
          <w:szCs w:val="24"/>
        </w:rPr>
        <w:t xml:space="preserve">było </w:t>
      </w:r>
      <w:r w:rsidR="007A2764" w:rsidRPr="007A2764">
        <w:rPr>
          <w:rFonts w:ascii="Times New Roman" w:hAnsi="Times New Roman" w:cs="Times New Roman"/>
          <w:sz w:val="24"/>
          <w:szCs w:val="24"/>
        </w:rPr>
        <w:t>2</w:t>
      </w:r>
      <w:r w:rsidR="0059311B" w:rsidRPr="007A2764">
        <w:rPr>
          <w:rFonts w:ascii="Times New Roman" w:hAnsi="Times New Roman" w:cs="Times New Roman"/>
          <w:sz w:val="24"/>
          <w:szCs w:val="24"/>
        </w:rPr>
        <w:t>0</w:t>
      </w:r>
      <w:r w:rsidR="0067454E" w:rsidRPr="007A2764">
        <w:rPr>
          <w:rFonts w:ascii="Times New Roman" w:hAnsi="Times New Roman" w:cs="Times New Roman"/>
          <w:sz w:val="24"/>
          <w:szCs w:val="24"/>
        </w:rPr>
        <w:t xml:space="preserve"> </w:t>
      </w:r>
      <w:r w:rsidR="007A2764" w:rsidRPr="007A2764">
        <w:rPr>
          <w:rFonts w:ascii="Times New Roman" w:hAnsi="Times New Roman" w:cs="Times New Roman"/>
          <w:sz w:val="24"/>
          <w:szCs w:val="24"/>
        </w:rPr>
        <w:t>784</w:t>
      </w:r>
      <w:r w:rsidR="0067454E" w:rsidRPr="007A2764">
        <w:rPr>
          <w:rFonts w:ascii="Times New Roman" w:hAnsi="Times New Roman" w:cs="Times New Roman"/>
          <w:sz w:val="24"/>
          <w:szCs w:val="24"/>
        </w:rPr>
        <w:t xml:space="preserve"> </w:t>
      </w:r>
      <w:r w:rsidRPr="007A2764">
        <w:rPr>
          <w:rFonts w:ascii="Times New Roman" w:hAnsi="Times New Roman" w:cs="Times New Roman"/>
          <w:sz w:val="24"/>
          <w:szCs w:val="24"/>
        </w:rPr>
        <w:t xml:space="preserve">tj. </w:t>
      </w:r>
      <w:r w:rsidR="007A2764" w:rsidRPr="007A2764">
        <w:rPr>
          <w:rFonts w:ascii="Times New Roman" w:hAnsi="Times New Roman" w:cs="Times New Roman"/>
          <w:sz w:val="24"/>
          <w:szCs w:val="24"/>
        </w:rPr>
        <w:t>33</w:t>
      </w:r>
      <w:r w:rsidR="0067454E" w:rsidRPr="007A2764">
        <w:rPr>
          <w:rFonts w:ascii="Times New Roman" w:hAnsi="Times New Roman" w:cs="Times New Roman"/>
          <w:sz w:val="24"/>
          <w:szCs w:val="24"/>
        </w:rPr>
        <w:t>,</w:t>
      </w:r>
      <w:r w:rsidR="007A2764" w:rsidRPr="007A2764">
        <w:rPr>
          <w:rFonts w:ascii="Times New Roman" w:hAnsi="Times New Roman" w:cs="Times New Roman"/>
          <w:sz w:val="24"/>
          <w:szCs w:val="24"/>
        </w:rPr>
        <w:t>8</w:t>
      </w:r>
      <w:r w:rsidRPr="007A2764">
        <w:rPr>
          <w:rFonts w:ascii="Times New Roman" w:hAnsi="Times New Roman" w:cs="Times New Roman"/>
          <w:sz w:val="24"/>
          <w:szCs w:val="24"/>
        </w:rPr>
        <w:t xml:space="preserve"> </w:t>
      </w:r>
      <w:r w:rsidR="0067454E" w:rsidRPr="007A2764">
        <w:rPr>
          <w:rFonts w:ascii="Times New Roman" w:hAnsi="Times New Roman" w:cs="Times New Roman"/>
          <w:sz w:val="24"/>
          <w:szCs w:val="24"/>
        </w:rPr>
        <w:t>%  (w 1</w:t>
      </w:r>
      <w:r w:rsidRPr="007A2764">
        <w:rPr>
          <w:rFonts w:ascii="Times New Roman" w:hAnsi="Times New Roman" w:cs="Times New Roman"/>
          <w:sz w:val="24"/>
          <w:szCs w:val="24"/>
        </w:rPr>
        <w:t>7</w:t>
      </w:r>
      <w:r w:rsidR="00AE5712" w:rsidRPr="00CA0833">
        <w:rPr>
          <w:rFonts w:ascii="Times New Roman" w:hAnsi="Times New Roman" w:cs="Times New Roman"/>
          <w:sz w:val="24"/>
          <w:szCs w:val="24"/>
        </w:rPr>
        <w:t> r.</w:t>
      </w:r>
      <w:r w:rsidR="0067454E" w:rsidRPr="00CA0833">
        <w:rPr>
          <w:rFonts w:ascii="Times New Roman" w:hAnsi="Times New Roman" w:cs="Times New Roman"/>
          <w:sz w:val="24"/>
          <w:szCs w:val="24"/>
        </w:rPr>
        <w:t xml:space="preserve"> </w:t>
      </w:r>
      <w:r w:rsidR="00DC246C" w:rsidRPr="00CA0833">
        <w:rPr>
          <w:rFonts w:ascii="Times New Roman" w:hAnsi="Times New Roman" w:cs="Times New Roman"/>
          <w:sz w:val="24"/>
          <w:szCs w:val="24"/>
        </w:rPr>
        <w:t>oferty subsydiowane to</w:t>
      </w:r>
      <w:r w:rsidR="0067454E" w:rsidRPr="00CA0833">
        <w:rPr>
          <w:rFonts w:ascii="Times New Roman" w:hAnsi="Times New Roman" w:cs="Times New Roman"/>
          <w:sz w:val="24"/>
          <w:szCs w:val="24"/>
        </w:rPr>
        <w:t xml:space="preserve"> </w:t>
      </w:r>
      <w:r w:rsidR="00842F61" w:rsidRPr="00CA0833">
        <w:rPr>
          <w:rFonts w:ascii="Times New Roman" w:hAnsi="Times New Roman" w:cs="Times New Roman"/>
          <w:sz w:val="24"/>
          <w:szCs w:val="24"/>
        </w:rPr>
        <w:t>4</w:t>
      </w:r>
      <w:r w:rsidRPr="00CA0833">
        <w:rPr>
          <w:rFonts w:ascii="Times New Roman" w:hAnsi="Times New Roman" w:cs="Times New Roman"/>
          <w:sz w:val="24"/>
          <w:szCs w:val="24"/>
        </w:rPr>
        <w:t>0</w:t>
      </w:r>
      <w:r w:rsidR="0067454E" w:rsidRPr="00CA0833">
        <w:rPr>
          <w:rFonts w:ascii="Times New Roman" w:hAnsi="Times New Roman" w:cs="Times New Roman"/>
          <w:sz w:val="24"/>
          <w:szCs w:val="24"/>
        </w:rPr>
        <w:t>,</w:t>
      </w:r>
      <w:r w:rsidRPr="00CA0833">
        <w:rPr>
          <w:rFonts w:ascii="Times New Roman" w:hAnsi="Times New Roman" w:cs="Times New Roman"/>
          <w:sz w:val="24"/>
          <w:szCs w:val="24"/>
        </w:rPr>
        <w:t xml:space="preserve">7 </w:t>
      </w:r>
      <w:r w:rsidR="0067454E" w:rsidRPr="00CA0833">
        <w:rPr>
          <w:rFonts w:ascii="Times New Roman" w:hAnsi="Times New Roman" w:cs="Times New Roman"/>
          <w:sz w:val="24"/>
          <w:szCs w:val="24"/>
        </w:rPr>
        <w:t xml:space="preserve">% ogółu </w:t>
      </w:r>
      <w:r w:rsidR="00DC2FC5" w:rsidRPr="00CA0833">
        <w:rPr>
          <w:rFonts w:ascii="Times New Roman" w:hAnsi="Times New Roman" w:cs="Times New Roman"/>
          <w:sz w:val="24"/>
          <w:szCs w:val="24"/>
        </w:rPr>
        <w:t xml:space="preserve">zgłoszonych </w:t>
      </w:r>
      <w:r w:rsidR="0067454E" w:rsidRPr="00CA0833">
        <w:rPr>
          <w:rFonts w:ascii="Times New Roman" w:hAnsi="Times New Roman" w:cs="Times New Roman"/>
          <w:sz w:val="24"/>
          <w:szCs w:val="24"/>
        </w:rPr>
        <w:t>wolnych miejsc pracy</w:t>
      </w:r>
      <w:r w:rsidR="00AE5712" w:rsidRPr="00CA0833">
        <w:rPr>
          <w:rFonts w:ascii="Times New Roman" w:hAnsi="Times New Roman" w:cs="Times New Roman"/>
          <w:sz w:val="24"/>
          <w:szCs w:val="24"/>
        </w:rPr>
        <w:t xml:space="preserve"> i </w:t>
      </w:r>
      <w:r w:rsidR="0067454E" w:rsidRPr="00CA0833">
        <w:rPr>
          <w:rFonts w:ascii="Times New Roman" w:hAnsi="Times New Roman" w:cs="Times New Roman"/>
          <w:sz w:val="24"/>
          <w:szCs w:val="24"/>
        </w:rPr>
        <w:t>miejsc aktywizacji zawodowej).</w:t>
      </w:r>
    </w:p>
    <w:p w:rsidR="004520F6" w:rsidRPr="00017264" w:rsidRDefault="004520F6" w:rsidP="00004257">
      <w:pPr>
        <w:pStyle w:val="Bezodstpw"/>
        <w:numPr>
          <w:ilvl w:val="0"/>
          <w:numId w:val="10"/>
        </w:numPr>
        <w:spacing w:line="360" w:lineRule="auto"/>
        <w:jc w:val="both"/>
        <w:rPr>
          <w:rFonts w:ascii="Times New Roman" w:hAnsi="Times New Roman" w:cs="Times New Roman"/>
          <w:sz w:val="24"/>
          <w:szCs w:val="24"/>
        </w:rPr>
      </w:pPr>
      <w:r w:rsidRPr="00017264">
        <w:rPr>
          <w:rFonts w:ascii="Times New Roman" w:hAnsi="Times New Roman" w:cs="Times New Roman"/>
          <w:sz w:val="24"/>
          <w:szCs w:val="24"/>
        </w:rPr>
        <w:t>„</w:t>
      </w:r>
      <w:r w:rsidR="009E5F73" w:rsidRPr="00017264">
        <w:rPr>
          <w:rFonts w:ascii="Times New Roman" w:hAnsi="Times New Roman" w:cs="Times New Roman"/>
          <w:sz w:val="24"/>
          <w:szCs w:val="24"/>
        </w:rPr>
        <w:t>O</w:t>
      </w:r>
      <w:r w:rsidRPr="00017264">
        <w:rPr>
          <w:rFonts w:ascii="Times New Roman" w:hAnsi="Times New Roman" w:cs="Times New Roman"/>
          <w:sz w:val="24"/>
          <w:szCs w:val="24"/>
        </w:rPr>
        <w:t>dpływ” bezrobotnych</w:t>
      </w:r>
      <w:r w:rsidR="00AE5712" w:rsidRPr="00017264">
        <w:rPr>
          <w:rFonts w:ascii="Times New Roman" w:hAnsi="Times New Roman" w:cs="Times New Roman"/>
          <w:sz w:val="24"/>
          <w:szCs w:val="24"/>
        </w:rPr>
        <w:t xml:space="preserve"> z </w:t>
      </w:r>
      <w:r w:rsidRPr="00017264">
        <w:rPr>
          <w:rFonts w:ascii="Times New Roman" w:hAnsi="Times New Roman" w:cs="Times New Roman"/>
          <w:sz w:val="24"/>
          <w:szCs w:val="24"/>
        </w:rPr>
        <w:t>rejestru</w:t>
      </w:r>
      <w:r w:rsidR="00AE5712" w:rsidRPr="00017264">
        <w:rPr>
          <w:rFonts w:ascii="Times New Roman" w:hAnsi="Times New Roman" w:cs="Times New Roman"/>
          <w:sz w:val="24"/>
          <w:szCs w:val="24"/>
        </w:rPr>
        <w:t xml:space="preserve"> z </w:t>
      </w:r>
      <w:r w:rsidRPr="00017264">
        <w:rPr>
          <w:rFonts w:ascii="Times New Roman" w:hAnsi="Times New Roman" w:cs="Times New Roman"/>
          <w:sz w:val="24"/>
          <w:szCs w:val="24"/>
        </w:rPr>
        <w:t>powodu podjęcia pracy pokazuje</w:t>
      </w:r>
      <w:r w:rsidR="00004257" w:rsidRPr="00017264">
        <w:rPr>
          <w:rFonts w:ascii="Times New Roman" w:hAnsi="Times New Roman" w:cs="Times New Roman"/>
          <w:sz w:val="24"/>
          <w:szCs w:val="24"/>
        </w:rPr>
        <w:t xml:space="preserve"> stan realizacji subsydiów. Tylko </w:t>
      </w:r>
      <w:r w:rsidR="002844CE" w:rsidRPr="00017264">
        <w:rPr>
          <w:rFonts w:ascii="Times New Roman" w:hAnsi="Times New Roman" w:cs="Times New Roman"/>
          <w:sz w:val="24"/>
          <w:szCs w:val="24"/>
        </w:rPr>
        <w:t>2</w:t>
      </w:r>
      <w:r w:rsidR="009E5F73" w:rsidRPr="00017264">
        <w:rPr>
          <w:rFonts w:ascii="Times New Roman" w:hAnsi="Times New Roman" w:cs="Times New Roman"/>
          <w:sz w:val="24"/>
          <w:szCs w:val="24"/>
        </w:rPr>
        <w:t>0</w:t>
      </w:r>
      <w:r w:rsidRPr="00017264">
        <w:rPr>
          <w:rFonts w:ascii="Times New Roman" w:hAnsi="Times New Roman" w:cs="Times New Roman"/>
          <w:sz w:val="24"/>
          <w:szCs w:val="24"/>
        </w:rPr>
        <w:t>,</w:t>
      </w:r>
      <w:r w:rsidR="009E5F73" w:rsidRPr="00017264">
        <w:rPr>
          <w:rFonts w:ascii="Times New Roman" w:hAnsi="Times New Roman" w:cs="Times New Roman"/>
          <w:sz w:val="24"/>
          <w:szCs w:val="24"/>
        </w:rPr>
        <w:t xml:space="preserve">3 </w:t>
      </w:r>
      <w:r w:rsidRPr="00017264">
        <w:rPr>
          <w:rFonts w:ascii="Times New Roman" w:hAnsi="Times New Roman" w:cs="Times New Roman"/>
          <w:sz w:val="24"/>
          <w:szCs w:val="24"/>
        </w:rPr>
        <w:t>%</w:t>
      </w:r>
      <w:r w:rsidR="00AE5712" w:rsidRPr="00017264">
        <w:rPr>
          <w:rFonts w:ascii="Times New Roman" w:hAnsi="Times New Roman" w:cs="Times New Roman"/>
          <w:sz w:val="24"/>
          <w:szCs w:val="24"/>
        </w:rPr>
        <w:t xml:space="preserve"> </w:t>
      </w:r>
      <w:r w:rsidR="00D22C55" w:rsidRPr="00017264">
        <w:rPr>
          <w:rFonts w:ascii="Times New Roman" w:hAnsi="Times New Roman" w:cs="Times New Roman"/>
          <w:sz w:val="24"/>
          <w:szCs w:val="24"/>
        </w:rPr>
        <w:t xml:space="preserve"> </w:t>
      </w:r>
      <w:r w:rsidR="00004257" w:rsidRPr="00017264">
        <w:rPr>
          <w:rFonts w:ascii="Times New Roman" w:hAnsi="Times New Roman" w:cs="Times New Roman"/>
          <w:sz w:val="24"/>
          <w:szCs w:val="24"/>
        </w:rPr>
        <w:t xml:space="preserve">wyrejestrowanych </w:t>
      </w:r>
      <w:r w:rsidR="00D22C55" w:rsidRPr="00017264">
        <w:rPr>
          <w:rFonts w:ascii="Times New Roman" w:hAnsi="Times New Roman" w:cs="Times New Roman"/>
          <w:sz w:val="24"/>
          <w:szCs w:val="24"/>
        </w:rPr>
        <w:t>do</w:t>
      </w:r>
      <w:r w:rsidR="00004257" w:rsidRPr="00017264">
        <w:rPr>
          <w:rFonts w:ascii="Times New Roman" w:hAnsi="Times New Roman" w:cs="Times New Roman"/>
          <w:sz w:val="24"/>
          <w:szCs w:val="24"/>
        </w:rPr>
        <w:t xml:space="preserve"> pracy tj. </w:t>
      </w:r>
      <w:r w:rsidR="002844CE" w:rsidRPr="00017264">
        <w:rPr>
          <w:rFonts w:ascii="Times New Roman" w:hAnsi="Times New Roman" w:cs="Times New Roman"/>
          <w:sz w:val="24"/>
          <w:szCs w:val="24"/>
        </w:rPr>
        <w:t>1</w:t>
      </w:r>
      <w:r w:rsidR="00017264" w:rsidRPr="00017264">
        <w:rPr>
          <w:rFonts w:ascii="Times New Roman" w:hAnsi="Times New Roman" w:cs="Times New Roman"/>
          <w:sz w:val="24"/>
          <w:szCs w:val="24"/>
        </w:rPr>
        <w:t>4</w:t>
      </w:r>
      <w:r w:rsidR="00004257" w:rsidRPr="00017264">
        <w:rPr>
          <w:rFonts w:ascii="Times New Roman" w:hAnsi="Times New Roman" w:cs="Times New Roman"/>
          <w:sz w:val="24"/>
          <w:szCs w:val="24"/>
        </w:rPr>
        <w:t> </w:t>
      </w:r>
      <w:r w:rsidR="00017264" w:rsidRPr="00017264">
        <w:rPr>
          <w:rFonts w:ascii="Times New Roman" w:hAnsi="Times New Roman" w:cs="Times New Roman"/>
          <w:sz w:val="24"/>
          <w:szCs w:val="24"/>
        </w:rPr>
        <w:t>185</w:t>
      </w:r>
      <w:r w:rsidR="00004257" w:rsidRPr="00017264">
        <w:rPr>
          <w:rFonts w:ascii="Times New Roman" w:hAnsi="Times New Roman" w:cs="Times New Roman"/>
          <w:sz w:val="24"/>
          <w:szCs w:val="24"/>
        </w:rPr>
        <w:t xml:space="preserve"> podjęło prace subsydiowane</w:t>
      </w:r>
      <w:r w:rsidR="00017264">
        <w:rPr>
          <w:rFonts w:ascii="Times New Roman" w:hAnsi="Times New Roman" w:cs="Times New Roman"/>
          <w:sz w:val="24"/>
          <w:szCs w:val="24"/>
        </w:rPr>
        <w:t>,</w:t>
      </w:r>
      <w:r w:rsidR="00492A77" w:rsidRPr="00017264">
        <w:rPr>
          <w:rFonts w:ascii="Times New Roman" w:hAnsi="Times New Roman" w:cs="Times New Roman"/>
          <w:sz w:val="24"/>
          <w:szCs w:val="24"/>
        </w:rPr>
        <w:t xml:space="preserve"> </w:t>
      </w:r>
      <w:r w:rsidR="00004257" w:rsidRPr="00017264">
        <w:rPr>
          <w:rFonts w:ascii="Times New Roman" w:hAnsi="Times New Roman" w:cs="Times New Roman"/>
          <w:sz w:val="24"/>
          <w:szCs w:val="24"/>
        </w:rPr>
        <w:t>w stosunku do ogółu bezrobotnych</w:t>
      </w:r>
      <w:r w:rsidR="00017264" w:rsidRPr="00017264">
        <w:rPr>
          <w:rFonts w:ascii="Times New Roman" w:hAnsi="Times New Roman" w:cs="Times New Roman"/>
          <w:sz w:val="24"/>
          <w:szCs w:val="24"/>
        </w:rPr>
        <w:t xml:space="preserve"> – 69</w:t>
      </w:r>
      <w:r w:rsidR="00017264">
        <w:rPr>
          <w:rFonts w:ascii="Times New Roman" w:hAnsi="Times New Roman" w:cs="Times New Roman"/>
          <w:sz w:val="24"/>
          <w:szCs w:val="24"/>
        </w:rPr>
        <w:t> </w:t>
      </w:r>
      <w:r w:rsidR="00017264" w:rsidRPr="00017264">
        <w:rPr>
          <w:rFonts w:ascii="Times New Roman" w:hAnsi="Times New Roman" w:cs="Times New Roman"/>
          <w:sz w:val="24"/>
          <w:szCs w:val="24"/>
        </w:rPr>
        <w:t>942</w:t>
      </w:r>
      <w:r w:rsidR="00017264">
        <w:rPr>
          <w:rFonts w:ascii="Times New Roman" w:hAnsi="Times New Roman" w:cs="Times New Roman"/>
          <w:sz w:val="24"/>
          <w:szCs w:val="24"/>
        </w:rPr>
        <w:t xml:space="preserve">, </w:t>
      </w:r>
      <w:r w:rsidR="00017264" w:rsidRPr="00017264">
        <w:rPr>
          <w:rFonts w:ascii="Times New Roman" w:hAnsi="Times New Roman" w:cs="Times New Roman"/>
          <w:sz w:val="24"/>
          <w:szCs w:val="24"/>
        </w:rPr>
        <w:t>wyrejestrowanych z</w:t>
      </w:r>
      <w:r w:rsidR="00017264">
        <w:rPr>
          <w:rFonts w:ascii="Times New Roman" w:hAnsi="Times New Roman" w:cs="Times New Roman"/>
          <w:sz w:val="24"/>
          <w:szCs w:val="24"/>
        </w:rPr>
        <w:t> </w:t>
      </w:r>
      <w:r w:rsidR="00017264" w:rsidRPr="00017264">
        <w:rPr>
          <w:rFonts w:ascii="Times New Roman" w:hAnsi="Times New Roman" w:cs="Times New Roman"/>
          <w:sz w:val="24"/>
          <w:szCs w:val="24"/>
        </w:rPr>
        <w:t>powodu podjęcia zatrudnienia (zarówno subsydiowanego jak i niesubsydiowanego)</w:t>
      </w:r>
      <w:r w:rsidRPr="00017264">
        <w:rPr>
          <w:rFonts w:ascii="Times New Roman" w:hAnsi="Times New Roman" w:cs="Times New Roman"/>
          <w:sz w:val="24"/>
          <w:szCs w:val="24"/>
        </w:rPr>
        <w:t>.</w:t>
      </w:r>
    </w:p>
    <w:p w:rsidR="002A267D" w:rsidRPr="002A267D" w:rsidRDefault="0067454E" w:rsidP="002A267D">
      <w:pPr>
        <w:pStyle w:val="Bezodstpw"/>
        <w:numPr>
          <w:ilvl w:val="0"/>
          <w:numId w:val="10"/>
        </w:numPr>
        <w:spacing w:line="360" w:lineRule="auto"/>
        <w:jc w:val="both"/>
        <w:rPr>
          <w:rFonts w:ascii="Times New Roman" w:hAnsi="Times New Roman" w:cs="Times New Roman"/>
          <w:sz w:val="24"/>
          <w:szCs w:val="24"/>
        </w:rPr>
      </w:pPr>
      <w:r w:rsidRPr="002A267D">
        <w:rPr>
          <w:rFonts w:ascii="Times New Roman" w:hAnsi="Times New Roman" w:cs="Times New Roman"/>
          <w:sz w:val="24"/>
          <w:szCs w:val="24"/>
        </w:rPr>
        <w:t xml:space="preserve">Spośród ogólnej liczby ofert </w:t>
      </w:r>
      <w:r w:rsidR="00B6796D" w:rsidRPr="002A267D">
        <w:rPr>
          <w:rFonts w:ascii="Times New Roman" w:hAnsi="Times New Roman" w:cs="Times New Roman"/>
          <w:sz w:val="24"/>
          <w:szCs w:val="24"/>
        </w:rPr>
        <w:t xml:space="preserve">pracy </w:t>
      </w:r>
      <w:r w:rsidRPr="002A267D">
        <w:rPr>
          <w:rFonts w:ascii="Times New Roman" w:hAnsi="Times New Roman" w:cs="Times New Roman"/>
          <w:sz w:val="24"/>
          <w:szCs w:val="24"/>
        </w:rPr>
        <w:t>zgłoszonych</w:t>
      </w:r>
      <w:r w:rsidR="00755177" w:rsidRPr="002A267D">
        <w:rPr>
          <w:rFonts w:ascii="Times New Roman" w:hAnsi="Times New Roman" w:cs="Times New Roman"/>
          <w:sz w:val="24"/>
          <w:szCs w:val="24"/>
        </w:rPr>
        <w:t xml:space="preserve"> </w:t>
      </w:r>
      <w:r w:rsidR="00AE5712" w:rsidRPr="002A267D">
        <w:rPr>
          <w:rFonts w:ascii="Times New Roman" w:hAnsi="Times New Roman" w:cs="Times New Roman"/>
          <w:sz w:val="24"/>
          <w:szCs w:val="24"/>
        </w:rPr>
        <w:t>w</w:t>
      </w:r>
      <w:r w:rsidR="00755177" w:rsidRPr="002A267D">
        <w:rPr>
          <w:rFonts w:ascii="Times New Roman" w:hAnsi="Times New Roman" w:cs="Times New Roman"/>
          <w:sz w:val="24"/>
          <w:szCs w:val="24"/>
        </w:rPr>
        <w:t xml:space="preserve"> ‘</w:t>
      </w:r>
      <w:r w:rsidRPr="002A267D">
        <w:rPr>
          <w:rFonts w:ascii="Times New Roman" w:hAnsi="Times New Roman" w:cs="Times New Roman"/>
          <w:sz w:val="24"/>
          <w:szCs w:val="24"/>
        </w:rPr>
        <w:t>1</w:t>
      </w:r>
      <w:r w:rsidR="00DD1BFA" w:rsidRPr="002A267D">
        <w:rPr>
          <w:rFonts w:ascii="Times New Roman" w:hAnsi="Times New Roman" w:cs="Times New Roman"/>
          <w:sz w:val="24"/>
          <w:szCs w:val="24"/>
        </w:rPr>
        <w:t>8</w:t>
      </w:r>
      <w:r w:rsidR="00AE5712" w:rsidRPr="002A267D">
        <w:rPr>
          <w:rFonts w:ascii="Times New Roman" w:hAnsi="Times New Roman" w:cs="Times New Roman"/>
          <w:sz w:val="24"/>
          <w:szCs w:val="24"/>
        </w:rPr>
        <w:t> r.</w:t>
      </w:r>
      <w:r w:rsidRPr="002A267D">
        <w:rPr>
          <w:rFonts w:ascii="Times New Roman" w:hAnsi="Times New Roman" w:cs="Times New Roman"/>
          <w:sz w:val="24"/>
          <w:szCs w:val="24"/>
        </w:rPr>
        <w:t xml:space="preserve"> </w:t>
      </w:r>
      <w:r w:rsidR="00DD1BFA" w:rsidRPr="002A267D">
        <w:rPr>
          <w:rFonts w:ascii="Times New Roman" w:hAnsi="Times New Roman" w:cs="Times New Roman"/>
          <w:sz w:val="24"/>
          <w:szCs w:val="24"/>
        </w:rPr>
        <w:t>(61 438)</w:t>
      </w:r>
      <w:r w:rsidR="00845B6B" w:rsidRPr="002A267D">
        <w:rPr>
          <w:rFonts w:ascii="Times New Roman" w:hAnsi="Times New Roman" w:cs="Times New Roman"/>
          <w:sz w:val="24"/>
          <w:szCs w:val="24"/>
        </w:rPr>
        <w:t xml:space="preserve"> </w:t>
      </w:r>
      <w:r w:rsidR="00B6796D" w:rsidRPr="002A267D">
        <w:rPr>
          <w:rFonts w:ascii="Times New Roman" w:hAnsi="Times New Roman" w:cs="Times New Roman"/>
          <w:sz w:val="24"/>
          <w:szCs w:val="24"/>
        </w:rPr>
        <w:t xml:space="preserve">z sektora publicznego pochodziło </w:t>
      </w:r>
      <w:r w:rsidR="001317BC" w:rsidRPr="002A267D">
        <w:rPr>
          <w:rFonts w:ascii="Times New Roman" w:hAnsi="Times New Roman" w:cs="Times New Roman"/>
          <w:sz w:val="24"/>
          <w:szCs w:val="24"/>
        </w:rPr>
        <w:t>8</w:t>
      </w:r>
      <w:r w:rsidR="00DC246C" w:rsidRPr="002A267D">
        <w:rPr>
          <w:rFonts w:ascii="Times New Roman" w:hAnsi="Times New Roman" w:cs="Times New Roman"/>
          <w:sz w:val="24"/>
          <w:szCs w:val="24"/>
        </w:rPr>
        <w:t> </w:t>
      </w:r>
      <w:r w:rsidR="001317BC" w:rsidRPr="002A267D">
        <w:rPr>
          <w:rFonts w:ascii="Times New Roman" w:hAnsi="Times New Roman" w:cs="Times New Roman"/>
          <w:sz w:val="24"/>
          <w:szCs w:val="24"/>
        </w:rPr>
        <w:t>024</w:t>
      </w:r>
      <w:r w:rsidR="00DC246C" w:rsidRPr="002A267D">
        <w:rPr>
          <w:rFonts w:ascii="Times New Roman" w:hAnsi="Times New Roman" w:cs="Times New Roman"/>
          <w:sz w:val="24"/>
          <w:szCs w:val="24"/>
        </w:rPr>
        <w:t xml:space="preserve"> </w:t>
      </w:r>
      <w:r w:rsidR="00C71750" w:rsidRPr="002A267D">
        <w:rPr>
          <w:rFonts w:ascii="Times New Roman" w:hAnsi="Times New Roman" w:cs="Times New Roman"/>
          <w:sz w:val="24"/>
          <w:szCs w:val="24"/>
        </w:rPr>
        <w:t>(</w:t>
      </w:r>
      <w:r w:rsidR="00DC246C" w:rsidRPr="002A267D">
        <w:rPr>
          <w:rFonts w:ascii="Times New Roman" w:hAnsi="Times New Roman" w:cs="Times New Roman"/>
          <w:sz w:val="24"/>
          <w:szCs w:val="24"/>
        </w:rPr>
        <w:t>1</w:t>
      </w:r>
      <w:r w:rsidR="00B6796D" w:rsidRPr="002A267D">
        <w:rPr>
          <w:rFonts w:ascii="Times New Roman" w:hAnsi="Times New Roman" w:cs="Times New Roman"/>
          <w:sz w:val="24"/>
          <w:szCs w:val="24"/>
        </w:rPr>
        <w:t>3</w:t>
      </w:r>
      <w:r w:rsidRPr="002A267D">
        <w:rPr>
          <w:rFonts w:ascii="Times New Roman" w:hAnsi="Times New Roman" w:cs="Times New Roman"/>
          <w:sz w:val="24"/>
          <w:szCs w:val="24"/>
        </w:rPr>
        <w:t>,</w:t>
      </w:r>
      <w:r w:rsidR="001317BC" w:rsidRPr="002A267D">
        <w:rPr>
          <w:rFonts w:ascii="Times New Roman" w:hAnsi="Times New Roman" w:cs="Times New Roman"/>
          <w:sz w:val="24"/>
          <w:szCs w:val="24"/>
        </w:rPr>
        <w:t xml:space="preserve">1 </w:t>
      </w:r>
      <w:r w:rsidRPr="002A267D">
        <w:rPr>
          <w:rFonts w:ascii="Times New Roman" w:hAnsi="Times New Roman" w:cs="Times New Roman"/>
          <w:sz w:val="24"/>
          <w:szCs w:val="24"/>
        </w:rPr>
        <w:t>%</w:t>
      </w:r>
      <w:r w:rsidR="00B6796D" w:rsidRPr="002A267D">
        <w:rPr>
          <w:rFonts w:ascii="Times New Roman" w:hAnsi="Times New Roman" w:cs="Times New Roman"/>
          <w:sz w:val="24"/>
          <w:szCs w:val="24"/>
        </w:rPr>
        <w:t xml:space="preserve"> ogółu ofert</w:t>
      </w:r>
      <w:r w:rsidR="00C71750" w:rsidRPr="002A267D">
        <w:rPr>
          <w:rFonts w:ascii="Times New Roman" w:hAnsi="Times New Roman" w:cs="Times New Roman"/>
          <w:sz w:val="24"/>
          <w:szCs w:val="24"/>
        </w:rPr>
        <w:t>)</w:t>
      </w:r>
      <w:r w:rsidR="004520F6" w:rsidRPr="002A267D">
        <w:rPr>
          <w:rFonts w:ascii="Times New Roman" w:hAnsi="Times New Roman" w:cs="Times New Roman"/>
          <w:sz w:val="24"/>
          <w:szCs w:val="24"/>
        </w:rPr>
        <w:t xml:space="preserve">. Jest to </w:t>
      </w:r>
      <w:r w:rsidR="00210254" w:rsidRPr="002A267D">
        <w:rPr>
          <w:rFonts w:ascii="Times New Roman" w:hAnsi="Times New Roman" w:cs="Times New Roman"/>
          <w:sz w:val="24"/>
          <w:szCs w:val="24"/>
        </w:rPr>
        <w:t>zbieżne ze strukturą</w:t>
      </w:r>
      <w:r w:rsidR="004520F6" w:rsidRPr="002A267D">
        <w:rPr>
          <w:rFonts w:ascii="Times New Roman" w:hAnsi="Times New Roman" w:cs="Times New Roman"/>
          <w:sz w:val="24"/>
          <w:szCs w:val="24"/>
        </w:rPr>
        <w:t xml:space="preserve"> zatrudnienia</w:t>
      </w:r>
      <w:r w:rsidR="00AE5712" w:rsidRPr="002A267D">
        <w:rPr>
          <w:rFonts w:ascii="Times New Roman" w:hAnsi="Times New Roman" w:cs="Times New Roman"/>
          <w:sz w:val="24"/>
          <w:szCs w:val="24"/>
        </w:rPr>
        <w:t xml:space="preserve"> w </w:t>
      </w:r>
      <w:r w:rsidR="00210254" w:rsidRPr="002A267D">
        <w:rPr>
          <w:rFonts w:ascii="Times New Roman" w:hAnsi="Times New Roman" w:cs="Times New Roman"/>
          <w:sz w:val="24"/>
          <w:szCs w:val="24"/>
        </w:rPr>
        <w:t>województwi</w:t>
      </w:r>
      <w:r w:rsidR="001317BC" w:rsidRPr="002A267D">
        <w:rPr>
          <w:rFonts w:ascii="Times New Roman" w:hAnsi="Times New Roman" w:cs="Times New Roman"/>
          <w:sz w:val="24"/>
          <w:szCs w:val="24"/>
        </w:rPr>
        <w:t xml:space="preserve">e, gdzie również </w:t>
      </w:r>
      <w:r w:rsidR="009B118C" w:rsidRPr="002A267D">
        <w:rPr>
          <w:rFonts w:ascii="Times New Roman" w:hAnsi="Times New Roman" w:cs="Times New Roman"/>
          <w:sz w:val="24"/>
          <w:szCs w:val="24"/>
        </w:rPr>
        <w:t>odnotowano przewagę ilości osób zatrudnionych w</w:t>
      </w:r>
      <w:r w:rsidR="001317BC" w:rsidRPr="002A267D">
        <w:rPr>
          <w:rFonts w:ascii="Times New Roman" w:hAnsi="Times New Roman" w:cs="Times New Roman"/>
          <w:sz w:val="24"/>
          <w:szCs w:val="24"/>
        </w:rPr>
        <w:t> </w:t>
      </w:r>
      <w:r w:rsidR="009B118C" w:rsidRPr="002A267D">
        <w:rPr>
          <w:rFonts w:ascii="Times New Roman" w:hAnsi="Times New Roman" w:cs="Times New Roman"/>
          <w:sz w:val="24"/>
          <w:szCs w:val="24"/>
        </w:rPr>
        <w:t xml:space="preserve">prywatnych firmach. </w:t>
      </w:r>
      <w:r w:rsidR="0000028C" w:rsidRPr="002A267D">
        <w:rPr>
          <w:rFonts w:ascii="Times New Roman" w:hAnsi="Times New Roman" w:cs="Times New Roman"/>
          <w:sz w:val="24"/>
          <w:szCs w:val="24"/>
        </w:rPr>
        <w:t xml:space="preserve">W sektorze publicznym odnotowano </w:t>
      </w:r>
      <w:r w:rsidR="006E7CB0" w:rsidRPr="002A267D">
        <w:rPr>
          <w:rFonts w:ascii="Times New Roman" w:hAnsi="Times New Roman" w:cs="Times New Roman"/>
          <w:sz w:val="24"/>
          <w:szCs w:val="24"/>
        </w:rPr>
        <w:t>18</w:t>
      </w:r>
      <w:r w:rsidR="0000028C" w:rsidRPr="002A267D">
        <w:rPr>
          <w:rFonts w:ascii="Times New Roman" w:hAnsi="Times New Roman" w:cs="Times New Roman"/>
          <w:sz w:val="24"/>
          <w:szCs w:val="24"/>
        </w:rPr>
        <w:t>,</w:t>
      </w:r>
      <w:r w:rsidR="006E7CB0" w:rsidRPr="002A267D">
        <w:rPr>
          <w:rFonts w:ascii="Times New Roman" w:hAnsi="Times New Roman" w:cs="Times New Roman"/>
          <w:sz w:val="24"/>
          <w:szCs w:val="24"/>
        </w:rPr>
        <w:t>1</w:t>
      </w:r>
      <w:r w:rsidR="001317BC" w:rsidRPr="002A267D">
        <w:rPr>
          <w:rFonts w:ascii="Times New Roman" w:hAnsi="Times New Roman" w:cs="Times New Roman"/>
          <w:sz w:val="24"/>
          <w:szCs w:val="24"/>
        </w:rPr>
        <w:t xml:space="preserve"> </w:t>
      </w:r>
      <w:r w:rsidR="0000028C" w:rsidRPr="002A267D">
        <w:rPr>
          <w:rFonts w:ascii="Times New Roman" w:hAnsi="Times New Roman" w:cs="Times New Roman"/>
          <w:sz w:val="24"/>
          <w:szCs w:val="24"/>
        </w:rPr>
        <w:t xml:space="preserve">% zatrudnionych, </w:t>
      </w:r>
      <w:r w:rsidR="006E7CB0" w:rsidRPr="002A267D">
        <w:rPr>
          <w:rFonts w:ascii="Times New Roman" w:hAnsi="Times New Roman" w:cs="Times New Roman"/>
          <w:sz w:val="24"/>
          <w:szCs w:val="24"/>
        </w:rPr>
        <w:t xml:space="preserve">podczas gdy </w:t>
      </w:r>
      <w:r w:rsidR="0000028C" w:rsidRPr="002A267D">
        <w:rPr>
          <w:rFonts w:ascii="Times New Roman" w:hAnsi="Times New Roman" w:cs="Times New Roman"/>
          <w:sz w:val="24"/>
          <w:szCs w:val="24"/>
        </w:rPr>
        <w:t>w</w:t>
      </w:r>
      <w:r w:rsidR="001317BC" w:rsidRPr="002A267D">
        <w:rPr>
          <w:rFonts w:ascii="Times New Roman" w:hAnsi="Times New Roman" w:cs="Times New Roman"/>
          <w:sz w:val="24"/>
          <w:szCs w:val="24"/>
        </w:rPr>
        <w:t> </w:t>
      </w:r>
      <w:r w:rsidR="0000028C" w:rsidRPr="002A267D">
        <w:rPr>
          <w:rFonts w:ascii="Times New Roman" w:hAnsi="Times New Roman" w:cs="Times New Roman"/>
          <w:sz w:val="24"/>
          <w:szCs w:val="24"/>
        </w:rPr>
        <w:t xml:space="preserve">prywatnym </w:t>
      </w:r>
      <w:r w:rsidR="006E7CB0" w:rsidRPr="002A267D">
        <w:rPr>
          <w:rFonts w:ascii="Times New Roman" w:hAnsi="Times New Roman" w:cs="Times New Roman"/>
          <w:sz w:val="24"/>
          <w:szCs w:val="24"/>
        </w:rPr>
        <w:t>81,8</w:t>
      </w:r>
      <w:r w:rsidR="001317BC" w:rsidRPr="002A267D">
        <w:rPr>
          <w:rFonts w:ascii="Times New Roman" w:hAnsi="Times New Roman" w:cs="Times New Roman"/>
          <w:sz w:val="24"/>
          <w:szCs w:val="24"/>
        </w:rPr>
        <w:t xml:space="preserve"> </w:t>
      </w:r>
      <w:r w:rsidR="0000028C" w:rsidRPr="002A267D">
        <w:rPr>
          <w:rFonts w:ascii="Times New Roman" w:hAnsi="Times New Roman" w:cs="Times New Roman"/>
          <w:sz w:val="24"/>
          <w:szCs w:val="24"/>
        </w:rPr>
        <w:t>%</w:t>
      </w:r>
      <w:r w:rsidR="009B118C" w:rsidRPr="002A267D">
        <w:rPr>
          <w:rFonts w:ascii="Times New Roman" w:hAnsi="Times New Roman" w:cs="Times New Roman"/>
          <w:sz w:val="24"/>
          <w:szCs w:val="24"/>
        </w:rPr>
        <w:t xml:space="preserve"> (ostatnie dostępne dane z 201</w:t>
      </w:r>
      <w:r w:rsidR="001317BC" w:rsidRPr="002A267D">
        <w:rPr>
          <w:rFonts w:ascii="Times New Roman" w:hAnsi="Times New Roman" w:cs="Times New Roman"/>
          <w:sz w:val="24"/>
          <w:szCs w:val="24"/>
        </w:rPr>
        <w:t>7</w:t>
      </w:r>
      <w:r w:rsidR="006E7CB0" w:rsidRPr="002A267D">
        <w:rPr>
          <w:rFonts w:ascii="Times New Roman" w:hAnsi="Times New Roman" w:cs="Times New Roman"/>
          <w:sz w:val="24"/>
          <w:szCs w:val="24"/>
        </w:rPr>
        <w:t xml:space="preserve"> roku</w:t>
      </w:r>
      <w:r w:rsidR="009B118C" w:rsidRPr="002A267D">
        <w:rPr>
          <w:rFonts w:ascii="Times New Roman" w:hAnsi="Times New Roman" w:cs="Times New Roman"/>
          <w:sz w:val="24"/>
          <w:szCs w:val="24"/>
        </w:rPr>
        <w:t>).</w:t>
      </w:r>
      <w:r w:rsidR="002A267D" w:rsidRPr="002A267D">
        <w:rPr>
          <w:rFonts w:ascii="Times New Roman" w:hAnsi="Times New Roman" w:cs="Times New Roman"/>
          <w:sz w:val="24"/>
          <w:szCs w:val="24"/>
        </w:rPr>
        <w:br w:type="page"/>
      </w:r>
    </w:p>
    <w:p w:rsidR="00DC2FC5" w:rsidRPr="000A41B7" w:rsidRDefault="000A41B7" w:rsidP="00160DBC">
      <w:pPr>
        <w:pStyle w:val="Bezodstpw"/>
        <w:numPr>
          <w:ilvl w:val="0"/>
          <w:numId w:val="10"/>
        </w:numPr>
        <w:spacing w:line="360" w:lineRule="auto"/>
        <w:jc w:val="both"/>
        <w:rPr>
          <w:rFonts w:ascii="Times New Roman" w:hAnsi="Times New Roman" w:cs="Times New Roman"/>
          <w:sz w:val="24"/>
          <w:szCs w:val="24"/>
        </w:rPr>
      </w:pPr>
      <w:r w:rsidRPr="000A41B7">
        <w:rPr>
          <w:rFonts w:ascii="Times New Roman" w:hAnsi="Times New Roman" w:cs="Times New Roman"/>
          <w:sz w:val="24"/>
          <w:szCs w:val="24"/>
        </w:rPr>
        <w:lastRenderedPageBreak/>
        <w:t>95</w:t>
      </w:r>
      <w:r w:rsidR="0067454E" w:rsidRPr="000A41B7">
        <w:rPr>
          <w:rFonts w:ascii="Times New Roman" w:hAnsi="Times New Roman" w:cs="Times New Roman"/>
          <w:sz w:val="24"/>
          <w:szCs w:val="24"/>
        </w:rPr>
        <w:t xml:space="preserve"> </w:t>
      </w:r>
      <w:r w:rsidR="00C71750" w:rsidRPr="000A41B7">
        <w:rPr>
          <w:rFonts w:ascii="Times New Roman" w:hAnsi="Times New Roman" w:cs="Times New Roman"/>
          <w:sz w:val="24"/>
          <w:szCs w:val="24"/>
        </w:rPr>
        <w:t>ofert</w:t>
      </w:r>
      <w:r w:rsidR="00633F41" w:rsidRPr="000A41B7">
        <w:rPr>
          <w:rFonts w:ascii="Times New Roman" w:hAnsi="Times New Roman" w:cs="Times New Roman"/>
          <w:sz w:val="24"/>
          <w:szCs w:val="24"/>
        </w:rPr>
        <w:t>,</w:t>
      </w:r>
      <w:r w:rsidR="00C71750" w:rsidRPr="000A41B7">
        <w:rPr>
          <w:rFonts w:ascii="Times New Roman" w:hAnsi="Times New Roman" w:cs="Times New Roman"/>
          <w:sz w:val="24"/>
          <w:szCs w:val="24"/>
        </w:rPr>
        <w:t xml:space="preserve"> </w:t>
      </w:r>
      <w:r w:rsidR="0067454E" w:rsidRPr="000A41B7">
        <w:rPr>
          <w:rFonts w:ascii="Times New Roman" w:hAnsi="Times New Roman" w:cs="Times New Roman"/>
          <w:sz w:val="24"/>
          <w:szCs w:val="24"/>
        </w:rPr>
        <w:t xml:space="preserve">tj. </w:t>
      </w:r>
      <w:r w:rsidR="00DC246C" w:rsidRPr="000A41B7">
        <w:rPr>
          <w:rFonts w:ascii="Times New Roman" w:hAnsi="Times New Roman" w:cs="Times New Roman"/>
          <w:sz w:val="24"/>
          <w:szCs w:val="24"/>
        </w:rPr>
        <w:t>0</w:t>
      </w:r>
      <w:r w:rsidR="0067454E" w:rsidRPr="000A41B7">
        <w:rPr>
          <w:rFonts w:ascii="Times New Roman" w:hAnsi="Times New Roman" w:cs="Times New Roman"/>
          <w:sz w:val="24"/>
          <w:szCs w:val="24"/>
        </w:rPr>
        <w:t>,</w:t>
      </w:r>
      <w:r w:rsidRPr="000A41B7">
        <w:rPr>
          <w:rFonts w:ascii="Times New Roman" w:hAnsi="Times New Roman" w:cs="Times New Roman"/>
          <w:sz w:val="24"/>
          <w:szCs w:val="24"/>
        </w:rPr>
        <w:t xml:space="preserve">2 </w:t>
      </w:r>
      <w:r w:rsidR="0067454E" w:rsidRPr="000A41B7">
        <w:rPr>
          <w:rFonts w:ascii="Times New Roman" w:hAnsi="Times New Roman" w:cs="Times New Roman"/>
          <w:sz w:val="24"/>
          <w:szCs w:val="24"/>
        </w:rPr>
        <w:t xml:space="preserve">% </w:t>
      </w:r>
      <w:r w:rsidR="00DC2FC5" w:rsidRPr="000A41B7">
        <w:rPr>
          <w:rFonts w:ascii="Times New Roman" w:hAnsi="Times New Roman" w:cs="Times New Roman"/>
          <w:sz w:val="24"/>
          <w:szCs w:val="24"/>
        </w:rPr>
        <w:t xml:space="preserve">spośród wszystkich </w:t>
      </w:r>
      <w:r w:rsidR="0067454E" w:rsidRPr="000A41B7">
        <w:rPr>
          <w:rFonts w:ascii="Times New Roman" w:hAnsi="Times New Roman" w:cs="Times New Roman"/>
          <w:sz w:val="24"/>
          <w:szCs w:val="24"/>
        </w:rPr>
        <w:t xml:space="preserve">stanowiły oferty dla osób, którym nie upłynął okres 12 miesięcy od </w:t>
      </w:r>
      <w:r w:rsidR="008A7EA9" w:rsidRPr="000A41B7">
        <w:rPr>
          <w:rFonts w:ascii="Times New Roman" w:hAnsi="Times New Roman" w:cs="Times New Roman"/>
          <w:sz w:val="24"/>
          <w:szCs w:val="24"/>
        </w:rPr>
        <w:t>dnia</w:t>
      </w:r>
      <w:r w:rsidR="0067454E" w:rsidRPr="000A41B7">
        <w:rPr>
          <w:rFonts w:ascii="Times New Roman" w:hAnsi="Times New Roman" w:cs="Times New Roman"/>
          <w:sz w:val="24"/>
          <w:szCs w:val="24"/>
        </w:rPr>
        <w:t xml:space="preserve"> ukończenia nauki. </w:t>
      </w:r>
    </w:p>
    <w:p w:rsidR="005B76FF" w:rsidRPr="000A41B7" w:rsidRDefault="0067454E" w:rsidP="00160DBC">
      <w:pPr>
        <w:pStyle w:val="Bezodstpw"/>
        <w:numPr>
          <w:ilvl w:val="0"/>
          <w:numId w:val="10"/>
        </w:numPr>
        <w:spacing w:line="360" w:lineRule="auto"/>
        <w:jc w:val="both"/>
        <w:rPr>
          <w:rFonts w:ascii="Times New Roman" w:hAnsi="Times New Roman" w:cs="Times New Roman"/>
          <w:sz w:val="24"/>
          <w:szCs w:val="24"/>
        </w:rPr>
      </w:pPr>
      <w:r w:rsidRPr="000A41B7">
        <w:rPr>
          <w:rFonts w:ascii="Times New Roman" w:hAnsi="Times New Roman" w:cs="Times New Roman"/>
          <w:sz w:val="24"/>
          <w:szCs w:val="24"/>
        </w:rPr>
        <w:t>Niewielka ilość wolnych miejsc pracy</w:t>
      </w:r>
      <w:r w:rsidR="008B5DD7" w:rsidRPr="000A41B7">
        <w:rPr>
          <w:rFonts w:ascii="Times New Roman" w:hAnsi="Times New Roman" w:cs="Times New Roman"/>
          <w:sz w:val="24"/>
          <w:szCs w:val="24"/>
        </w:rPr>
        <w:t xml:space="preserve"> </w:t>
      </w:r>
      <w:r w:rsidR="00AE5712" w:rsidRPr="000A41B7">
        <w:rPr>
          <w:rFonts w:ascii="Times New Roman" w:hAnsi="Times New Roman" w:cs="Times New Roman"/>
          <w:sz w:val="24"/>
          <w:szCs w:val="24"/>
        </w:rPr>
        <w:t>i</w:t>
      </w:r>
      <w:r w:rsidR="008B5DD7" w:rsidRPr="000A41B7">
        <w:rPr>
          <w:rFonts w:ascii="Times New Roman" w:hAnsi="Times New Roman" w:cs="Times New Roman"/>
          <w:sz w:val="24"/>
          <w:szCs w:val="24"/>
        </w:rPr>
        <w:t xml:space="preserve"> miejsc </w:t>
      </w:r>
      <w:r w:rsidRPr="000A41B7">
        <w:rPr>
          <w:rFonts w:ascii="Times New Roman" w:hAnsi="Times New Roman" w:cs="Times New Roman"/>
          <w:sz w:val="24"/>
          <w:szCs w:val="24"/>
        </w:rPr>
        <w:t>aktywizacji zawodowej dotyczyła</w:t>
      </w:r>
      <w:r w:rsidR="00633F41" w:rsidRPr="000A41B7">
        <w:rPr>
          <w:rFonts w:ascii="Times New Roman" w:hAnsi="Times New Roman" w:cs="Times New Roman"/>
          <w:sz w:val="24"/>
          <w:szCs w:val="24"/>
        </w:rPr>
        <w:t xml:space="preserve"> </w:t>
      </w:r>
      <w:r w:rsidRPr="000A41B7">
        <w:rPr>
          <w:rFonts w:ascii="Times New Roman" w:hAnsi="Times New Roman" w:cs="Times New Roman"/>
          <w:sz w:val="24"/>
          <w:szCs w:val="24"/>
        </w:rPr>
        <w:t xml:space="preserve">osób </w:t>
      </w:r>
      <w:r w:rsidR="00DC2FC5" w:rsidRPr="000A41B7">
        <w:rPr>
          <w:rFonts w:ascii="Times New Roman" w:hAnsi="Times New Roman" w:cs="Times New Roman"/>
          <w:sz w:val="24"/>
          <w:szCs w:val="24"/>
        </w:rPr>
        <w:t>posiadających</w:t>
      </w:r>
      <w:r w:rsidRPr="000A41B7">
        <w:rPr>
          <w:rFonts w:ascii="Times New Roman" w:hAnsi="Times New Roman" w:cs="Times New Roman"/>
          <w:sz w:val="24"/>
          <w:szCs w:val="24"/>
        </w:rPr>
        <w:t xml:space="preserve"> orzecz</w:t>
      </w:r>
      <w:r w:rsidR="00DC2FC5" w:rsidRPr="000A41B7">
        <w:rPr>
          <w:rFonts w:ascii="Times New Roman" w:hAnsi="Times New Roman" w:cs="Times New Roman"/>
          <w:sz w:val="24"/>
          <w:szCs w:val="24"/>
        </w:rPr>
        <w:t>enie</w:t>
      </w:r>
      <w:r w:rsidR="00AE5712" w:rsidRPr="000A41B7">
        <w:rPr>
          <w:rFonts w:ascii="Times New Roman" w:hAnsi="Times New Roman" w:cs="Times New Roman"/>
          <w:sz w:val="24"/>
          <w:szCs w:val="24"/>
        </w:rPr>
        <w:t xml:space="preserve"> o </w:t>
      </w:r>
      <w:r w:rsidRPr="000A41B7">
        <w:rPr>
          <w:rFonts w:ascii="Times New Roman" w:hAnsi="Times New Roman" w:cs="Times New Roman"/>
          <w:sz w:val="24"/>
          <w:szCs w:val="24"/>
        </w:rPr>
        <w:t xml:space="preserve">niepełnosprawności, zdolnych jednocześnie do podjęcia pracy – </w:t>
      </w:r>
      <w:r w:rsidR="000A41B7" w:rsidRPr="000A41B7">
        <w:rPr>
          <w:rFonts w:ascii="Times New Roman" w:hAnsi="Times New Roman" w:cs="Times New Roman"/>
          <w:sz w:val="24"/>
          <w:szCs w:val="24"/>
        </w:rPr>
        <w:t>2</w:t>
      </w:r>
      <w:r w:rsidRPr="000A41B7">
        <w:rPr>
          <w:rFonts w:ascii="Times New Roman" w:hAnsi="Times New Roman" w:cs="Times New Roman"/>
          <w:sz w:val="24"/>
          <w:szCs w:val="24"/>
        </w:rPr>
        <w:t xml:space="preserve"> </w:t>
      </w:r>
      <w:r w:rsidR="000A41B7" w:rsidRPr="000A41B7">
        <w:rPr>
          <w:rFonts w:ascii="Times New Roman" w:hAnsi="Times New Roman" w:cs="Times New Roman"/>
          <w:sz w:val="24"/>
          <w:szCs w:val="24"/>
        </w:rPr>
        <w:t>551</w:t>
      </w:r>
      <w:r w:rsidRPr="000A41B7">
        <w:rPr>
          <w:rFonts w:ascii="Times New Roman" w:hAnsi="Times New Roman" w:cs="Times New Roman"/>
          <w:sz w:val="24"/>
          <w:szCs w:val="24"/>
        </w:rPr>
        <w:t xml:space="preserve"> ofert</w:t>
      </w:r>
      <w:r w:rsidR="001B5D0B" w:rsidRPr="000A41B7">
        <w:rPr>
          <w:rFonts w:ascii="Times New Roman" w:hAnsi="Times New Roman" w:cs="Times New Roman"/>
          <w:sz w:val="24"/>
          <w:szCs w:val="24"/>
        </w:rPr>
        <w:t>,</w:t>
      </w:r>
      <w:r w:rsidRPr="000A41B7">
        <w:rPr>
          <w:rFonts w:ascii="Times New Roman" w:hAnsi="Times New Roman" w:cs="Times New Roman"/>
          <w:sz w:val="24"/>
          <w:szCs w:val="24"/>
        </w:rPr>
        <w:t xml:space="preserve"> tj. </w:t>
      </w:r>
      <w:r w:rsidR="00DC246C" w:rsidRPr="000A41B7">
        <w:rPr>
          <w:rFonts w:ascii="Times New Roman" w:hAnsi="Times New Roman" w:cs="Times New Roman"/>
          <w:sz w:val="24"/>
          <w:szCs w:val="24"/>
        </w:rPr>
        <w:t>4</w:t>
      </w:r>
      <w:r w:rsidRPr="000A41B7">
        <w:rPr>
          <w:rFonts w:ascii="Times New Roman" w:hAnsi="Times New Roman" w:cs="Times New Roman"/>
          <w:sz w:val="24"/>
          <w:szCs w:val="24"/>
        </w:rPr>
        <w:t>,</w:t>
      </w:r>
      <w:r w:rsidR="000A41B7" w:rsidRPr="000A41B7">
        <w:rPr>
          <w:rFonts w:ascii="Times New Roman" w:hAnsi="Times New Roman" w:cs="Times New Roman"/>
          <w:sz w:val="24"/>
          <w:szCs w:val="24"/>
        </w:rPr>
        <w:t xml:space="preserve">2 </w:t>
      </w:r>
      <w:r w:rsidRPr="000A41B7">
        <w:rPr>
          <w:rFonts w:ascii="Times New Roman" w:hAnsi="Times New Roman" w:cs="Times New Roman"/>
          <w:sz w:val="24"/>
          <w:szCs w:val="24"/>
        </w:rPr>
        <w:t xml:space="preserve">% </w:t>
      </w:r>
      <w:r w:rsidR="00772F51" w:rsidRPr="000A41B7">
        <w:rPr>
          <w:rFonts w:ascii="Times New Roman" w:hAnsi="Times New Roman" w:cs="Times New Roman"/>
          <w:sz w:val="24"/>
          <w:szCs w:val="24"/>
        </w:rPr>
        <w:t>wszystkich</w:t>
      </w:r>
      <w:r w:rsidRPr="000A41B7">
        <w:rPr>
          <w:rFonts w:ascii="Times New Roman" w:hAnsi="Times New Roman" w:cs="Times New Roman"/>
          <w:sz w:val="24"/>
          <w:szCs w:val="24"/>
        </w:rPr>
        <w:t>.</w:t>
      </w:r>
    </w:p>
    <w:p w:rsidR="00894E04" w:rsidRPr="00CC2E54" w:rsidRDefault="000A41B7" w:rsidP="00160DBC">
      <w:pPr>
        <w:pStyle w:val="Bezodstpw"/>
        <w:numPr>
          <w:ilvl w:val="0"/>
          <w:numId w:val="10"/>
        </w:numPr>
        <w:spacing w:line="360" w:lineRule="auto"/>
        <w:jc w:val="both"/>
        <w:rPr>
          <w:rFonts w:ascii="Times New Roman" w:hAnsi="Times New Roman" w:cs="Times New Roman"/>
          <w:sz w:val="24"/>
          <w:szCs w:val="24"/>
        </w:rPr>
      </w:pPr>
      <w:r w:rsidRPr="00CC2E54">
        <w:rPr>
          <w:rFonts w:ascii="Times New Roman" w:hAnsi="Times New Roman" w:cs="Times New Roman"/>
          <w:sz w:val="24"/>
          <w:szCs w:val="24"/>
        </w:rPr>
        <w:t xml:space="preserve">Odnotowano </w:t>
      </w:r>
      <w:r w:rsidR="0067454E" w:rsidRPr="00CC2E54">
        <w:rPr>
          <w:rFonts w:ascii="Times New Roman" w:hAnsi="Times New Roman" w:cs="Times New Roman"/>
          <w:sz w:val="24"/>
          <w:szCs w:val="24"/>
        </w:rPr>
        <w:t xml:space="preserve">znaczne </w:t>
      </w:r>
      <w:r w:rsidRPr="00CC2E54">
        <w:rPr>
          <w:rFonts w:ascii="Times New Roman" w:hAnsi="Times New Roman" w:cs="Times New Roman"/>
          <w:sz w:val="24"/>
          <w:szCs w:val="24"/>
        </w:rPr>
        <w:t xml:space="preserve">przestrzenne </w:t>
      </w:r>
      <w:r w:rsidR="0067454E" w:rsidRPr="00CC2E54">
        <w:rPr>
          <w:rFonts w:ascii="Times New Roman" w:hAnsi="Times New Roman" w:cs="Times New Roman"/>
          <w:sz w:val="24"/>
          <w:szCs w:val="24"/>
        </w:rPr>
        <w:t>zróżnicowanie ilości ofert zgłaszanych do publicznego pośrednictwa pracy.</w:t>
      </w:r>
      <w:r w:rsidR="00AE5712" w:rsidRPr="00CC2E54">
        <w:rPr>
          <w:rFonts w:ascii="Times New Roman" w:hAnsi="Times New Roman" w:cs="Times New Roman"/>
          <w:sz w:val="24"/>
          <w:szCs w:val="24"/>
        </w:rPr>
        <w:t xml:space="preserve"> </w:t>
      </w:r>
      <w:r w:rsidR="00C71750" w:rsidRPr="00CC2E54">
        <w:rPr>
          <w:rFonts w:ascii="Times New Roman" w:hAnsi="Times New Roman" w:cs="Times New Roman"/>
          <w:sz w:val="24"/>
          <w:szCs w:val="24"/>
        </w:rPr>
        <w:t>W</w:t>
      </w:r>
      <w:r w:rsidR="00AE5712" w:rsidRPr="00CC2E54">
        <w:rPr>
          <w:rFonts w:ascii="Times New Roman" w:hAnsi="Times New Roman" w:cs="Times New Roman"/>
          <w:sz w:val="24"/>
          <w:szCs w:val="24"/>
        </w:rPr>
        <w:t> </w:t>
      </w:r>
      <w:r w:rsidR="0067454E" w:rsidRPr="00CC2E54">
        <w:rPr>
          <w:rFonts w:ascii="Times New Roman" w:hAnsi="Times New Roman" w:cs="Times New Roman"/>
          <w:sz w:val="24"/>
          <w:szCs w:val="24"/>
        </w:rPr>
        <w:t>201</w:t>
      </w:r>
      <w:r w:rsidR="001317BC" w:rsidRPr="00CC2E54">
        <w:rPr>
          <w:rFonts w:ascii="Times New Roman" w:hAnsi="Times New Roman" w:cs="Times New Roman"/>
          <w:sz w:val="24"/>
          <w:szCs w:val="24"/>
        </w:rPr>
        <w:t>8</w:t>
      </w:r>
      <w:r w:rsidR="00AE5712" w:rsidRPr="00CC2E54">
        <w:rPr>
          <w:rFonts w:ascii="Times New Roman" w:hAnsi="Times New Roman" w:cs="Times New Roman"/>
          <w:sz w:val="24"/>
          <w:szCs w:val="24"/>
        </w:rPr>
        <w:t> r</w:t>
      </w:r>
      <w:r w:rsidR="001317BC" w:rsidRPr="00CC2E54">
        <w:rPr>
          <w:rFonts w:ascii="Times New Roman" w:hAnsi="Times New Roman" w:cs="Times New Roman"/>
          <w:sz w:val="24"/>
          <w:szCs w:val="24"/>
        </w:rPr>
        <w:t>oku</w:t>
      </w:r>
      <w:r w:rsidR="008B5DD7" w:rsidRPr="00CC2E54">
        <w:rPr>
          <w:rFonts w:ascii="Times New Roman" w:hAnsi="Times New Roman" w:cs="Times New Roman"/>
          <w:sz w:val="24"/>
          <w:szCs w:val="24"/>
        </w:rPr>
        <w:t xml:space="preserve"> </w:t>
      </w:r>
      <w:r w:rsidR="00AE5712" w:rsidRPr="00CC2E54">
        <w:rPr>
          <w:rFonts w:ascii="Times New Roman" w:hAnsi="Times New Roman" w:cs="Times New Roman"/>
          <w:sz w:val="24"/>
          <w:szCs w:val="24"/>
        </w:rPr>
        <w:t>w</w:t>
      </w:r>
      <w:r w:rsidR="008B5DD7" w:rsidRPr="00CC2E54">
        <w:rPr>
          <w:rFonts w:ascii="Times New Roman" w:hAnsi="Times New Roman" w:cs="Times New Roman"/>
          <w:sz w:val="24"/>
          <w:szCs w:val="24"/>
        </w:rPr>
        <w:t xml:space="preserve"> </w:t>
      </w:r>
      <w:r w:rsidR="00387B02" w:rsidRPr="00CC2E54">
        <w:rPr>
          <w:rFonts w:ascii="Times New Roman" w:hAnsi="Times New Roman" w:cs="Times New Roman"/>
          <w:sz w:val="24"/>
          <w:szCs w:val="24"/>
        </w:rPr>
        <w:t>3</w:t>
      </w:r>
      <w:r w:rsidR="0067454E" w:rsidRPr="00CC2E54">
        <w:rPr>
          <w:rFonts w:ascii="Times New Roman" w:hAnsi="Times New Roman" w:cs="Times New Roman"/>
          <w:sz w:val="24"/>
          <w:szCs w:val="24"/>
        </w:rPr>
        <w:t xml:space="preserve"> </w:t>
      </w:r>
      <w:r w:rsidR="00E57565" w:rsidRPr="00CC2E54">
        <w:rPr>
          <w:rFonts w:ascii="Times New Roman" w:hAnsi="Times New Roman" w:cs="Times New Roman"/>
          <w:sz w:val="24"/>
          <w:szCs w:val="24"/>
        </w:rPr>
        <w:t>urzęd</w:t>
      </w:r>
      <w:r w:rsidR="00387B02" w:rsidRPr="00CC2E54">
        <w:rPr>
          <w:rFonts w:ascii="Times New Roman" w:hAnsi="Times New Roman" w:cs="Times New Roman"/>
          <w:sz w:val="24"/>
          <w:szCs w:val="24"/>
        </w:rPr>
        <w:t>ach</w:t>
      </w:r>
      <w:r w:rsidR="00E57565" w:rsidRPr="00CC2E54">
        <w:rPr>
          <w:rFonts w:ascii="Times New Roman" w:hAnsi="Times New Roman" w:cs="Times New Roman"/>
          <w:sz w:val="24"/>
          <w:szCs w:val="24"/>
        </w:rPr>
        <w:t xml:space="preserve"> pracy </w:t>
      </w:r>
      <w:r w:rsidR="00387B02" w:rsidRPr="00CC2E54">
        <w:rPr>
          <w:rFonts w:ascii="Times New Roman" w:hAnsi="Times New Roman" w:cs="Times New Roman"/>
          <w:sz w:val="24"/>
          <w:szCs w:val="24"/>
        </w:rPr>
        <w:t xml:space="preserve">nastąpił </w:t>
      </w:r>
      <w:r w:rsidR="0067454E" w:rsidRPr="00CC2E54">
        <w:rPr>
          <w:rFonts w:ascii="Times New Roman" w:hAnsi="Times New Roman" w:cs="Times New Roman"/>
          <w:sz w:val="24"/>
          <w:szCs w:val="24"/>
        </w:rPr>
        <w:t>wzrost liczby wolnych miejsc pracy</w:t>
      </w:r>
      <w:r w:rsidR="00AE5712" w:rsidRPr="00CC2E54">
        <w:rPr>
          <w:rFonts w:ascii="Times New Roman" w:hAnsi="Times New Roman" w:cs="Times New Roman"/>
          <w:sz w:val="24"/>
          <w:szCs w:val="24"/>
        </w:rPr>
        <w:t xml:space="preserve"> </w:t>
      </w:r>
      <w:r w:rsidR="004C2845" w:rsidRPr="00CC2E54">
        <w:rPr>
          <w:rFonts w:ascii="Times New Roman" w:hAnsi="Times New Roman" w:cs="Times New Roman"/>
          <w:sz w:val="24"/>
          <w:szCs w:val="24"/>
        </w:rPr>
        <w:t xml:space="preserve">lub </w:t>
      </w:r>
      <w:r w:rsidR="0067454E" w:rsidRPr="00CC2E54">
        <w:rPr>
          <w:rFonts w:ascii="Times New Roman" w:hAnsi="Times New Roman" w:cs="Times New Roman"/>
          <w:sz w:val="24"/>
          <w:szCs w:val="24"/>
        </w:rPr>
        <w:t>miejsc aktywizacji zawodowej</w:t>
      </w:r>
      <w:r w:rsidR="00387B02" w:rsidRPr="00CC2E54">
        <w:rPr>
          <w:rFonts w:ascii="Times New Roman" w:hAnsi="Times New Roman" w:cs="Times New Roman"/>
          <w:sz w:val="24"/>
          <w:szCs w:val="24"/>
        </w:rPr>
        <w:t>.</w:t>
      </w:r>
      <w:r w:rsidR="0067454E" w:rsidRPr="00CC2E54">
        <w:rPr>
          <w:rFonts w:ascii="Times New Roman" w:hAnsi="Times New Roman" w:cs="Times New Roman"/>
          <w:sz w:val="24"/>
          <w:szCs w:val="24"/>
        </w:rPr>
        <w:t xml:space="preserve"> </w:t>
      </w:r>
      <w:r w:rsidR="00387B02" w:rsidRPr="00CC2E54">
        <w:rPr>
          <w:rFonts w:ascii="Times New Roman" w:hAnsi="Times New Roman" w:cs="Times New Roman"/>
          <w:sz w:val="24"/>
          <w:szCs w:val="24"/>
        </w:rPr>
        <w:t>D</w:t>
      </w:r>
      <w:r w:rsidR="0067454E" w:rsidRPr="00CC2E54">
        <w:rPr>
          <w:rFonts w:ascii="Times New Roman" w:hAnsi="Times New Roman" w:cs="Times New Roman"/>
          <w:sz w:val="24"/>
          <w:szCs w:val="24"/>
        </w:rPr>
        <w:t>otyczył</w:t>
      </w:r>
      <w:r w:rsidR="006E65C8" w:rsidRPr="00CC2E54">
        <w:rPr>
          <w:rFonts w:ascii="Times New Roman" w:hAnsi="Times New Roman" w:cs="Times New Roman"/>
          <w:sz w:val="24"/>
          <w:szCs w:val="24"/>
        </w:rPr>
        <w:t xml:space="preserve"> </w:t>
      </w:r>
      <w:r w:rsidR="00387B02" w:rsidRPr="00CC2E54">
        <w:rPr>
          <w:rFonts w:ascii="Times New Roman" w:hAnsi="Times New Roman" w:cs="Times New Roman"/>
          <w:sz w:val="24"/>
          <w:szCs w:val="24"/>
        </w:rPr>
        <w:t xml:space="preserve">on 2 </w:t>
      </w:r>
      <w:r w:rsidR="0067454E" w:rsidRPr="00CC2E54">
        <w:rPr>
          <w:rFonts w:ascii="Times New Roman" w:hAnsi="Times New Roman" w:cs="Times New Roman"/>
          <w:sz w:val="24"/>
          <w:szCs w:val="24"/>
        </w:rPr>
        <w:t xml:space="preserve">powiatów </w:t>
      </w:r>
      <w:r w:rsidR="00387B02" w:rsidRPr="00CC2E54">
        <w:rPr>
          <w:rFonts w:ascii="Times New Roman" w:hAnsi="Times New Roman" w:cs="Times New Roman"/>
          <w:sz w:val="24"/>
          <w:szCs w:val="24"/>
        </w:rPr>
        <w:t>i 1</w:t>
      </w:r>
      <w:r w:rsidR="0067454E" w:rsidRPr="00CC2E54">
        <w:rPr>
          <w:rFonts w:ascii="Times New Roman" w:hAnsi="Times New Roman" w:cs="Times New Roman"/>
          <w:sz w:val="24"/>
          <w:szCs w:val="24"/>
        </w:rPr>
        <w:t xml:space="preserve"> miast</w:t>
      </w:r>
      <w:r w:rsidR="00387B02" w:rsidRPr="00CC2E54">
        <w:rPr>
          <w:rFonts w:ascii="Times New Roman" w:hAnsi="Times New Roman" w:cs="Times New Roman"/>
          <w:sz w:val="24"/>
          <w:szCs w:val="24"/>
        </w:rPr>
        <w:t>a</w:t>
      </w:r>
      <w:r w:rsidR="0067454E" w:rsidRPr="00CC2E54">
        <w:rPr>
          <w:rFonts w:ascii="Times New Roman" w:hAnsi="Times New Roman" w:cs="Times New Roman"/>
          <w:sz w:val="24"/>
          <w:szCs w:val="24"/>
        </w:rPr>
        <w:t xml:space="preserve"> na prawach powiat</w:t>
      </w:r>
      <w:r w:rsidR="00387B02" w:rsidRPr="00CC2E54">
        <w:rPr>
          <w:rFonts w:ascii="Times New Roman" w:hAnsi="Times New Roman" w:cs="Times New Roman"/>
          <w:sz w:val="24"/>
          <w:szCs w:val="24"/>
        </w:rPr>
        <w:t>u</w:t>
      </w:r>
      <w:r w:rsidR="0067454E" w:rsidRPr="00CC2E54">
        <w:rPr>
          <w:rFonts w:ascii="Times New Roman" w:hAnsi="Times New Roman" w:cs="Times New Roman"/>
          <w:sz w:val="24"/>
          <w:szCs w:val="24"/>
        </w:rPr>
        <w:t>.</w:t>
      </w:r>
      <w:r w:rsidR="00387B02" w:rsidRPr="00CC2E54">
        <w:rPr>
          <w:rFonts w:ascii="Times New Roman" w:hAnsi="Times New Roman" w:cs="Times New Roman"/>
          <w:sz w:val="24"/>
          <w:szCs w:val="24"/>
        </w:rPr>
        <w:t xml:space="preserve"> </w:t>
      </w:r>
      <w:r w:rsidR="0067454E" w:rsidRPr="00CC2E54">
        <w:rPr>
          <w:rFonts w:ascii="Times New Roman" w:hAnsi="Times New Roman" w:cs="Times New Roman"/>
          <w:sz w:val="24"/>
          <w:szCs w:val="24"/>
        </w:rPr>
        <w:t xml:space="preserve">Największy </w:t>
      </w:r>
      <w:r w:rsidR="00CC2E54">
        <w:rPr>
          <w:rFonts w:ascii="Times New Roman" w:hAnsi="Times New Roman" w:cs="Times New Roman"/>
          <w:sz w:val="24"/>
          <w:szCs w:val="24"/>
        </w:rPr>
        <w:t xml:space="preserve">odnotowano </w:t>
      </w:r>
      <w:r w:rsidR="0067454E" w:rsidRPr="00CC2E54">
        <w:rPr>
          <w:rFonts w:ascii="Times New Roman" w:hAnsi="Times New Roman" w:cs="Times New Roman"/>
          <w:sz w:val="24"/>
          <w:szCs w:val="24"/>
        </w:rPr>
        <w:t>w</w:t>
      </w:r>
      <w:r w:rsidRPr="00CC2E54">
        <w:rPr>
          <w:rFonts w:ascii="Times New Roman" w:hAnsi="Times New Roman" w:cs="Times New Roman"/>
          <w:sz w:val="24"/>
          <w:szCs w:val="24"/>
        </w:rPr>
        <w:t xml:space="preserve"> </w:t>
      </w:r>
      <w:r w:rsidR="00387B02" w:rsidRPr="00CC2E54">
        <w:rPr>
          <w:rFonts w:ascii="Times New Roman" w:hAnsi="Times New Roman" w:cs="Times New Roman"/>
          <w:sz w:val="24"/>
          <w:szCs w:val="24"/>
        </w:rPr>
        <w:t xml:space="preserve">m. Tarnobrzegu </w:t>
      </w:r>
      <w:r w:rsidR="009E0E7C" w:rsidRPr="00CC2E54">
        <w:rPr>
          <w:rFonts w:ascii="Times New Roman" w:hAnsi="Times New Roman" w:cs="Times New Roman"/>
          <w:sz w:val="24"/>
          <w:szCs w:val="24"/>
        </w:rPr>
        <w:t xml:space="preserve">– </w:t>
      </w:r>
      <w:r w:rsidR="0067454E" w:rsidRPr="00CC2E54">
        <w:rPr>
          <w:rFonts w:ascii="Times New Roman" w:hAnsi="Times New Roman" w:cs="Times New Roman"/>
          <w:sz w:val="24"/>
          <w:szCs w:val="24"/>
        </w:rPr>
        <w:t>wzrost</w:t>
      </w:r>
      <w:r w:rsidR="00AE5712" w:rsidRPr="00CC2E54">
        <w:rPr>
          <w:rFonts w:ascii="Times New Roman" w:hAnsi="Times New Roman" w:cs="Times New Roman"/>
          <w:sz w:val="24"/>
          <w:szCs w:val="24"/>
        </w:rPr>
        <w:t xml:space="preserve"> o </w:t>
      </w:r>
      <w:r w:rsidR="00387B02" w:rsidRPr="00CC2E54">
        <w:rPr>
          <w:rFonts w:ascii="Times New Roman" w:hAnsi="Times New Roman" w:cs="Times New Roman"/>
          <w:sz w:val="24"/>
          <w:szCs w:val="24"/>
        </w:rPr>
        <w:t xml:space="preserve">248 </w:t>
      </w:r>
      <w:r w:rsidR="0067454E" w:rsidRPr="00CC2E54">
        <w:rPr>
          <w:rFonts w:ascii="Times New Roman" w:hAnsi="Times New Roman" w:cs="Times New Roman"/>
          <w:sz w:val="24"/>
          <w:szCs w:val="24"/>
        </w:rPr>
        <w:t>wolnych miejsc pracy</w:t>
      </w:r>
      <w:r w:rsidR="00AE5712" w:rsidRPr="00CC2E54">
        <w:rPr>
          <w:rFonts w:ascii="Times New Roman" w:hAnsi="Times New Roman" w:cs="Times New Roman"/>
          <w:sz w:val="24"/>
          <w:szCs w:val="24"/>
        </w:rPr>
        <w:t xml:space="preserve"> i </w:t>
      </w:r>
      <w:r w:rsidR="0067454E" w:rsidRPr="00CC2E54">
        <w:rPr>
          <w:rFonts w:ascii="Times New Roman" w:hAnsi="Times New Roman" w:cs="Times New Roman"/>
          <w:sz w:val="24"/>
          <w:szCs w:val="24"/>
        </w:rPr>
        <w:t xml:space="preserve">aktywizacji zawodowej, </w:t>
      </w:r>
      <w:r w:rsidR="00387B02" w:rsidRPr="00CC2E54">
        <w:rPr>
          <w:rFonts w:ascii="Times New Roman" w:hAnsi="Times New Roman" w:cs="Times New Roman"/>
          <w:sz w:val="24"/>
          <w:szCs w:val="24"/>
        </w:rPr>
        <w:t xml:space="preserve">powiecie niżańskim </w:t>
      </w:r>
      <w:r w:rsidR="00971601" w:rsidRPr="00CC2E54">
        <w:rPr>
          <w:rFonts w:ascii="Times New Roman" w:hAnsi="Times New Roman" w:cs="Times New Roman"/>
          <w:sz w:val="24"/>
          <w:szCs w:val="24"/>
        </w:rPr>
        <w:t xml:space="preserve">– </w:t>
      </w:r>
      <w:r w:rsidR="000E3DFC" w:rsidRPr="00CC2E54">
        <w:rPr>
          <w:rFonts w:ascii="Times New Roman" w:hAnsi="Times New Roman" w:cs="Times New Roman"/>
          <w:sz w:val="24"/>
          <w:szCs w:val="24"/>
        </w:rPr>
        <w:t>1</w:t>
      </w:r>
      <w:r w:rsidR="00387B02" w:rsidRPr="00CC2E54">
        <w:rPr>
          <w:rFonts w:ascii="Times New Roman" w:hAnsi="Times New Roman" w:cs="Times New Roman"/>
          <w:sz w:val="24"/>
          <w:szCs w:val="24"/>
        </w:rPr>
        <w:t xml:space="preserve">50 i </w:t>
      </w:r>
      <w:r w:rsidR="00894E04" w:rsidRPr="00CC2E54">
        <w:rPr>
          <w:rFonts w:ascii="Times New Roman" w:hAnsi="Times New Roman" w:cs="Times New Roman"/>
          <w:sz w:val="24"/>
          <w:szCs w:val="24"/>
        </w:rPr>
        <w:t xml:space="preserve">powiecie </w:t>
      </w:r>
      <w:r w:rsidR="00387B02" w:rsidRPr="00CC2E54">
        <w:rPr>
          <w:rFonts w:ascii="Times New Roman" w:hAnsi="Times New Roman" w:cs="Times New Roman"/>
          <w:sz w:val="24"/>
          <w:szCs w:val="24"/>
        </w:rPr>
        <w:t xml:space="preserve">bieszczadzkim </w:t>
      </w:r>
      <w:r w:rsidR="00894E04" w:rsidRPr="00CC2E54">
        <w:rPr>
          <w:rFonts w:ascii="Times New Roman" w:hAnsi="Times New Roman" w:cs="Times New Roman"/>
          <w:sz w:val="24"/>
          <w:szCs w:val="24"/>
        </w:rPr>
        <w:t xml:space="preserve">– </w:t>
      </w:r>
      <w:r w:rsidR="00971601" w:rsidRPr="00CC2E54">
        <w:rPr>
          <w:rFonts w:ascii="Times New Roman" w:hAnsi="Times New Roman" w:cs="Times New Roman"/>
          <w:sz w:val="24"/>
          <w:szCs w:val="24"/>
        </w:rPr>
        <w:t xml:space="preserve"> </w:t>
      </w:r>
      <w:r w:rsidR="00387B02" w:rsidRPr="00CC2E54">
        <w:rPr>
          <w:rFonts w:ascii="Times New Roman" w:hAnsi="Times New Roman" w:cs="Times New Roman"/>
          <w:sz w:val="24"/>
          <w:szCs w:val="24"/>
        </w:rPr>
        <w:t>25</w:t>
      </w:r>
      <w:r w:rsidR="000E3DFC" w:rsidRPr="00CC2E54">
        <w:rPr>
          <w:rFonts w:ascii="Times New Roman" w:hAnsi="Times New Roman" w:cs="Times New Roman"/>
          <w:sz w:val="24"/>
          <w:szCs w:val="24"/>
        </w:rPr>
        <w:t>.</w:t>
      </w:r>
    </w:p>
    <w:p w:rsidR="00A05D18" w:rsidRPr="009D41B7" w:rsidRDefault="006E65C8" w:rsidP="001B5D0B">
      <w:pPr>
        <w:pStyle w:val="Bezodstpw"/>
        <w:numPr>
          <w:ilvl w:val="0"/>
          <w:numId w:val="10"/>
        </w:numPr>
        <w:spacing w:line="360" w:lineRule="auto"/>
        <w:jc w:val="both"/>
        <w:rPr>
          <w:rFonts w:ascii="Times New Roman" w:hAnsi="Times New Roman" w:cs="Times New Roman"/>
          <w:sz w:val="24"/>
          <w:szCs w:val="24"/>
        </w:rPr>
      </w:pPr>
      <w:r w:rsidRPr="009D41B7">
        <w:rPr>
          <w:rFonts w:ascii="Times New Roman" w:hAnsi="Times New Roman" w:cs="Times New Roman"/>
          <w:sz w:val="24"/>
          <w:szCs w:val="24"/>
        </w:rPr>
        <w:t>Spadki odnotowano w </w:t>
      </w:r>
      <w:r w:rsidR="00CC2E54" w:rsidRPr="009D41B7">
        <w:rPr>
          <w:rFonts w:ascii="Times New Roman" w:hAnsi="Times New Roman" w:cs="Times New Roman"/>
          <w:sz w:val="24"/>
          <w:szCs w:val="24"/>
        </w:rPr>
        <w:t>pozostałych 22</w:t>
      </w:r>
      <w:r w:rsidRPr="009D41B7">
        <w:rPr>
          <w:rFonts w:ascii="Times New Roman" w:hAnsi="Times New Roman" w:cs="Times New Roman"/>
          <w:sz w:val="24"/>
          <w:szCs w:val="24"/>
        </w:rPr>
        <w:t xml:space="preserve"> powiatach, w tym największe w </w:t>
      </w:r>
      <w:r w:rsidR="00CC2E54" w:rsidRPr="009D41B7">
        <w:rPr>
          <w:rFonts w:ascii="Times New Roman" w:hAnsi="Times New Roman" w:cs="Times New Roman"/>
          <w:sz w:val="24"/>
          <w:szCs w:val="24"/>
        </w:rPr>
        <w:t>jarosławskim</w:t>
      </w:r>
      <w:r w:rsidRPr="009D41B7">
        <w:rPr>
          <w:rFonts w:ascii="Times New Roman" w:hAnsi="Times New Roman" w:cs="Times New Roman"/>
          <w:sz w:val="24"/>
          <w:szCs w:val="24"/>
        </w:rPr>
        <w:t xml:space="preserve"> – spadek o 1 </w:t>
      </w:r>
      <w:r w:rsidR="00CC2E54" w:rsidRPr="009D41B7">
        <w:rPr>
          <w:rFonts w:ascii="Times New Roman" w:hAnsi="Times New Roman" w:cs="Times New Roman"/>
          <w:sz w:val="24"/>
          <w:szCs w:val="24"/>
        </w:rPr>
        <w:t>843</w:t>
      </w:r>
      <w:r w:rsidRPr="009D41B7">
        <w:rPr>
          <w:rFonts w:ascii="Times New Roman" w:hAnsi="Times New Roman" w:cs="Times New Roman"/>
          <w:sz w:val="24"/>
          <w:szCs w:val="24"/>
        </w:rPr>
        <w:t xml:space="preserve"> wolnych miejsc pracy i miejsc aktywizacji zawodowej, </w:t>
      </w:r>
      <w:r w:rsidR="00CC2E54" w:rsidRPr="009D41B7">
        <w:rPr>
          <w:rFonts w:ascii="Times New Roman" w:hAnsi="Times New Roman" w:cs="Times New Roman"/>
          <w:sz w:val="24"/>
          <w:szCs w:val="24"/>
        </w:rPr>
        <w:t xml:space="preserve">m. Rzeszowie </w:t>
      </w:r>
      <w:r w:rsidRPr="009D41B7">
        <w:rPr>
          <w:rFonts w:ascii="Times New Roman" w:hAnsi="Times New Roman" w:cs="Times New Roman"/>
          <w:sz w:val="24"/>
          <w:szCs w:val="24"/>
        </w:rPr>
        <w:t xml:space="preserve">– </w:t>
      </w:r>
      <w:r w:rsidR="00CC2E54" w:rsidRPr="009D41B7">
        <w:rPr>
          <w:rFonts w:ascii="Times New Roman" w:hAnsi="Times New Roman" w:cs="Times New Roman"/>
          <w:sz w:val="24"/>
          <w:szCs w:val="24"/>
        </w:rPr>
        <w:t xml:space="preserve">1 285, powiecie ropczycko – sędziszowskim – 1 264, lubaczowskim – </w:t>
      </w:r>
      <w:r w:rsidR="009D41B7" w:rsidRPr="009D41B7">
        <w:rPr>
          <w:rFonts w:ascii="Times New Roman" w:hAnsi="Times New Roman" w:cs="Times New Roman"/>
          <w:sz w:val="24"/>
          <w:szCs w:val="24"/>
        </w:rPr>
        <w:t>1 105</w:t>
      </w:r>
      <w:r w:rsidR="00CC2E54" w:rsidRPr="009D41B7">
        <w:rPr>
          <w:rFonts w:ascii="Times New Roman" w:hAnsi="Times New Roman" w:cs="Times New Roman"/>
          <w:sz w:val="24"/>
          <w:szCs w:val="24"/>
        </w:rPr>
        <w:t xml:space="preserve"> </w:t>
      </w:r>
      <w:r w:rsidR="00BA7EE7">
        <w:rPr>
          <w:rFonts w:ascii="Times New Roman" w:hAnsi="Times New Roman" w:cs="Times New Roman"/>
          <w:sz w:val="24"/>
          <w:szCs w:val="24"/>
        </w:rPr>
        <w:t>i</w:t>
      </w:r>
      <w:r w:rsidRPr="009D41B7">
        <w:rPr>
          <w:rFonts w:ascii="Times New Roman" w:hAnsi="Times New Roman" w:cs="Times New Roman"/>
          <w:sz w:val="24"/>
          <w:szCs w:val="24"/>
        </w:rPr>
        <w:t xml:space="preserve"> </w:t>
      </w:r>
      <w:r w:rsidR="009D41B7" w:rsidRPr="009D41B7">
        <w:rPr>
          <w:rFonts w:ascii="Times New Roman" w:hAnsi="Times New Roman" w:cs="Times New Roman"/>
          <w:sz w:val="24"/>
          <w:szCs w:val="24"/>
        </w:rPr>
        <w:t xml:space="preserve">dębickim – </w:t>
      </w:r>
      <w:r w:rsidR="009D41B7">
        <w:rPr>
          <w:rFonts w:ascii="Times New Roman" w:hAnsi="Times New Roman" w:cs="Times New Roman"/>
          <w:sz w:val="24"/>
          <w:szCs w:val="24"/>
        </w:rPr>
        <w:t>979</w:t>
      </w:r>
      <w:r w:rsidR="0091033A" w:rsidRPr="009D41B7">
        <w:rPr>
          <w:rFonts w:ascii="Times New Roman" w:hAnsi="Times New Roman" w:cs="Times New Roman"/>
          <w:sz w:val="24"/>
          <w:szCs w:val="24"/>
        </w:rPr>
        <w:t>.</w:t>
      </w:r>
    </w:p>
    <w:p w:rsidR="0045693A" w:rsidRPr="00C32515" w:rsidRDefault="009B465D" w:rsidP="00160DBC">
      <w:pPr>
        <w:pStyle w:val="Bezodstpw"/>
        <w:numPr>
          <w:ilvl w:val="0"/>
          <w:numId w:val="10"/>
        </w:numPr>
        <w:spacing w:line="360" w:lineRule="auto"/>
        <w:jc w:val="both"/>
        <w:rPr>
          <w:rFonts w:ascii="Times New Roman" w:hAnsi="Times New Roman" w:cs="Times New Roman"/>
          <w:sz w:val="24"/>
          <w:szCs w:val="24"/>
        </w:rPr>
      </w:pPr>
      <w:r w:rsidRPr="00C32515">
        <w:rPr>
          <w:rFonts w:ascii="Times New Roman" w:hAnsi="Times New Roman" w:cs="Times New Roman"/>
          <w:sz w:val="24"/>
          <w:szCs w:val="24"/>
        </w:rPr>
        <w:t>Nominalnie</w:t>
      </w:r>
      <w:r w:rsidR="00AE5712" w:rsidRPr="00C32515">
        <w:rPr>
          <w:rFonts w:ascii="Times New Roman" w:hAnsi="Times New Roman" w:cs="Times New Roman"/>
          <w:sz w:val="24"/>
          <w:szCs w:val="24"/>
        </w:rPr>
        <w:t xml:space="preserve"> w </w:t>
      </w:r>
      <w:r w:rsidR="000177FF" w:rsidRPr="00C32515">
        <w:rPr>
          <w:rFonts w:ascii="Times New Roman" w:hAnsi="Times New Roman" w:cs="Times New Roman"/>
          <w:sz w:val="24"/>
          <w:szCs w:val="24"/>
        </w:rPr>
        <w:t>‘</w:t>
      </w:r>
      <w:r w:rsidR="0067454E" w:rsidRPr="00C32515">
        <w:rPr>
          <w:rFonts w:ascii="Times New Roman" w:hAnsi="Times New Roman" w:cs="Times New Roman"/>
          <w:sz w:val="24"/>
          <w:szCs w:val="24"/>
        </w:rPr>
        <w:t>1</w:t>
      </w:r>
      <w:r w:rsidR="009D41B7" w:rsidRPr="00C32515">
        <w:rPr>
          <w:rFonts w:ascii="Times New Roman" w:hAnsi="Times New Roman" w:cs="Times New Roman"/>
          <w:sz w:val="24"/>
          <w:szCs w:val="24"/>
        </w:rPr>
        <w:t>8</w:t>
      </w:r>
      <w:r w:rsidR="00AE5712" w:rsidRPr="00C32515">
        <w:rPr>
          <w:rFonts w:ascii="Times New Roman" w:hAnsi="Times New Roman" w:cs="Times New Roman"/>
          <w:sz w:val="24"/>
          <w:szCs w:val="24"/>
        </w:rPr>
        <w:t> r.</w:t>
      </w:r>
      <w:r w:rsidR="0067454E" w:rsidRPr="00C32515">
        <w:rPr>
          <w:rFonts w:ascii="Times New Roman" w:hAnsi="Times New Roman" w:cs="Times New Roman"/>
          <w:sz w:val="24"/>
          <w:szCs w:val="24"/>
        </w:rPr>
        <w:t xml:space="preserve"> najwięcej wolnych miejsc pracy</w:t>
      </w:r>
      <w:r w:rsidR="00290C24">
        <w:rPr>
          <w:rFonts w:ascii="Times New Roman" w:hAnsi="Times New Roman" w:cs="Times New Roman"/>
          <w:sz w:val="24"/>
          <w:szCs w:val="24"/>
        </w:rPr>
        <w:t xml:space="preserve"> </w:t>
      </w:r>
      <w:r w:rsidR="00AE5712" w:rsidRPr="00C32515">
        <w:rPr>
          <w:rFonts w:ascii="Times New Roman" w:hAnsi="Times New Roman" w:cs="Times New Roman"/>
          <w:sz w:val="24"/>
          <w:szCs w:val="24"/>
        </w:rPr>
        <w:t>i</w:t>
      </w:r>
      <w:r w:rsidR="00290C24">
        <w:rPr>
          <w:rFonts w:ascii="Times New Roman" w:hAnsi="Times New Roman" w:cs="Times New Roman"/>
          <w:sz w:val="24"/>
          <w:szCs w:val="24"/>
        </w:rPr>
        <w:t xml:space="preserve"> </w:t>
      </w:r>
      <w:r w:rsidR="0067454E" w:rsidRPr="00C32515">
        <w:rPr>
          <w:rFonts w:ascii="Times New Roman" w:hAnsi="Times New Roman" w:cs="Times New Roman"/>
          <w:sz w:val="24"/>
          <w:szCs w:val="24"/>
        </w:rPr>
        <w:t>miejsc aktywizacji zawodowej</w:t>
      </w:r>
      <w:r w:rsidR="00290C24">
        <w:rPr>
          <w:rFonts w:ascii="Times New Roman" w:hAnsi="Times New Roman" w:cs="Times New Roman"/>
          <w:sz w:val="24"/>
          <w:szCs w:val="24"/>
        </w:rPr>
        <w:t xml:space="preserve"> </w:t>
      </w:r>
      <w:r w:rsidR="0067454E" w:rsidRPr="00C32515">
        <w:rPr>
          <w:rFonts w:ascii="Times New Roman" w:hAnsi="Times New Roman" w:cs="Times New Roman"/>
          <w:sz w:val="24"/>
          <w:szCs w:val="24"/>
        </w:rPr>
        <w:t>zgłosili pracodawcy</w:t>
      </w:r>
      <w:r w:rsidR="00290C24">
        <w:rPr>
          <w:rFonts w:ascii="Times New Roman" w:hAnsi="Times New Roman" w:cs="Times New Roman"/>
          <w:sz w:val="24"/>
          <w:szCs w:val="24"/>
        </w:rPr>
        <w:t xml:space="preserve"> </w:t>
      </w:r>
      <w:r w:rsidR="00AE5712" w:rsidRPr="00C32515">
        <w:rPr>
          <w:rFonts w:ascii="Times New Roman" w:hAnsi="Times New Roman" w:cs="Times New Roman"/>
          <w:sz w:val="24"/>
          <w:szCs w:val="24"/>
        </w:rPr>
        <w:t>z</w:t>
      </w:r>
      <w:r w:rsidR="00290C24">
        <w:rPr>
          <w:rFonts w:ascii="Times New Roman" w:hAnsi="Times New Roman" w:cs="Times New Roman"/>
          <w:sz w:val="24"/>
          <w:szCs w:val="24"/>
        </w:rPr>
        <w:t xml:space="preserve"> </w:t>
      </w:r>
      <w:r w:rsidR="0067454E" w:rsidRPr="00C32515">
        <w:rPr>
          <w:rFonts w:ascii="Times New Roman" w:hAnsi="Times New Roman" w:cs="Times New Roman"/>
          <w:sz w:val="24"/>
          <w:szCs w:val="24"/>
        </w:rPr>
        <w:t xml:space="preserve">terenu następujących powiatów </w:t>
      </w:r>
      <w:r w:rsidR="00AE265F" w:rsidRPr="00C32515">
        <w:rPr>
          <w:rFonts w:ascii="Times New Roman" w:hAnsi="Times New Roman" w:cs="Times New Roman"/>
          <w:sz w:val="24"/>
          <w:szCs w:val="24"/>
        </w:rPr>
        <w:t>(</w:t>
      </w:r>
      <w:r w:rsidR="0067454E" w:rsidRPr="00C32515">
        <w:rPr>
          <w:rFonts w:ascii="Times New Roman" w:hAnsi="Times New Roman" w:cs="Times New Roman"/>
          <w:sz w:val="24"/>
          <w:szCs w:val="24"/>
        </w:rPr>
        <w:t>lub miast na prawach powiatów</w:t>
      </w:r>
      <w:r w:rsidR="00AE265F" w:rsidRPr="00C32515">
        <w:rPr>
          <w:rFonts w:ascii="Times New Roman" w:hAnsi="Times New Roman" w:cs="Times New Roman"/>
          <w:sz w:val="24"/>
          <w:szCs w:val="24"/>
        </w:rPr>
        <w:t>)</w:t>
      </w:r>
      <w:r w:rsidR="0067454E" w:rsidRPr="00C32515">
        <w:rPr>
          <w:rFonts w:ascii="Times New Roman" w:hAnsi="Times New Roman" w:cs="Times New Roman"/>
          <w:sz w:val="24"/>
          <w:szCs w:val="24"/>
        </w:rPr>
        <w:t xml:space="preserve"> </w:t>
      </w:r>
      <w:r w:rsidR="00A677B5" w:rsidRPr="00C32515">
        <w:rPr>
          <w:rFonts w:ascii="Times New Roman" w:hAnsi="Times New Roman" w:cs="Times New Roman"/>
          <w:sz w:val="24"/>
          <w:szCs w:val="24"/>
        </w:rPr>
        <w:t xml:space="preserve">m. </w:t>
      </w:r>
      <w:r w:rsidR="0067454E" w:rsidRPr="00C32515">
        <w:rPr>
          <w:rFonts w:ascii="Times New Roman" w:hAnsi="Times New Roman" w:cs="Times New Roman"/>
          <w:sz w:val="24"/>
          <w:szCs w:val="24"/>
        </w:rPr>
        <w:t xml:space="preserve">Rzeszowa – </w:t>
      </w:r>
      <w:r w:rsidR="00A677B5" w:rsidRPr="00C32515">
        <w:rPr>
          <w:rFonts w:ascii="Times New Roman" w:hAnsi="Times New Roman" w:cs="Times New Roman"/>
          <w:sz w:val="24"/>
          <w:szCs w:val="24"/>
        </w:rPr>
        <w:t>1</w:t>
      </w:r>
      <w:r w:rsidR="005F5837" w:rsidRPr="00C32515">
        <w:rPr>
          <w:rFonts w:ascii="Times New Roman" w:hAnsi="Times New Roman" w:cs="Times New Roman"/>
          <w:sz w:val="24"/>
          <w:szCs w:val="24"/>
        </w:rPr>
        <w:t>2</w:t>
      </w:r>
      <w:r w:rsidR="0067454E" w:rsidRPr="00C32515">
        <w:rPr>
          <w:rFonts w:ascii="Times New Roman" w:hAnsi="Times New Roman" w:cs="Times New Roman"/>
          <w:sz w:val="24"/>
          <w:szCs w:val="24"/>
        </w:rPr>
        <w:t xml:space="preserve"> </w:t>
      </w:r>
      <w:r w:rsidR="005F5837" w:rsidRPr="00C32515">
        <w:rPr>
          <w:rFonts w:ascii="Times New Roman" w:hAnsi="Times New Roman" w:cs="Times New Roman"/>
          <w:sz w:val="24"/>
          <w:szCs w:val="24"/>
        </w:rPr>
        <w:t>329</w:t>
      </w:r>
      <w:r w:rsidR="0067454E" w:rsidRPr="00C32515">
        <w:rPr>
          <w:rFonts w:ascii="Times New Roman" w:hAnsi="Times New Roman" w:cs="Times New Roman"/>
          <w:sz w:val="24"/>
          <w:szCs w:val="24"/>
        </w:rPr>
        <w:t xml:space="preserve"> </w:t>
      </w:r>
      <w:r w:rsidR="00C32515" w:rsidRPr="00C32515">
        <w:rPr>
          <w:rFonts w:ascii="Times New Roman" w:hAnsi="Times New Roman" w:cs="Times New Roman"/>
          <w:sz w:val="24"/>
          <w:szCs w:val="24"/>
        </w:rPr>
        <w:t>ofert</w:t>
      </w:r>
      <w:r w:rsidR="0067454E" w:rsidRPr="00C32515">
        <w:rPr>
          <w:rFonts w:ascii="Times New Roman" w:hAnsi="Times New Roman" w:cs="Times New Roman"/>
          <w:sz w:val="24"/>
          <w:szCs w:val="24"/>
        </w:rPr>
        <w:t>,</w:t>
      </w:r>
      <w:r w:rsidR="00AD036F" w:rsidRPr="00C32515">
        <w:rPr>
          <w:rFonts w:ascii="Times New Roman" w:hAnsi="Times New Roman" w:cs="Times New Roman"/>
          <w:sz w:val="24"/>
          <w:szCs w:val="24"/>
        </w:rPr>
        <w:t xml:space="preserve"> </w:t>
      </w:r>
      <w:r w:rsidR="00A677B5" w:rsidRPr="00C32515">
        <w:rPr>
          <w:rFonts w:ascii="Times New Roman" w:hAnsi="Times New Roman" w:cs="Times New Roman"/>
          <w:sz w:val="24"/>
          <w:szCs w:val="24"/>
        </w:rPr>
        <w:t xml:space="preserve">powiatu </w:t>
      </w:r>
      <w:r w:rsidR="0067454E" w:rsidRPr="00C32515">
        <w:rPr>
          <w:rFonts w:ascii="Times New Roman" w:hAnsi="Times New Roman" w:cs="Times New Roman"/>
          <w:sz w:val="24"/>
          <w:szCs w:val="24"/>
        </w:rPr>
        <w:t xml:space="preserve">mieleckiego – </w:t>
      </w:r>
      <w:r w:rsidR="005F5837" w:rsidRPr="00C32515">
        <w:rPr>
          <w:rFonts w:ascii="Times New Roman" w:hAnsi="Times New Roman" w:cs="Times New Roman"/>
          <w:sz w:val="24"/>
          <w:szCs w:val="24"/>
        </w:rPr>
        <w:t>5</w:t>
      </w:r>
      <w:r w:rsidR="00CE6796" w:rsidRPr="00C32515">
        <w:rPr>
          <w:rFonts w:ascii="Times New Roman" w:hAnsi="Times New Roman" w:cs="Times New Roman"/>
          <w:sz w:val="24"/>
          <w:szCs w:val="24"/>
        </w:rPr>
        <w:t> </w:t>
      </w:r>
      <w:r w:rsidR="006E65C8" w:rsidRPr="00C32515">
        <w:rPr>
          <w:rFonts w:ascii="Times New Roman" w:hAnsi="Times New Roman" w:cs="Times New Roman"/>
          <w:sz w:val="24"/>
          <w:szCs w:val="24"/>
        </w:rPr>
        <w:t>9</w:t>
      </w:r>
      <w:r w:rsidR="005F5837" w:rsidRPr="00C32515">
        <w:rPr>
          <w:rFonts w:ascii="Times New Roman" w:hAnsi="Times New Roman" w:cs="Times New Roman"/>
          <w:sz w:val="24"/>
          <w:szCs w:val="24"/>
        </w:rPr>
        <w:t>39</w:t>
      </w:r>
      <w:r w:rsidR="00CE6796" w:rsidRPr="00C32515">
        <w:rPr>
          <w:rFonts w:ascii="Times New Roman" w:hAnsi="Times New Roman" w:cs="Times New Roman"/>
          <w:sz w:val="24"/>
          <w:szCs w:val="24"/>
        </w:rPr>
        <w:t xml:space="preserve"> i </w:t>
      </w:r>
      <w:r w:rsidR="00772F51" w:rsidRPr="00C32515">
        <w:rPr>
          <w:rFonts w:ascii="Times New Roman" w:hAnsi="Times New Roman" w:cs="Times New Roman"/>
          <w:sz w:val="24"/>
          <w:szCs w:val="24"/>
        </w:rPr>
        <w:t xml:space="preserve">powiatu </w:t>
      </w:r>
      <w:r w:rsidR="0091033A" w:rsidRPr="00C32515">
        <w:rPr>
          <w:rFonts w:ascii="Times New Roman" w:hAnsi="Times New Roman" w:cs="Times New Roman"/>
          <w:sz w:val="24"/>
          <w:szCs w:val="24"/>
        </w:rPr>
        <w:t xml:space="preserve">dębickiego – </w:t>
      </w:r>
      <w:r w:rsidR="005F5837" w:rsidRPr="00C32515">
        <w:rPr>
          <w:rFonts w:ascii="Times New Roman" w:hAnsi="Times New Roman" w:cs="Times New Roman"/>
          <w:sz w:val="24"/>
          <w:szCs w:val="24"/>
        </w:rPr>
        <w:t>4</w:t>
      </w:r>
      <w:r w:rsidR="00ED09E8" w:rsidRPr="00C32515">
        <w:rPr>
          <w:rFonts w:ascii="Times New Roman" w:hAnsi="Times New Roman" w:cs="Times New Roman"/>
          <w:sz w:val="24"/>
          <w:szCs w:val="24"/>
        </w:rPr>
        <w:t> </w:t>
      </w:r>
      <w:r w:rsidR="00A55EC1" w:rsidRPr="00C32515">
        <w:rPr>
          <w:rFonts w:ascii="Times New Roman" w:hAnsi="Times New Roman" w:cs="Times New Roman"/>
          <w:sz w:val="24"/>
          <w:szCs w:val="24"/>
        </w:rPr>
        <w:t>8</w:t>
      </w:r>
      <w:r w:rsidR="005F5837" w:rsidRPr="00C32515">
        <w:rPr>
          <w:rFonts w:ascii="Times New Roman" w:hAnsi="Times New Roman" w:cs="Times New Roman"/>
          <w:sz w:val="24"/>
          <w:szCs w:val="24"/>
        </w:rPr>
        <w:t>32</w:t>
      </w:r>
      <w:r w:rsidR="0091033A" w:rsidRPr="00C32515">
        <w:rPr>
          <w:rFonts w:ascii="Times New Roman" w:hAnsi="Times New Roman" w:cs="Times New Roman"/>
          <w:sz w:val="24"/>
          <w:szCs w:val="24"/>
        </w:rPr>
        <w:t>.</w:t>
      </w:r>
    </w:p>
    <w:p w:rsidR="00C32515" w:rsidRPr="00C32515" w:rsidRDefault="00ED09E8" w:rsidP="00160DBC">
      <w:pPr>
        <w:pStyle w:val="Bezodstpw"/>
        <w:numPr>
          <w:ilvl w:val="0"/>
          <w:numId w:val="10"/>
        </w:numPr>
        <w:spacing w:line="360" w:lineRule="auto"/>
        <w:jc w:val="both"/>
        <w:rPr>
          <w:rFonts w:ascii="Times New Roman" w:hAnsi="Times New Roman" w:cs="Times New Roman"/>
          <w:sz w:val="24"/>
          <w:szCs w:val="24"/>
        </w:rPr>
      </w:pPr>
      <w:r w:rsidRPr="00C32515">
        <w:rPr>
          <w:rFonts w:ascii="Times New Roman" w:hAnsi="Times New Roman" w:cs="Times New Roman"/>
          <w:sz w:val="24"/>
          <w:szCs w:val="24"/>
        </w:rPr>
        <w:t>Najmniej z powiatów</w:t>
      </w:r>
      <w:r w:rsidR="00EF1A22" w:rsidRPr="00C32515">
        <w:rPr>
          <w:rFonts w:ascii="Times New Roman" w:hAnsi="Times New Roman" w:cs="Times New Roman"/>
          <w:sz w:val="24"/>
          <w:szCs w:val="24"/>
        </w:rPr>
        <w:t xml:space="preserve"> leskiego – 626 ofert, przemyskiego – 685</w:t>
      </w:r>
      <w:r w:rsidR="00C32515" w:rsidRPr="00C32515">
        <w:rPr>
          <w:rFonts w:ascii="Times New Roman" w:hAnsi="Times New Roman" w:cs="Times New Roman"/>
          <w:sz w:val="24"/>
          <w:szCs w:val="24"/>
        </w:rPr>
        <w:t>,</w:t>
      </w:r>
      <w:r w:rsidR="00EF1A22" w:rsidRPr="00C32515">
        <w:rPr>
          <w:rFonts w:ascii="Times New Roman" w:hAnsi="Times New Roman" w:cs="Times New Roman"/>
          <w:sz w:val="24"/>
          <w:szCs w:val="24"/>
        </w:rPr>
        <w:t xml:space="preserve"> </w:t>
      </w:r>
      <w:r w:rsidRPr="00C32515">
        <w:rPr>
          <w:rFonts w:ascii="Times New Roman" w:hAnsi="Times New Roman" w:cs="Times New Roman"/>
          <w:sz w:val="24"/>
          <w:szCs w:val="24"/>
        </w:rPr>
        <w:t>bieszczadzki</w:t>
      </w:r>
      <w:r w:rsidR="00CE6796" w:rsidRPr="00C32515">
        <w:rPr>
          <w:rFonts w:ascii="Times New Roman" w:hAnsi="Times New Roman" w:cs="Times New Roman"/>
          <w:sz w:val="24"/>
          <w:szCs w:val="24"/>
        </w:rPr>
        <w:t>ego</w:t>
      </w:r>
      <w:r w:rsidRPr="00C32515">
        <w:rPr>
          <w:rFonts w:ascii="Times New Roman" w:hAnsi="Times New Roman" w:cs="Times New Roman"/>
          <w:sz w:val="24"/>
          <w:szCs w:val="24"/>
        </w:rPr>
        <w:t xml:space="preserve"> – </w:t>
      </w:r>
      <w:r w:rsidR="00EF1A22" w:rsidRPr="00C32515">
        <w:rPr>
          <w:rFonts w:ascii="Times New Roman" w:hAnsi="Times New Roman" w:cs="Times New Roman"/>
          <w:sz w:val="24"/>
          <w:szCs w:val="24"/>
        </w:rPr>
        <w:t>719</w:t>
      </w:r>
      <w:r w:rsidRPr="00C32515">
        <w:rPr>
          <w:rFonts w:ascii="Times New Roman" w:hAnsi="Times New Roman" w:cs="Times New Roman"/>
          <w:sz w:val="24"/>
          <w:szCs w:val="24"/>
        </w:rPr>
        <w:t>,</w:t>
      </w:r>
      <w:r w:rsidR="00CE6796" w:rsidRPr="00C32515">
        <w:rPr>
          <w:rFonts w:ascii="Times New Roman" w:hAnsi="Times New Roman" w:cs="Times New Roman"/>
          <w:sz w:val="24"/>
          <w:szCs w:val="24"/>
        </w:rPr>
        <w:t xml:space="preserve"> krośnieńskiego – </w:t>
      </w:r>
      <w:r w:rsidR="00C32515" w:rsidRPr="00C32515">
        <w:rPr>
          <w:rFonts w:ascii="Times New Roman" w:hAnsi="Times New Roman" w:cs="Times New Roman"/>
          <w:sz w:val="24"/>
          <w:szCs w:val="24"/>
        </w:rPr>
        <w:t>942</w:t>
      </w:r>
      <w:r w:rsidR="00290C24">
        <w:rPr>
          <w:rFonts w:ascii="Times New Roman" w:hAnsi="Times New Roman" w:cs="Times New Roman"/>
          <w:sz w:val="24"/>
          <w:szCs w:val="24"/>
        </w:rPr>
        <w:t xml:space="preserve"> i</w:t>
      </w:r>
      <w:r w:rsidR="00C32515" w:rsidRPr="00C32515">
        <w:rPr>
          <w:rFonts w:ascii="Times New Roman" w:hAnsi="Times New Roman" w:cs="Times New Roman"/>
          <w:sz w:val="24"/>
          <w:szCs w:val="24"/>
        </w:rPr>
        <w:t xml:space="preserve"> brzozowskiego – 1 295. </w:t>
      </w:r>
    </w:p>
    <w:p w:rsidR="00450DA8" w:rsidRPr="00CF2B40" w:rsidRDefault="0067454E" w:rsidP="00176C58">
      <w:pPr>
        <w:pStyle w:val="Bezodstpw"/>
        <w:numPr>
          <w:ilvl w:val="0"/>
          <w:numId w:val="10"/>
        </w:numPr>
        <w:spacing w:line="360" w:lineRule="auto"/>
        <w:jc w:val="both"/>
        <w:rPr>
          <w:rFonts w:ascii="Times New Roman" w:hAnsi="Times New Roman" w:cs="Times New Roman"/>
          <w:sz w:val="24"/>
          <w:szCs w:val="24"/>
        </w:rPr>
      </w:pPr>
      <w:r w:rsidRPr="00CF2B40">
        <w:rPr>
          <w:rFonts w:ascii="Times New Roman" w:hAnsi="Times New Roman" w:cs="Times New Roman"/>
          <w:sz w:val="24"/>
          <w:szCs w:val="24"/>
        </w:rPr>
        <w:t>Wolne miejsca pracy</w:t>
      </w:r>
      <w:r w:rsidR="00AE5712" w:rsidRPr="00CF2B40">
        <w:rPr>
          <w:rFonts w:ascii="Times New Roman" w:hAnsi="Times New Roman" w:cs="Times New Roman"/>
          <w:sz w:val="24"/>
          <w:szCs w:val="24"/>
        </w:rPr>
        <w:t xml:space="preserve"> i </w:t>
      </w:r>
      <w:r w:rsidRPr="00CF2B40">
        <w:rPr>
          <w:rFonts w:ascii="Times New Roman" w:hAnsi="Times New Roman" w:cs="Times New Roman"/>
          <w:sz w:val="24"/>
          <w:szCs w:val="24"/>
        </w:rPr>
        <w:t>miejsca aktywizacji zawodowej, które zostały subsydiowane ze środków Funduszu Pracy łagodziły</w:t>
      </w:r>
      <w:r w:rsidR="00AE5712" w:rsidRPr="00CF2B40">
        <w:rPr>
          <w:rFonts w:ascii="Times New Roman" w:hAnsi="Times New Roman" w:cs="Times New Roman"/>
          <w:sz w:val="24"/>
          <w:szCs w:val="24"/>
        </w:rPr>
        <w:t xml:space="preserve"> </w:t>
      </w:r>
      <w:r w:rsidRPr="00CF2B40">
        <w:rPr>
          <w:rFonts w:ascii="Times New Roman" w:hAnsi="Times New Roman" w:cs="Times New Roman"/>
          <w:sz w:val="24"/>
          <w:szCs w:val="24"/>
        </w:rPr>
        <w:t xml:space="preserve">trudną sytuację </w:t>
      </w:r>
      <w:r w:rsidR="00DD3E2A" w:rsidRPr="00CF2B40">
        <w:rPr>
          <w:rFonts w:ascii="Times New Roman" w:hAnsi="Times New Roman" w:cs="Times New Roman"/>
          <w:sz w:val="24"/>
          <w:szCs w:val="24"/>
        </w:rPr>
        <w:t xml:space="preserve">na </w:t>
      </w:r>
      <w:r w:rsidR="00450DA8" w:rsidRPr="00CF2B40">
        <w:rPr>
          <w:rFonts w:ascii="Times New Roman" w:hAnsi="Times New Roman" w:cs="Times New Roman"/>
          <w:sz w:val="24"/>
          <w:szCs w:val="24"/>
        </w:rPr>
        <w:t xml:space="preserve">lokalnych </w:t>
      </w:r>
      <w:r w:rsidRPr="00CF2B40">
        <w:rPr>
          <w:rFonts w:ascii="Times New Roman" w:hAnsi="Times New Roman" w:cs="Times New Roman"/>
          <w:sz w:val="24"/>
          <w:szCs w:val="24"/>
        </w:rPr>
        <w:t>rynk</w:t>
      </w:r>
      <w:r w:rsidR="00DD3E2A" w:rsidRPr="00CF2B40">
        <w:rPr>
          <w:rFonts w:ascii="Times New Roman" w:hAnsi="Times New Roman" w:cs="Times New Roman"/>
          <w:sz w:val="24"/>
          <w:szCs w:val="24"/>
        </w:rPr>
        <w:t xml:space="preserve">ach </w:t>
      </w:r>
      <w:r w:rsidRPr="00CF2B40">
        <w:rPr>
          <w:rFonts w:ascii="Times New Roman" w:hAnsi="Times New Roman" w:cs="Times New Roman"/>
          <w:sz w:val="24"/>
          <w:szCs w:val="24"/>
        </w:rPr>
        <w:t>pracy.</w:t>
      </w:r>
      <w:r w:rsidR="00AE5712" w:rsidRPr="00CF2B40">
        <w:rPr>
          <w:rFonts w:ascii="Times New Roman" w:hAnsi="Times New Roman" w:cs="Times New Roman"/>
          <w:sz w:val="24"/>
          <w:szCs w:val="24"/>
        </w:rPr>
        <w:t xml:space="preserve"> </w:t>
      </w:r>
      <w:r w:rsidR="00C71750" w:rsidRPr="00CF2B40">
        <w:rPr>
          <w:rFonts w:ascii="Times New Roman" w:hAnsi="Times New Roman" w:cs="Times New Roman"/>
          <w:sz w:val="24"/>
          <w:szCs w:val="24"/>
        </w:rPr>
        <w:t>W</w:t>
      </w:r>
      <w:r w:rsidR="007120B2" w:rsidRPr="00CF2B40">
        <w:rPr>
          <w:rFonts w:ascii="Times New Roman" w:hAnsi="Times New Roman" w:cs="Times New Roman"/>
          <w:sz w:val="24"/>
          <w:szCs w:val="24"/>
        </w:rPr>
        <w:t xml:space="preserve"> 20</w:t>
      </w:r>
      <w:r w:rsidRPr="00CF2B40">
        <w:rPr>
          <w:rFonts w:ascii="Times New Roman" w:hAnsi="Times New Roman" w:cs="Times New Roman"/>
          <w:sz w:val="24"/>
          <w:szCs w:val="24"/>
        </w:rPr>
        <w:t>1</w:t>
      </w:r>
      <w:r w:rsidR="00C75E05" w:rsidRPr="00CF2B40">
        <w:rPr>
          <w:rFonts w:ascii="Times New Roman" w:hAnsi="Times New Roman" w:cs="Times New Roman"/>
          <w:sz w:val="24"/>
          <w:szCs w:val="24"/>
        </w:rPr>
        <w:t>8</w:t>
      </w:r>
      <w:r w:rsidR="007120B2" w:rsidRPr="00CF2B40">
        <w:rPr>
          <w:rFonts w:ascii="Times New Roman" w:hAnsi="Times New Roman" w:cs="Times New Roman"/>
          <w:sz w:val="24"/>
          <w:szCs w:val="24"/>
        </w:rPr>
        <w:t xml:space="preserve"> </w:t>
      </w:r>
      <w:r w:rsidRPr="00CF2B40">
        <w:rPr>
          <w:rFonts w:ascii="Times New Roman" w:hAnsi="Times New Roman" w:cs="Times New Roman"/>
          <w:sz w:val="24"/>
          <w:szCs w:val="24"/>
        </w:rPr>
        <w:t>r</w:t>
      </w:r>
      <w:r w:rsidR="00176C58" w:rsidRPr="00CF2B40">
        <w:rPr>
          <w:rFonts w:ascii="Times New Roman" w:hAnsi="Times New Roman" w:cs="Times New Roman"/>
          <w:sz w:val="24"/>
          <w:szCs w:val="24"/>
        </w:rPr>
        <w:t>oku</w:t>
      </w:r>
      <w:r w:rsidRPr="00CF2B40">
        <w:rPr>
          <w:rFonts w:ascii="Times New Roman" w:hAnsi="Times New Roman" w:cs="Times New Roman"/>
          <w:sz w:val="24"/>
          <w:szCs w:val="24"/>
        </w:rPr>
        <w:t xml:space="preserve"> największy </w:t>
      </w:r>
      <w:r w:rsidR="004245A0" w:rsidRPr="00CF2B40">
        <w:rPr>
          <w:rFonts w:ascii="Times New Roman" w:hAnsi="Times New Roman" w:cs="Times New Roman"/>
          <w:sz w:val="24"/>
          <w:szCs w:val="24"/>
        </w:rPr>
        <w:t xml:space="preserve">poziom subsydiów (tj. </w:t>
      </w:r>
      <w:r w:rsidRPr="00CF2B40">
        <w:rPr>
          <w:rFonts w:ascii="Times New Roman" w:hAnsi="Times New Roman" w:cs="Times New Roman"/>
          <w:sz w:val="24"/>
          <w:szCs w:val="24"/>
        </w:rPr>
        <w:t>udział ofert subsydiowanych</w:t>
      </w:r>
      <w:r w:rsidR="00AE5712" w:rsidRPr="00CF2B40">
        <w:rPr>
          <w:rFonts w:ascii="Times New Roman" w:hAnsi="Times New Roman" w:cs="Times New Roman"/>
          <w:sz w:val="24"/>
          <w:szCs w:val="24"/>
        </w:rPr>
        <w:t xml:space="preserve"> w </w:t>
      </w:r>
      <w:r w:rsidRPr="00CF2B40">
        <w:rPr>
          <w:rFonts w:ascii="Times New Roman" w:hAnsi="Times New Roman" w:cs="Times New Roman"/>
          <w:sz w:val="24"/>
          <w:szCs w:val="24"/>
        </w:rPr>
        <w:t xml:space="preserve">ogólnej liczbie </w:t>
      </w:r>
      <w:r w:rsidR="004245A0" w:rsidRPr="00CF2B40">
        <w:rPr>
          <w:rFonts w:ascii="Times New Roman" w:hAnsi="Times New Roman" w:cs="Times New Roman"/>
          <w:sz w:val="24"/>
          <w:szCs w:val="24"/>
        </w:rPr>
        <w:t xml:space="preserve">zgłoszonych do PUP </w:t>
      </w:r>
      <w:r w:rsidRPr="00CF2B40">
        <w:rPr>
          <w:rFonts w:ascii="Times New Roman" w:hAnsi="Times New Roman" w:cs="Times New Roman"/>
          <w:sz w:val="24"/>
          <w:szCs w:val="24"/>
        </w:rPr>
        <w:t>wolnych miejsc pracy</w:t>
      </w:r>
      <w:r w:rsidR="00AE5712" w:rsidRPr="00CF2B40">
        <w:rPr>
          <w:rFonts w:ascii="Times New Roman" w:hAnsi="Times New Roman" w:cs="Times New Roman"/>
          <w:sz w:val="24"/>
          <w:szCs w:val="24"/>
        </w:rPr>
        <w:t xml:space="preserve"> i </w:t>
      </w:r>
      <w:r w:rsidRPr="00CF2B40">
        <w:rPr>
          <w:rFonts w:ascii="Times New Roman" w:hAnsi="Times New Roman" w:cs="Times New Roman"/>
          <w:sz w:val="24"/>
          <w:szCs w:val="24"/>
        </w:rPr>
        <w:t>aktywizacji zawodowej</w:t>
      </w:r>
      <w:r w:rsidR="004245A0" w:rsidRPr="00CF2B40">
        <w:rPr>
          <w:rFonts w:ascii="Times New Roman" w:hAnsi="Times New Roman" w:cs="Times New Roman"/>
          <w:sz w:val="24"/>
          <w:szCs w:val="24"/>
        </w:rPr>
        <w:t>)</w:t>
      </w:r>
      <w:r w:rsidRPr="00CF2B40">
        <w:rPr>
          <w:rFonts w:ascii="Times New Roman" w:hAnsi="Times New Roman" w:cs="Times New Roman"/>
          <w:sz w:val="24"/>
          <w:szCs w:val="24"/>
        </w:rPr>
        <w:t xml:space="preserve"> odnotowano</w:t>
      </w:r>
      <w:r w:rsidR="00AE5712" w:rsidRPr="00CF2B40">
        <w:rPr>
          <w:rFonts w:ascii="Times New Roman" w:hAnsi="Times New Roman" w:cs="Times New Roman"/>
          <w:sz w:val="24"/>
          <w:szCs w:val="24"/>
        </w:rPr>
        <w:t xml:space="preserve"> w </w:t>
      </w:r>
      <w:r w:rsidRPr="00CF2B40">
        <w:rPr>
          <w:rFonts w:ascii="Times New Roman" w:hAnsi="Times New Roman" w:cs="Times New Roman"/>
          <w:sz w:val="24"/>
          <w:szCs w:val="24"/>
        </w:rPr>
        <w:t xml:space="preserve">powiatach </w:t>
      </w:r>
      <w:r w:rsidR="004245A0" w:rsidRPr="00CF2B40">
        <w:rPr>
          <w:rFonts w:ascii="Times New Roman" w:hAnsi="Times New Roman" w:cs="Times New Roman"/>
          <w:sz w:val="24"/>
          <w:szCs w:val="24"/>
        </w:rPr>
        <w:t xml:space="preserve">przeworskim </w:t>
      </w:r>
      <w:r w:rsidRPr="00CF2B40">
        <w:rPr>
          <w:rFonts w:ascii="Times New Roman" w:hAnsi="Times New Roman" w:cs="Times New Roman"/>
          <w:sz w:val="24"/>
          <w:szCs w:val="24"/>
        </w:rPr>
        <w:t xml:space="preserve">– </w:t>
      </w:r>
      <w:r w:rsidR="004245A0" w:rsidRPr="00CF2B40">
        <w:rPr>
          <w:rFonts w:ascii="Times New Roman" w:hAnsi="Times New Roman" w:cs="Times New Roman"/>
          <w:sz w:val="24"/>
          <w:szCs w:val="24"/>
        </w:rPr>
        <w:t>70</w:t>
      </w:r>
      <w:r w:rsidRPr="00CF2B40">
        <w:rPr>
          <w:rFonts w:ascii="Times New Roman" w:hAnsi="Times New Roman" w:cs="Times New Roman"/>
          <w:sz w:val="24"/>
          <w:szCs w:val="24"/>
        </w:rPr>
        <w:t>,</w:t>
      </w:r>
      <w:r w:rsidR="004245A0" w:rsidRPr="00CF2B40">
        <w:rPr>
          <w:rFonts w:ascii="Times New Roman" w:hAnsi="Times New Roman" w:cs="Times New Roman"/>
          <w:sz w:val="24"/>
          <w:szCs w:val="24"/>
        </w:rPr>
        <w:t xml:space="preserve">0 </w:t>
      </w:r>
      <w:r w:rsidRPr="00CF2B40">
        <w:rPr>
          <w:rFonts w:ascii="Times New Roman" w:hAnsi="Times New Roman" w:cs="Times New Roman"/>
          <w:sz w:val="24"/>
          <w:szCs w:val="24"/>
        </w:rPr>
        <w:t xml:space="preserve">%, </w:t>
      </w:r>
      <w:r w:rsidR="004245A0" w:rsidRPr="00CF2B40">
        <w:rPr>
          <w:rFonts w:ascii="Times New Roman" w:hAnsi="Times New Roman" w:cs="Times New Roman"/>
          <w:sz w:val="24"/>
          <w:szCs w:val="24"/>
        </w:rPr>
        <w:t xml:space="preserve">przemyskim </w:t>
      </w:r>
      <w:r w:rsidRPr="00CF2B40">
        <w:rPr>
          <w:rFonts w:ascii="Times New Roman" w:hAnsi="Times New Roman" w:cs="Times New Roman"/>
          <w:sz w:val="24"/>
          <w:szCs w:val="24"/>
        </w:rPr>
        <w:t xml:space="preserve">– </w:t>
      </w:r>
      <w:r w:rsidR="00DD3E2A" w:rsidRPr="00CF2B40">
        <w:rPr>
          <w:rFonts w:ascii="Times New Roman" w:hAnsi="Times New Roman" w:cs="Times New Roman"/>
          <w:sz w:val="24"/>
          <w:szCs w:val="24"/>
        </w:rPr>
        <w:t>6</w:t>
      </w:r>
      <w:r w:rsidR="004245A0" w:rsidRPr="00CF2B40">
        <w:rPr>
          <w:rFonts w:ascii="Times New Roman" w:hAnsi="Times New Roman" w:cs="Times New Roman"/>
          <w:sz w:val="24"/>
          <w:szCs w:val="24"/>
        </w:rPr>
        <w:t>6</w:t>
      </w:r>
      <w:r w:rsidRPr="00CF2B40">
        <w:rPr>
          <w:rFonts w:ascii="Times New Roman" w:hAnsi="Times New Roman" w:cs="Times New Roman"/>
          <w:sz w:val="24"/>
          <w:szCs w:val="24"/>
        </w:rPr>
        <w:t>,</w:t>
      </w:r>
      <w:r w:rsidR="004245A0" w:rsidRPr="00CF2B40">
        <w:rPr>
          <w:rFonts w:ascii="Times New Roman" w:hAnsi="Times New Roman" w:cs="Times New Roman"/>
          <w:sz w:val="24"/>
          <w:szCs w:val="24"/>
        </w:rPr>
        <w:t xml:space="preserve">9 </w:t>
      </w:r>
      <w:r w:rsidRPr="00CF2B40">
        <w:rPr>
          <w:rFonts w:ascii="Times New Roman" w:hAnsi="Times New Roman" w:cs="Times New Roman"/>
          <w:sz w:val="24"/>
          <w:szCs w:val="24"/>
        </w:rPr>
        <w:t>%</w:t>
      </w:r>
      <w:r w:rsidR="00176C58" w:rsidRPr="00CF2B40">
        <w:rPr>
          <w:rFonts w:ascii="Times New Roman" w:hAnsi="Times New Roman" w:cs="Times New Roman"/>
          <w:sz w:val="24"/>
          <w:szCs w:val="24"/>
        </w:rPr>
        <w:t xml:space="preserve">, </w:t>
      </w:r>
      <w:r w:rsidR="0091033A" w:rsidRPr="00CF2B40">
        <w:rPr>
          <w:rFonts w:ascii="Times New Roman" w:hAnsi="Times New Roman" w:cs="Times New Roman"/>
          <w:sz w:val="24"/>
          <w:szCs w:val="24"/>
        </w:rPr>
        <w:t xml:space="preserve">jasielskim – </w:t>
      </w:r>
      <w:r w:rsidR="00DD3E2A" w:rsidRPr="00CF2B40">
        <w:rPr>
          <w:rFonts w:ascii="Times New Roman" w:hAnsi="Times New Roman" w:cs="Times New Roman"/>
          <w:sz w:val="24"/>
          <w:szCs w:val="24"/>
        </w:rPr>
        <w:t>6</w:t>
      </w:r>
      <w:r w:rsidR="004245A0" w:rsidRPr="00CF2B40">
        <w:rPr>
          <w:rFonts w:ascii="Times New Roman" w:hAnsi="Times New Roman" w:cs="Times New Roman"/>
          <w:sz w:val="24"/>
          <w:szCs w:val="24"/>
        </w:rPr>
        <w:t>6</w:t>
      </w:r>
      <w:r w:rsidR="0091033A" w:rsidRPr="00CF2B40">
        <w:rPr>
          <w:rFonts w:ascii="Times New Roman" w:hAnsi="Times New Roman" w:cs="Times New Roman"/>
          <w:sz w:val="24"/>
          <w:szCs w:val="24"/>
        </w:rPr>
        <w:t>,</w:t>
      </w:r>
      <w:r w:rsidR="004245A0" w:rsidRPr="00CF2B40">
        <w:rPr>
          <w:rFonts w:ascii="Times New Roman" w:hAnsi="Times New Roman" w:cs="Times New Roman"/>
          <w:sz w:val="24"/>
          <w:szCs w:val="24"/>
        </w:rPr>
        <w:t xml:space="preserve">0 </w:t>
      </w:r>
      <w:r w:rsidR="0091033A" w:rsidRPr="00CF2B40">
        <w:rPr>
          <w:rFonts w:ascii="Times New Roman" w:hAnsi="Times New Roman" w:cs="Times New Roman"/>
          <w:sz w:val="24"/>
          <w:szCs w:val="24"/>
        </w:rPr>
        <w:t>%</w:t>
      </w:r>
      <w:r w:rsidR="00176C58" w:rsidRPr="00CF2B40">
        <w:rPr>
          <w:rFonts w:ascii="Times New Roman" w:hAnsi="Times New Roman" w:cs="Times New Roman"/>
          <w:sz w:val="24"/>
          <w:szCs w:val="24"/>
        </w:rPr>
        <w:t>, brzozowskim – 63,6 %, lubaczowskim – 52,5 %, ropczycko – sędziszowskim – 52,1 %, kolbuszowskim – 52,0 %, łańcucki</w:t>
      </w:r>
      <w:r w:rsidR="00CF2B40" w:rsidRPr="00CF2B40">
        <w:rPr>
          <w:rFonts w:ascii="Times New Roman" w:hAnsi="Times New Roman" w:cs="Times New Roman"/>
          <w:sz w:val="24"/>
          <w:szCs w:val="24"/>
        </w:rPr>
        <w:t>m – 50,6 % i niżańskim – 50,4 %. W pozostałych 12 powiatach i 4 miastach na prawach powiatów – był poniżej 50,0 %.</w:t>
      </w:r>
    </w:p>
    <w:p w:rsidR="002A267D" w:rsidRDefault="00DD3E2A" w:rsidP="001317BC">
      <w:pPr>
        <w:pStyle w:val="Bezodstpw"/>
        <w:numPr>
          <w:ilvl w:val="0"/>
          <w:numId w:val="10"/>
        </w:numPr>
        <w:spacing w:line="360" w:lineRule="auto"/>
        <w:jc w:val="both"/>
        <w:rPr>
          <w:rFonts w:ascii="Times New Roman" w:hAnsi="Times New Roman" w:cs="Times New Roman"/>
          <w:sz w:val="24"/>
          <w:szCs w:val="24"/>
        </w:rPr>
      </w:pPr>
      <w:r w:rsidRPr="00CF2B40">
        <w:rPr>
          <w:rFonts w:ascii="Times New Roman" w:hAnsi="Times New Roman" w:cs="Times New Roman"/>
          <w:sz w:val="24"/>
          <w:szCs w:val="24"/>
        </w:rPr>
        <w:t>Najniższy udział miejsc pracy subsydiowanej w ogólnej liczbie ofert pracy zgłoszonych do PUP przez pracodawców odnotowano w m. Rzeszowie – 1</w:t>
      </w:r>
      <w:r w:rsidR="00CF2B40" w:rsidRPr="00CF2B40">
        <w:rPr>
          <w:rFonts w:ascii="Times New Roman" w:hAnsi="Times New Roman" w:cs="Times New Roman"/>
          <w:sz w:val="24"/>
          <w:szCs w:val="24"/>
        </w:rPr>
        <w:t>2</w:t>
      </w:r>
      <w:r w:rsidRPr="00CF2B40">
        <w:rPr>
          <w:rFonts w:ascii="Times New Roman" w:hAnsi="Times New Roman" w:cs="Times New Roman"/>
          <w:sz w:val="24"/>
          <w:szCs w:val="24"/>
        </w:rPr>
        <w:t>,</w:t>
      </w:r>
      <w:r w:rsidR="00CF2B40" w:rsidRPr="00CF2B40">
        <w:rPr>
          <w:rFonts w:ascii="Times New Roman" w:hAnsi="Times New Roman" w:cs="Times New Roman"/>
          <w:sz w:val="24"/>
          <w:szCs w:val="24"/>
        </w:rPr>
        <w:t xml:space="preserve">1 </w:t>
      </w:r>
      <w:r w:rsidRPr="00CF2B40">
        <w:rPr>
          <w:rFonts w:ascii="Times New Roman" w:hAnsi="Times New Roman" w:cs="Times New Roman"/>
          <w:sz w:val="24"/>
          <w:szCs w:val="24"/>
        </w:rPr>
        <w:t xml:space="preserve">%, powiecie </w:t>
      </w:r>
      <w:r w:rsidR="00CF2B40" w:rsidRPr="00CF2B40">
        <w:rPr>
          <w:rFonts w:ascii="Times New Roman" w:hAnsi="Times New Roman" w:cs="Times New Roman"/>
          <w:sz w:val="24"/>
          <w:szCs w:val="24"/>
        </w:rPr>
        <w:t xml:space="preserve">dębickim </w:t>
      </w:r>
      <w:r w:rsidRPr="00CF2B40">
        <w:rPr>
          <w:rFonts w:ascii="Times New Roman" w:hAnsi="Times New Roman" w:cs="Times New Roman"/>
          <w:sz w:val="24"/>
          <w:szCs w:val="24"/>
        </w:rPr>
        <w:t xml:space="preserve">– </w:t>
      </w:r>
      <w:r w:rsidR="00CF2B40" w:rsidRPr="00CF2B40">
        <w:rPr>
          <w:rFonts w:ascii="Times New Roman" w:hAnsi="Times New Roman" w:cs="Times New Roman"/>
          <w:sz w:val="24"/>
          <w:szCs w:val="24"/>
        </w:rPr>
        <w:t>18</w:t>
      </w:r>
      <w:r w:rsidRPr="00CF2B40">
        <w:rPr>
          <w:rFonts w:ascii="Times New Roman" w:hAnsi="Times New Roman" w:cs="Times New Roman"/>
          <w:sz w:val="24"/>
          <w:szCs w:val="24"/>
        </w:rPr>
        <w:t>,</w:t>
      </w:r>
      <w:r w:rsidR="00CF2B40" w:rsidRPr="00CF2B40">
        <w:rPr>
          <w:rFonts w:ascii="Times New Roman" w:hAnsi="Times New Roman" w:cs="Times New Roman"/>
          <w:sz w:val="24"/>
          <w:szCs w:val="24"/>
        </w:rPr>
        <w:t xml:space="preserve">1 </w:t>
      </w:r>
      <w:r w:rsidRPr="00CF2B40">
        <w:rPr>
          <w:rFonts w:ascii="Times New Roman" w:hAnsi="Times New Roman" w:cs="Times New Roman"/>
          <w:sz w:val="24"/>
          <w:szCs w:val="24"/>
        </w:rPr>
        <w:t xml:space="preserve">%, powiecie </w:t>
      </w:r>
      <w:r w:rsidR="00CF2B40" w:rsidRPr="00CF2B40">
        <w:rPr>
          <w:rFonts w:ascii="Times New Roman" w:hAnsi="Times New Roman" w:cs="Times New Roman"/>
          <w:sz w:val="24"/>
          <w:szCs w:val="24"/>
        </w:rPr>
        <w:t xml:space="preserve">rzeszowskim </w:t>
      </w:r>
      <w:r w:rsidRPr="00CF2B40">
        <w:rPr>
          <w:rFonts w:ascii="Times New Roman" w:hAnsi="Times New Roman" w:cs="Times New Roman"/>
          <w:sz w:val="24"/>
          <w:szCs w:val="24"/>
        </w:rPr>
        <w:t>– 2</w:t>
      </w:r>
      <w:r w:rsidR="00CF2B40" w:rsidRPr="00CF2B40">
        <w:rPr>
          <w:rFonts w:ascii="Times New Roman" w:hAnsi="Times New Roman" w:cs="Times New Roman"/>
          <w:sz w:val="24"/>
          <w:szCs w:val="24"/>
        </w:rPr>
        <w:t>0</w:t>
      </w:r>
      <w:r w:rsidRPr="00CF2B40">
        <w:rPr>
          <w:rFonts w:ascii="Times New Roman" w:hAnsi="Times New Roman" w:cs="Times New Roman"/>
          <w:sz w:val="24"/>
          <w:szCs w:val="24"/>
        </w:rPr>
        <w:t>,</w:t>
      </w:r>
      <w:r w:rsidR="00CF2B40" w:rsidRPr="00CF2B40">
        <w:rPr>
          <w:rFonts w:ascii="Times New Roman" w:hAnsi="Times New Roman" w:cs="Times New Roman"/>
          <w:sz w:val="24"/>
          <w:szCs w:val="24"/>
        </w:rPr>
        <w:t xml:space="preserve">2 </w:t>
      </w:r>
      <w:r w:rsidRPr="00CF2B40">
        <w:rPr>
          <w:rFonts w:ascii="Times New Roman" w:hAnsi="Times New Roman" w:cs="Times New Roman"/>
          <w:sz w:val="24"/>
          <w:szCs w:val="24"/>
        </w:rPr>
        <w:t xml:space="preserve">%, powiecie mieleckim – </w:t>
      </w:r>
      <w:r w:rsidR="00CF2B40" w:rsidRPr="00CF2B40">
        <w:rPr>
          <w:rFonts w:ascii="Times New Roman" w:hAnsi="Times New Roman" w:cs="Times New Roman"/>
          <w:sz w:val="24"/>
          <w:szCs w:val="24"/>
        </w:rPr>
        <w:t>21</w:t>
      </w:r>
      <w:r w:rsidRPr="00CF2B40">
        <w:rPr>
          <w:rFonts w:ascii="Times New Roman" w:hAnsi="Times New Roman" w:cs="Times New Roman"/>
          <w:sz w:val="24"/>
          <w:szCs w:val="24"/>
        </w:rPr>
        <w:t>,</w:t>
      </w:r>
      <w:r w:rsidR="00CF2B40" w:rsidRPr="00CF2B40">
        <w:rPr>
          <w:rFonts w:ascii="Times New Roman" w:hAnsi="Times New Roman" w:cs="Times New Roman"/>
          <w:sz w:val="24"/>
          <w:szCs w:val="24"/>
        </w:rPr>
        <w:t xml:space="preserve">1 </w:t>
      </w:r>
      <w:r w:rsidRPr="00CF2B40">
        <w:rPr>
          <w:rFonts w:ascii="Times New Roman" w:hAnsi="Times New Roman" w:cs="Times New Roman"/>
          <w:sz w:val="24"/>
          <w:szCs w:val="24"/>
        </w:rPr>
        <w:t>% i </w:t>
      </w:r>
      <w:r w:rsidR="00CF2B40" w:rsidRPr="00CF2B40">
        <w:rPr>
          <w:rFonts w:ascii="Times New Roman" w:hAnsi="Times New Roman" w:cs="Times New Roman"/>
          <w:sz w:val="24"/>
          <w:szCs w:val="24"/>
        </w:rPr>
        <w:t xml:space="preserve">w m. Krośnie </w:t>
      </w:r>
      <w:r w:rsidRPr="00CF2B40">
        <w:rPr>
          <w:rFonts w:ascii="Times New Roman" w:hAnsi="Times New Roman" w:cs="Times New Roman"/>
          <w:sz w:val="24"/>
          <w:szCs w:val="24"/>
        </w:rPr>
        <w:t xml:space="preserve">– </w:t>
      </w:r>
      <w:r w:rsidR="00CF2B40" w:rsidRPr="00CF2B40">
        <w:rPr>
          <w:rFonts w:ascii="Times New Roman" w:hAnsi="Times New Roman" w:cs="Times New Roman"/>
          <w:sz w:val="24"/>
          <w:szCs w:val="24"/>
        </w:rPr>
        <w:t>25</w:t>
      </w:r>
      <w:r w:rsidRPr="00CF2B40">
        <w:rPr>
          <w:rFonts w:ascii="Times New Roman" w:hAnsi="Times New Roman" w:cs="Times New Roman"/>
          <w:sz w:val="24"/>
          <w:szCs w:val="24"/>
        </w:rPr>
        <w:t>,</w:t>
      </w:r>
      <w:r w:rsidR="00CF2B40" w:rsidRPr="00CF2B40">
        <w:rPr>
          <w:rFonts w:ascii="Times New Roman" w:hAnsi="Times New Roman" w:cs="Times New Roman"/>
          <w:sz w:val="24"/>
          <w:szCs w:val="24"/>
        </w:rPr>
        <w:t xml:space="preserve">9 </w:t>
      </w:r>
      <w:r w:rsidRPr="00CF2B40">
        <w:rPr>
          <w:rFonts w:ascii="Times New Roman" w:hAnsi="Times New Roman" w:cs="Times New Roman"/>
          <w:sz w:val="24"/>
          <w:szCs w:val="24"/>
        </w:rPr>
        <w:t>%.</w:t>
      </w:r>
    </w:p>
    <w:p w:rsidR="002A267D" w:rsidRDefault="002A267D">
      <w:pPr>
        <w:rPr>
          <w:rFonts w:ascii="Times New Roman" w:hAnsi="Times New Roman" w:cs="Times New Roman"/>
          <w:sz w:val="24"/>
          <w:szCs w:val="24"/>
        </w:rPr>
      </w:pPr>
      <w:r>
        <w:rPr>
          <w:rFonts w:ascii="Times New Roman" w:hAnsi="Times New Roman" w:cs="Times New Roman"/>
          <w:sz w:val="24"/>
          <w:szCs w:val="24"/>
        </w:rPr>
        <w:br w:type="page"/>
      </w:r>
    </w:p>
    <w:p w:rsidR="0067454E" w:rsidRPr="00221D6B" w:rsidRDefault="00726157" w:rsidP="00160DBC">
      <w:pPr>
        <w:pStyle w:val="Bezodstpw"/>
        <w:numPr>
          <w:ilvl w:val="0"/>
          <w:numId w:val="10"/>
        </w:numPr>
        <w:spacing w:line="360" w:lineRule="auto"/>
        <w:jc w:val="both"/>
        <w:rPr>
          <w:rFonts w:ascii="Times New Roman" w:hAnsi="Times New Roman" w:cs="Times New Roman"/>
          <w:sz w:val="24"/>
          <w:szCs w:val="24"/>
        </w:rPr>
      </w:pPr>
      <w:r w:rsidRPr="00221D6B">
        <w:rPr>
          <w:rFonts w:ascii="Times New Roman" w:hAnsi="Times New Roman" w:cs="Times New Roman"/>
          <w:sz w:val="24"/>
          <w:szCs w:val="24"/>
        </w:rPr>
        <w:lastRenderedPageBreak/>
        <w:t>W województwie podkarpackim</w:t>
      </w:r>
      <w:r w:rsidR="00AE5712" w:rsidRPr="00221D6B">
        <w:rPr>
          <w:rFonts w:ascii="Times New Roman" w:hAnsi="Times New Roman" w:cs="Times New Roman"/>
          <w:sz w:val="24"/>
          <w:szCs w:val="24"/>
        </w:rPr>
        <w:t xml:space="preserve"> w </w:t>
      </w:r>
      <w:r w:rsidR="000177FF" w:rsidRPr="00221D6B">
        <w:rPr>
          <w:rFonts w:ascii="Times New Roman" w:hAnsi="Times New Roman" w:cs="Times New Roman"/>
          <w:sz w:val="24"/>
          <w:szCs w:val="24"/>
        </w:rPr>
        <w:t>‘</w:t>
      </w:r>
      <w:r w:rsidRPr="00221D6B">
        <w:rPr>
          <w:rFonts w:ascii="Times New Roman" w:hAnsi="Times New Roman" w:cs="Times New Roman"/>
          <w:sz w:val="24"/>
          <w:szCs w:val="24"/>
        </w:rPr>
        <w:t>1</w:t>
      </w:r>
      <w:r w:rsidR="001317BC" w:rsidRPr="00221D6B">
        <w:rPr>
          <w:rFonts w:ascii="Times New Roman" w:hAnsi="Times New Roman" w:cs="Times New Roman"/>
          <w:sz w:val="24"/>
          <w:szCs w:val="24"/>
        </w:rPr>
        <w:t>8</w:t>
      </w:r>
      <w:r w:rsidRPr="00221D6B">
        <w:rPr>
          <w:rFonts w:ascii="Times New Roman" w:hAnsi="Times New Roman" w:cs="Times New Roman"/>
          <w:sz w:val="24"/>
          <w:szCs w:val="24"/>
        </w:rPr>
        <w:t xml:space="preserve"> r</w:t>
      </w:r>
      <w:r w:rsidR="002D13B7" w:rsidRPr="00221D6B">
        <w:rPr>
          <w:rFonts w:ascii="Times New Roman" w:hAnsi="Times New Roman" w:cs="Times New Roman"/>
          <w:sz w:val="24"/>
          <w:szCs w:val="24"/>
        </w:rPr>
        <w:t>oku</w:t>
      </w:r>
      <w:r w:rsidRPr="00221D6B">
        <w:rPr>
          <w:rFonts w:ascii="Times New Roman" w:hAnsi="Times New Roman" w:cs="Times New Roman"/>
          <w:sz w:val="24"/>
          <w:szCs w:val="24"/>
        </w:rPr>
        <w:t xml:space="preserve"> na jedno wolne miejsce pracy</w:t>
      </w:r>
      <w:r w:rsidR="00AE5712" w:rsidRPr="00221D6B">
        <w:rPr>
          <w:rFonts w:ascii="Times New Roman" w:hAnsi="Times New Roman" w:cs="Times New Roman"/>
          <w:sz w:val="24"/>
          <w:szCs w:val="24"/>
        </w:rPr>
        <w:t xml:space="preserve"> i </w:t>
      </w:r>
      <w:r w:rsidRPr="00221D6B">
        <w:rPr>
          <w:rFonts w:ascii="Times New Roman" w:hAnsi="Times New Roman" w:cs="Times New Roman"/>
          <w:sz w:val="24"/>
          <w:szCs w:val="24"/>
        </w:rPr>
        <w:t xml:space="preserve">miejsce aktywizacji zawodowej przypadało średnio </w:t>
      </w:r>
      <w:r w:rsidR="00AA2532" w:rsidRPr="00221D6B">
        <w:rPr>
          <w:rFonts w:ascii="Times New Roman" w:hAnsi="Times New Roman" w:cs="Times New Roman"/>
          <w:sz w:val="24"/>
          <w:szCs w:val="24"/>
        </w:rPr>
        <w:t>1</w:t>
      </w:r>
      <w:r w:rsidR="00221D6B" w:rsidRPr="00221D6B">
        <w:rPr>
          <w:rFonts w:ascii="Times New Roman" w:hAnsi="Times New Roman" w:cs="Times New Roman"/>
          <w:sz w:val="24"/>
          <w:szCs w:val="24"/>
        </w:rPr>
        <w:t>7</w:t>
      </w:r>
      <w:r w:rsidR="00AA2532" w:rsidRPr="00221D6B">
        <w:rPr>
          <w:rFonts w:ascii="Times New Roman" w:hAnsi="Times New Roman" w:cs="Times New Roman"/>
          <w:sz w:val="24"/>
          <w:szCs w:val="24"/>
        </w:rPr>
        <w:t xml:space="preserve"> </w:t>
      </w:r>
      <w:r w:rsidRPr="00221D6B">
        <w:rPr>
          <w:rFonts w:ascii="Times New Roman" w:hAnsi="Times New Roman" w:cs="Times New Roman"/>
          <w:sz w:val="24"/>
          <w:szCs w:val="24"/>
        </w:rPr>
        <w:t xml:space="preserve">bezrobotnych (w </w:t>
      </w:r>
      <w:r w:rsidR="000177FF" w:rsidRPr="00221D6B">
        <w:rPr>
          <w:rFonts w:ascii="Times New Roman" w:hAnsi="Times New Roman" w:cs="Times New Roman"/>
          <w:sz w:val="24"/>
          <w:szCs w:val="24"/>
        </w:rPr>
        <w:t>‘</w:t>
      </w:r>
      <w:r w:rsidRPr="00221D6B">
        <w:rPr>
          <w:rFonts w:ascii="Times New Roman" w:hAnsi="Times New Roman" w:cs="Times New Roman"/>
          <w:sz w:val="24"/>
          <w:szCs w:val="24"/>
        </w:rPr>
        <w:t>1</w:t>
      </w:r>
      <w:r w:rsidR="00C75E05" w:rsidRPr="00221D6B">
        <w:rPr>
          <w:rFonts w:ascii="Times New Roman" w:hAnsi="Times New Roman" w:cs="Times New Roman"/>
          <w:sz w:val="24"/>
          <w:szCs w:val="24"/>
        </w:rPr>
        <w:t>7</w:t>
      </w:r>
      <w:r w:rsidRPr="00221D6B">
        <w:rPr>
          <w:rFonts w:ascii="Times New Roman" w:hAnsi="Times New Roman" w:cs="Times New Roman"/>
          <w:sz w:val="24"/>
          <w:szCs w:val="24"/>
        </w:rPr>
        <w:t xml:space="preserve"> roku – </w:t>
      </w:r>
      <w:r w:rsidR="00C75E05" w:rsidRPr="00221D6B">
        <w:rPr>
          <w:rFonts w:ascii="Times New Roman" w:hAnsi="Times New Roman" w:cs="Times New Roman"/>
          <w:sz w:val="24"/>
          <w:szCs w:val="24"/>
        </w:rPr>
        <w:t>15</w:t>
      </w:r>
      <w:r w:rsidR="007A6AB1">
        <w:rPr>
          <w:rFonts w:ascii="Times New Roman" w:hAnsi="Times New Roman" w:cs="Times New Roman"/>
          <w:sz w:val="24"/>
          <w:szCs w:val="24"/>
        </w:rPr>
        <w:t> </w:t>
      </w:r>
      <w:r w:rsidRPr="00221D6B">
        <w:rPr>
          <w:rFonts w:ascii="Times New Roman" w:hAnsi="Times New Roman" w:cs="Times New Roman"/>
          <w:sz w:val="24"/>
          <w:szCs w:val="24"/>
        </w:rPr>
        <w:t>bezrobotnych). Sytuacja</w:t>
      </w:r>
      <w:r w:rsidR="00AE5712" w:rsidRPr="00221D6B">
        <w:rPr>
          <w:rFonts w:ascii="Times New Roman" w:hAnsi="Times New Roman" w:cs="Times New Roman"/>
          <w:sz w:val="24"/>
          <w:szCs w:val="24"/>
        </w:rPr>
        <w:t xml:space="preserve"> w </w:t>
      </w:r>
      <w:r w:rsidRPr="00221D6B">
        <w:rPr>
          <w:rFonts w:ascii="Times New Roman" w:hAnsi="Times New Roman" w:cs="Times New Roman"/>
          <w:sz w:val="24"/>
          <w:szCs w:val="24"/>
        </w:rPr>
        <w:t xml:space="preserve">tym zakresie była najkorzystniejsza w </w:t>
      </w:r>
      <w:r w:rsidR="001B5D0B" w:rsidRPr="00221D6B">
        <w:rPr>
          <w:rFonts w:ascii="Times New Roman" w:hAnsi="Times New Roman" w:cs="Times New Roman"/>
          <w:sz w:val="24"/>
          <w:szCs w:val="24"/>
        </w:rPr>
        <w:t>m</w:t>
      </w:r>
      <w:r w:rsidR="00DD3E2A" w:rsidRPr="00221D6B">
        <w:rPr>
          <w:rFonts w:ascii="Times New Roman" w:hAnsi="Times New Roman" w:cs="Times New Roman"/>
          <w:sz w:val="24"/>
          <w:szCs w:val="24"/>
        </w:rPr>
        <w:t>iastach, gdzie następuje rozwój, funkcjonuj</w:t>
      </w:r>
      <w:r w:rsidR="000A6FDC" w:rsidRPr="00221D6B">
        <w:rPr>
          <w:rFonts w:ascii="Times New Roman" w:hAnsi="Times New Roman" w:cs="Times New Roman"/>
          <w:sz w:val="24"/>
          <w:szCs w:val="24"/>
        </w:rPr>
        <w:t>ą</w:t>
      </w:r>
      <w:r w:rsidR="00DD3E2A" w:rsidRPr="00221D6B">
        <w:rPr>
          <w:rFonts w:ascii="Times New Roman" w:hAnsi="Times New Roman" w:cs="Times New Roman"/>
          <w:sz w:val="24"/>
          <w:szCs w:val="24"/>
        </w:rPr>
        <w:t xml:space="preserve"> </w:t>
      </w:r>
      <w:r w:rsidR="000A6FDC" w:rsidRPr="00221D6B">
        <w:rPr>
          <w:rFonts w:ascii="Times New Roman" w:hAnsi="Times New Roman" w:cs="Times New Roman"/>
          <w:sz w:val="24"/>
          <w:szCs w:val="24"/>
        </w:rPr>
        <w:t>zakłady produkcyjne</w:t>
      </w:r>
      <w:r w:rsidR="00DD3E2A" w:rsidRPr="00221D6B">
        <w:rPr>
          <w:rFonts w:ascii="Times New Roman" w:hAnsi="Times New Roman" w:cs="Times New Roman"/>
          <w:sz w:val="24"/>
          <w:szCs w:val="24"/>
        </w:rPr>
        <w:t xml:space="preserve">, usługi czy handel tj. w </w:t>
      </w:r>
      <w:r w:rsidRPr="00221D6B">
        <w:rPr>
          <w:rFonts w:ascii="Times New Roman" w:hAnsi="Times New Roman" w:cs="Times New Roman"/>
          <w:sz w:val="24"/>
          <w:szCs w:val="24"/>
        </w:rPr>
        <w:t>Rzeszowie</w:t>
      </w:r>
      <w:r w:rsidR="000A6FDC" w:rsidRPr="00221D6B">
        <w:rPr>
          <w:rFonts w:ascii="Times New Roman" w:hAnsi="Times New Roman" w:cs="Times New Roman"/>
          <w:sz w:val="24"/>
          <w:szCs w:val="24"/>
        </w:rPr>
        <w:t>,</w:t>
      </w:r>
      <w:r w:rsidRPr="00221D6B">
        <w:rPr>
          <w:rFonts w:ascii="Times New Roman" w:hAnsi="Times New Roman" w:cs="Times New Roman"/>
          <w:sz w:val="24"/>
          <w:szCs w:val="24"/>
        </w:rPr>
        <w:t xml:space="preserve"> </w:t>
      </w:r>
      <w:r w:rsidR="00AA2532" w:rsidRPr="00221D6B">
        <w:rPr>
          <w:rFonts w:ascii="Times New Roman" w:hAnsi="Times New Roman" w:cs="Times New Roman"/>
          <w:sz w:val="24"/>
          <w:szCs w:val="24"/>
        </w:rPr>
        <w:t xml:space="preserve">i powiecie mieleckim </w:t>
      </w:r>
      <w:r w:rsidR="0091033A" w:rsidRPr="00221D6B">
        <w:rPr>
          <w:rFonts w:ascii="Times New Roman" w:hAnsi="Times New Roman" w:cs="Times New Roman"/>
          <w:sz w:val="24"/>
          <w:szCs w:val="24"/>
        </w:rPr>
        <w:t xml:space="preserve">– </w:t>
      </w:r>
      <w:r w:rsidR="00AA2532" w:rsidRPr="00221D6B">
        <w:rPr>
          <w:rFonts w:ascii="Times New Roman" w:hAnsi="Times New Roman" w:cs="Times New Roman"/>
          <w:sz w:val="24"/>
          <w:szCs w:val="24"/>
        </w:rPr>
        <w:t xml:space="preserve">po </w:t>
      </w:r>
      <w:r w:rsidR="00221D6B">
        <w:rPr>
          <w:rFonts w:ascii="Times New Roman" w:hAnsi="Times New Roman" w:cs="Times New Roman"/>
          <w:sz w:val="24"/>
          <w:szCs w:val="24"/>
        </w:rPr>
        <w:t>7</w:t>
      </w:r>
      <w:r w:rsidRPr="00221D6B">
        <w:rPr>
          <w:rFonts w:ascii="Times New Roman" w:hAnsi="Times New Roman" w:cs="Times New Roman"/>
          <w:sz w:val="24"/>
          <w:szCs w:val="24"/>
        </w:rPr>
        <w:t xml:space="preserve"> bezrobotnych</w:t>
      </w:r>
      <w:r w:rsidR="0091033A" w:rsidRPr="00221D6B">
        <w:rPr>
          <w:rFonts w:ascii="Times New Roman" w:hAnsi="Times New Roman" w:cs="Times New Roman"/>
          <w:sz w:val="24"/>
          <w:szCs w:val="24"/>
        </w:rPr>
        <w:t xml:space="preserve"> </w:t>
      </w:r>
      <w:r w:rsidR="000A6FDC" w:rsidRPr="00221D6B">
        <w:rPr>
          <w:rFonts w:ascii="Times New Roman" w:hAnsi="Times New Roman" w:cs="Times New Roman"/>
          <w:sz w:val="24"/>
          <w:szCs w:val="24"/>
        </w:rPr>
        <w:t xml:space="preserve">przypadających </w:t>
      </w:r>
      <w:r w:rsidR="0091033A" w:rsidRPr="00221D6B">
        <w:rPr>
          <w:rFonts w:ascii="Times New Roman" w:hAnsi="Times New Roman" w:cs="Times New Roman"/>
          <w:sz w:val="24"/>
          <w:szCs w:val="24"/>
        </w:rPr>
        <w:t>na jedno wolne miejsce pracy lub aktywizacji zawodowej</w:t>
      </w:r>
      <w:r w:rsidRPr="00221D6B">
        <w:rPr>
          <w:rFonts w:ascii="Times New Roman" w:hAnsi="Times New Roman" w:cs="Times New Roman"/>
          <w:sz w:val="24"/>
          <w:szCs w:val="24"/>
        </w:rPr>
        <w:t>.</w:t>
      </w:r>
    </w:p>
    <w:p w:rsidR="00D2627B" w:rsidRPr="00C75C71" w:rsidRDefault="007146B8" w:rsidP="00C75E05">
      <w:pPr>
        <w:pStyle w:val="Bezodstpw"/>
        <w:spacing w:line="360" w:lineRule="auto"/>
        <w:jc w:val="center"/>
        <w:rPr>
          <w:rFonts w:ascii="Times New Roman" w:hAnsi="Times New Roman" w:cs="Times New Roman"/>
          <w:color w:val="000000"/>
          <w:sz w:val="24"/>
          <w:szCs w:val="24"/>
          <w:highlight w:val="yellow"/>
        </w:rPr>
      </w:pPr>
      <w:r w:rsidRPr="007146B8">
        <w:rPr>
          <w:noProof/>
          <w:lang w:eastAsia="pl-PL"/>
        </w:rPr>
        <w:drawing>
          <wp:inline distT="0" distB="0" distL="0" distR="0" wp14:anchorId="37A40E3D" wp14:editId="2BC2FB93">
            <wp:extent cx="5759450" cy="7178050"/>
            <wp:effectExtent l="0" t="0" r="0" b="3810"/>
            <wp:docPr id="685" name="Obraz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59450" cy="7178050"/>
                    </a:xfrm>
                    <a:prstGeom prst="rect">
                      <a:avLst/>
                    </a:prstGeom>
                    <a:noFill/>
                    <a:ln>
                      <a:noFill/>
                    </a:ln>
                  </pic:spPr>
                </pic:pic>
              </a:graphicData>
            </a:graphic>
          </wp:inline>
        </w:drawing>
      </w:r>
      <w:r w:rsidR="00D2627B" w:rsidRPr="00C75C71">
        <w:rPr>
          <w:highlight w:val="yellow"/>
        </w:rPr>
        <w:br w:type="page"/>
      </w:r>
    </w:p>
    <w:p w:rsidR="007146B8" w:rsidRPr="007146B8" w:rsidRDefault="007146B8" w:rsidP="007146B8">
      <w:pPr>
        <w:pStyle w:val="Default"/>
        <w:pBdr>
          <w:bottom w:val="single" w:sz="4" w:space="1" w:color="auto"/>
        </w:pBdr>
        <w:jc w:val="both"/>
        <w:rPr>
          <w:sz w:val="16"/>
          <w:szCs w:val="16"/>
        </w:rPr>
      </w:pPr>
      <w:r w:rsidRPr="007146B8">
        <w:rPr>
          <w:noProof/>
          <w:lang w:eastAsia="pl-PL"/>
        </w:rPr>
        <w:lastRenderedPageBreak/>
        <w:drawing>
          <wp:inline distT="0" distB="0" distL="0" distR="0" wp14:anchorId="5C4FAC12" wp14:editId="77890467">
            <wp:extent cx="5759450" cy="514743"/>
            <wp:effectExtent l="0" t="0" r="0" b="0"/>
            <wp:docPr id="686" name="Obraz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59450" cy="514743"/>
                    </a:xfrm>
                    <a:prstGeom prst="rect">
                      <a:avLst/>
                    </a:prstGeom>
                    <a:noFill/>
                    <a:ln>
                      <a:noFill/>
                    </a:ln>
                  </pic:spPr>
                </pic:pic>
              </a:graphicData>
            </a:graphic>
          </wp:inline>
        </w:drawing>
      </w:r>
    </w:p>
    <w:p w:rsidR="007146B8" w:rsidRDefault="007146B8" w:rsidP="00D2627B">
      <w:pPr>
        <w:pStyle w:val="Default"/>
        <w:pBdr>
          <w:bottom w:val="single" w:sz="4" w:space="1" w:color="auto"/>
        </w:pBdr>
        <w:jc w:val="both"/>
      </w:pPr>
      <w:r w:rsidRPr="007146B8">
        <w:rPr>
          <w:noProof/>
          <w:lang w:eastAsia="pl-PL"/>
        </w:rPr>
        <w:drawing>
          <wp:inline distT="0" distB="0" distL="0" distR="0" wp14:anchorId="48F6856F" wp14:editId="3469D16F">
            <wp:extent cx="5759450" cy="5244707"/>
            <wp:effectExtent l="0" t="0" r="0" b="0"/>
            <wp:docPr id="688" name="Obraz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59450" cy="5244707"/>
                    </a:xfrm>
                    <a:prstGeom prst="rect">
                      <a:avLst/>
                    </a:prstGeom>
                    <a:noFill/>
                    <a:ln>
                      <a:noFill/>
                    </a:ln>
                  </pic:spPr>
                </pic:pic>
              </a:graphicData>
            </a:graphic>
          </wp:inline>
        </w:drawing>
      </w:r>
    </w:p>
    <w:p w:rsidR="007146B8" w:rsidRDefault="007146B8" w:rsidP="00D2627B">
      <w:pPr>
        <w:pStyle w:val="Default"/>
        <w:pBdr>
          <w:bottom w:val="single" w:sz="4" w:space="1" w:color="auto"/>
        </w:pBdr>
        <w:jc w:val="both"/>
        <w:rPr>
          <w:sz w:val="16"/>
          <w:szCs w:val="16"/>
        </w:rPr>
      </w:pPr>
    </w:p>
    <w:p w:rsidR="007146B8" w:rsidRDefault="007146B8" w:rsidP="00D2627B">
      <w:pPr>
        <w:pStyle w:val="Default"/>
        <w:pBdr>
          <w:bottom w:val="single" w:sz="4" w:space="1" w:color="auto"/>
        </w:pBdr>
        <w:jc w:val="both"/>
        <w:rPr>
          <w:sz w:val="16"/>
          <w:szCs w:val="16"/>
        </w:rPr>
      </w:pPr>
    </w:p>
    <w:p w:rsidR="00D5748A" w:rsidRDefault="00D5748A" w:rsidP="00D2627B">
      <w:pPr>
        <w:pStyle w:val="Default"/>
        <w:pBdr>
          <w:bottom w:val="single" w:sz="4" w:space="1" w:color="auto"/>
        </w:pBdr>
        <w:jc w:val="both"/>
        <w:rPr>
          <w:sz w:val="16"/>
          <w:szCs w:val="16"/>
        </w:rPr>
      </w:pPr>
    </w:p>
    <w:p w:rsidR="00D5748A" w:rsidRPr="007146B8" w:rsidRDefault="00D5748A" w:rsidP="00D2627B">
      <w:pPr>
        <w:pStyle w:val="Default"/>
        <w:pBdr>
          <w:bottom w:val="single" w:sz="4" w:space="1" w:color="auto"/>
        </w:pBdr>
        <w:jc w:val="both"/>
        <w:rPr>
          <w:sz w:val="16"/>
          <w:szCs w:val="16"/>
        </w:rPr>
      </w:pPr>
    </w:p>
    <w:p w:rsidR="00AC4ECD" w:rsidRPr="001317BC" w:rsidRDefault="003775BD" w:rsidP="00D2627B">
      <w:pPr>
        <w:pStyle w:val="Default"/>
        <w:pBdr>
          <w:bottom w:val="single" w:sz="4" w:space="1" w:color="auto"/>
        </w:pBdr>
        <w:jc w:val="both"/>
      </w:pPr>
      <w:r w:rsidRPr="001317BC">
        <w:t>Wnioski:</w:t>
      </w:r>
    </w:p>
    <w:p w:rsidR="00AC4ECD" w:rsidRPr="001317BC" w:rsidRDefault="00AC4ECD" w:rsidP="00D2627B">
      <w:pPr>
        <w:pStyle w:val="Tekstpodstawowywcity"/>
        <w:pBdr>
          <w:bottom w:val="single" w:sz="4" w:space="1" w:color="auto"/>
        </w:pBdr>
        <w:spacing w:after="0" w:line="360" w:lineRule="auto"/>
        <w:ind w:left="0"/>
        <w:jc w:val="both"/>
        <w:rPr>
          <w:rFonts w:ascii="Times New Roman" w:hAnsi="Times New Roman" w:cs="Times New Roman"/>
          <w:sz w:val="16"/>
          <w:szCs w:val="16"/>
        </w:rPr>
      </w:pPr>
      <w:r w:rsidRPr="001317BC">
        <w:rPr>
          <w:rFonts w:ascii="Times New Roman" w:hAnsi="Times New Roman" w:cs="Times New Roman"/>
          <w:sz w:val="16"/>
          <w:szCs w:val="16"/>
        </w:rPr>
        <w:t>(na podstawie danych</w:t>
      </w:r>
      <w:r w:rsidR="00AE5712" w:rsidRPr="001317BC">
        <w:rPr>
          <w:rFonts w:ascii="Times New Roman" w:hAnsi="Times New Roman" w:cs="Times New Roman"/>
          <w:sz w:val="16"/>
          <w:szCs w:val="16"/>
        </w:rPr>
        <w:t xml:space="preserve"> z </w:t>
      </w:r>
      <w:r w:rsidRPr="001317BC">
        <w:rPr>
          <w:rFonts w:ascii="Times New Roman" w:hAnsi="Times New Roman" w:cs="Times New Roman"/>
          <w:sz w:val="16"/>
          <w:szCs w:val="16"/>
        </w:rPr>
        <w:t xml:space="preserve">Tabeli </w:t>
      </w:r>
      <w:r w:rsidR="00BC5E80" w:rsidRPr="001317BC">
        <w:rPr>
          <w:rFonts w:ascii="Times New Roman" w:hAnsi="Times New Roman" w:cs="Times New Roman"/>
          <w:sz w:val="16"/>
          <w:szCs w:val="16"/>
        </w:rPr>
        <w:t>XXVII</w:t>
      </w:r>
      <w:r w:rsidR="003775BD" w:rsidRPr="001317BC">
        <w:rPr>
          <w:rFonts w:ascii="Times New Roman" w:hAnsi="Times New Roman" w:cs="Times New Roman"/>
          <w:sz w:val="16"/>
          <w:szCs w:val="16"/>
        </w:rPr>
        <w:t>)</w:t>
      </w:r>
    </w:p>
    <w:p w:rsidR="001317BC" w:rsidRDefault="001317BC" w:rsidP="001317BC">
      <w:pPr>
        <w:pStyle w:val="Bezodstpw"/>
        <w:jc w:val="both"/>
        <w:rPr>
          <w:rFonts w:ascii="Times New Roman" w:hAnsi="Times New Roman" w:cs="Times New Roman"/>
          <w:sz w:val="16"/>
          <w:szCs w:val="16"/>
          <w:highlight w:val="yellow"/>
        </w:rPr>
      </w:pPr>
    </w:p>
    <w:p w:rsidR="00C75E05" w:rsidRDefault="00C75E05" w:rsidP="001317BC">
      <w:pPr>
        <w:pStyle w:val="Bezodstpw"/>
        <w:jc w:val="both"/>
        <w:rPr>
          <w:rFonts w:ascii="Times New Roman" w:hAnsi="Times New Roman" w:cs="Times New Roman"/>
          <w:sz w:val="16"/>
          <w:szCs w:val="16"/>
          <w:highlight w:val="yellow"/>
        </w:rPr>
      </w:pPr>
    </w:p>
    <w:p w:rsidR="00D5748A" w:rsidRDefault="00D5748A" w:rsidP="001317BC">
      <w:pPr>
        <w:pStyle w:val="Bezodstpw"/>
        <w:jc w:val="both"/>
        <w:rPr>
          <w:rFonts w:ascii="Times New Roman" w:hAnsi="Times New Roman" w:cs="Times New Roman"/>
          <w:sz w:val="16"/>
          <w:szCs w:val="16"/>
          <w:highlight w:val="yellow"/>
        </w:rPr>
      </w:pPr>
    </w:p>
    <w:p w:rsidR="00AC4ECD" w:rsidRPr="00661047" w:rsidRDefault="00AC4ECD" w:rsidP="00160DBC">
      <w:pPr>
        <w:pStyle w:val="Bezodstpw"/>
        <w:numPr>
          <w:ilvl w:val="0"/>
          <w:numId w:val="10"/>
        </w:numPr>
        <w:spacing w:line="360" w:lineRule="auto"/>
        <w:jc w:val="both"/>
        <w:rPr>
          <w:rFonts w:ascii="Times New Roman" w:hAnsi="Times New Roman" w:cs="Times New Roman"/>
          <w:sz w:val="24"/>
          <w:szCs w:val="24"/>
        </w:rPr>
      </w:pPr>
      <w:r w:rsidRPr="00661047">
        <w:rPr>
          <w:rFonts w:ascii="Times New Roman" w:hAnsi="Times New Roman" w:cs="Times New Roman"/>
          <w:sz w:val="24"/>
          <w:szCs w:val="24"/>
        </w:rPr>
        <w:t>Wolne miejsca pracy</w:t>
      </w:r>
      <w:r w:rsidR="003B23E0" w:rsidRPr="00661047">
        <w:rPr>
          <w:rFonts w:ascii="Times New Roman" w:hAnsi="Times New Roman" w:cs="Times New Roman"/>
          <w:sz w:val="24"/>
          <w:szCs w:val="24"/>
        </w:rPr>
        <w:t xml:space="preserve"> </w:t>
      </w:r>
      <w:r w:rsidR="00AE5712" w:rsidRPr="00661047">
        <w:rPr>
          <w:rFonts w:ascii="Times New Roman" w:hAnsi="Times New Roman" w:cs="Times New Roman"/>
          <w:sz w:val="24"/>
          <w:szCs w:val="24"/>
        </w:rPr>
        <w:t>i</w:t>
      </w:r>
      <w:r w:rsidR="003B23E0" w:rsidRPr="00661047">
        <w:rPr>
          <w:rFonts w:ascii="Times New Roman" w:hAnsi="Times New Roman" w:cs="Times New Roman"/>
          <w:sz w:val="24"/>
          <w:szCs w:val="24"/>
        </w:rPr>
        <w:t xml:space="preserve"> </w:t>
      </w:r>
      <w:r w:rsidRPr="00661047">
        <w:rPr>
          <w:rFonts w:ascii="Times New Roman" w:hAnsi="Times New Roman" w:cs="Times New Roman"/>
          <w:sz w:val="24"/>
          <w:szCs w:val="24"/>
        </w:rPr>
        <w:t>miejsca aktywizacji zawodowej adresowane były najczęściej do osób bezrobotnych</w:t>
      </w:r>
      <w:r w:rsidR="009426A0" w:rsidRPr="00661047">
        <w:rPr>
          <w:rFonts w:ascii="Times New Roman" w:hAnsi="Times New Roman" w:cs="Times New Roman"/>
          <w:sz w:val="24"/>
          <w:szCs w:val="24"/>
        </w:rPr>
        <w:t xml:space="preserve"> </w:t>
      </w:r>
      <w:r w:rsidR="00AE5712" w:rsidRPr="00661047">
        <w:rPr>
          <w:rFonts w:ascii="Times New Roman" w:hAnsi="Times New Roman" w:cs="Times New Roman"/>
          <w:sz w:val="24"/>
          <w:szCs w:val="24"/>
        </w:rPr>
        <w:t>z</w:t>
      </w:r>
      <w:r w:rsidR="009426A0" w:rsidRPr="00661047">
        <w:rPr>
          <w:rFonts w:ascii="Times New Roman" w:hAnsi="Times New Roman" w:cs="Times New Roman"/>
          <w:sz w:val="24"/>
          <w:szCs w:val="24"/>
        </w:rPr>
        <w:t xml:space="preserve"> </w:t>
      </w:r>
      <w:r w:rsidRPr="00661047">
        <w:rPr>
          <w:rFonts w:ascii="Times New Roman" w:hAnsi="Times New Roman" w:cs="Times New Roman"/>
          <w:sz w:val="24"/>
          <w:szCs w:val="24"/>
        </w:rPr>
        <w:t>następujących grup zawodów</w:t>
      </w:r>
      <w:r w:rsidR="001317BC" w:rsidRPr="00661047">
        <w:rPr>
          <w:rFonts w:ascii="Times New Roman" w:hAnsi="Times New Roman" w:cs="Times New Roman"/>
          <w:sz w:val="24"/>
          <w:szCs w:val="24"/>
        </w:rPr>
        <w:t xml:space="preserve"> – </w:t>
      </w:r>
      <w:r w:rsidR="00D74447" w:rsidRPr="00661047">
        <w:rPr>
          <w:rFonts w:ascii="Times New Roman" w:hAnsi="Times New Roman" w:cs="Times New Roman"/>
          <w:sz w:val="24"/>
          <w:szCs w:val="24"/>
        </w:rPr>
        <w:t>robotnicy przemysłowi i rzemieślnicy – 1</w:t>
      </w:r>
      <w:r w:rsidR="00221D6B" w:rsidRPr="00661047">
        <w:rPr>
          <w:rFonts w:ascii="Times New Roman" w:hAnsi="Times New Roman" w:cs="Times New Roman"/>
          <w:sz w:val="24"/>
          <w:szCs w:val="24"/>
        </w:rPr>
        <w:t>5</w:t>
      </w:r>
      <w:r w:rsidR="00D74447" w:rsidRPr="00661047">
        <w:rPr>
          <w:rFonts w:ascii="Times New Roman" w:hAnsi="Times New Roman" w:cs="Times New Roman"/>
          <w:sz w:val="24"/>
          <w:szCs w:val="24"/>
        </w:rPr>
        <w:t xml:space="preserve"> 1</w:t>
      </w:r>
      <w:r w:rsidR="00221D6B" w:rsidRPr="00661047">
        <w:rPr>
          <w:rFonts w:ascii="Times New Roman" w:hAnsi="Times New Roman" w:cs="Times New Roman"/>
          <w:sz w:val="24"/>
          <w:szCs w:val="24"/>
        </w:rPr>
        <w:t>63</w:t>
      </w:r>
      <w:r w:rsidR="00D74447" w:rsidRPr="00661047">
        <w:rPr>
          <w:rFonts w:ascii="Times New Roman" w:hAnsi="Times New Roman" w:cs="Times New Roman"/>
          <w:sz w:val="24"/>
          <w:szCs w:val="24"/>
        </w:rPr>
        <w:t xml:space="preserve"> (</w:t>
      </w:r>
      <w:r w:rsidR="00D74447" w:rsidRPr="00661047">
        <w:rPr>
          <w:rFonts w:ascii="Times New Roman" w:hAnsi="Times New Roman" w:cs="Times New Roman"/>
          <w:b/>
          <w:sz w:val="24"/>
          <w:szCs w:val="24"/>
        </w:rPr>
        <w:t>24,</w:t>
      </w:r>
      <w:r w:rsidR="00221D6B" w:rsidRPr="00661047">
        <w:rPr>
          <w:rFonts w:ascii="Times New Roman" w:hAnsi="Times New Roman" w:cs="Times New Roman"/>
          <w:b/>
          <w:sz w:val="24"/>
          <w:szCs w:val="24"/>
        </w:rPr>
        <w:t>7</w:t>
      </w:r>
      <w:r w:rsidR="00221D6B" w:rsidRPr="00661047">
        <w:rPr>
          <w:rFonts w:ascii="Times New Roman" w:hAnsi="Times New Roman" w:cs="Times New Roman"/>
          <w:sz w:val="24"/>
          <w:szCs w:val="24"/>
        </w:rPr>
        <w:t xml:space="preserve"> </w:t>
      </w:r>
      <w:r w:rsidR="00D74447" w:rsidRPr="00661047">
        <w:rPr>
          <w:rFonts w:ascii="Times New Roman" w:hAnsi="Times New Roman" w:cs="Times New Roman"/>
          <w:sz w:val="24"/>
          <w:szCs w:val="24"/>
        </w:rPr>
        <w:t xml:space="preserve">% ogółu zgłoszonych do PUP ofert pracy), pracownicy usług i sprzedawcy </w:t>
      </w:r>
      <w:r w:rsidRPr="00661047">
        <w:rPr>
          <w:rFonts w:ascii="Times New Roman" w:hAnsi="Times New Roman" w:cs="Times New Roman"/>
          <w:sz w:val="24"/>
          <w:szCs w:val="24"/>
        </w:rPr>
        <w:t>– 1</w:t>
      </w:r>
      <w:r w:rsidR="00221D6B" w:rsidRPr="00661047">
        <w:rPr>
          <w:rFonts w:ascii="Times New Roman" w:hAnsi="Times New Roman" w:cs="Times New Roman"/>
          <w:sz w:val="24"/>
          <w:szCs w:val="24"/>
        </w:rPr>
        <w:t>2</w:t>
      </w:r>
      <w:r w:rsidR="009426A0" w:rsidRPr="00661047">
        <w:rPr>
          <w:rFonts w:ascii="Times New Roman" w:hAnsi="Times New Roman" w:cs="Times New Roman"/>
          <w:sz w:val="24"/>
          <w:szCs w:val="24"/>
        </w:rPr>
        <w:t> </w:t>
      </w:r>
      <w:r w:rsidR="00221D6B" w:rsidRPr="00661047">
        <w:rPr>
          <w:rFonts w:ascii="Times New Roman" w:hAnsi="Times New Roman" w:cs="Times New Roman"/>
          <w:sz w:val="24"/>
          <w:szCs w:val="24"/>
        </w:rPr>
        <w:t>260</w:t>
      </w:r>
      <w:r w:rsidRPr="00661047">
        <w:rPr>
          <w:rFonts w:ascii="Times New Roman" w:hAnsi="Times New Roman" w:cs="Times New Roman"/>
          <w:sz w:val="24"/>
          <w:szCs w:val="24"/>
        </w:rPr>
        <w:t xml:space="preserve"> (</w:t>
      </w:r>
      <w:r w:rsidR="00221D6B" w:rsidRPr="00661047">
        <w:rPr>
          <w:rFonts w:ascii="Times New Roman" w:hAnsi="Times New Roman" w:cs="Times New Roman"/>
          <w:b/>
          <w:sz w:val="24"/>
          <w:szCs w:val="24"/>
        </w:rPr>
        <w:t>20</w:t>
      </w:r>
      <w:r w:rsidRPr="00661047">
        <w:rPr>
          <w:rFonts w:ascii="Times New Roman" w:hAnsi="Times New Roman" w:cs="Times New Roman"/>
          <w:b/>
          <w:sz w:val="24"/>
          <w:szCs w:val="24"/>
        </w:rPr>
        <w:t>,</w:t>
      </w:r>
      <w:r w:rsidR="00221D6B" w:rsidRPr="00661047">
        <w:rPr>
          <w:rFonts w:ascii="Times New Roman" w:hAnsi="Times New Roman" w:cs="Times New Roman"/>
          <w:b/>
          <w:sz w:val="24"/>
          <w:szCs w:val="24"/>
        </w:rPr>
        <w:t>0</w:t>
      </w:r>
      <w:r w:rsidR="00221D6B" w:rsidRPr="00661047">
        <w:rPr>
          <w:rFonts w:ascii="Times New Roman" w:hAnsi="Times New Roman" w:cs="Times New Roman"/>
          <w:sz w:val="24"/>
          <w:szCs w:val="24"/>
        </w:rPr>
        <w:t xml:space="preserve"> </w:t>
      </w:r>
      <w:r w:rsidRPr="00661047">
        <w:rPr>
          <w:rFonts w:ascii="Times New Roman" w:hAnsi="Times New Roman" w:cs="Times New Roman"/>
          <w:sz w:val="24"/>
          <w:szCs w:val="24"/>
        </w:rPr>
        <w:t>%),</w:t>
      </w:r>
      <w:r w:rsidR="00ED4A4B" w:rsidRPr="00661047">
        <w:rPr>
          <w:rFonts w:ascii="Times New Roman" w:hAnsi="Times New Roman" w:cs="Times New Roman"/>
          <w:sz w:val="24"/>
          <w:szCs w:val="24"/>
        </w:rPr>
        <w:t xml:space="preserve"> </w:t>
      </w:r>
      <w:r w:rsidR="009426A0" w:rsidRPr="00661047">
        <w:rPr>
          <w:rFonts w:ascii="Times New Roman" w:hAnsi="Times New Roman" w:cs="Times New Roman"/>
          <w:sz w:val="24"/>
          <w:szCs w:val="24"/>
        </w:rPr>
        <w:t xml:space="preserve">pracownicy przy pracach prostych </w:t>
      </w:r>
      <w:r w:rsidRPr="00661047">
        <w:rPr>
          <w:rFonts w:ascii="Times New Roman" w:hAnsi="Times New Roman" w:cs="Times New Roman"/>
          <w:sz w:val="24"/>
          <w:szCs w:val="24"/>
        </w:rPr>
        <w:t>–</w:t>
      </w:r>
      <w:r w:rsidR="009426A0" w:rsidRPr="00661047">
        <w:rPr>
          <w:rFonts w:ascii="Times New Roman" w:hAnsi="Times New Roman" w:cs="Times New Roman"/>
          <w:sz w:val="24"/>
          <w:szCs w:val="24"/>
        </w:rPr>
        <w:t xml:space="preserve"> </w:t>
      </w:r>
      <w:r w:rsidR="00661047" w:rsidRPr="00661047">
        <w:rPr>
          <w:rFonts w:ascii="Times New Roman" w:hAnsi="Times New Roman" w:cs="Times New Roman"/>
          <w:sz w:val="24"/>
          <w:szCs w:val="24"/>
        </w:rPr>
        <w:t>9</w:t>
      </w:r>
      <w:r w:rsidRPr="00661047">
        <w:rPr>
          <w:rFonts w:ascii="Times New Roman" w:hAnsi="Times New Roman" w:cs="Times New Roman"/>
          <w:sz w:val="24"/>
          <w:szCs w:val="24"/>
        </w:rPr>
        <w:t xml:space="preserve"> </w:t>
      </w:r>
      <w:r w:rsidR="00661047" w:rsidRPr="00661047">
        <w:rPr>
          <w:rFonts w:ascii="Times New Roman" w:hAnsi="Times New Roman" w:cs="Times New Roman"/>
          <w:sz w:val="24"/>
          <w:szCs w:val="24"/>
        </w:rPr>
        <w:t>871</w:t>
      </w:r>
      <w:r w:rsidRPr="00661047">
        <w:rPr>
          <w:rFonts w:ascii="Times New Roman" w:hAnsi="Times New Roman" w:cs="Times New Roman"/>
          <w:sz w:val="24"/>
          <w:szCs w:val="24"/>
        </w:rPr>
        <w:t xml:space="preserve"> (</w:t>
      </w:r>
      <w:r w:rsidRPr="00661047">
        <w:rPr>
          <w:rFonts w:ascii="Times New Roman" w:hAnsi="Times New Roman" w:cs="Times New Roman"/>
          <w:b/>
          <w:sz w:val="24"/>
          <w:szCs w:val="24"/>
        </w:rPr>
        <w:t>1</w:t>
      </w:r>
      <w:r w:rsidR="00221D6B" w:rsidRPr="00661047">
        <w:rPr>
          <w:rFonts w:ascii="Times New Roman" w:hAnsi="Times New Roman" w:cs="Times New Roman"/>
          <w:b/>
          <w:sz w:val="24"/>
          <w:szCs w:val="24"/>
        </w:rPr>
        <w:t>6</w:t>
      </w:r>
      <w:r w:rsidRPr="00661047">
        <w:rPr>
          <w:rFonts w:ascii="Times New Roman" w:hAnsi="Times New Roman" w:cs="Times New Roman"/>
          <w:b/>
          <w:sz w:val="24"/>
          <w:szCs w:val="24"/>
        </w:rPr>
        <w:t>,</w:t>
      </w:r>
      <w:r w:rsidR="00221D6B" w:rsidRPr="00661047">
        <w:rPr>
          <w:rFonts w:ascii="Times New Roman" w:hAnsi="Times New Roman" w:cs="Times New Roman"/>
          <w:b/>
          <w:sz w:val="24"/>
          <w:szCs w:val="24"/>
        </w:rPr>
        <w:t>1 </w:t>
      </w:r>
      <w:r w:rsidRPr="00661047">
        <w:rPr>
          <w:rFonts w:ascii="Times New Roman" w:hAnsi="Times New Roman" w:cs="Times New Roman"/>
          <w:b/>
          <w:sz w:val="24"/>
          <w:szCs w:val="24"/>
        </w:rPr>
        <w:t>%</w:t>
      </w:r>
      <w:r w:rsidRPr="00661047">
        <w:rPr>
          <w:rFonts w:ascii="Times New Roman" w:hAnsi="Times New Roman" w:cs="Times New Roman"/>
          <w:sz w:val="24"/>
          <w:szCs w:val="24"/>
        </w:rPr>
        <w:t>), operatorzy</w:t>
      </w:r>
      <w:r w:rsidR="00AE5712" w:rsidRPr="00661047">
        <w:rPr>
          <w:rFonts w:ascii="Times New Roman" w:hAnsi="Times New Roman" w:cs="Times New Roman"/>
          <w:sz w:val="24"/>
          <w:szCs w:val="24"/>
        </w:rPr>
        <w:t xml:space="preserve"> i </w:t>
      </w:r>
      <w:r w:rsidRPr="00661047">
        <w:rPr>
          <w:rFonts w:ascii="Times New Roman" w:hAnsi="Times New Roman" w:cs="Times New Roman"/>
          <w:sz w:val="24"/>
          <w:szCs w:val="24"/>
        </w:rPr>
        <w:t>monterzy ma</w:t>
      </w:r>
      <w:r w:rsidR="00FA0C9C" w:rsidRPr="00661047">
        <w:rPr>
          <w:rFonts w:ascii="Times New Roman" w:hAnsi="Times New Roman" w:cs="Times New Roman"/>
          <w:sz w:val="24"/>
          <w:szCs w:val="24"/>
        </w:rPr>
        <w:t>szyn</w:t>
      </w:r>
      <w:r w:rsidR="00AE5712" w:rsidRPr="00661047">
        <w:rPr>
          <w:rFonts w:ascii="Times New Roman" w:hAnsi="Times New Roman" w:cs="Times New Roman"/>
          <w:sz w:val="24"/>
          <w:szCs w:val="24"/>
        </w:rPr>
        <w:t xml:space="preserve"> i </w:t>
      </w:r>
      <w:r w:rsidR="00FA0C9C" w:rsidRPr="00661047">
        <w:rPr>
          <w:rFonts w:ascii="Times New Roman" w:hAnsi="Times New Roman" w:cs="Times New Roman"/>
          <w:sz w:val="24"/>
          <w:szCs w:val="24"/>
        </w:rPr>
        <w:t xml:space="preserve">urządzeń – </w:t>
      </w:r>
      <w:r w:rsidR="00661047" w:rsidRPr="00661047">
        <w:rPr>
          <w:rFonts w:ascii="Times New Roman" w:hAnsi="Times New Roman" w:cs="Times New Roman"/>
          <w:sz w:val="24"/>
          <w:szCs w:val="24"/>
        </w:rPr>
        <w:t>7</w:t>
      </w:r>
      <w:r w:rsidR="00FA0C9C" w:rsidRPr="00661047">
        <w:rPr>
          <w:rFonts w:ascii="Times New Roman" w:hAnsi="Times New Roman" w:cs="Times New Roman"/>
          <w:sz w:val="24"/>
          <w:szCs w:val="24"/>
        </w:rPr>
        <w:t xml:space="preserve"> </w:t>
      </w:r>
      <w:r w:rsidR="00ED4A4B" w:rsidRPr="00661047">
        <w:rPr>
          <w:rFonts w:ascii="Times New Roman" w:hAnsi="Times New Roman" w:cs="Times New Roman"/>
          <w:sz w:val="24"/>
          <w:szCs w:val="24"/>
        </w:rPr>
        <w:t>7</w:t>
      </w:r>
      <w:r w:rsidR="00661047" w:rsidRPr="00661047">
        <w:rPr>
          <w:rFonts w:ascii="Times New Roman" w:hAnsi="Times New Roman" w:cs="Times New Roman"/>
          <w:sz w:val="24"/>
          <w:szCs w:val="24"/>
        </w:rPr>
        <w:t>10</w:t>
      </w:r>
      <w:r w:rsidR="00FA0C9C" w:rsidRPr="00661047">
        <w:rPr>
          <w:rFonts w:ascii="Times New Roman" w:hAnsi="Times New Roman" w:cs="Times New Roman"/>
          <w:sz w:val="24"/>
          <w:szCs w:val="24"/>
        </w:rPr>
        <w:t xml:space="preserve"> (</w:t>
      </w:r>
      <w:r w:rsidR="00661047" w:rsidRPr="00661047">
        <w:rPr>
          <w:rFonts w:ascii="Times New Roman" w:hAnsi="Times New Roman" w:cs="Times New Roman"/>
          <w:b/>
          <w:sz w:val="24"/>
          <w:szCs w:val="24"/>
        </w:rPr>
        <w:t>12</w:t>
      </w:r>
      <w:r w:rsidR="00FA0C9C" w:rsidRPr="00661047">
        <w:rPr>
          <w:rFonts w:ascii="Times New Roman" w:hAnsi="Times New Roman" w:cs="Times New Roman"/>
          <w:b/>
          <w:sz w:val="24"/>
          <w:szCs w:val="24"/>
        </w:rPr>
        <w:t>,</w:t>
      </w:r>
      <w:r w:rsidR="00661047" w:rsidRPr="00661047">
        <w:rPr>
          <w:rFonts w:ascii="Times New Roman" w:hAnsi="Times New Roman" w:cs="Times New Roman"/>
          <w:b/>
          <w:sz w:val="24"/>
          <w:szCs w:val="24"/>
        </w:rPr>
        <w:t>6</w:t>
      </w:r>
      <w:r w:rsidR="00661047" w:rsidRPr="00661047">
        <w:rPr>
          <w:rFonts w:ascii="Times New Roman" w:hAnsi="Times New Roman" w:cs="Times New Roman"/>
          <w:sz w:val="24"/>
          <w:szCs w:val="24"/>
        </w:rPr>
        <w:t xml:space="preserve"> </w:t>
      </w:r>
      <w:r w:rsidR="00FA0C9C" w:rsidRPr="00661047">
        <w:rPr>
          <w:rFonts w:ascii="Times New Roman" w:hAnsi="Times New Roman" w:cs="Times New Roman"/>
          <w:sz w:val="24"/>
          <w:szCs w:val="24"/>
        </w:rPr>
        <w:t>%),</w:t>
      </w:r>
      <w:r w:rsidRPr="00661047">
        <w:rPr>
          <w:rFonts w:ascii="Times New Roman" w:hAnsi="Times New Roman" w:cs="Times New Roman"/>
          <w:sz w:val="24"/>
          <w:szCs w:val="24"/>
        </w:rPr>
        <w:t xml:space="preserve"> </w:t>
      </w:r>
      <w:r w:rsidR="009426A0" w:rsidRPr="00661047">
        <w:rPr>
          <w:rFonts w:ascii="Times New Roman" w:hAnsi="Times New Roman" w:cs="Times New Roman"/>
          <w:sz w:val="24"/>
          <w:szCs w:val="24"/>
        </w:rPr>
        <w:t xml:space="preserve">pracownicy biurowi </w:t>
      </w:r>
      <w:r w:rsidR="00FA0C9C" w:rsidRPr="00661047">
        <w:rPr>
          <w:rFonts w:ascii="Times New Roman" w:hAnsi="Times New Roman" w:cs="Times New Roman"/>
          <w:sz w:val="24"/>
          <w:szCs w:val="24"/>
        </w:rPr>
        <w:t xml:space="preserve">– </w:t>
      </w:r>
      <w:r w:rsidR="00661047" w:rsidRPr="00661047">
        <w:rPr>
          <w:rFonts w:ascii="Times New Roman" w:hAnsi="Times New Roman" w:cs="Times New Roman"/>
          <w:sz w:val="24"/>
          <w:szCs w:val="24"/>
        </w:rPr>
        <w:t>6</w:t>
      </w:r>
      <w:r w:rsidR="00FA0C9C" w:rsidRPr="00661047">
        <w:rPr>
          <w:rFonts w:ascii="Times New Roman" w:hAnsi="Times New Roman" w:cs="Times New Roman"/>
          <w:sz w:val="24"/>
          <w:szCs w:val="24"/>
        </w:rPr>
        <w:t xml:space="preserve"> </w:t>
      </w:r>
      <w:r w:rsidR="00ED4A4B" w:rsidRPr="00661047">
        <w:rPr>
          <w:rFonts w:ascii="Times New Roman" w:hAnsi="Times New Roman" w:cs="Times New Roman"/>
          <w:sz w:val="24"/>
          <w:szCs w:val="24"/>
        </w:rPr>
        <w:t>5</w:t>
      </w:r>
      <w:r w:rsidR="00661047" w:rsidRPr="00661047">
        <w:rPr>
          <w:rFonts w:ascii="Times New Roman" w:hAnsi="Times New Roman" w:cs="Times New Roman"/>
          <w:sz w:val="24"/>
          <w:szCs w:val="24"/>
        </w:rPr>
        <w:t>18</w:t>
      </w:r>
      <w:r w:rsidR="00FA0C9C" w:rsidRPr="00661047">
        <w:rPr>
          <w:rFonts w:ascii="Times New Roman" w:hAnsi="Times New Roman" w:cs="Times New Roman"/>
          <w:sz w:val="24"/>
          <w:szCs w:val="24"/>
        </w:rPr>
        <w:t xml:space="preserve"> (</w:t>
      </w:r>
      <w:r w:rsidR="00661047" w:rsidRPr="00661047">
        <w:rPr>
          <w:rFonts w:ascii="Times New Roman" w:hAnsi="Times New Roman" w:cs="Times New Roman"/>
          <w:b/>
          <w:sz w:val="24"/>
          <w:szCs w:val="24"/>
        </w:rPr>
        <w:t>10</w:t>
      </w:r>
      <w:r w:rsidR="00FA0C9C" w:rsidRPr="00661047">
        <w:rPr>
          <w:rFonts w:ascii="Times New Roman" w:hAnsi="Times New Roman" w:cs="Times New Roman"/>
          <w:b/>
          <w:sz w:val="24"/>
          <w:szCs w:val="24"/>
        </w:rPr>
        <w:t>,</w:t>
      </w:r>
      <w:r w:rsidR="00661047" w:rsidRPr="00661047">
        <w:rPr>
          <w:rFonts w:ascii="Times New Roman" w:hAnsi="Times New Roman" w:cs="Times New Roman"/>
          <w:b/>
          <w:sz w:val="24"/>
          <w:szCs w:val="24"/>
        </w:rPr>
        <w:t>6</w:t>
      </w:r>
      <w:r w:rsidR="00661047" w:rsidRPr="00661047">
        <w:rPr>
          <w:rFonts w:ascii="Times New Roman" w:hAnsi="Times New Roman" w:cs="Times New Roman"/>
          <w:sz w:val="24"/>
          <w:szCs w:val="24"/>
        </w:rPr>
        <w:t xml:space="preserve"> </w:t>
      </w:r>
      <w:r w:rsidR="00FA0C9C" w:rsidRPr="00661047">
        <w:rPr>
          <w:rFonts w:ascii="Times New Roman" w:hAnsi="Times New Roman" w:cs="Times New Roman"/>
          <w:sz w:val="24"/>
          <w:szCs w:val="24"/>
        </w:rPr>
        <w:t>%).</w:t>
      </w:r>
    </w:p>
    <w:p w:rsidR="007146B8" w:rsidRDefault="007146B8">
      <w:pPr>
        <w:rPr>
          <w:rFonts w:ascii="Times New Roman" w:hAnsi="Times New Roman" w:cs="Times New Roman"/>
          <w:bCs/>
          <w:color w:val="000000"/>
          <w:sz w:val="16"/>
          <w:szCs w:val="16"/>
          <w:highlight w:val="yellow"/>
        </w:rPr>
      </w:pPr>
      <w:r>
        <w:rPr>
          <w:bCs/>
          <w:sz w:val="16"/>
          <w:szCs w:val="16"/>
          <w:highlight w:val="yellow"/>
        </w:rPr>
        <w:br w:type="page"/>
      </w:r>
    </w:p>
    <w:p w:rsidR="002648C9" w:rsidRPr="002A267D" w:rsidRDefault="002648C9" w:rsidP="002A267D">
      <w:pPr>
        <w:pStyle w:val="Nagwek3"/>
        <w:pBdr>
          <w:bottom w:val="double" w:sz="4" w:space="1" w:color="auto"/>
        </w:pBdr>
        <w:jc w:val="left"/>
        <w:rPr>
          <w:rFonts w:ascii="Times New Roman" w:hAnsi="Times New Roman" w:cs="Times New Roman"/>
          <w:caps/>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0" w:name="_Toc938731"/>
      <w:r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Wydatki</w:t>
      </w:r>
      <w:r w:rsidR="00AE5712"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z </w:t>
      </w:r>
      <w:r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Funduszu Pracy na aktywne </w:t>
      </w:r>
      <w:r w:rsidR="00992E19"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 PASYWNE</w:t>
      </w:r>
      <w:r w:rsid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formy</w:t>
      </w:r>
      <w:r w:rsid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promocji</w:t>
      </w:r>
      <w:r w:rsidR="00992E19"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2A267D">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zatrudnienia</w:t>
      </w:r>
      <w:bookmarkEnd w:id="20"/>
    </w:p>
    <w:p w:rsidR="00AD45A3" w:rsidRDefault="00AD45A3" w:rsidP="005749D6">
      <w:pPr>
        <w:pStyle w:val="Default"/>
        <w:rPr>
          <w:noProof/>
          <w:sz w:val="16"/>
          <w:szCs w:val="16"/>
          <w:highlight w:val="yellow"/>
          <w:lang w:eastAsia="pl-PL"/>
        </w:rPr>
      </w:pPr>
    </w:p>
    <w:p w:rsidR="00C75E05" w:rsidRPr="00C75C71" w:rsidRDefault="00C75E05" w:rsidP="005749D6">
      <w:pPr>
        <w:pStyle w:val="Default"/>
        <w:rPr>
          <w:noProof/>
          <w:sz w:val="16"/>
          <w:szCs w:val="16"/>
          <w:highlight w:val="yellow"/>
          <w:lang w:eastAsia="pl-PL"/>
        </w:rPr>
      </w:pPr>
      <w:r w:rsidRPr="00C75E05">
        <w:rPr>
          <w:noProof/>
          <w:lang w:eastAsia="pl-PL"/>
        </w:rPr>
        <w:drawing>
          <wp:inline distT="0" distB="0" distL="0" distR="0" wp14:anchorId="716A7835" wp14:editId="1C927AC6">
            <wp:extent cx="5759450" cy="5191660"/>
            <wp:effectExtent l="0" t="0" r="0" b="9525"/>
            <wp:docPr id="691" name="Obraz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759450" cy="5191660"/>
                    </a:xfrm>
                    <a:prstGeom prst="rect">
                      <a:avLst/>
                    </a:prstGeom>
                    <a:noFill/>
                    <a:ln>
                      <a:noFill/>
                    </a:ln>
                  </pic:spPr>
                </pic:pic>
              </a:graphicData>
            </a:graphic>
          </wp:inline>
        </w:drawing>
      </w:r>
    </w:p>
    <w:p w:rsidR="00C75E05" w:rsidRDefault="00C75E05" w:rsidP="00AD45A3">
      <w:pPr>
        <w:spacing w:after="0" w:line="240" w:lineRule="auto"/>
        <w:rPr>
          <w:noProof/>
          <w:sz w:val="16"/>
          <w:szCs w:val="16"/>
          <w:highlight w:val="yellow"/>
          <w:lang w:eastAsia="pl-PL"/>
        </w:rPr>
      </w:pPr>
    </w:p>
    <w:p w:rsidR="00C75E05" w:rsidRPr="00C75E05" w:rsidRDefault="00C75E05" w:rsidP="00AD45A3">
      <w:pPr>
        <w:spacing w:after="0" w:line="240" w:lineRule="auto"/>
        <w:rPr>
          <w:noProof/>
          <w:sz w:val="16"/>
          <w:szCs w:val="16"/>
          <w:highlight w:val="yellow"/>
          <w:lang w:eastAsia="pl-PL"/>
        </w:rPr>
      </w:pPr>
    </w:p>
    <w:p w:rsidR="00AD45A3" w:rsidRPr="00C75C71" w:rsidRDefault="00C75E05" w:rsidP="00AD45A3">
      <w:pPr>
        <w:spacing w:after="0" w:line="240" w:lineRule="auto"/>
        <w:rPr>
          <w:noProof/>
          <w:highlight w:val="yellow"/>
          <w:lang w:eastAsia="pl-PL"/>
        </w:rPr>
      </w:pPr>
      <w:r w:rsidRPr="00C75E05">
        <w:rPr>
          <w:noProof/>
          <w:lang w:eastAsia="pl-PL"/>
        </w:rPr>
        <w:drawing>
          <wp:inline distT="0" distB="0" distL="0" distR="0" wp14:anchorId="0E3B621A" wp14:editId="172F2716">
            <wp:extent cx="5759450" cy="2157076"/>
            <wp:effectExtent l="0" t="0" r="0" b="0"/>
            <wp:docPr id="701" name="Obraz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59450" cy="2157076"/>
                    </a:xfrm>
                    <a:prstGeom prst="rect">
                      <a:avLst/>
                    </a:prstGeom>
                    <a:noFill/>
                    <a:ln>
                      <a:noFill/>
                    </a:ln>
                  </pic:spPr>
                </pic:pic>
              </a:graphicData>
            </a:graphic>
          </wp:inline>
        </w:drawing>
      </w:r>
    </w:p>
    <w:p w:rsidR="005749D6" w:rsidRPr="00C75C71" w:rsidRDefault="005749D6">
      <w:pPr>
        <w:rPr>
          <w:rFonts w:ascii="Times New Roman" w:hAnsi="Times New Roman" w:cs="Times New Roman"/>
          <w:color w:val="000000"/>
          <w:sz w:val="24"/>
          <w:szCs w:val="24"/>
          <w:highlight w:val="yellow"/>
        </w:rPr>
      </w:pPr>
      <w:r w:rsidRPr="00C75C71">
        <w:rPr>
          <w:highlight w:val="yellow"/>
        </w:rPr>
        <w:br w:type="page"/>
      </w:r>
    </w:p>
    <w:p w:rsidR="005749D6" w:rsidRPr="00C75C71" w:rsidRDefault="00C75E05" w:rsidP="005749D6">
      <w:pPr>
        <w:pStyle w:val="Default"/>
        <w:rPr>
          <w:highlight w:val="yellow"/>
        </w:rPr>
      </w:pPr>
      <w:r w:rsidRPr="00C75E05">
        <w:rPr>
          <w:noProof/>
          <w:lang w:eastAsia="pl-PL"/>
        </w:rPr>
        <w:lastRenderedPageBreak/>
        <w:drawing>
          <wp:inline distT="0" distB="0" distL="0" distR="0" wp14:anchorId="7DD2F66D" wp14:editId="21449E99">
            <wp:extent cx="5759450" cy="1596269"/>
            <wp:effectExtent l="0" t="0" r="0" b="4445"/>
            <wp:docPr id="702" name="Obraz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59450" cy="1596269"/>
                    </a:xfrm>
                    <a:prstGeom prst="rect">
                      <a:avLst/>
                    </a:prstGeom>
                    <a:noFill/>
                    <a:ln>
                      <a:noFill/>
                    </a:ln>
                  </pic:spPr>
                </pic:pic>
              </a:graphicData>
            </a:graphic>
          </wp:inline>
        </w:drawing>
      </w:r>
    </w:p>
    <w:p w:rsidR="005749D6" w:rsidRPr="00C75C71" w:rsidRDefault="00C75E05" w:rsidP="005749D6">
      <w:pPr>
        <w:pStyle w:val="Default"/>
        <w:rPr>
          <w:highlight w:val="yellow"/>
        </w:rPr>
      </w:pPr>
      <w:r w:rsidRPr="00C75E05">
        <w:rPr>
          <w:noProof/>
          <w:lang w:eastAsia="pl-PL"/>
        </w:rPr>
        <w:drawing>
          <wp:inline distT="0" distB="0" distL="0" distR="0" wp14:anchorId="2A85FC56" wp14:editId="712E3F1D">
            <wp:extent cx="5759450" cy="3030294"/>
            <wp:effectExtent l="0" t="0" r="0" b="0"/>
            <wp:docPr id="703" name="Obraz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59450" cy="3030294"/>
                    </a:xfrm>
                    <a:prstGeom prst="rect">
                      <a:avLst/>
                    </a:prstGeom>
                    <a:noFill/>
                    <a:ln>
                      <a:noFill/>
                    </a:ln>
                  </pic:spPr>
                </pic:pic>
              </a:graphicData>
            </a:graphic>
          </wp:inline>
        </w:drawing>
      </w:r>
    </w:p>
    <w:p w:rsidR="00992E19" w:rsidRPr="00C75C71" w:rsidRDefault="00992E19" w:rsidP="00333DBD">
      <w:pPr>
        <w:pStyle w:val="Default"/>
        <w:pBdr>
          <w:bottom w:val="single" w:sz="4" w:space="1" w:color="auto"/>
        </w:pBdr>
        <w:jc w:val="both"/>
        <w:rPr>
          <w:highlight w:val="yellow"/>
        </w:rPr>
      </w:pPr>
    </w:p>
    <w:p w:rsidR="003F048D" w:rsidRPr="00C75E05" w:rsidRDefault="00DD4FBC" w:rsidP="00333DBD">
      <w:pPr>
        <w:pStyle w:val="Default"/>
        <w:pBdr>
          <w:bottom w:val="single" w:sz="4" w:space="1" w:color="auto"/>
        </w:pBdr>
        <w:jc w:val="both"/>
      </w:pPr>
      <w:r w:rsidRPr="00C75E05">
        <w:t>W</w:t>
      </w:r>
      <w:r w:rsidR="008260E7" w:rsidRPr="00C75E05">
        <w:t>nioski:</w:t>
      </w:r>
    </w:p>
    <w:p w:rsidR="003F048D" w:rsidRPr="00C75E05" w:rsidRDefault="003F048D" w:rsidP="003F048D">
      <w:pPr>
        <w:pStyle w:val="Tekstpodstawowywcity"/>
        <w:spacing w:after="0" w:line="360" w:lineRule="auto"/>
        <w:ind w:left="0"/>
        <w:jc w:val="both"/>
        <w:rPr>
          <w:rFonts w:ascii="Times New Roman" w:hAnsi="Times New Roman" w:cs="Times New Roman"/>
          <w:sz w:val="16"/>
          <w:szCs w:val="16"/>
        </w:rPr>
      </w:pPr>
      <w:r w:rsidRPr="00C75E05">
        <w:rPr>
          <w:rFonts w:ascii="Times New Roman" w:hAnsi="Times New Roman" w:cs="Times New Roman"/>
          <w:sz w:val="16"/>
          <w:szCs w:val="16"/>
        </w:rPr>
        <w:t>(na podstawie danych</w:t>
      </w:r>
      <w:r w:rsidR="00AE5712" w:rsidRPr="00C75E05">
        <w:rPr>
          <w:rFonts w:ascii="Times New Roman" w:hAnsi="Times New Roman" w:cs="Times New Roman"/>
          <w:sz w:val="16"/>
          <w:szCs w:val="16"/>
        </w:rPr>
        <w:t xml:space="preserve"> z </w:t>
      </w:r>
      <w:r w:rsidR="008E60D0" w:rsidRPr="00C75E05">
        <w:rPr>
          <w:rFonts w:ascii="Times New Roman" w:hAnsi="Times New Roman" w:cs="Times New Roman"/>
          <w:sz w:val="16"/>
          <w:szCs w:val="16"/>
        </w:rPr>
        <w:t>t</w:t>
      </w:r>
      <w:r w:rsidRPr="00C75E05">
        <w:rPr>
          <w:rFonts w:ascii="Times New Roman" w:hAnsi="Times New Roman" w:cs="Times New Roman"/>
          <w:sz w:val="16"/>
          <w:szCs w:val="16"/>
        </w:rPr>
        <w:t>abel</w:t>
      </w:r>
      <w:r w:rsidR="008E60D0" w:rsidRPr="00C75E05">
        <w:rPr>
          <w:rFonts w:ascii="Times New Roman" w:hAnsi="Times New Roman" w:cs="Times New Roman"/>
          <w:sz w:val="16"/>
          <w:szCs w:val="16"/>
        </w:rPr>
        <w:t>:</w:t>
      </w:r>
      <w:r w:rsidRPr="00C75E05">
        <w:rPr>
          <w:rFonts w:ascii="Times New Roman" w:hAnsi="Times New Roman" w:cs="Times New Roman"/>
          <w:sz w:val="16"/>
          <w:szCs w:val="16"/>
        </w:rPr>
        <w:t xml:space="preserve"> </w:t>
      </w:r>
      <w:r w:rsidR="000177FF" w:rsidRPr="00C75E05">
        <w:rPr>
          <w:rFonts w:ascii="Times New Roman" w:hAnsi="Times New Roman" w:cs="Times New Roman"/>
          <w:sz w:val="16"/>
          <w:szCs w:val="16"/>
        </w:rPr>
        <w:t>XXVIII i XXIX</w:t>
      </w:r>
      <w:r w:rsidRPr="00C75E05">
        <w:rPr>
          <w:rFonts w:ascii="Times New Roman" w:hAnsi="Times New Roman" w:cs="Times New Roman"/>
          <w:sz w:val="16"/>
          <w:szCs w:val="16"/>
        </w:rPr>
        <w:t>)</w:t>
      </w:r>
    </w:p>
    <w:p w:rsidR="00DD4FBC" w:rsidRPr="00C75C71" w:rsidRDefault="00DD4FBC" w:rsidP="003F048D">
      <w:pPr>
        <w:pStyle w:val="Tekstpodstawowywcity"/>
        <w:spacing w:after="0" w:line="360" w:lineRule="auto"/>
        <w:ind w:left="0"/>
        <w:jc w:val="both"/>
        <w:rPr>
          <w:rFonts w:ascii="Times New Roman" w:hAnsi="Times New Roman" w:cs="Times New Roman"/>
          <w:sz w:val="16"/>
          <w:szCs w:val="16"/>
          <w:highlight w:val="yellow"/>
        </w:rPr>
      </w:pPr>
    </w:p>
    <w:p w:rsidR="002648C9" w:rsidRPr="00551E61" w:rsidRDefault="00C75E05" w:rsidP="00160DBC">
      <w:pPr>
        <w:pStyle w:val="Bezodstpw"/>
        <w:numPr>
          <w:ilvl w:val="0"/>
          <w:numId w:val="10"/>
        </w:numPr>
        <w:spacing w:line="360" w:lineRule="auto"/>
        <w:jc w:val="both"/>
        <w:rPr>
          <w:rFonts w:ascii="Times New Roman" w:hAnsi="Times New Roman" w:cs="Times New Roman"/>
          <w:sz w:val="24"/>
          <w:szCs w:val="24"/>
        </w:rPr>
      </w:pPr>
      <w:r w:rsidRPr="00551E61">
        <w:rPr>
          <w:rFonts w:ascii="Times New Roman" w:hAnsi="Times New Roman" w:cs="Times New Roman"/>
          <w:sz w:val="24"/>
          <w:szCs w:val="24"/>
        </w:rPr>
        <w:t xml:space="preserve">W celu realizacji </w:t>
      </w:r>
      <w:r w:rsidR="008260E7" w:rsidRPr="00551E61">
        <w:rPr>
          <w:rFonts w:ascii="Times New Roman" w:hAnsi="Times New Roman" w:cs="Times New Roman"/>
          <w:b/>
          <w:sz w:val="24"/>
          <w:szCs w:val="24"/>
        </w:rPr>
        <w:t>aktywnych form promocji zatrudnienia</w:t>
      </w:r>
      <w:r w:rsidR="008260E7" w:rsidRPr="00551E61">
        <w:rPr>
          <w:rFonts w:ascii="Times New Roman" w:hAnsi="Times New Roman" w:cs="Times New Roman"/>
          <w:sz w:val="24"/>
          <w:szCs w:val="24"/>
        </w:rPr>
        <w:t xml:space="preserve"> </w:t>
      </w:r>
      <w:r w:rsidR="002648C9" w:rsidRPr="00551E61">
        <w:rPr>
          <w:rFonts w:ascii="Times New Roman" w:hAnsi="Times New Roman" w:cs="Times New Roman"/>
          <w:sz w:val="24"/>
          <w:szCs w:val="24"/>
        </w:rPr>
        <w:t>wydatkowano</w:t>
      </w:r>
      <w:r w:rsidR="00AE5712" w:rsidRPr="00551E61">
        <w:rPr>
          <w:rFonts w:ascii="Times New Roman" w:hAnsi="Times New Roman" w:cs="Times New Roman"/>
          <w:sz w:val="24"/>
          <w:szCs w:val="24"/>
        </w:rPr>
        <w:t xml:space="preserve"> z</w:t>
      </w:r>
      <w:r w:rsidR="00DD4FBC" w:rsidRPr="00551E61">
        <w:rPr>
          <w:rFonts w:ascii="Times New Roman" w:hAnsi="Times New Roman" w:cs="Times New Roman"/>
          <w:sz w:val="24"/>
          <w:szCs w:val="24"/>
        </w:rPr>
        <w:t xml:space="preserve"> </w:t>
      </w:r>
      <w:r w:rsidR="002648C9" w:rsidRPr="00551E61">
        <w:rPr>
          <w:rFonts w:ascii="Times New Roman" w:hAnsi="Times New Roman" w:cs="Times New Roman"/>
          <w:sz w:val="24"/>
          <w:szCs w:val="24"/>
        </w:rPr>
        <w:t xml:space="preserve">Funduszu Pracy łącznie </w:t>
      </w:r>
      <w:r w:rsidR="00551E61" w:rsidRPr="00551E61">
        <w:rPr>
          <w:rFonts w:ascii="Times New Roman" w:hAnsi="Times New Roman" w:cs="Times New Roman"/>
          <w:b/>
          <w:sz w:val="24"/>
          <w:szCs w:val="24"/>
        </w:rPr>
        <w:t>284</w:t>
      </w:r>
      <w:r w:rsidR="002648C9" w:rsidRPr="00551E61">
        <w:rPr>
          <w:rFonts w:ascii="Times New Roman" w:hAnsi="Times New Roman" w:cs="Times New Roman"/>
          <w:b/>
          <w:sz w:val="24"/>
          <w:szCs w:val="24"/>
        </w:rPr>
        <w:t>,</w:t>
      </w:r>
      <w:r w:rsidR="00551E61" w:rsidRPr="00551E61">
        <w:rPr>
          <w:rFonts w:ascii="Times New Roman" w:hAnsi="Times New Roman" w:cs="Times New Roman"/>
          <w:b/>
          <w:sz w:val="24"/>
          <w:szCs w:val="24"/>
        </w:rPr>
        <w:t>31</w:t>
      </w:r>
      <w:r w:rsidR="008260E7" w:rsidRPr="00551E61">
        <w:rPr>
          <w:rFonts w:ascii="Times New Roman" w:hAnsi="Times New Roman" w:cs="Times New Roman"/>
          <w:b/>
          <w:sz w:val="24"/>
          <w:szCs w:val="24"/>
        </w:rPr>
        <w:t xml:space="preserve"> mln zł</w:t>
      </w:r>
      <w:r w:rsidR="002648C9" w:rsidRPr="00551E61">
        <w:rPr>
          <w:rFonts w:ascii="Times New Roman" w:hAnsi="Times New Roman" w:cs="Times New Roman"/>
          <w:sz w:val="24"/>
          <w:szCs w:val="24"/>
        </w:rPr>
        <w:t xml:space="preserve"> (w 201</w:t>
      </w:r>
      <w:r w:rsidR="00551E61" w:rsidRPr="00551E61">
        <w:rPr>
          <w:rFonts w:ascii="Times New Roman" w:hAnsi="Times New Roman" w:cs="Times New Roman"/>
          <w:sz w:val="24"/>
          <w:szCs w:val="24"/>
        </w:rPr>
        <w:t>7</w:t>
      </w:r>
      <w:r w:rsidR="009C4968" w:rsidRPr="00551E61">
        <w:rPr>
          <w:rFonts w:ascii="Times New Roman" w:hAnsi="Times New Roman" w:cs="Times New Roman"/>
          <w:sz w:val="24"/>
          <w:szCs w:val="24"/>
        </w:rPr>
        <w:t xml:space="preserve"> r</w:t>
      </w:r>
      <w:r w:rsidR="007A4452" w:rsidRPr="00551E61">
        <w:rPr>
          <w:rFonts w:ascii="Times New Roman" w:hAnsi="Times New Roman" w:cs="Times New Roman"/>
          <w:sz w:val="24"/>
          <w:szCs w:val="24"/>
        </w:rPr>
        <w:t>.</w:t>
      </w:r>
      <w:r w:rsidR="00EF4A76" w:rsidRPr="00551E61">
        <w:rPr>
          <w:rFonts w:ascii="Times New Roman" w:hAnsi="Times New Roman" w:cs="Times New Roman"/>
          <w:sz w:val="24"/>
          <w:szCs w:val="24"/>
        </w:rPr>
        <w:t xml:space="preserve"> </w:t>
      </w:r>
      <w:r w:rsidR="009C4968" w:rsidRPr="00551E61">
        <w:rPr>
          <w:rFonts w:ascii="Times New Roman" w:hAnsi="Times New Roman" w:cs="Times New Roman"/>
          <w:sz w:val="24"/>
          <w:szCs w:val="24"/>
        </w:rPr>
        <w:t>–</w:t>
      </w:r>
      <w:r w:rsidR="00EF4A76" w:rsidRPr="00551E61">
        <w:rPr>
          <w:rFonts w:ascii="Times New Roman" w:hAnsi="Times New Roman" w:cs="Times New Roman"/>
          <w:sz w:val="24"/>
          <w:szCs w:val="24"/>
        </w:rPr>
        <w:t xml:space="preserve"> </w:t>
      </w:r>
      <w:r w:rsidR="00AD45A3" w:rsidRPr="00551E61">
        <w:rPr>
          <w:rFonts w:ascii="Times New Roman" w:hAnsi="Times New Roman" w:cs="Times New Roman"/>
          <w:sz w:val="24"/>
          <w:szCs w:val="24"/>
        </w:rPr>
        <w:t>3</w:t>
      </w:r>
      <w:r w:rsidR="00551E61" w:rsidRPr="00551E61">
        <w:rPr>
          <w:rFonts w:ascii="Times New Roman" w:hAnsi="Times New Roman" w:cs="Times New Roman"/>
          <w:sz w:val="24"/>
          <w:szCs w:val="24"/>
        </w:rPr>
        <w:t>55</w:t>
      </w:r>
      <w:r w:rsidR="002648C9" w:rsidRPr="00551E61">
        <w:rPr>
          <w:rFonts w:ascii="Times New Roman" w:hAnsi="Times New Roman" w:cs="Times New Roman"/>
          <w:sz w:val="24"/>
          <w:szCs w:val="24"/>
        </w:rPr>
        <w:t>,</w:t>
      </w:r>
      <w:r w:rsidR="00551E61" w:rsidRPr="00551E61">
        <w:rPr>
          <w:rFonts w:ascii="Times New Roman" w:hAnsi="Times New Roman" w:cs="Times New Roman"/>
          <w:sz w:val="24"/>
          <w:szCs w:val="24"/>
        </w:rPr>
        <w:t>1</w:t>
      </w:r>
      <w:r w:rsidR="00AD45A3" w:rsidRPr="00551E61">
        <w:rPr>
          <w:rFonts w:ascii="Times New Roman" w:hAnsi="Times New Roman" w:cs="Times New Roman"/>
          <w:sz w:val="24"/>
          <w:szCs w:val="24"/>
        </w:rPr>
        <w:t>6</w:t>
      </w:r>
      <w:r w:rsidR="002648C9" w:rsidRPr="00551E61">
        <w:rPr>
          <w:rFonts w:ascii="Times New Roman" w:hAnsi="Times New Roman" w:cs="Times New Roman"/>
          <w:sz w:val="24"/>
          <w:szCs w:val="24"/>
        </w:rPr>
        <w:t xml:space="preserve"> mln zł).</w:t>
      </w:r>
      <w:r w:rsidR="00551E61">
        <w:rPr>
          <w:rFonts w:ascii="Times New Roman" w:hAnsi="Times New Roman" w:cs="Times New Roman"/>
          <w:sz w:val="24"/>
          <w:szCs w:val="24"/>
        </w:rPr>
        <w:t xml:space="preserve"> </w:t>
      </w:r>
      <w:r w:rsidR="00A05D34" w:rsidRPr="00551E61">
        <w:rPr>
          <w:rFonts w:ascii="Times New Roman" w:hAnsi="Times New Roman" w:cs="Times New Roman"/>
          <w:sz w:val="24"/>
          <w:szCs w:val="24"/>
        </w:rPr>
        <w:t>Z</w:t>
      </w:r>
      <w:r w:rsidR="00DD4FBC" w:rsidRPr="00551E61">
        <w:rPr>
          <w:rFonts w:ascii="Times New Roman" w:hAnsi="Times New Roman" w:cs="Times New Roman"/>
          <w:sz w:val="24"/>
          <w:szCs w:val="24"/>
        </w:rPr>
        <w:t xml:space="preserve"> </w:t>
      </w:r>
      <w:r w:rsidR="002648C9" w:rsidRPr="00551E61">
        <w:rPr>
          <w:rFonts w:ascii="Times New Roman" w:hAnsi="Times New Roman" w:cs="Times New Roman"/>
          <w:sz w:val="24"/>
          <w:szCs w:val="24"/>
        </w:rPr>
        <w:t>tej kwoty</w:t>
      </w:r>
      <w:r w:rsidR="007E17AF" w:rsidRPr="00551E61">
        <w:rPr>
          <w:rFonts w:ascii="Times New Roman" w:hAnsi="Times New Roman" w:cs="Times New Roman"/>
          <w:sz w:val="24"/>
          <w:szCs w:val="24"/>
        </w:rPr>
        <w:t xml:space="preserve"> </w:t>
      </w:r>
      <w:r w:rsidR="00830271" w:rsidRPr="00551E61">
        <w:rPr>
          <w:rFonts w:ascii="Times New Roman" w:hAnsi="Times New Roman" w:cs="Times New Roman"/>
          <w:sz w:val="24"/>
          <w:szCs w:val="24"/>
        </w:rPr>
        <w:t>najbardziej istotnymi były wydatki w zakresie</w:t>
      </w:r>
      <w:r w:rsidR="002648C9" w:rsidRPr="00551E61">
        <w:rPr>
          <w:rFonts w:ascii="Times New Roman" w:hAnsi="Times New Roman" w:cs="Times New Roman"/>
          <w:sz w:val="24"/>
          <w:szCs w:val="24"/>
        </w:rPr>
        <w:t>:</w:t>
      </w:r>
    </w:p>
    <w:p w:rsidR="00034D1E" w:rsidRPr="00551E61" w:rsidRDefault="00830271" w:rsidP="00160DBC">
      <w:pPr>
        <w:pStyle w:val="Default"/>
        <w:numPr>
          <w:ilvl w:val="0"/>
          <w:numId w:val="15"/>
        </w:numPr>
        <w:spacing w:line="360" w:lineRule="auto"/>
        <w:jc w:val="both"/>
      </w:pPr>
      <w:r w:rsidRPr="00551E61">
        <w:rPr>
          <w:b/>
        </w:rPr>
        <w:t>finansowani</w:t>
      </w:r>
      <w:r w:rsidR="00EF4A76" w:rsidRPr="00551E61">
        <w:rPr>
          <w:b/>
        </w:rPr>
        <w:t>a</w:t>
      </w:r>
      <w:r w:rsidRPr="00551E61">
        <w:rPr>
          <w:b/>
        </w:rPr>
        <w:t xml:space="preserve"> staży </w:t>
      </w:r>
      <w:r w:rsidR="00551E61" w:rsidRPr="00551E61">
        <w:rPr>
          <w:b/>
        </w:rPr>
        <w:t>67</w:t>
      </w:r>
      <w:r w:rsidR="002648C9" w:rsidRPr="00551E61">
        <w:rPr>
          <w:b/>
        </w:rPr>
        <w:t>,</w:t>
      </w:r>
      <w:r w:rsidR="00551E61" w:rsidRPr="00551E61">
        <w:rPr>
          <w:b/>
        </w:rPr>
        <w:t>26</w:t>
      </w:r>
      <w:r w:rsidR="008260E7" w:rsidRPr="00551E61">
        <w:rPr>
          <w:b/>
        </w:rPr>
        <w:t xml:space="preserve"> mln zł</w:t>
      </w:r>
      <w:r w:rsidR="008260E7" w:rsidRPr="00551E61">
        <w:t xml:space="preserve"> </w:t>
      </w:r>
      <w:r w:rsidRPr="00551E61">
        <w:t xml:space="preserve">tj. </w:t>
      </w:r>
      <w:r w:rsidR="007A4452" w:rsidRPr="00551E61">
        <w:t>1</w:t>
      </w:r>
      <w:r w:rsidR="00551E61" w:rsidRPr="00551E61">
        <w:t>5</w:t>
      </w:r>
      <w:r w:rsidR="003F048D" w:rsidRPr="00551E61">
        <w:t>,</w:t>
      </w:r>
      <w:r w:rsidR="00551E61" w:rsidRPr="00551E61">
        <w:t>2</w:t>
      </w:r>
      <w:r w:rsidR="00527CAB" w:rsidRPr="00551E61">
        <w:t>1</w:t>
      </w:r>
      <w:r w:rsidR="00551E61" w:rsidRPr="00551E61">
        <w:t xml:space="preserve"> </w:t>
      </w:r>
      <w:r w:rsidR="003F048D" w:rsidRPr="00551E61">
        <w:t xml:space="preserve">% </w:t>
      </w:r>
      <w:r w:rsidR="00EF4A76" w:rsidRPr="00551E61">
        <w:t xml:space="preserve">ogółu </w:t>
      </w:r>
      <w:r w:rsidR="003F048D" w:rsidRPr="00551E61">
        <w:t>wydatków</w:t>
      </w:r>
      <w:r w:rsidR="00AE5712" w:rsidRPr="00551E61">
        <w:t xml:space="preserve"> w </w:t>
      </w:r>
      <w:r w:rsidR="003F048D" w:rsidRPr="00551E61">
        <w:t>ramach FP</w:t>
      </w:r>
      <w:r w:rsidR="007A4452" w:rsidRPr="00551E61">
        <w:t>, co</w:t>
      </w:r>
      <w:r w:rsidR="003F048D" w:rsidRPr="00551E61">
        <w:t xml:space="preserve"> </w:t>
      </w:r>
      <w:r w:rsidR="007A4452" w:rsidRPr="00551E61">
        <w:t>s</w:t>
      </w:r>
      <w:r w:rsidR="003F048D" w:rsidRPr="00551E61">
        <w:t>tanowi</w:t>
      </w:r>
      <w:r w:rsidR="007A4452" w:rsidRPr="00551E61">
        <w:t xml:space="preserve"> </w:t>
      </w:r>
      <w:r w:rsidR="003F048D" w:rsidRPr="00551E61">
        <w:t xml:space="preserve">jednocześnie </w:t>
      </w:r>
      <w:r w:rsidR="007A4452" w:rsidRPr="00551E61">
        <w:t>2</w:t>
      </w:r>
      <w:r w:rsidR="00551E61" w:rsidRPr="00551E61">
        <w:t>3</w:t>
      </w:r>
      <w:r w:rsidR="002648C9" w:rsidRPr="00551E61">
        <w:t>,</w:t>
      </w:r>
      <w:r w:rsidR="00551E61" w:rsidRPr="00551E61">
        <w:t xml:space="preserve">66 </w:t>
      </w:r>
      <w:r w:rsidR="002648C9" w:rsidRPr="00551E61">
        <w:t>%</w:t>
      </w:r>
      <w:r w:rsidR="00EF4A76" w:rsidRPr="00551E61">
        <w:t xml:space="preserve"> </w:t>
      </w:r>
      <w:r w:rsidR="002648C9" w:rsidRPr="00551E61">
        <w:t>wydatków na aktywne formy,</w:t>
      </w:r>
    </w:p>
    <w:p w:rsidR="00034D1E" w:rsidRPr="00551E61" w:rsidRDefault="00830271" w:rsidP="00A96872">
      <w:pPr>
        <w:pStyle w:val="Default"/>
        <w:numPr>
          <w:ilvl w:val="0"/>
          <w:numId w:val="15"/>
        </w:numPr>
        <w:spacing w:line="360" w:lineRule="auto"/>
        <w:jc w:val="both"/>
      </w:pPr>
      <w:r w:rsidRPr="00551E61">
        <w:rPr>
          <w:b/>
        </w:rPr>
        <w:t>podję</w:t>
      </w:r>
      <w:r w:rsidR="00551E61" w:rsidRPr="00551E61">
        <w:rPr>
          <w:b/>
        </w:rPr>
        <w:t>cia</w:t>
      </w:r>
      <w:r w:rsidRPr="00551E61">
        <w:rPr>
          <w:b/>
        </w:rPr>
        <w:t xml:space="preserve"> działalności gospodarczej przez bezrobotnych </w:t>
      </w:r>
      <w:r w:rsidR="00C177DA" w:rsidRPr="00551E61">
        <w:rPr>
          <w:b/>
        </w:rPr>
        <w:t>5</w:t>
      </w:r>
      <w:r w:rsidR="00551E61" w:rsidRPr="00551E61">
        <w:rPr>
          <w:b/>
        </w:rPr>
        <w:t>0</w:t>
      </w:r>
      <w:r w:rsidR="008260E7" w:rsidRPr="00551E61">
        <w:rPr>
          <w:b/>
        </w:rPr>
        <w:t>,</w:t>
      </w:r>
      <w:r w:rsidR="00551E61" w:rsidRPr="00551E61">
        <w:rPr>
          <w:b/>
        </w:rPr>
        <w:t>87</w:t>
      </w:r>
      <w:r w:rsidR="008260E7" w:rsidRPr="00551E61">
        <w:rPr>
          <w:b/>
        </w:rPr>
        <w:t xml:space="preserve"> mln zł</w:t>
      </w:r>
      <w:r w:rsidRPr="00551E61">
        <w:rPr>
          <w:b/>
        </w:rPr>
        <w:t xml:space="preserve"> </w:t>
      </w:r>
      <w:r w:rsidRPr="00551E61">
        <w:t xml:space="preserve">tj. </w:t>
      </w:r>
      <w:r w:rsidR="00C177DA" w:rsidRPr="00551E61">
        <w:t>1</w:t>
      </w:r>
      <w:r w:rsidR="00551E61" w:rsidRPr="00551E61">
        <w:t>1</w:t>
      </w:r>
      <w:r w:rsidR="00034D1E" w:rsidRPr="00551E61">
        <w:t>,</w:t>
      </w:r>
      <w:r w:rsidR="00551E61" w:rsidRPr="00551E61">
        <w:t xml:space="preserve">50 </w:t>
      </w:r>
      <w:r w:rsidR="00034D1E" w:rsidRPr="00551E61">
        <w:t>%</w:t>
      </w:r>
      <w:r w:rsidRPr="00551E61">
        <w:t xml:space="preserve"> wydatków w ramach FP i jednocześnie </w:t>
      </w:r>
      <w:r w:rsidR="00A96872" w:rsidRPr="00551E61">
        <w:t>1</w:t>
      </w:r>
      <w:r w:rsidR="00551E61" w:rsidRPr="00551E61">
        <w:t>7</w:t>
      </w:r>
      <w:r w:rsidR="00A96872" w:rsidRPr="00551E61">
        <w:t>,</w:t>
      </w:r>
      <w:r w:rsidR="00551E61" w:rsidRPr="00551E61">
        <w:t xml:space="preserve">89 </w:t>
      </w:r>
      <w:r w:rsidR="00A96872" w:rsidRPr="00551E61">
        <w:t>% ogółu aktywnych form</w:t>
      </w:r>
      <w:r w:rsidR="00034D1E" w:rsidRPr="00551E61">
        <w:t>,</w:t>
      </w:r>
    </w:p>
    <w:p w:rsidR="002648C9" w:rsidRPr="00551E61" w:rsidRDefault="00551E61" w:rsidP="00160DBC">
      <w:pPr>
        <w:pStyle w:val="Default"/>
        <w:numPr>
          <w:ilvl w:val="0"/>
          <w:numId w:val="15"/>
        </w:numPr>
        <w:spacing w:line="360" w:lineRule="auto"/>
        <w:jc w:val="both"/>
      </w:pPr>
      <w:r w:rsidRPr="00551E61">
        <w:rPr>
          <w:b/>
        </w:rPr>
        <w:t>(</w:t>
      </w:r>
      <w:r w:rsidR="00830271" w:rsidRPr="00551E61">
        <w:rPr>
          <w:b/>
        </w:rPr>
        <w:t>dla pracodawców</w:t>
      </w:r>
      <w:r w:rsidRPr="00551E61">
        <w:rPr>
          <w:b/>
        </w:rPr>
        <w:t>)</w:t>
      </w:r>
      <w:r w:rsidR="00830271" w:rsidRPr="00551E61">
        <w:rPr>
          <w:b/>
        </w:rPr>
        <w:t xml:space="preserve"> wyposażeni</w:t>
      </w:r>
      <w:r w:rsidRPr="00551E61">
        <w:rPr>
          <w:b/>
        </w:rPr>
        <w:t>a</w:t>
      </w:r>
      <w:r w:rsidR="00830271" w:rsidRPr="00551E61">
        <w:rPr>
          <w:b/>
        </w:rPr>
        <w:t xml:space="preserve"> i doposażeni</w:t>
      </w:r>
      <w:r w:rsidRPr="00551E61">
        <w:rPr>
          <w:b/>
        </w:rPr>
        <w:t>a</w:t>
      </w:r>
      <w:r w:rsidR="00830271" w:rsidRPr="00551E61">
        <w:rPr>
          <w:b/>
        </w:rPr>
        <w:t xml:space="preserve">  utworzonych miejsc pracy </w:t>
      </w:r>
      <w:r w:rsidR="000211FE" w:rsidRPr="00551E61">
        <w:rPr>
          <w:b/>
        </w:rPr>
        <w:t>4</w:t>
      </w:r>
      <w:r w:rsidRPr="00551E61">
        <w:rPr>
          <w:b/>
        </w:rPr>
        <w:t>0</w:t>
      </w:r>
      <w:r w:rsidR="002648C9" w:rsidRPr="00551E61">
        <w:rPr>
          <w:b/>
        </w:rPr>
        <w:t>,</w:t>
      </w:r>
      <w:r w:rsidR="002E5CC6" w:rsidRPr="00551E61">
        <w:rPr>
          <w:b/>
        </w:rPr>
        <w:t>1</w:t>
      </w:r>
      <w:r w:rsidRPr="00551E61">
        <w:rPr>
          <w:b/>
        </w:rPr>
        <w:t>9</w:t>
      </w:r>
      <w:r w:rsidR="008260E7" w:rsidRPr="00551E61">
        <w:rPr>
          <w:b/>
        </w:rPr>
        <w:t xml:space="preserve"> mln zł</w:t>
      </w:r>
      <w:r w:rsidR="008260E7" w:rsidRPr="00551E61">
        <w:t xml:space="preserve"> (</w:t>
      </w:r>
      <w:r w:rsidR="00034D1E" w:rsidRPr="00551E61">
        <w:t>9</w:t>
      </w:r>
      <w:r w:rsidR="002648C9" w:rsidRPr="00551E61">
        <w:t>,</w:t>
      </w:r>
      <w:r w:rsidRPr="00551E61">
        <w:t xml:space="preserve">09 </w:t>
      </w:r>
      <w:r w:rsidR="002648C9" w:rsidRPr="00551E61">
        <w:t xml:space="preserve">%) </w:t>
      </w:r>
      <w:r w:rsidR="008260E7" w:rsidRPr="00551E61">
        <w:t>–</w:t>
      </w:r>
      <w:r w:rsidR="00EF4A76" w:rsidRPr="00551E61">
        <w:t xml:space="preserve"> </w:t>
      </w:r>
      <w:r w:rsidR="000211FE" w:rsidRPr="00551E61">
        <w:t>(1</w:t>
      </w:r>
      <w:r w:rsidRPr="00551E61">
        <w:t>4</w:t>
      </w:r>
      <w:r w:rsidR="000211FE" w:rsidRPr="00551E61">
        <w:t>,</w:t>
      </w:r>
      <w:r w:rsidR="002E5CC6" w:rsidRPr="00551E61">
        <w:t>1</w:t>
      </w:r>
      <w:r w:rsidRPr="00551E61">
        <w:t xml:space="preserve">4 </w:t>
      </w:r>
      <w:r w:rsidR="000211FE" w:rsidRPr="00551E61">
        <w:t>% aktywnych form)</w:t>
      </w:r>
      <w:r w:rsidR="002648C9" w:rsidRPr="00551E61">
        <w:t xml:space="preserve">, </w:t>
      </w:r>
    </w:p>
    <w:p w:rsidR="00461033" w:rsidRPr="003936E2" w:rsidRDefault="00461033" w:rsidP="00461033">
      <w:pPr>
        <w:pStyle w:val="Default"/>
        <w:numPr>
          <w:ilvl w:val="0"/>
          <w:numId w:val="15"/>
        </w:numPr>
        <w:spacing w:line="360" w:lineRule="auto"/>
        <w:jc w:val="both"/>
      </w:pPr>
      <w:r w:rsidRPr="003936E2">
        <w:rPr>
          <w:b/>
        </w:rPr>
        <w:t>prac interwencyjnych 22,96 mln zł</w:t>
      </w:r>
      <w:r w:rsidRPr="003936E2">
        <w:t xml:space="preserve"> (5,19 %) – (8,08 % aktywnych form),</w:t>
      </w:r>
    </w:p>
    <w:p w:rsidR="000211FE" w:rsidRPr="003936E2" w:rsidRDefault="00830271" w:rsidP="000211FE">
      <w:pPr>
        <w:pStyle w:val="Default"/>
        <w:numPr>
          <w:ilvl w:val="0"/>
          <w:numId w:val="15"/>
        </w:numPr>
        <w:spacing w:line="360" w:lineRule="auto"/>
        <w:jc w:val="both"/>
      </w:pPr>
      <w:r w:rsidRPr="003936E2">
        <w:rPr>
          <w:b/>
        </w:rPr>
        <w:t>rob</w:t>
      </w:r>
      <w:r w:rsidR="00EF4A76" w:rsidRPr="003936E2">
        <w:rPr>
          <w:b/>
        </w:rPr>
        <w:t>ó</w:t>
      </w:r>
      <w:r w:rsidRPr="003936E2">
        <w:rPr>
          <w:b/>
        </w:rPr>
        <w:t>t publiczn</w:t>
      </w:r>
      <w:r w:rsidR="00EF4A76" w:rsidRPr="003936E2">
        <w:rPr>
          <w:b/>
        </w:rPr>
        <w:t>ych</w:t>
      </w:r>
      <w:r w:rsidRPr="003936E2">
        <w:rPr>
          <w:b/>
        </w:rPr>
        <w:t xml:space="preserve"> </w:t>
      </w:r>
      <w:r w:rsidR="000211FE" w:rsidRPr="003936E2">
        <w:rPr>
          <w:b/>
        </w:rPr>
        <w:t>2</w:t>
      </w:r>
      <w:r w:rsidR="003936E2" w:rsidRPr="003936E2">
        <w:rPr>
          <w:b/>
        </w:rPr>
        <w:t>0</w:t>
      </w:r>
      <w:r w:rsidR="000211FE" w:rsidRPr="003936E2">
        <w:rPr>
          <w:b/>
        </w:rPr>
        <w:t>,</w:t>
      </w:r>
      <w:r w:rsidR="003936E2" w:rsidRPr="003936E2">
        <w:rPr>
          <w:b/>
        </w:rPr>
        <w:t>18</w:t>
      </w:r>
      <w:r w:rsidR="000211FE" w:rsidRPr="003936E2">
        <w:rPr>
          <w:b/>
        </w:rPr>
        <w:t xml:space="preserve"> mln zł</w:t>
      </w:r>
      <w:r w:rsidR="000211FE" w:rsidRPr="003936E2">
        <w:t xml:space="preserve"> (</w:t>
      </w:r>
      <w:r w:rsidR="003936E2" w:rsidRPr="003936E2">
        <w:t xml:space="preserve">4,56 </w:t>
      </w:r>
      <w:r w:rsidR="000211FE" w:rsidRPr="003936E2">
        <w:t>%) – (7,</w:t>
      </w:r>
      <w:r w:rsidR="003936E2" w:rsidRPr="003936E2">
        <w:t xml:space="preserve">1 </w:t>
      </w:r>
      <w:r w:rsidR="000211FE" w:rsidRPr="003936E2">
        <w:t>% aktywnych form),</w:t>
      </w:r>
    </w:p>
    <w:p w:rsidR="008824DF" w:rsidRDefault="00830271" w:rsidP="00160DBC">
      <w:pPr>
        <w:pStyle w:val="Default"/>
        <w:numPr>
          <w:ilvl w:val="0"/>
          <w:numId w:val="15"/>
        </w:numPr>
        <w:spacing w:line="360" w:lineRule="auto"/>
        <w:jc w:val="both"/>
      </w:pPr>
      <w:r w:rsidRPr="00461033">
        <w:rPr>
          <w:b/>
        </w:rPr>
        <w:t>szkole</w:t>
      </w:r>
      <w:r w:rsidR="006D11DA" w:rsidRPr="00461033">
        <w:rPr>
          <w:b/>
        </w:rPr>
        <w:t>ń</w:t>
      </w:r>
      <w:r w:rsidRPr="00461033">
        <w:rPr>
          <w:b/>
        </w:rPr>
        <w:t xml:space="preserve"> </w:t>
      </w:r>
      <w:r w:rsidR="00461033" w:rsidRPr="00461033">
        <w:rPr>
          <w:b/>
        </w:rPr>
        <w:t>3</w:t>
      </w:r>
      <w:r w:rsidR="008260E7" w:rsidRPr="00461033">
        <w:rPr>
          <w:b/>
        </w:rPr>
        <w:t>,</w:t>
      </w:r>
      <w:r w:rsidR="002E5CC6" w:rsidRPr="00461033">
        <w:rPr>
          <w:b/>
        </w:rPr>
        <w:t>3</w:t>
      </w:r>
      <w:r w:rsidR="00461033" w:rsidRPr="00461033">
        <w:rPr>
          <w:b/>
        </w:rPr>
        <w:t>4</w:t>
      </w:r>
      <w:r w:rsidR="008260E7" w:rsidRPr="00461033">
        <w:rPr>
          <w:b/>
        </w:rPr>
        <w:t xml:space="preserve"> mln z</w:t>
      </w:r>
      <w:r w:rsidRPr="00461033">
        <w:rPr>
          <w:b/>
        </w:rPr>
        <w:t xml:space="preserve">ł </w:t>
      </w:r>
      <w:r w:rsidR="008260E7" w:rsidRPr="00461033">
        <w:t>(</w:t>
      </w:r>
      <w:r w:rsidR="002E5CC6" w:rsidRPr="00461033">
        <w:t>0</w:t>
      </w:r>
      <w:r w:rsidR="003D6041" w:rsidRPr="00461033">
        <w:t>,</w:t>
      </w:r>
      <w:r w:rsidR="00461033" w:rsidRPr="00461033">
        <w:t xml:space="preserve">76 </w:t>
      </w:r>
      <w:r w:rsidR="003D6041" w:rsidRPr="00461033">
        <w:t xml:space="preserve">%) </w:t>
      </w:r>
      <w:r w:rsidR="008260E7" w:rsidRPr="00461033">
        <w:t xml:space="preserve">– </w:t>
      </w:r>
      <w:r w:rsidR="000211FE" w:rsidRPr="00461033">
        <w:t xml:space="preserve"> (1,</w:t>
      </w:r>
      <w:r w:rsidR="002E5CC6" w:rsidRPr="00461033">
        <w:t>1</w:t>
      </w:r>
      <w:r w:rsidR="00461033" w:rsidRPr="00461033">
        <w:t xml:space="preserve">7 </w:t>
      </w:r>
      <w:r w:rsidR="000211FE" w:rsidRPr="00461033">
        <w:t>% aktywnych form)</w:t>
      </w:r>
      <w:r w:rsidR="003D6041" w:rsidRPr="00461033">
        <w:t>,</w:t>
      </w:r>
    </w:p>
    <w:p w:rsidR="008824DF" w:rsidRDefault="008824DF">
      <w:pPr>
        <w:rPr>
          <w:rFonts w:ascii="Times New Roman" w:hAnsi="Times New Roman" w:cs="Times New Roman"/>
          <w:color w:val="000000"/>
          <w:sz w:val="24"/>
          <w:szCs w:val="24"/>
        </w:rPr>
      </w:pPr>
      <w:r>
        <w:br w:type="page"/>
      </w:r>
    </w:p>
    <w:p w:rsidR="008260E7" w:rsidRPr="00461033" w:rsidRDefault="00830271" w:rsidP="00D226A3">
      <w:pPr>
        <w:pStyle w:val="Default"/>
        <w:numPr>
          <w:ilvl w:val="0"/>
          <w:numId w:val="15"/>
        </w:numPr>
        <w:spacing w:line="360" w:lineRule="auto"/>
        <w:jc w:val="both"/>
      </w:pPr>
      <w:r w:rsidRPr="00461033">
        <w:rPr>
          <w:b/>
        </w:rPr>
        <w:lastRenderedPageBreak/>
        <w:t>stypendi</w:t>
      </w:r>
      <w:r w:rsidR="00754F8F" w:rsidRPr="00461033">
        <w:rPr>
          <w:b/>
        </w:rPr>
        <w:t>ów</w:t>
      </w:r>
      <w:r w:rsidRPr="00461033">
        <w:rPr>
          <w:b/>
        </w:rPr>
        <w:t xml:space="preserve"> i skład</w:t>
      </w:r>
      <w:r w:rsidR="00754F8F" w:rsidRPr="00461033">
        <w:rPr>
          <w:b/>
        </w:rPr>
        <w:t>ek</w:t>
      </w:r>
      <w:r w:rsidRPr="00461033">
        <w:rPr>
          <w:b/>
        </w:rPr>
        <w:t xml:space="preserve"> na ubezpieczenia społeczne </w:t>
      </w:r>
      <w:r w:rsidR="002E5CC6" w:rsidRPr="00461033">
        <w:rPr>
          <w:b/>
        </w:rPr>
        <w:t>2</w:t>
      </w:r>
      <w:r w:rsidR="002648C9" w:rsidRPr="00461033">
        <w:rPr>
          <w:b/>
        </w:rPr>
        <w:t>,</w:t>
      </w:r>
      <w:r w:rsidR="00461033" w:rsidRPr="00461033">
        <w:rPr>
          <w:b/>
        </w:rPr>
        <w:t>23</w:t>
      </w:r>
      <w:r w:rsidR="002648C9" w:rsidRPr="00461033">
        <w:rPr>
          <w:b/>
        </w:rPr>
        <w:t xml:space="preserve"> mln</w:t>
      </w:r>
      <w:r w:rsidR="008260E7" w:rsidRPr="00461033">
        <w:rPr>
          <w:b/>
        </w:rPr>
        <w:t xml:space="preserve"> z</w:t>
      </w:r>
      <w:r w:rsidRPr="00461033">
        <w:rPr>
          <w:b/>
        </w:rPr>
        <w:t xml:space="preserve">ł </w:t>
      </w:r>
      <w:r w:rsidR="008260E7" w:rsidRPr="00461033">
        <w:t>(</w:t>
      </w:r>
      <w:r w:rsidR="00754F8F" w:rsidRPr="00461033">
        <w:t>0</w:t>
      </w:r>
      <w:r w:rsidR="002648C9" w:rsidRPr="00461033">
        <w:t>,</w:t>
      </w:r>
      <w:r w:rsidR="00754F8F" w:rsidRPr="00461033">
        <w:t>5</w:t>
      </w:r>
      <w:r w:rsidR="00461033" w:rsidRPr="00461033">
        <w:t xml:space="preserve">0 </w:t>
      </w:r>
      <w:r w:rsidR="002648C9" w:rsidRPr="00461033">
        <w:t>%)</w:t>
      </w:r>
      <w:r w:rsidRPr="00461033">
        <w:t xml:space="preserve"> – (</w:t>
      </w:r>
      <w:r w:rsidR="002E5CC6" w:rsidRPr="00461033">
        <w:t>0</w:t>
      </w:r>
      <w:r w:rsidRPr="00461033">
        <w:t>,</w:t>
      </w:r>
      <w:r w:rsidR="002E5CC6" w:rsidRPr="00461033">
        <w:t>78</w:t>
      </w:r>
      <w:r w:rsidR="00461033" w:rsidRPr="00461033">
        <w:t xml:space="preserve"> </w:t>
      </w:r>
      <w:r w:rsidRPr="00461033">
        <w:t>% aktywnych form)</w:t>
      </w:r>
      <w:r w:rsidR="00EB2644" w:rsidRPr="00461033">
        <w:t>.</w:t>
      </w:r>
    </w:p>
    <w:p w:rsidR="003D1441" w:rsidRDefault="00830271" w:rsidP="00830271">
      <w:pPr>
        <w:pStyle w:val="Default"/>
        <w:numPr>
          <w:ilvl w:val="0"/>
          <w:numId w:val="10"/>
        </w:numPr>
        <w:spacing w:line="360" w:lineRule="auto"/>
        <w:jc w:val="both"/>
      </w:pPr>
      <w:r w:rsidRPr="003D1441">
        <w:t xml:space="preserve">Staże były </w:t>
      </w:r>
      <w:r w:rsidR="003D1441" w:rsidRPr="003D1441">
        <w:t xml:space="preserve">często </w:t>
      </w:r>
      <w:r w:rsidRPr="003D1441">
        <w:t>realizowaną formą aktywizacji</w:t>
      </w:r>
      <w:r w:rsidR="003D1441" w:rsidRPr="003D1441">
        <w:t>. PUP chętnie stosują tą formę aktywizacji, preferowaną dla osób będących w szczególnej sytuacji na rynku pracy</w:t>
      </w:r>
      <w:r w:rsidR="003D1441">
        <w:t> </w:t>
      </w:r>
      <w:r w:rsidR="003D1441" w:rsidRPr="003D1441">
        <w:rPr>
          <w:rStyle w:val="Odwoanieprzypisudolnego"/>
        </w:rPr>
        <w:footnoteReference w:id="19"/>
      </w:r>
      <w:r w:rsidR="003D1441" w:rsidRPr="003D1441">
        <w:t>.</w:t>
      </w:r>
    </w:p>
    <w:p w:rsidR="00650607" w:rsidRPr="008824DF" w:rsidRDefault="00650607" w:rsidP="008824DF">
      <w:pPr>
        <w:pStyle w:val="Default"/>
        <w:jc w:val="both"/>
        <w:rPr>
          <w:sz w:val="16"/>
          <w:szCs w:val="16"/>
        </w:rPr>
      </w:pPr>
    </w:p>
    <w:p w:rsidR="00830271" w:rsidRPr="00365A5E" w:rsidRDefault="003D1441" w:rsidP="00830271">
      <w:pPr>
        <w:pStyle w:val="Default"/>
        <w:numPr>
          <w:ilvl w:val="0"/>
          <w:numId w:val="10"/>
        </w:numPr>
        <w:spacing w:line="360" w:lineRule="auto"/>
        <w:jc w:val="both"/>
      </w:pPr>
      <w:r w:rsidRPr="00365A5E">
        <w:t>N</w:t>
      </w:r>
      <w:r w:rsidR="008515B9" w:rsidRPr="00365A5E">
        <w:t>ajwięcej osób bezrobotnych skorzystało</w:t>
      </w:r>
      <w:r w:rsidR="00AE5712" w:rsidRPr="00365A5E">
        <w:t xml:space="preserve"> z </w:t>
      </w:r>
      <w:r w:rsidR="008515B9" w:rsidRPr="00365A5E">
        <w:t>następujących form aktywizacji zawodowej:</w:t>
      </w:r>
    </w:p>
    <w:p w:rsidR="00830271" w:rsidRPr="00365A5E" w:rsidRDefault="008515B9" w:rsidP="003E3617">
      <w:pPr>
        <w:pStyle w:val="Default"/>
        <w:numPr>
          <w:ilvl w:val="0"/>
          <w:numId w:val="27"/>
        </w:numPr>
        <w:spacing w:line="360" w:lineRule="auto"/>
        <w:jc w:val="both"/>
      </w:pPr>
      <w:r w:rsidRPr="00365A5E">
        <w:t>staż</w:t>
      </w:r>
      <w:r w:rsidR="00754F8F" w:rsidRPr="00365A5E">
        <w:t>y</w:t>
      </w:r>
      <w:r w:rsidRPr="00365A5E">
        <w:t xml:space="preserve"> (</w:t>
      </w:r>
      <w:r w:rsidR="003D1441" w:rsidRPr="00365A5E">
        <w:t>8</w:t>
      </w:r>
      <w:r w:rsidRPr="00365A5E">
        <w:t> </w:t>
      </w:r>
      <w:r w:rsidR="003D1441" w:rsidRPr="00365A5E">
        <w:t>34</w:t>
      </w:r>
      <w:r w:rsidR="006F5925" w:rsidRPr="00365A5E">
        <w:t>8</w:t>
      </w:r>
      <w:r w:rsidRPr="00365A5E">
        <w:t>),</w:t>
      </w:r>
    </w:p>
    <w:p w:rsidR="00365A5E" w:rsidRPr="00365A5E" w:rsidRDefault="00365A5E" w:rsidP="00365A5E">
      <w:pPr>
        <w:pStyle w:val="Default"/>
        <w:numPr>
          <w:ilvl w:val="0"/>
          <w:numId w:val="27"/>
        </w:numPr>
        <w:spacing w:line="360" w:lineRule="auto"/>
        <w:jc w:val="both"/>
      </w:pPr>
      <w:r w:rsidRPr="00365A5E">
        <w:t>prac interwencyjnych (3 611),</w:t>
      </w:r>
    </w:p>
    <w:p w:rsidR="00830271" w:rsidRPr="00365A5E" w:rsidRDefault="00830271" w:rsidP="003E3617">
      <w:pPr>
        <w:pStyle w:val="Default"/>
        <w:numPr>
          <w:ilvl w:val="0"/>
          <w:numId w:val="27"/>
        </w:numPr>
        <w:spacing w:line="360" w:lineRule="auto"/>
        <w:jc w:val="both"/>
      </w:pPr>
      <w:r w:rsidRPr="00365A5E">
        <w:t>refundacj</w:t>
      </w:r>
      <w:r w:rsidR="00754F8F" w:rsidRPr="00365A5E">
        <w:t>i</w:t>
      </w:r>
      <w:r w:rsidRPr="00365A5E">
        <w:t xml:space="preserve"> kosztów utworzenia stanowiska pracy (3 </w:t>
      </w:r>
      <w:r w:rsidR="00365A5E" w:rsidRPr="00365A5E">
        <w:t>02</w:t>
      </w:r>
      <w:r w:rsidR="006F5925" w:rsidRPr="00365A5E">
        <w:t>6</w:t>
      </w:r>
      <w:r w:rsidRPr="00365A5E">
        <w:t>)</w:t>
      </w:r>
      <w:r w:rsidR="003E3617" w:rsidRPr="00365A5E">
        <w:t>,</w:t>
      </w:r>
    </w:p>
    <w:p w:rsidR="003E3617" w:rsidRPr="00365A5E" w:rsidRDefault="00754F8F" w:rsidP="003E3617">
      <w:pPr>
        <w:pStyle w:val="Default"/>
        <w:numPr>
          <w:ilvl w:val="0"/>
          <w:numId w:val="27"/>
        </w:numPr>
        <w:spacing w:line="360" w:lineRule="auto"/>
        <w:jc w:val="both"/>
      </w:pPr>
      <w:r w:rsidRPr="00365A5E">
        <w:t>utworzenia własnej działalności g</w:t>
      </w:r>
      <w:r w:rsidR="003E3617" w:rsidRPr="00365A5E">
        <w:t>ospodarcz</w:t>
      </w:r>
      <w:r w:rsidRPr="00365A5E">
        <w:t>ej</w:t>
      </w:r>
      <w:r w:rsidR="003E3617" w:rsidRPr="00365A5E">
        <w:t xml:space="preserve"> (2 </w:t>
      </w:r>
      <w:r w:rsidR="00365A5E" w:rsidRPr="00365A5E">
        <w:t>504</w:t>
      </w:r>
      <w:r w:rsidR="003E3617" w:rsidRPr="00365A5E">
        <w:t>),</w:t>
      </w:r>
    </w:p>
    <w:p w:rsidR="00201D31" w:rsidRPr="00365A5E" w:rsidRDefault="00201D31" w:rsidP="003E3617">
      <w:pPr>
        <w:pStyle w:val="Default"/>
        <w:numPr>
          <w:ilvl w:val="0"/>
          <w:numId w:val="27"/>
        </w:numPr>
        <w:spacing w:line="360" w:lineRule="auto"/>
        <w:jc w:val="both"/>
      </w:pPr>
      <w:r w:rsidRPr="00365A5E">
        <w:t>zatrudnienia bezrobotnych przy realizacji robót publicznych (</w:t>
      </w:r>
      <w:r w:rsidR="00365A5E" w:rsidRPr="00365A5E">
        <w:t>1</w:t>
      </w:r>
      <w:r w:rsidRPr="00365A5E">
        <w:t> </w:t>
      </w:r>
      <w:r w:rsidR="00365A5E" w:rsidRPr="00365A5E">
        <w:t>950</w:t>
      </w:r>
      <w:r w:rsidRPr="00365A5E">
        <w:t>)</w:t>
      </w:r>
      <w:r w:rsidR="00365A5E" w:rsidRPr="00365A5E">
        <w:t>,</w:t>
      </w:r>
    </w:p>
    <w:p w:rsidR="00365A5E" w:rsidRPr="00365A5E" w:rsidRDefault="00365A5E" w:rsidP="003E3617">
      <w:pPr>
        <w:pStyle w:val="Default"/>
        <w:numPr>
          <w:ilvl w:val="0"/>
          <w:numId w:val="27"/>
        </w:numPr>
        <w:spacing w:line="360" w:lineRule="auto"/>
        <w:jc w:val="both"/>
      </w:pPr>
      <w:r w:rsidRPr="00365A5E">
        <w:t>prac społecznie użyteczn</w:t>
      </w:r>
      <w:r>
        <w:t>ych</w:t>
      </w:r>
      <w:r w:rsidRPr="00365A5E">
        <w:t xml:space="preserve"> (820). </w:t>
      </w:r>
    </w:p>
    <w:p w:rsidR="005749D6" w:rsidRDefault="005749D6" w:rsidP="001371FE">
      <w:pPr>
        <w:pStyle w:val="Default"/>
        <w:jc w:val="both"/>
        <w:rPr>
          <w:sz w:val="16"/>
          <w:szCs w:val="16"/>
          <w:highlight w:val="yellow"/>
        </w:rPr>
      </w:pPr>
    </w:p>
    <w:p w:rsidR="001371FE" w:rsidRPr="00C75C71" w:rsidRDefault="001371FE" w:rsidP="001371FE">
      <w:pPr>
        <w:pStyle w:val="Default"/>
        <w:jc w:val="both"/>
        <w:rPr>
          <w:sz w:val="16"/>
          <w:szCs w:val="16"/>
          <w:highlight w:val="yellow"/>
        </w:rPr>
      </w:pPr>
    </w:p>
    <w:p w:rsidR="0096006B" w:rsidRPr="00DA57F5" w:rsidRDefault="0096006B" w:rsidP="00DA57F5">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1" w:name="_Toc938732"/>
      <w:r w:rsidRPr="00DA57F5">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Zwolnienia</w:t>
      </w:r>
      <w:r w:rsidR="00AE5712" w:rsidRPr="00DA57F5">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z </w:t>
      </w:r>
      <w:r w:rsidRPr="00DA57F5">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przyczyn niedotyczących pracowników</w:t>
      </w:r>
      <w:bookmarkEnd w:id="21"/>
    </w:p>
    <w:p w:rsidR="0096006B" w:rsidRDefault="0096006B" w:rsidP="009A1F42">
      <w:pPr>
        <w:pStyle w:val="Default"/>
        <w:jc w:val="both"/>
        <w:rPr>
          <w:sz w:val="16"/>
          <w:szCs w:val="16"/>
          <w:highlight w:val="yellow"/>
        </w:rPr>
      </w:pPr>
    </w:p>
    <w:p w:rsidR="001371FE" w:rsidRPr="001371FE" w:rsidRDefault="001371FE" w:rsidP="009A1F42">
      <w:pPr>
        <w:pStyle w:val="Default"/>
        <w:jc w:val="both"/>
        <w:rPr>
          <w:sz w:val="16"/>
          <w:szCs w:val="16"/>
          <w:highlight w:val="yellow"/>
        </w:rPr>
      </w:pPr>
    </w:p>
    <w:p w:rsidR="00BB12AB" w:rsidRPr="00C75C71" w:rsidRDefault="00E64A2D" w:rsidP="00E64A2D">
      <w:pPr>
        <w:pStyle w:val="Default"/>
        <w:jc w:val="center"/>
        <w:rPr>
          <w:bCs/>
          <w:sz w:val="16"/>
          <w:szCs w:val="16"/>
          <w:highlight w:val="yellow"/>
        </w:rPr>
      </w:pPr>
      <w:r w:rsidRPr="00E64A2D">
        <w:rPr>
          <w:noProof/>
          <w:lang w:eastAsia="pl-PL"/>
        </w:rPr>
        <w:drawing>
          <wp:inline distT="0" distB="0" distL="0" distR="0">
            <wp:extent cx="5112385" cy="3735070"/>
            <wp:effectExtent l="0" t="0" r="0" b="0"/>
            <wp:docPr id="704" name="Obraz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112385" cy="3735070"/>
                    </a:xfrm>
                    <a:prstGeom prst="rect">
                      <a:avLst/>
                    </a:prstGeom>
                    <a:noFill/>
                    <a:ln>
                      <a:noFill/>
                    </a:ln>
                  </pic:spPr>
                </pic:pic>
              </a:graphicData>
            </a:graphic>
          </wp:inline>
        </w:drawing>
      </w:r>
    </w:p>
    <w:p w:rsidR="00F43419" w:rsidRPr="00C75C71" w:rsidRDefault="00F43419">
      <w:pPr>
        <w:rPr>
          <w:rFonts w:ascii="Times New Roman" w:hAnsi="Times New Roman" w:cs="Times New Roman"/>
          <w:bCs/>
          <w:color w:val="000000"/>
          <w:szCs w:val="24"/>
          <w:highlight w:val="yellow"/>
        </w:rPr>
      </w:pPr>
      <w:r w:rsidRPr="00C75C71">
        <w:rPr>
          <w:rFonts w:ascii="Times New Roman" w:hAnsi="Times New Roman" w:cs="Times New Roman"/>
          <w:bCs/>
          <w:color w:val="000000"/>
          <w:szCs w:val="24"/>
          <w:highlight w:val="yellow"/>
        </w:rPr>
        <w:br w:type="page"/>
      </w:r>
    </w:p>
    <w:p w:rsidR="00BB12AB" w:rsidRPr="00C75C71" w:rsidRDefault="00650607" w:rsidP="00650607">
      <w:pPr>
        <w:jc w:val="center"/>
        <w:rPr>
          <w:rFonts w:ascii="Times New Roman" w:hAnsi="Times New Roman" w:cs="Times New Roman"/>
          <w:bCs/>
          <w:color w:val="000000"/>
          <w:szCs w:val="24"/>
          <w:highlight w:val="yellow"/>
        </w:rPr>
      </w:pPr>
      <w:r w:rsidRPr="00650607">
        <w:rPr>
          <w:noProof/>
          <w:lang w:eastAsia="pl-PL"/>
        </w:rPr>
        <w:lastRenderedPageBreak/>
        <w:drawing>
          <wp:inline distT="0" distB="0" distL="0" distR="0">
            <wp:extent cx="5112385" cy="783590"/>
            <wp:effectExtent l="0" t="0" r="0" b="0"/>
            <wp:docPr id="705" name="Obraz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112385" cy="783590"/>
                    </a:xfrm>
                    <a:prstGeom prst="rect">
                      <a:avLst/>
                    </a:prstGeom>
                    <a:noFill/>
                    <a:ln>
                      <a:noFill/>
                    </a:ln>
                  </pic:spPr>
                </pic:pic>
              </a:graphicData>
            </a:graphic>
          </wp:inline>
        </w:drawing>
      </w:r>
      <w:r w:rsidRPr="00650607">
        <w:rPr>
          <w:noProof/>
          <w:lang w:eastAsia="pl-PL"/>
        </w:rPr>
        <w:drawing>
          <wp:inline distT="0" distB="0" distL="0" distR="0">
            <wp:extent cx="5112385" cy="2683510"/>
            <wp:effectExtent l="0" t="0" r="0" b="2540"/>
            <wp:docPr id="708" name="Obraz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112385" cy="2683510"/>
                    </a:xfrm>
                    <a:prstGeom prst="rect">
                      <a:avLst/>
                    </a:prstGeom>
                    <a:noFill/>
                    <a:ln>
                      <a:noFill/>
                    </a:ln>
                  </pic:spPr>
                </pic:pic>
              </a:graphicData>
            </a:graphic>
          </wp:inline>
        </w:drawing>
      </w:r>
    </w:p>
    <w:p w:rsidR="00650607" w:rsidRDefault="00365A5E" w:rsidP="00650607">
      <w:pPr>
        <w:spacing w:after="0" w:line="240" w:lineRule="auto"/>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80DF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10</w:t>
      </w:r>
      <w:r w:rsidRPr="00680DF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5060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50607" w:rsidRPr="0065060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Osoby zgłoszone </w:t>
      </w:r>
      <w:r w:rsidR="0065060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w:t>
      </w:r>
      <w:r w:rsidR="00650607" w:rsidRPr="0065060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zwolnione z przyczyn niedotyczących pracowników</w:t>
      </w:r>
    </w:p>
    <w:p w:rsidR="00650607" w:rsidRDefault="00650607" w:rsidP="00650607">
      <w:pPr>
        <w:spacing w:after="0" w:line="240" w:lineRule="auto"/>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65060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 województwie podkarpackim w latach 2010 – 201</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8</w:t>
      </w:r>
    </w:p>
    <w:p w:rsidR="005A64A3" w:rsidRPr="00C75C71" w:rsidRDefault="005921C6" w:rsidP="00173695">
      <w:pPr>
        <w:pStyle w:val="Default"/>
        <w:jc w:val="center"/>
        <w:rPr>
          <w:highlight w:val="yellow"/>
        </w:rPr>
      </w:pPr>
      <w:r>
        <w:rPr>
          <w:noProof/>
          <w:lang w:eastAsia="pl-PL"/>
        </w:rPr>
        <w:drawing>
          <wp:anchor distT="0" distB="0" distL="114300" distR="114300" simplePos="0" relativeHeight="251806720" behindDoc="1" locked="0" layoutInCell="1" allowOverlap="1" wp14:anchorId="1AC03B80" wp14:editId="5BB75EE9">
            <wp:simplePos x="0" y="0"/>
            <wp:positionH relativeFrom="column">
              <wp:posOffset>1905</wp:posOffset>
            </wp:positionH>
            <wp:positionV relativeFrom="paragraph">
              <wp:posOffset>2540</wp:posOffset>
            </wp:positionV>
            <wp:extent cx="5723890" cy="2487295"/>
            <wp:effectExtent l="0" t="0" r="0" b="0"/>
            <wp:wrapTight wrapText="bothSides">
              <wp:wrapPolygon edited="0">
                <wp:start x="4170" y="662"/>
                <wp:lineTo x="2516" y="1323"/>
                <wp:lineTo x="2372" y="1489"/>
                <wp:lineTo x="2588" y="10753"/>
                <wp:lineTo x="2876" y="11580"/>
                <wp:lineTo x="2732" y="12077"/>
                <wp:lineTo x="2804" y="14393"/>
                <wp:lineTo x="3882" y="16874"/>
                <wp:lineTo x="3954" y="17205"/>
                <wp:lineTo x="16606" y="20514"/>
                <wp:lineTo x="16966" y="20845"/>
                <wp:lineTo x="17972" y="20845"/>
                <wp:lineTo x="18044" y="20514"/>
                <wp:lineTo x="18619" y="19521"/>
                <wp:lineTo x="18978" y="17205"/>
                <wp:lineTo x="19050" y="11580"/>
                <wp:lineTo x="19410" y="1489"/>
                <wp:lineTo x="18188" y="1158"/>
                <wp:lineTo x="7333" y="662"/>
                <wp:lineTo x="4170" y="662"/>
              </wp:wrapPolygon>
            </wp:wrapTight>
            <wp:docPr id="709" name="Wykres 709"/>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14:sizeRelH relativeFrom="page">
              <wp14:pctWidth>0</wp14:pctWidth>
            </wp14:sizeRelH>
            <wp14:sizeRelV relativeFrom="page">
              <wp14:pctHeight>0</wp14:pctHeight>
            </wp14:sizeRelV>
          </wp:anchor>
        </w:drawing>
      </w:r>
    </w:p>
    <w:p w:rsidR="005921C6" w:rsidRDefault="005921C6" w:rsidP="005A64A3">
      <w:pPr>
        <w:pStyle w:val="Default"/>
        <w:pBdr>
          <w:bottom w:val="single" w:sz="4" w:space="1" w:color="auto"/>
        </w:pBdr>
        <w:jc w:val="both"/>
      </w:pPr>
    </w:p>
    <w:p w:rsidR="005921C6" w:rsidRDefault="005921C6" w:rsidP="005A64A3">
      <w:pPr>
        <w:pStyle w:val="Default"/>
        <w:pBdr>
          <w:bottom w:val="single" w:sz="4" w:space="1" w:color="auto"/>
        </w:pBdr>
        <w:jc w:val="both"/>
      </w:pPr>
    </w:p>
    <w:p w:rsidR="005921C6" w:rsidRDefault="005921C6" w:rsidP="005A64A3">
      <w:pPr>
        <w:pStyle w:val="Default"/>
        <w:pBdr>
          <w:bottom w:val="single" w:sz="4" w:space="1" w:color="auto"/>
        </w:pBdr>
        <w:jc w:val="both"/>
      </w:pPr>
    </w:p>
    <w:p w:rsidR="005921C6" w:rsidRDefault="005921C6" w:rsidP="005A64A3">
      <w:pPr>
        <w:pStyle w:val="Default"/>
        <w:pBdr>
          <w:bottom w:val="single" w:sz="4" w:space="1" w:color="auto"/>
        </w:pBdr>
        <w:jc w:val="both"/>
      </w:pPr>
    </w:p>
    <w:p w:rsidR="005921C6" w:rsidRDefault="005921C6" w:rsidP="005A64A3">
      <w:pPr>
        <w:pStyle w:val="Default"/>
        <w:pBdr>
          <w:bottom w:val="single" w:sz="4" w:space="1" w:color="auto"/>
        </w:pBdr>
        <w:jc w:val="both"/>
      </w:pPr>
    </w:p>
    <w:p w:rsidR="005921C6" w:rsidRDefault="005921C6" w:rsidP="005A64A3">
      <w:pPr>
        <w:pStyle w:val="Default"/>
        <w:pBdr>
          <w:bottom w:val="single" w:sz="4" w:space="1" w:color="auto"/>
        </w:pBdr>
        <w:jc w:val="both"/>
      </w:pPr>
    </w:p>
    <w:p w:rsidR="005921C6" w:rsidRDefault="005921C6" w:rsidP="005A64A3">
      <w:pPr>
        <w:pStyle w:val="Default"/>
        <w:pBdr>
          <w:bottom w:val="single" w:sz="4" w:space="1" w:color="auto"/>
        </w:pBdr>
        <w:jc w:val="both"/>
      </w:pPr>
    </w:p>
    <w:p w:rsidR="005921C6" w:rsidRDefault="005921C6" w:rsidP="005A64A3">
      <w:pPr>
        <w:pStyle w:val="Default"/>
        <w:pBdr>
          <w:bottom w:val="single" w:sz="4" w:space="1" w:color="auto"/>
        </w:pBdr>
        <w:jc w:val="both"/>
      </w:pPr>
    </w:p>
    <w:p w:rsidR="005921C6" w:rsidRDefault="005921C6" w:rsidP="005A64A3">
      <w:pPr>
        <w:pStyle w:val="Default"/>
        <w:pBdr>
          <w:bottom w:val="single" w:sz="4" w:space="1" w:color="auto"/>
        </w:pBdr>
        <w:jc w:val="both"/>
      </w:pPr>
    </w:p>
    <w:p w:rsidR="005921C6" w:rsidRDefault="005921C6" w:rsidP="005A64A3">
      <w:pPr>
        <w:pStyle w:val="Default"/>
        <w:pBdr>
          <w:bottom w:val="single" w:sz="4" w:space="1" w:color="auto"/>
        </w:pBdr>
        <w:jc w:val="both"/>
      </w:pPr>
    </w:p>
    <w:p w:rsidR="005921C6" w:rsidRDefault="005921C6" w:rsidP="005A64A3">
      <w:pPr>
        <w:pStyle w:val="Default"/>
        <w:pBdr>
          <w:bottom w:val="single" w:sz="4" w:space="1" w:color="auto"/>
        </w:pBdr>
        <w:jc w:val="both"/>
      </w:pPr>
    </w:p>
    <w:p w:rsidR="001371FE" w:rsidRDefault="001371FE" w:rsidP="005A64A3">
      <w:pPr>
        <w:pStyle w:val="Default"/>
        <w:pBdr>
          <w:bottom w:val="single" w:sz="4" w:space="1" w:color="auto"/>
        </w:pBdr>
        <w:jc w:val="both"/>
      </w:pPr>
    </w:p>
    <w:p w:rsidR="008121C5" w:rsidRPr="00173695" w:rsidRDefault="00492E52" w:rsidP="005A64A3">
      <w:pPr>
        <w:pStyle w:val="Default"/>
        <w:pBdr>
          <w:bottom w:val="single" w:sz="4" w:space="1" w:color="auto"/>
        </w:pBdr>
        <w:jc w:val="both"/>
      </w:pPr>
      <w:r w:rsidRPr="00173695">
        <w:t>Wnioski</w:t>
      </w:r>
      <w:r w:rsidR="00F261F7" w:rsidRPr="00173695">
        <w:t>:</w:t>
      </w:r>
    </w:p>
    <w:p w:rsidR="008121C5" w:rsidRPr="00173695" w:rsidRDefault="008121C5" w:rsidP="005A64A3">
      <w:pPr>
        <w:pStyle w:val="Tekstpodstawowywcity"/>
        <w:pBdr>
          <w:bottom w:val="single" w:sz="4" w:space="1" w:color="auto"/>
        </w:pBdr>
        <w:spacing w:after="0" w:line="360" w:lineRule="auto"/>
        <w:ind w:left="0"/>
        <w:jc w:val="both"/>
        <w:rPr>
          <w:rFonts w:ascii="Times New Roman" w:hAnsi="Times New Roman" w:cs="Times New Roman"/>
          <w:sz w:val="16"/>
          <w:szCs w:val="16"/>
        </w:rPr>
      </w:pPr>
      <w:r w:rsidRPr="00173695">
        <w:rPr>
          <w:rFonts w:ascii="Times New Roman" w:hAnsi="Times New Roman" w:cs="Times New Roman"/>
          <w:sz w:val="16"/>
          <w:szCs w:val="16"/>
        </w:rPr>
        <w:t>(na podstawie danych</w:t>
      </w:r>
      <w:r w:rsidR="00AE5712" w:rsidRPr="00173695">
        <w:rPr>
          <w:rFonts w:ascii="Times New Roman" w:hAnsi="Times New Roman" w:cs="Times New Roman"/>
          <w:sz w:val="16"/>
          <w:szCs w:val="16"/>
        </w:rPr>
        <w:t xml:space="preserve"> z </w:t>
      </w:r>
      <w:r w:rsidR="003E3617" w:rsidRPr="00173695">
        <w:rPr>
          <w:rFonts w:ascii="Times New Roman" w:hAnsi="Times New Roman" w:cs="Times New Roman"/>
          <w:sz w:val="16"/>
          <w:szCs w:val="16"/>
        </w:rPr>
        <w:t>t</w:t>
      </w:r>
      <w:r w:rsidRPr="00173695">
        <w:rPr>
          <w:rFonts w:ascii="Times New Roman" w:hAnsi="Times New Roman" w:cs="Times New Roman"/>
          <w:sz w:val="16"/>
          <w:szCs w:val="16"/>
        </w:rPr>
        <w:t xml:space="preserve">abeli </w:t>
      </w:r>
      <w:r w:rsidR="003E3617" w:rsidRPr="00173695">
        <w:rPr>
          <w:rFonts w:ascii="Times New Roman" w:hAnsi="Times New Roman" w:cs="Times New Roman"/>
          <w:sz w:val="16"/>
          <w:szCs w:val="16"/>
        </w:rPr>
        <w:t>XXX</w:t>
      </w:r>
      <w:r w:rsidR="00AE5712" w:rsidRPr="00173695">
        <w:rPr>
          <w:rFonts w:ascii="Times New Roman" w:hAnsi="Times New Roman" w:cs="Times New Roman"/>
          <w:sz w:val="16"/>
          <w:szCs w:val="16"/>
        </w:rPr>
        <w:t xml:space="preserve"> i </w:t>
      </w:r>
      <w:r w:rsidR="003E3617" w:rsidRPr="00173695">
        <w:rPr>
          <w:rFonts w:ascii="Times New Roman" w:hAnsi="Times New Roman" w:cs="Times New Roman"/>
          <w:sz w:val="16"/>
          <w:szCs w:val="16"/>
        </w:rPr>
        <w:t>w</w:t>
      </w:r>
      <w:r w:rsidR="00F261F7" w:rsidRPr="00173695">
        <w:rPr>
          <w:rFonts w:ascii="Times New Roman" w:hAnsi="Times New Roman" w:cs="Times New Roman"/>
          <w:sz w:val="16"/>
          <w:szCs w:val="16"/>
        </w:rPr>
        <w:t>ykresu 1</w:t>
      </w:r>
      <w:r w:rsidR="00173695" w:rsidRPr="00173695">
        <w:rPr>
          <w:rFonts w:ascii="Times New Roman" w:hAnsi="Times New Roman" w:cs="Times New Roman"/>
          <w:sz w:val="16"/>
          <w:szCs w:val="16"/>
        </w:rPr>
        <w:t>0</w:t>
      </w:r>
      <w:r w:rsidRPr="00173695">
        <w:rPr>
          <w:rFonts w:ascii="Times New Roman" w:hAnsi="Times New Roman" w:cs="Times New Roman"/>
          <w:sz w:val="16"/>
          <w:szCs w:val="16"/>
        </w:rPr>
        <w:t>)</w:t>
      </w:r>
    </w:p>
    <w:p w:rsidR="00201D31" w:rsidRPr="00C75C71" w:rsidRDefault="00201D31" w:rsidP="008121C5">
      <w:pPr>
        <w:pStyle w:val="Tekstpodstawowywcity"/>
        <w:spacing w:after="0" w:line="360" w:lineRule="auto"/>
        <w:ind w:left="0"/>
        <w:jc w:val="both"/>
        <w:rPr>
          <w:rFonts w:ascii="Times New Roman" w:hAnsi="Times New Roman" w:cs="Times New Roman"/>
          <w:sz w:val="16"/>
          <w:szCs w:val="16"/>
          <w:highlight w:val="yellow"/>
        </w:rPr>
      </w:pPr>
      <w:bookmarkStart w:id="22" w:name="_GoBack"/>
      <w:bookmarkEnd w:id="22"/>
    </w:p>
    <w:p w:rsidR="008121C5" w:rsidRPr="00C84028" w:rsidRDefault="0096006B" w:rsidP="00160DBC">
      <w:pPr>
        <w:pStyle w:val="Bezodstpw"/>
        <w:numPr>
          <w:ilvl w:val="0"/>
          <w:numId w:val="10"/>
        </w:numPr>
        <w:spacing w:line="360" w:lineRule="auto"/>
        <w:jc w:val="both"/>
        <w:rPr>
          <w:rFonts w:ascii="Times New Roman" w:hAnsi="Times New Roman" w:cs="Times New Roman"/>
          <w:sz w:val="24"/>
          <w:szCs w:val="24"/>
        </w:rPr>
      </w:pPr>
      <w:r w:rsidRPr="00C84028">
        <w:rPr>
          <w:rFonts w:ascii="Times New Roman" w:hAnsi="Times New Roman" w:cs="Times New Roman"/>
          <w:sz w:val="24"/>
          <w:szCs w:val="24"/>
        </w:rPr>
        <w:t>Zamiar zwolnienia</w:t>
      </w:r>
      <w:r w:rsidR="00AE5712" w:rsidRPr="00C84028">
        <w:rPr>
          <w:rFonts w:ascii="Times New Roman" w:hAnsi="Times New Roman" w:cs="Times New Roman"/>
          <w:sz w:val="24"/>
          <w:szCs w:val="24"/>
        </w:rPr>
        <w:t xml:space="preserve"> z </w:t>
      </w:r>
      <w:r w:rsidRPr="00C84028">
        <w:rPr>
          <w:rFonts w:ascii="Times New Roman" w:hAnsi="Times New Roman" w:cs="Times New Roman"/>
          <w:sz w:val="24"/>
          <w:szCs w:val="24"/>
        </w:rPr>
        <w:t xml:space="preserve">przyczyn </w:t>
      </w:r>
      <w:r w:rsidR="008121C5" w:rsidRPr="00C84028">
        <w:rPr>
          <w:rFonts w:ascii="Times New Roman" w:hAnsi="Times New Roman" w:cs="Times New Roman"/>
          <w:sz w:val="24"/>
          <w:szCs w:val="24"/>
        </w:rPr>
        <w:t xml:space="preserve">dotyczących zakładu pracy </w:t>
      </w:r>
      <w:r w:rsidRPr="00C84028">
        <w:rPr>
          <w:rFonts w:ascii="Times New Roman" w:hAnsi="Times New Roman" w:cs="Times New Roman"/>
          <w:sz w:val="24"/>
          <w:szCs w:val="24"/>
        </w:rPr>
        <w:t xml:space="preserve">zgłosiło ogółem </w:t>
      </w:r>
      <w:r w:rsidR="00BE7914" w:rsidRPr="00C84028">
        <w:rPr>
          <w:rFonts w:ascii="Times New Roman" w:hAnsi="Times New Roman" w:cs="Times New Roman"/>
          <w:sz w:val="24"/>
          <w:szCs w:val="24"/>
        </w:rPr>
        <w:t>4</w:t>
      </w:r>
      <w:r w:rsidRPr="00C84028">
        <w:rPr>
          <w:rFonts w:ascii="Times New Roman" w:hAnsi="Times New Roman" w:cs="Times New Roman"/>
          <w:sz w:val="24"/>
          <w:szCs w:val="24"/>
        </w:rPr>
        <w:t xml:space="preserve"> zakład</w:t>
      </w:r>
      <w:r w:rsidR="00C84028" w:rsidRPr="00C84028">
        <w:rPr>
          <w:rFonts w:ascii="Times New Roman" w:hAnsi="Times New Roman" w:cs="Times New Roman"/>
          <w:sz w:val="24"/>
          <w:szCs w:val="24"/>
        </w:rPr>
        <w:t>y</w:t>
      </w:r>
      <w:r w:rsidRPr="00C84028">
        <w:rPr>
          <w:rFonts w:ascii="Times New Roman" w:hAnsi="Times New Roman" w:cs="Times New Roman"/>
          <w:sz w:val="24"/>
          <w:szCs w:val="24"/>
        </w:rPr>
        <w:t xml:space="preserve"> planując zwolnienie </w:t>
      </w:r>
      <w:r w:rsidR="00C84028" w:rsidRPr="00C84028">
        <w:rPr>
          <w:rFonts w:ascii="Times New Roman" w:hAnsi="Times New Roman" w:cs="Times New Roman"/>
          <w:sz w:val="24"/>
          <w:szCs w:val="24"/>
        </w:rPr>
        <w:t>587</w:t>
      </w:r>
      <w:r w:rsidRPr="00C84028">
        <w:rPr>
          <w:rFonts w:ascii="Times New Roman" w:hAnsi="Times New Roman" w:cs="Times New Roman"/>
          <w:sz w:val="24"/>
          <w:szCs w:val="24"/>
        </w:rPr>
        <w:t xml:space="preserve"> pracowników (w 201</w:t>
      </w:r>
      <w:r w:rsidR="00B53E96" w:rsidRPr="00C84028">
        <w:rPr>
          <w:rFonts w:ascii="Times New Roman" w:hAnsi="Times New Roman" w:cs="Times New Roman"/>
          <w:sz w:val="24"/>
          <w:szCs w:val="24"/>
        </w:rPr>
        <w:t>7</w:t>
      </w:r>
      <w:r w:rsidR="00AE5712" w:rsidRPr="00C84028">
        <w:rPr>
          <w:rFonts w:ascii="Times New Roman" w:hAnsi="Times New Roman" w:cs="Times New Roman"/>
          <w:sz w:val="24"/>
          <w:szCs w:val="24"/>
        </w:rPr>
        <w:t> r.</w:t>
      </w:r>
      <w:r w:rsidR="00087226" w:rsidRPr="00C84028">
        <w:rPr>
          <w:rFonts w:ascii="Times New Roman" w:hAnsi="Times New Roman" w:cs="Times New Roman"/>
          <w:sz w:val="24"/>
          <w:szCs w:val="24"/>
        </w:rPr>
        <w:t xml:space="preserve"> – </w:t>
      </w:r>
      <w:r w:rsidR="00B53E96" w:rsidRPr="00C84028">
        <w:rPr>
          <w:rFonts w:ascii="Times New Roman" w:hAnsi="Times New Roman" w:cs="Times New Roman"/>
          <w:sz w:val="24"/>
          <w:szCs w:val="24"/>
        </w:rPr>
        <w:t>24</w:t>
      </w:r>
      <w:r w:rsidRPr="00C84028">
        <w:rPr>
          <w:rFonts w:ascii="Times New Roman" w:hAnsi="Times New Roman" w:cs="Times New Roman"/>
          <w:sz w:val="24"/>
          <w:szCs w:val="24"/>
        </w:rPr>
        <w:t xml:space="preserve"> zakład</w:t>
      </w:r>
      <w:r w:rsidR="00C837FF" w:rsidRPr="00C84028">
        <w:rPr>
          <w:rFonts w:ascii="Times New Roman" w:hAnsi="Times New Roman" w:cs="Times New Roman"/>
          <w:sz w:val="24"/>
          <w:szCs w:val="24"/>
        </w:rPr>
        <w:t xml:space="preserve">ów i </w:t>
      </w:r>
      <w:r w:rsidR="00B53E96" w:rsidRPr="00C84028">
        <w:rPr>
          <w:rFonts w:ascii="Times New Roman" w:hAnsi="Times New Roman" w:cs="Times New Roman"/>
          <w:sz w:val="24"/>
          <w:szCs w:val="24"/>
        </w:rPr>
        <w:t>819</w:t>
      </w:r>
      <w:r w:rsidRPr="00C84028">
        <w:rPr>
          <w:rFonts w:ascii="Times New Roman" w:hAnsi="Times New Roman" w:cs="Times New Roman"/>
          <w:sz w:val="24"/>
          <w:szCs w:val="24"/>
        </w:rPr>
        <w:t xml:space="preserve"> pracowników). </w:t>
      </w:r>
    </w:p>
    <w:p w:rsidR="008121C5" w:rsidRPr="00C84028" w:rsidRDefault="0096006B" w:rsidP="00160DBC">
      <w:pPr>
        <w:pStyle w:val="Bezodstpw"/>
        <w:numPr>
          <w:ilvl w:val="0"/>
          <w:numId w:val="10"/>
        </w:numPr>
        <w:spacing w:line="360" w:lineRule="auto"/>
        <w:jc w:val="both"/>
        <w:rPr>
          <w:rFonts w:ascii="Times New Roman" w:hAnsi="Times New Roman" w:cs="Times New Roman"/>
          <w:sz w:val="24"/>
          <w:szCs w:val="24"/>
        </w:rPr>
      </w:pPr>
      <w:r w:rsidRPr="00C84028">
        <w:rPr>
          <w:rFonts w:ascii="Times New Roman" w:hAnsi="Times New Roman" w:cs="Times New Roman"/>
          <w:sz w:val="24"/>
          <w:szCs w:val="24"/>
        </w:rPr>
        <w:t>Wypowiedzenia umów</w:t>
      </w:r>
      <w:r w:rsidR="00AE5712" w:rsidRPr="00C84028">
        <w:rPr>
          <w:rFonts w:ascii="Times New Roman" w:hAnsi="Times New Roman" w:cs="Times New Roman"/>
          <w:sz w:val="24"/>
          <w:szCs w:val="24"/>
        </w:rPr>
        <w:t xml:space="preserve"> o </w:t>
      </w:r>
      <w:r w:rsidRPr="00C84028">
        <w:rPr>
          <w:rFonts w:ascii="Times New Roman" w:hAnsi="Times New Roman" w:cs="Times New Roman"/>
          <w:sz w:val="24"/>
          <w:szCs w:val="24"/>
        </w:rPr>
        <w:t>pracę</w:t>
      </w:r>
      <w:r w:rsidR="00AE5712" w:rsidRPr="00C84028">
        <w:rPr>
          <w:rFonts w:ascii="Times New Roman" w:hAnsi="Times New Roman" w:cs="Times New Roman"/>
          <w:sz w:val="24"/>
          <w:szCs w:val="24"/>
        </w:rPr>
        <w:t xml:space="preserve"> z </w:t>
      </w:r>
      <w:r w:rsidRPr="00C84028">
        <w:rPr>
          <w:rFonts w:ascii="Times New Roman" w:hAnsi="Times New Roman" w:cs="Times New Roman"/>
          <w:sz w:val="24"/>
          <w:szCs w:val="24"/>
        </w:rPr>
        <w:t>przyczyn niedotyczących pracowników</w:t>
      </w:r>
      <w:r w:rsidR="00C837FF" w:rsidRPr="00C84028">
        <w:rPr>
          <w:rFonts w:ascii="Times New Roman" w:hAnsi="Times New Roman" w:cs="Times New Roman"/>
          <w:sz w:val="24"/>
          <w:szCs w:val="24"/>
        </w:rPr>
        <w:t xml:space="preserve"> </w:t>
      </w:r>
      <w:r w:rsidR="00AE5712" w:rsidRPr="00C84028">
        <w:rPr>
          <w:rFonts w:ascii="Times New Roman" w:hAnsi="Times New Roman" w:cs="Times New Roman"/>
          <w:sz w:val="24"/>
          <w:szCs w:val="24"/>
        </w:rPr>
        <w:t>w</w:t>
      </w:r>
      <w:r w:rsidR="00C837FF" w:rsidRPr="00C84028">
        <w:rPr>
          <w:rFonts w:ascii="Times New Roman" w:hAnsi="Times New Roman" w:cs="Times New Roman"/>
          <w:sz w:val="24"/>
          <w:szCs w:val="24"/>
        </w:rPr>
        <w:t xml:space="preserve"> ‘</w:t>
      </w:r>
      <w:r w:rsidRPr="00C84028">
        <w:rPr>
          <w:rFonts w:ascii="Times New Roman" w:hAnsi="Times New Roman" w:cs="Times New Roman"/>
          <w:sz w:val="24"/>
          <w:szCs w:val="24"/>
        </w:rPr>
        <w:t>1</w:t>
      </w:r>
      <w:r w:rsidR="00B53E96" w:rsidRPr="00C84028">
        <w:rPr>
          <w:rFonts w:ascii="Times New Roman" w:hAnsi="Times New Roman" w:cs="Times New Roman"/>
          <w:sz w:val="24"/>
          <w:szCs w:val="24"/>
        </w:rPr>
        <w:t>8</w:t>
      </w:r>
      <w:r w:rsidR="00AE5712" w:rsidRPr="00C84028">
        <w:rPr>
          <w:rFonts w:ascii="Times New Roman" w:hAnsi="Times New Roman" w:cs="Times New Roman"/>
          <w:sz w:val="24"/>
          <w:szCs w:val="24"/>
        </w:rPr>
        <w:t> r.</w:t>
      </w:r>
      <w:r w:rsidRPr="00C84028">
        <w:rPr>
          <w:rFonts w:ascii="Times New Roman" w:hAnsi="Times New Roman" w:cs="Times New Roman"/>
          <w:sz w:val="24"/>
          <w:szCs w:val="24"/>
        </w:rPr>
        <w:t xml:space="preserve"> otrzymało </w:t>
      </w:r>
      <w:r w:rsidR="00BE7914" w:rsidRPr="00C84028">
        <w:rPr>
          <w:rFonts w:ascii="Times New Roman" w:hAnsi="Times New Roman" w:cs="Times New Roman"/>
          <w:sz w:val="24"/>
          <w:szCs w:val="24"/>
        </w:rPr>
        <w:t>5</w:t>
      </w:r>
      <w:r w:rsidR="00C84028" w:rsidRPr="00C84028">
        <w:rPr>
          <w:rFonts w:ascii="Times New Roman" w:hAnsi="Times New Roman" w:cs="Times New Roman"/>
          <w:sz w:val="24"/>
          <w:szCs w:val="24"/>
        </w:rPr>
        <w:t>30</w:t>
      </w:r>
      <w:r w:rsidRPr="00C84028">
        <w:rPr>
          <w:rFonts w:ascii="Times New Roman" w:hAnsi="Times New Roman" w:cs="Times New Roman"/>
          <w:sz w:val="24"/>
          <w:szCs w:val="24"/>
        </w:rPr>
        <w:t xml:space="preserve"> osób (z </w:t>
      </w:r>
      <w:r w:rsidR="00C84028" w:rsidRPr="00C84028">
        <w:rPr>
          <w:rFonts w:ascii="Times New Roman" w:hAnsi="Times New Roman" w:cs="Times New Roman"/>
          <w:sz w:val="24"/>
          <w:szCs w:val="24"/>
        </w:rPr>
        <w:t>15</w:t>
      </w:r>
      <w:r w:rsidRPr="00C84028">
        <w:rPr>
          <w:rFonts w:ascii="Times New Roman" w:hAnsi="Times New Roman" w:cs="Times New Roman"/>
          <w:sz w:val="24"/>
          <w:szCs w:val="24"/>
        </w:rPr>
        <w:t xml:space="preserve"> zakł</w:t>
      </w:r>
      <w:r w:rsidR="008121C5" w:rsidRPr="00C84028">
        <w:rPr>
          <w:rFonts w:ascii="Times New Roman" w:hAnsi="Times New Roman" w:cs="Times New Roman"/>
          <w:sz w:val="24"/>
          <w:szCs w:val="24"/>
        </w:rPr>
        <w:t>adów</w:t>
      </w:r>
      <w:r w:rsidRPr="00C84028">
        <w:rPr>
          <w:rFonts w:ascii="Times New Roman" w:hAnsi="Times New Roman" w:cs="Times New Roman"/>
          <w:sz w:val="24"/>
          <w:szCs w:val="24"/>
        </w:rPr>
        <w:t>).</w:t>
      </w:r>
      <w:r w:rsidR="007066E6" w:rsidRPr="00C84028">
        <w:rPr>
          <w:rFonts w:ascii="Times New Roman" w:hAnsi="Times New Roman" w:cs="Times New Roman"/>
          <w:sz w:val="24"/>
          <w:szCs w:val="24"/>
        </w:rPr>
        <w:t xml:space="preserve"> </w:t>
      </w:r>
      <w:r w:rsidRPr="00C84028">
        <w:rPr>
          <w:rFonts w:ascii="Times New Roman" w:hAnsi="Times New Roman" w:cs="Times New Roman"/>
          <w:sz w:val="24"/>
          <w:szCs w:val="24"/>
        </w:rPr>
        <w:t xml:space="preserve">Ponadto </w:t>
      </w:r>
      <w:r w:rsidR="00BE7914" w:rsidRPr="00C84028">
        <w:rPr>
          <w:rFonts w:ascii="Times New Roman" w:hAnsi="Times New Roman" w:cs="Times New Roman"/>
          <w:sz w:val="24"/>
          <w:szCs w:val="24"/>
        </w:rPr>
        <w:t xml:space="preserve">wg stanu na </w:t>
      </w:r>
      <w:r w:rsidR="00087226" w:rsidRPr="00C84028">
        <w:rPr>
          <w:rFonts w:ascii="Times New Roman" w:hAnsi="Times New Roman" w:cs="Times New Roman"/>
          <w:sz w:val="24"/>
          <w:szCs w:val="24"/>
        </w:rPr>
        <w:t>31</w:t>
      </w:r>
      <w:r w:rsidR="00365760" w:rsidRPr="00C84028">
        <w:rPr>
          <w:rFonts w:ascii="Times New Roman" w:hAnsi="Times New Roman" w:cs="Times New Roman"/>
          <w:sz w:val="24"/>
          <w:szCs w:val="24"/>
        </w:rPr>
        <w:t xml:space="preserve"> XII </w:t>
      </w:r>
      <w:r w:rsidR="00BE7914" w:rsidRPr="00C84028">
        <w:rPr>
          <w:rFonts w:ascii="Times New Roman" w:hAnsi="Times New Roman" w:cs="Times New Roman"/>
          <w:sz w:val="24"/>
          <w:szCs w:val="24"/>
        </w:rPr>
        <w:t>’</w:t>
      </w:r>
      <w:r w:rsidRPr="00C84028">
        <w:rPr>
          <w:rFonts w:ascii="Times New Roman" w:hAnsi="Times New Roman" w:cs="Times New Roman"/>
          <w:sz w:val="24"/>
          <w:szCs w:val="24"/>
        </w:rPr>
        <w:t>1</w:t>
      </w:r>
      <w:r w:rsidR="00B53E96" w:rsidRPr="00C84028">
        <w:rPr>
          <w:rFonts w:ascii="Times New Roman" w:hAnsi="Times New Roman" w:cs="Times New Roman"/>
          <w:sz w:val="24"/>
          <w:szCs w:val="24"/>
        </w:rPr>
        <w:t>8</w:t>
      </w:r>
      <w:r w:rsidR="00BE7914" w:rsidRPr="00C84028">
        <w:rPr>
          <w:rFonts w:ascii="Times New Roman" w:hAnsi="Times New Roman" w:cs="Times New Roman"/>
          <w:sz w:val="24"/>
          <w:szCs w:val="24"/>
        </w:rPr>
        <w:t> </w:t>
      </w:r>
      <w:r w:rsidRPr="00C84028">
        <w:rPr>
          <w:rFonts w:ascii="Times New Roman" w:hAnsi="Times New Roman" w:cs="Times New Roman"/>
          <w:sz w:val="24"/>
          <w:szCs w:val="24"/>
        </w:rPr>
        <w:t>r</w:t>
      </w:r>
      <w:r w:rsidR="00BE7914" w:rsidRPr="00C84028">
        <w:rPr>
          <w:rFonts w:ascii="Times New Roman" w:hAnsi="Times New Roman" w:cs="Times New Roman"/>
          <w:sz w:val="24"/>
          <w:szCs w:val="24"/>
        </w:rPr>
        <w:t>.</w:t>
      </w:r>
      <w:r w:rsidRPr="00C84028">
        <w:rPr>
          <w:rFonts w:ascii="Times New Roman" w:hAnsi="Times New Roman" w:cs="Times New Roman"/>
          <w:sz w:val="24"/>
          <w:szCs w:val="24"/>
        </w:rPr>
        <w:t xml:space="preserve"> </w:t>
      </w:r>
      <w:r w:rsidR="00BE7914" w:rsidRPr="00C84028">
        <w:rPr>
          <w:rFonts w:ascii="Times New Roman" w:hAnsi="Times New Roman" w:cs="Times New Roman"/>
          <w:sz w:val="24"/>
          <w:szCs w:val="24"/>
        </w:rPr>
        <w:t xml:space="preserve">oczekiwało </w:t>
      </w:r>
      <w:r w:rsidRPr="00C84028">
        <w:rPr>
          <w:rFonts w:ascii="Times New Roman" w:hAnsi="Times New Roman" w:cs="Times New Roman"/>
          <w:sz w:val="24"/>
          <w:szCs w:val="24"/>
        </w:rPr>
        <w:t xml:space="preserve">na dalsze wypowiedzenia ogółem </w:t>
      </w:r>
      <w:r w:rsidR="00C84028" w:rsidRPr="00C84028">
        <w:rPr>
          <w:rFonts w:ascii="Times New Roman" w:hAnsi="Times New Roman" w:cs="Times New Roman"/>
          <w:sz w:val="24"/>
          <w:szCs w:val="24"/>
        </w:rPr>
        <w:t>206</w:t>
      </w:r>
      <w:r w:rsidRPr="00C84028">
        <w:rPr>
          <w:rFonts w:ascii="Times New Roman" w:hAnsi="Times New Roman" w:cs="Times New Roman"/>
          <w:sz w:val="24"/>
          <w:szCs w:val="24"/>
        </w:rPr>
        <w:t xml:space="preserve"> pracowników. </w:t>
      </w:r>
    </w:p>
    <w:p w:rsidR="00DA57F5" w:rsidRPr="001371FE" w:rsidRDefault="005C14D0" w:rsidP="001371FE">
      <w:pPr>
        <w:pStyle w:val="Bezodstpw"/>
        <w:numPr>
          <w:ilvl w:val="0"/>
          <w:numId w:val="10"/>
        </w:numPr>
        <w:spacing w:line="360" w:lineRule="auto"/>
        <w:jc w:val="both"/>
        <w:rPr>
          <w:rFonts w:ascii="Times New Roman" w:hAnsi="Times New Roman" w:cs="Times New Roman"/>
          <w:sz w:val="24"/>
          <w:szCs w:val="24"/>
        </w:rPr>
      </w:pPr>
      <w:r w:rsidRPr="001371FE">
        <w:rPr>
          <w:rFonts w:ascii="Times New Roman" w:hAnsi="Times New Roman" w:cs="Times New Roman"/>
          <w:sz w:val="24"/>
          <w:szCs w:val="24"/>
        </w:rPr>
        <w:t>Osoby zwolnione</w:t>
      </w:r>
      <w:r w:rsidR="00AE5712" w:rsidRPr="001371FE">
        <w:rPr>
          <w:rFonts w:ascii="Times New Roman" w:hAnsi="Times New Roman" w:cs="Times New Roman"/>
          <w:sz w:val="24"/>
          <w:szCs w:val="24"/>
        </w:rPr>
        <w:t xml:space="preserve"> z </w:t>
      </w:r>
      <w:r w:rsidRPr="001371FE">
        <w:rPr>
          <w:rFonts w:ascii="Times New Roman" w:hAnsi="Times New Roman" w:cs="Times New Roman"/>
          <w:sz w:val="24"/>
          <w:szCs w:val="24"/>
        </w:rPr>
        <w:t xml:space="preserve">przyczyn niedotyczących pracowników stanowiły </w:t>
      </w:r>
      <w:r w:rsidR="00BE7914" w:rsidRPr="001371FE">
        <w:rPr>
          <w:rFonts w:ascii="Times New Roman" w:hAnsi="Times New Roman" w:cs="Times New Roman"/>
          <w:sz w:val="24"/>
          <w:szCs w:val="24"/>
        </w:rPr>
        <w:t>3</w:t>
      </w:r>
      <w:r w:rsidRPr="001371FE">
        <w:rPr>
          <w:rFonts w:ascii="Times New Roman" w:hAnsi="Times New Roman" w:cs="Times New Roman"/>
          <w:sz w:val="24"/>
          <w:szCs w:val="24"/>
        </w:rPr>
        <w:t>,</w:t>
      </w:r>
      <w:r w:rsidR="00C84028" w:rsidRPr="001371FE">
        <w:rPr>
          <w:rFonts w:ascii="Times New Roman" w:hAnsi="Times New Roman" w:cs="Times New Roman"/>
          <w:sz w:val="24"/>
          <w:szCs w:val="24"/>
        </w:rPr>
        <w:t>7</w:t>
      </w:r>
      <w:r w:rsidR="00B53E96" w:rsidRPr="001371FE">
        <w:rPr>
          <w:rFonts w:ascii="Times New Roman" w:hAnsi="Times New Roman" w:cs="Times New Roman"/>
          <w:sz w:val="24"/>
          <w:szCs w:val="24"/>
        </w:rPr>
        <w:t xml:space="preserve"> </w:t>
      </w:r>
      <w:r w:rsidRPr="001371FE">
        <w:rPr>
          <w:rFonts w:ascii="Times New Roman" w:hAnsi="Times New Roman" w:cs="Times New Roman"/>
          <w:sz w:val="24"/>
          <w:szCs w:val="24"/>
        </w:rPr>
        <w:t>%</w:t>
      </w:r>
      <w:r w:rsidR="00365760" w:rsidRPr="001371FE">
        <w:rPr>
          <w:rFonts w:ascii="Times New Roman" w:hAnsi="Times New Roman" w:cs="Times New Roman"/>
          <w:sz w:val="24"/>
          <w:szCs w:val="24"/>
        </w:rPr>
        <w:t xml:space="preserve"> </w:t>
      </w:r>
      <w:r w:rsidRPr="001371FE">
        <w:rPr>
          <w:rFonts w:ascii="Times New Roman" w:hAnsi="Times New Roman" w:cs="Times New Roman"/>
          <w:sz w:val="24"/>
          <w:szCs w:val="24"/>
        </w:rPr>
        <w:t>ogółu bezrobotnych zarejestrowanych</w:t>
      </w:r>
      <w:r w:rsidR="00AE5712" w:rsidRPr="001371FE">
        <w:rPr>
          <w:rFonts w:ascii="Times New Roman" w:hAnsi="Times New Roman" w:cs="Times New Roman"/>
          <w:sz w:val="24"/>
          <w:szCs w:val="24"/>
        </w:rPr>
        <w:t xml:space="preserve"> w </w:t>
      </w:r>
      <w:r w:rsidRPr="001371FE">
        <w:rPr>
          <w:rFonts w:ascii="Times New Roman" w:hAnsi="Times New Roman" w:cs="Times New Roman"/>
          <w:sz w:val="24"/>
          <w:szCs w:val="24"/>
        </w:rPr>
        <w:t xml:space="preserve">województwie podkarpackim według stanu na </w:t>
      </w:r>
      <w:r w:rsidR="00244A0E" w:rsidRPr="001371FE">
        <w:rPr>
          <w:rFonts w:ascii="Times New Roman" w:hAnsi="Times New Roman" w:cs="Times New Roman"/>
          <w:sz w:val="24"/>
          <w:szCs w:val="24"/>
        </w:rPr>
        <w:t>31</w:t>
      </w:r>
      <w:r w:rsidR="00365760" w:rsidRPr="001371FE">
        <w:rPr>
          <w:rFonts w:ascii="Times New Roman" w:hAnsi="Times New Roman" w:cs="Times New Roman"/>
          <w:sz w:val="24"/>
          <w:szCs w:val="24"/>
        </w:rPr>
        <w:t> XII ‘</w:t>
      </w:r>
      <w:r w:rsidRPr="001371FE">
        <w:rPr>
          <w:rFonts w:ascii="Times New Roman" w:hAnsi="Times New Roman" w:cs="Times New Roman"/>
          <w:sz w:val="24"/>
          <w:szCs w:val="24"/>
        </w:rPr>
        <w:t>1</w:t>
      </w:r>
      <w:r w:rsidR="00B53E96" w:rsidRPr="001371FE">
        <w:rPr>
          <w:rFonts w:ascii="Times New Roman" w:hAnsi="Times New Roman" w:cs="Times New Roman"/>
          <w:sz w:val="24"/>
          <w:szCs w:val="24"/>
        </w:rPr>
        <w:t>8</w:t>
      </w:r>
      <w:r w:rsidR="008121C5" w:rsidRPr="001371FE">
        <w:rPr>
          <w:rFonts w:ascii="Times New Roman" w:hAnsi="Times New Roman" w:cs="Times New Roman"/>
          <w:sz w:val="24"/>
          <w:szCs w:val="24"/>
        </w:rPr>
        <w:t> </w:t>
      </w:r>
      <w:r w:rsidRPr="001371FE">
        <w:rPr>
          <w:rFonts w:ascii="Times New Roman" w:hAnsi="Times New Roman" w:cs="Times New Roman"/>
          <w:sz w:val="24"/>
          <w:szCs w:val="24"/>
        </w:rPr>
        <w:t>roku (</w:t>
      </w:r>
      <w:r w:rsidR="008121C5" w:rsidRPr="001371FE">
        <w:rPr>
          <w:rFonts w:ascii="Times New Roman" w:hAnsi="Times New Roman" w:cs="Times New Roman"/>
          <w:sz w:val="24"/>
          <w:szCs w:val="24"/>
        </w:rPr>
        <w:t>31</w:t>
      </w:r>
      <w:r w:rsidR="00365760" w:rsidRPr="001371FE">
        <w:rPr>
          <w:rFonts w:ascii="Times New Roman" w:hAnsi="Times New Roman" w:cs="Times New Roman"/>
          <w:sz w:val="24"/>
          <w:szCs w:val="24"/>
        </w:rPr>
        <w:t xml:space="preserve"> XII ‘</w:t>
      </w:r>
      <w:r w:rsidRPr="001371FE">
        <w:rPr>
          <w:rFonts w:ascii="Times New Roman" w:hAnsi="Times New Roman" w:cs="Times New Roman"/>
          <w:sz w:val="24"/>
          <w:szCs w:val="24"/>
        </w:rPr>
        <w:t>1</w:t>
      </w:r>
      <w:r w:rsidR="00B53E96" w:rsidRPr="001371FE">
        <w:rPr>
          <w:rFonts w:ascii="Times New Roman" w:hAnsi="Times New Roman" w:cs="Times New Roman"/>
          <w:sz w:val="24"/>
          <w:szCs w:val="24"/>
        </w:rPr>
        <w:t>7</w:t>
      </w:r>
      <w:r w:rsidR="00AE5712" w:rsidRPr="001371FE">
        <w:rPr>
          <w:rFonts w:ascii="Times New Roman" w:hAnsi="Times New Roman" w:cs="Times New Roman"/>
          <w:sz w:val="24"/>
          <w:szCs w:val="24"/>
        </w:rPr>
        <w:t> r.</w:t>
      </w:r>
      <w:r w:rsidRPr="001371FE">
        <w:rPr>
          <w:rFonts w:ascii="Times New Roman" w:hAnsi="Times New Roman" w:cs="Times New Roman"/>
          <w:sz w:val="24"/>
          <w:szCs w:val="24"/>
        </w:rPr>
        <w:t xml:space="preserve"> – </w:t>
      </w:r>
      <w:r w:rsidR="00B53E96" w:rsidRPr="001371FE">
        <w:rPr>
          <w:rFonts w:ascii="Times New Roman" w:hAnsi="Times New Roman" w:cs="Times New Roman"/>
          <w:sz w:val="24"/>
          <w:szCs w:val="24"/>
        </w:rPr>
        <w:t>3</w:t>
      </w:r>
      <w:r w:rsidR="00D47256" w:rsidRPr="001371FE">
        <w:rPr>
          <w:rFonts w:ascii="Times New Roman" w:hAnsi="Times New Roman" w:cs="Times New Roman"/>
          <w:sz w:val="24"/>
          <w:szCs w:val="24"/>
        </w:rPr>
        <w:t>,</w:t>
      </w:r>
      <w:r w:rsidR="00B53E96" w:rsidRPr="001371FE">
        <w:rPr>
          <w:rFonts w:ascii="Times New Roman" w:hAnsi="Times New Roman" w:cs="Times New Roman"/>
          <w:sz w:val="24"/>
          <w:szCs w:val="24"/>
        </w:rPr>
        <w:t xml:space="preserve">9 </w:t>
      </w:r>
      <w:r w:rsidRPr="001371FE">
        <w:rPr>
          <w:rFonts w:ascii="Times New Roman" w:hAnsi="Times New Roman" w:cs="Times New Roman"/>
          <w:sz w:val="24"/>
          <w:szCs w:val="24"/>
        </w:rPr>
        <w:t>%).</w:t>
      </w:r>
      <w:r w:rsidR="00DA57F5" w:rsidRPr="001371FE">
        <w:rPr>
          <w:rFonts w:ascii="Times New Roman" w:hAnsi="Times New Roman" w:cs="Times New Roman"/>
          <w:sz w:val="24"/>
          <w:szCs w:val="24"/>
        </w:rPr>
        <w:br w:type="page"/>
      </w:r>
    </w:p>
    <w:p w:rsidR="0096006B" w:rsidRPr="00B53E96" w:rsidRDefault="005C14D0" w:rsidP="00160DBC">
      <w:pPr>
        <w:pStyle w:val="Bezodstpw"/>
        <w:numPr>
          <w:ilvl w:val="0"/>
          <w:numId w:val="10"/>
        </w:numPr>
        <w:spacing w:line="360" w:lineRule="auto"/>
        <w:jc w:val="both"/>
        <w:rPr>
          <w:rFonts w:ascii="Times New Roman" w:hAnsi="Times New Roman" w:cs="Times New Roman"/>
          <w:sz w:val="24"/>
          <w:szCs w:val="24"/>
        </w:rPr>
      </w:pPr>
      <w:r w:rsidRPr="00AE77E5">
        <w:rPr>
          <w:rFonts w:ascii="Times New Roman" w:hAnsi="Times New Roman" w:cs="Times New Roman"/>
          <w:sz w:val="24"/>
          <w:szCs w:val="24"/>
        </w:rPr>
        <w:lastRenderedPageBreak/>
        <w:t>Z łącznej liczby nowo zarejestrowanych bezrobotnych</w:t>
      </w:r>
      <w:r w:rsidR="00AE5712" w:rsidRPr="00AE77E5">
        <w:rPr>
          <w:rFonts w:ascii="Times New Roman" w:hAnsi="Times New Roman" w:cs="Times New Roman"/>
          <w:sz w:val="24"/>
          <w:szCs w:val="24"/>
        </w:rPr>
        <w:t xml:space="preserve"> w </w:t>
      </w:r>
      <w:r w:rsidRPr="00AE77E5">
        <w:rPr>
          <w:rFonts w:ascii="Times New Roman" w:hAnsi="Times New Roman" w:cs="Times New Roman"/>
          <w:sz w:val="24"/>
          <w:szCs w:val="24"/>
        </w:rPr>
        <w:t>201</w:t>
      </w:r>
      <w:r w:rsidR="00B53E96" w:rsidRPr="00AE77E5">
        <w:rPr>
          <w:rFonts w:ascii="Times New Roman" w:hAnsi="Times New Roman" w:cs="Times New Roman"/>
          <w:sz w:val="24"/>
          <w:szCs w:val="24"/>
        </w:rPr>
        <w:t>8</w:t>
      </w:r>
      <w:r w:rsidRPr="00AE77E5">
        <w:rPr>
          <w:rFonts w:ascii="Times New Roman" w:hAnsi="Times New Roman" w:cs="Times New Roman"/>
          <w:sz w:val="24"/>
          <w:szCs w:val="24"/>
        </w:rPr>
        <w:t xml:space="preserve"> roku </w:t>
      </w:r>
      <w:r w:rsidR="008121C5" w:rsidRPr="00AE77E5">
        <w:rPr>
          <w:rFonts w:ascii="Times New Roman" w:hAnsi="Times New Roman" w:cs="Times New Roman"/>
          <w:sz w:val="24"/>
          <w:szCs w:val="24"/>
        </w:rPr>
        <w:t>(</w:t>
      </w:r>
      <w:r w:rsidR="00D47256" w:rsidRPr="00AE77E5">
        <w:rPr>
          <w:rFonts w:ascii="Times New Roman" w:hAnsi="Times New Roman" w:cs="Times New Roman"/>
          <w:sz w:val="24"/>
          <w:szCs w:val="24"/>
        </w:rPr>
        <w:t>1</w:t>
      </w:r>
      <w:r w:rsidR="00C84028" w:rsidRPr="00AE77E5">
        <w:rPr>
          <w:rFonts w:ascii="Times New Roman" w:hAnsi="Times New Roman" w:cs="Times New Roman"/>
          <w:sz w:val="24"/>
          <w:szCs w:val="24"/>
        </w:rPr>
        <w:t>17</w:t>
      </w:r>
      <w:r w:rsidR="008121C5" w:rsidRPr="00AE77E5">
        <w:rPr>
          <w:rFonts w:ascii="Times New Roman" w:hAnsi="Times New Roman" w:cs="Times New Roman"/>
          <w:sz w:val="24"/>
          <w:szCs w:val="24"/>
        </w:rPr>
        <w:t> </w:t>
      </w:r>
      <w:r w:rsidR="00C84028" w:rsidRPr="00AE77E5">
        <w:rPr>
          <w:rFonts w:ascii="Times New Roman" w:hAnsi="Times New Roman" w:cs="Times New Roman"/>
          <w:sz w:val="24"/>
          <w:szCs w:val="24"/>
        </w:rPr>
        <w:t>364</w:t>
      </w:r>
      <w:r w:rsidR="008121C5" w:rsidRPr="00AE77E5">
        <w:rPr>
          <w:rFonts w:ascii="Times New Roman" w:hAnsi="Times New Roman" w:cs="Times New Roman"/>
          <w:sz w:val="24"/>
          <w:szCs w:val="24"/>
        </w:rPr>
        <w:t xml:space="preserve"> osób)</w:t>
      </w:r>
      <w:r w:rsidR="0038177A" w:rsidRPr="00AE77E5">
        <w:rPr>
          <w:rFonts w:ascii="Times New Roman" w:hAnsi="Times New Roman" w:cs="Times New Roman"/>
          <w:sz w:val="24"/>
          <w:szCs w:val="24"/>
        </w:rPr>
        <w:t xml:space="preserve"> </w:t>
      </w:r>
      <w:r w:rsidR="00AE77E5" w:rsidRPr="00AE77E5">
        <w:rPr>
          <w:rFonts w:ascii="Times New Roman" w:hAnsi="Times New Roman" w:cs="Times New Roman"/>
          <w:sz w:val="24"/>
          <w:szCs w:val="24"/>
        </w:rPr>
        <w:t>3</w:t>
      </w:r>
      <w:r w:rsidR="008121C5" w:rsidRPr="00AE77E5">
        <w:rPr>
          <w:rFonts w:ascii="Times New Roman" w:hAnsi="Times New Roman" w:cs="Times New Roman"/>
          <w:sz w:val="24"/>
          <w:szCs w:val="24"/>
        </w:rPr>
        <w:t> </w:t>
      </w:r>
      <w:r w:rsidR="00AE77E5" w:rsidRPr="00AE77E5">
        <w:rPr>
          <w:rFonts w:ascii="Times New Roman" w:hAnsi="Times New Roman" w:cs="Times New Roman"/>
          <w:sz w:val="24"/>
          <w:szCs w:val="24"/>
        </w:rPr>
        <w:t>592</w:t>
      </w:r>
      <w:r w:rsidRPr="00AE77E5">
        <w:rPr>
          <w:rFonts w:ascii="Times New Roman" w:hAnsi="Times New Roman" w:cs="Times New Roman"/>
          <w:sz w:val="24"/>
          <w:szCs w:val="24"/>
        </w:rPr>
        <w:t xml:space="preserve"> osób </w:t>
      </w:r>
      <w:r w:rsidR="00F40634" w:rsidRPr="00AE77E5">
        <w:rPr>
          <w:rFonts w:ascii="Times New Roman" w:hAnsi="Times New Roman" w:cs="Times New Roman"/>
          <w:sz w:val="24"/>
          <w:szCs w:val="24"/>
        </w:rPr>
        <w:t>(</w:t>
      </w:r>
      <w:r w:rsidR="0094096D" w:rsidRPr="00AE77E5">
        <w:rPr>
          <w:rFonts w:ascii="Times New Roman" w:hAnsi="Times New Roman" w:cs="Times New Roman"/>
          <w:sz w:val="24"/>
          <w:szCs w:val="24"/>
        </w:rPr>
        <w:t>3</w:t>
      </w:r>
      <w:r w:rsidR="004F1CA8" w:rsidRPr="00AE77E5">
        <w:rPr>
          <w:rFonts w:ascii="Times New Roman" w:hAnsi="Times New Roman" w:cs="Times New Roman"/>
          <w:sz w:val="24"/>
          <w:szCs w:val="24"/>
        </w:rPr>
        <w:t>,</w:t>
      </w:r>
      <w:r w:rsidR="00AE77E5" w:rsidRPr="00AE77E5">
        <w:rPr>
          <w:rFonts w:ascii="Times New Roman" w:hAnsi="Times New Roman" w:cs="Times New Roman"/>
          <w:sz w:val="24"/>
          <w:szCs w:val="24"/>
        </w:rPr>
        <w:t xml:space="preserve">1 </w:t>
      </w:r>
      <w:r w:rsidRPr="00AE77E5">
        <w:rPr>
          <w:rFonts w:ascii="Times New Roman" w:hAnsi="Times New Roman" w:cs="Times New Roman"/>
          <w:sz w:val="24"/>
          <w:szCs w:val="24"/>
        </w:rPr>
        <w:t>%</w:t>
      </w:r>
      <w:r w:rsidR="00F40634" w:rsidRPr="00AE77E5">
        <w:rPr>
          <w:rFonts w:ascii="Times New Roman" w:hAnsi="Times New Roman" w:cs="Times New Roman"/>
          <w:sz w:val="24"/>
          <w:szCs w:val="24"/>
        </w:rPr>
        <w:t>)</w:t>
      </w:r>
      <w:r w:rsidRPr="00AE77E5">
        <w:rPr>
          <w:rFonts w:ascii="Times New Roman" w:hAnsi="Times New Roman" w:cs="Times New Roman"/>
          <w:sz w:val="24"/>
          <w:szCs w:val="24"/>
        </w:rPr>
        <w:t xml:space="preserve"> przed</w:t>
      </w:r>
      <w:r w:rsidRPr="00B53E96">
        <w:rPr>
          <w:rFonts w:ascii="Times New Roman" w:hAnsi="Times New Roman" w:cs="Times New Roman"/>
          <w:sz w:val="24"/>
          <w:szCs w:val="24"/>
        </w:rPr>
        <w:t xml:space="preserve"> zarejestrowaniem</w:t>
      </w:r>
      <w:r w:rsidR="00AE5712" w:rsidRPr="00B53E96">
        <w:rPr>
          <w:rFonts w:ascii="Times New Roman" w:hAnsi="Times New Roman" w:cs="Times New Roman"/>
          <w:sz w:val="24"/>
          <w:szCs w:val="24"/>
        </w:rPr>
        <w:t xml:space="preserve"> w </w:t>
      </w:r>
      <w:r w:rsidRPr="00B53E96">
        <w:rPr>
          <w:rFonts w:ascii="Times New Roman" w:hAnsi="Times New Roman" w:cs="Times New Roman"/>
          <w:sz w:val="24"/>
          <w:szCs w:val="24"/>
        </w:rPr>
        <w:t>powiatowym urzędzie pracy było uprz</w:t>
      </w:r>
      <w:r w:rsidR="00FA0C9C" w:rsidRPr="00B53E96">
        <w:rPr>
          <w:rFonts w:ascii="Times New Roman" w:hAnsi="Times New Roman" w:cs="Times New Roman"/>
          <w:sz w:val="24"/>
          <w:szCs w:val="24"/>
        </w:rPr>
        <w:t>ednio zwolnionych</w:t>
      </w:r>
      <w:r w:rsidR="00AE5712" w:rsidRPr="00B53E96">
        <w:rPr>
          <w:rFonts w:ascii="Times New Roman" w:hAnsi="Times New Roman" w:cs="Times New Roman"/>
          <w:sz w:val="24"/>
          <w:szCs w:val="24"/>
        </w:rPr>
        <w:t xml:space="preserve"> z </w:t>
      </w:r>
      <w:r w:rsidR="00FA0C9C" w:rsidRPr="00B53E96">
        <w:rPr>
          <w:rFonts w:ascii="Times New Roman" w:hAnsi="Times New Roman" w:cs="Times New Roman"/>
          <w:sz w:val="24"/>
          <w:szCs w:val="24"/>
        </w:rPr>
        <w:t>przyczyn leż</w:t>
      </w:r>
      <w:r w:rsidRPr="00B53E96">
        <w:rPr>
          <w:rFonts w:ascii="Times New Roman" w:hAnsi="Times New Roman" w:cs="Times New Roman"/>
          <w:sz w:val="24"/>
          <w:szCs w:val="24"/>
        </w:rPr>
        <w:t>ących po stronie zakładu pracy (w okresie 201</w:t>
      </w:r>
      <w:r w:rsidR="00B53E96" w:rsidRPr="00B53E96">
        <w:rPr>
          <w:rFonts w:ascii="Times New Roman" w:hAnsi="Times New Roman" w:cs="Times New Roman"/>
          <w:sz w:val="24"/>
          <w:szCs w:val="24"/>
        </w:rPr>
        <w:t>7</w:t>
      </w:r>
      <w:r w:rsidR="00AE5712" w:rsidRPr="00B53E96">
        <w:rPr>
          <w:rFonts w:ascii="Times New Roman" w:hAnsi="Times New Roman" w:cs="Times New Roman"/>
          <w:sz w:val="24"/>
          <w:szCs w:val="24"/>
        </w:rPr>
        <w:t> r.</w:t>
      </w:r>
      <w:r w:rsidRPr="00B53E96">
        <w:rPr>
          <w:rFonts w:ascii="Times New Roman" w:hAnsi="Times New Roman" w:cs="Times New Roman"/>
          <w:sz w:val="24"/>
          <w:szCs w:val="24"/>
        </w:rPr>
        <w:t xml:space="preserve"> </w:t>
      </w:r>
      <w:r w:rsidR="00147AD0" w:rsidRPr="00B53E96">
        <w:rPr>
          <w:rFonts w:ascii="Times New Roman" w:hAnsi="Times New Roman" w:cs="Times New Roman"/>
          <w:sz w:val="24"/>
          <w:szCs w:val="24"/>
        </w:rPr>
        <w:t xml:space="preserve">odsetek </w:t>
      </w:r>
      <w:r w:rsidR="00FA0C9C" w:rsidRPr="00B53E96">
        <w:rPr>
          <w:rFonts w:ascii="Times New Roman" w:hAnsi="Times New Roman" w:cs="Times New Roman"/>
          <w:sz w:val="24"/>
          <w:szCs w:val="24"/>
        </w:rPr>
        <w:t xml:space="preserve">ten </w:t>
      </w:r>
      <w:r w:rsidR="00147AD0" w:rsidRPr="00B53E96">
        <w:rPr>
          <w:rFonts w:ascii="Times New Roman" w:hAnsi="Times New Roman" w:cs="Times New Roman"/>
          <w:sz w:val="24"/>
          <w:szCs w:val="24"/>
        </w:rPr>
        <w:t>wyn</w:t>
      </w:r>
      <w:r w:rsidR="00AE77E5">
        <w:rPr>
          <w:rFonts w:ascii="Times New Roman" w:hAnsi="Times New Roman" w:cs="Times New Roman"/>
          <w:sz w:val="24"/>
          <w:szCs w:val="24"/>
        </w:rPr>
        <w:t>osił</w:t>
      </w:r>
      <w:r w:rsidR="00147AD0" w:rsidRPr="00B53E96">
        <w:rPr>
          <w:rFonts w:ascii="Times New Roman" w:hAnsi="Times New Roman" w:cs="Times New Roman"/>
          <w:sz w:val="24"/>
          <w:szCs w:val="24"/>
        </w:rPr>
        <w:t xml:space="preserve"> </w:t>
      </w:r>
      <w:r w:rsidR="0038177A" w:rsidRPr="00B53E96">
        <w:rPr>
          <w:rFonts w:ascii="Times New Roman" w:hAnsi="Times New Roman" w:cs="Times New Roman"/>
          <w:sz w:val="24"/>
          <w:szCs w:val="24"/>
        </w:rPr>
        <w:t>3</w:t>
      </w:r>
      <w:r w:rsidRPr="00B53E96">
        <w:rPr>
          <w:rFonts w:ascii="Times New Roman" w:hAnsi="Times New Roman" w:cs="Times New Roman"/>
          <w:sz w:val="24"/>
          <w:szCs w:val="24"/>
        </w:rPr>
        <w:t>,</w:t>
      </w:r>
      <w:r w:rsidR="00B53E96" w:rsidRPr="00B53E96">
        <w:rPr>
          <w:rFonts w:ascii="Times New Roman" w:hAnsi="Times New Roman" w:cs="Times New Roman"/>
          <w:sz w:val="24"/>
          <w:szCs w:val="24"/>
        </w:rPr>
        <w:t xml:space="preserve">4 </w:t>
      </w:r>
      <w:r w:rsidRPr="00B53E96">
        <w:rPr>
          <w:rFonts w:ascii="Times New Roman" w:hAnsi="Times New Roman" w:cs="Times New Roman"/>
          <w:sz w:val="24"/>
          <w:szCs w:val="24"/>
        </w:rPr>
        <w:t>%).</w:t>
      </w:r>
    </w:p>
    <w:p w:rsidR="00173695" w:rsidRDefault="00173695" w:rsidP="00173695">
      <w:pPr>
        <w:spacing w:after="0" w:line="240" w:lineRule="auto"/>
        <w:rPr>
          <w:rFonts w:ascii="Times New Roman" w:hAnsi="Times New Roman" w:cs="Times New Roman"/>
          <w:sz w:val="16"/>
          <w:szCs w:val="16"/>
          <w:highlight w:val="yellow"/>
        </w:rPr>
      </w:pPr>
    </w:p>
    <w:p w:rsidR="007A6AB1" w:rsidRDefault="007A6AB1" w:rsidP="00173695">
      <w:pPr>
        <w:spacing w:after="0" w:line="240" w:lineRule="auto"/>
        <w:rPr>
          <w:rFonts w:ascii="Times New Roman" w:hAnsi="Times New Roman" w:cs="Times New Roman"/>
          <w:sz w:val="16"/>
          <w:szCs w:val="16"/>
          <w:highlight w:val="yellow"/>
        </w:rPr>
      </w:pPr>
    </w:p>
    <w:p w:rsidR="00C30EC7" w:rsidRPr="00DA57F5" w:rsidRDefault="00C30EC7" w:rsidP="00DA57F5">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3" w:name="_Toc938733"/>
      <w:r w:rsidRPr="00DA57F5">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Fundusz </w:t>
      </w:r>
      <w:r w:rsidR="00EA6BA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DA57F5">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Gwarantowanych </w:t>
      </w:r>
      <w:r w:rsidR="00EA6BA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DA57F5">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Świadczeń</w:t>
      </w:r>
      <w:r w:rsidR="00EA6BA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DA57F5">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Pracowniczych</w:t>
      </w:r>
      <w:bookmarkEnd w:id="23"/>
    </w:p>
    <w:p w:rsidR="00992E19" w:rsidRDefault="00992E19" w:rsidP="00173695">
      <w:pPr>
        <w:autoSpaceDE w:val="0"/>
        <w:autoSpaceDN w:val="0"/>
        <w:adjustRightInd w:val="0"/>
        <w:spacing w:after="0" w:line="240" w:lineRule="auto"/>
        <w:jc w:val="both"/>
        <w:rPr>
          <w:rFonts w:ascii="Times New Roman" w:hAnsi="Times New Roman" w:cs="Times New Roman"/>
          <w:bCs/>
          <w:color w:val="000000"/>
          <w:sz w:val="18"/>
          <w:szCs w:val="18"/>
          <w:highlight w:val="yellow"/>
        </w:rPr>
      </w:pPr>
    </w:p>
    <w:p w:rsidR="007A6AB1" w:rsidRDefault="007A6AB1" w:rsidP="00173695">
      <w:pPr>
        <w:autoSpaceDE w:val="0"/>
        <w:autoSpaceDN w:val="0"/>
        <w:adjustRightInd w:val="0"/>
        <w:spacing w:after="0" w:line="240" w:lineRule="auto"/>
        <w:jc w:val="both"/>
        <w:rPr>
          <w:rFonts w:ascii="Times New Roman" w:hAnsi="Times New Roman" w:cs="Times New Roman"/>
          <w:bCs/>
          <w:color w:val="000000"/>
          <w:sz w:val="18"/>
          <w:szCs w:val="18"/>
          <w:highlight w:val="yellow"/>
        </w:rPr>
      </w:pPr>
    </w:p>
    <w:p w:rsidR="00173695" w:rsidRPr="00C75C71" w:rsidRDefault="00173695" w:rsidP="00173695">
      <w:pPr>
        <w:autoSpaceDE w:val="0"/>
        <w:autoSpaceDN w:val="0"/>
        <w:adjustRightInd w:val="0"/>
        <w:spacing w:after="0" w:line="240" w:lineRule="auto"/>
        <w:jc w:val="both"/>
        <w:rPr>
          <w:rFonts w:ascii="Times New Roman" w:hAnsi="Times New Roman" w:cs="Times New Roman"/>
          <w:bCs/>
          <w:color w:val="000000"/>
          <w:sz w:val="18"/>
          <w:szCs w:val="18"/>
          <w:highlight w:val="yellow"/>
        </w:rPr>
      </w:pPr>
    </w:p>
    <w:p w:rsidR="002B4519" w:rsidRPr="008E1C4C" w:rsidRDefault="002B4519" w:rsidP="00B50749">
      <w:pPr>
        <w:autoSpaceDE w:val="0"/>
        <w:autoSpaceDN w:val="0"/>
        <w:adjustRightInd w:val="0"/>
        <w:spacing w:after="0" w:line="240" w:lineRule="auto"/>
        <w:jc w:val="both"/>
        <w:rPr>
          <w:rFonts w:ascii="Times New Roman" w:hAnsi="Times New Roman" w:cs="Times New Roman"/>
          <w:bCs/>
          <w:color w:val="000000"/>
          <w:sz w:val="18"/>
          <w:szCs w:val="18"/>
        </w:rPr>
      </w:pPr>
      <w:r w:rsidRPr="008E1C4C">
        <w:rPr>
          <w:rFonts w:ascii="Times New Roman" w:hAnsi="Times New Roman" w:cs="Times New Roman"/>
          <w:bCs/>
          <w:color w:val="000000"/>
          <w:sz w:val="18"/>
          <w:szCs w:val="18"/>
        </w:rPr>
        <w:t xml:space="preserve">Tabela XXXII. </w:t>
      </w:r>
      <w:r w:rsidRPr="008E1C4C">
        <w:rPr>
          <w:rFonts w:ascii="Times New Roman" w:hAnsi="Times New Roman" w:cs="Times New Roman"/>
          <w:bCs/>
          <w:color w:val="000000"/>
          <w:sz w:val="18"/>
          <w:szCs w:val="18"/>
        </w:rPr>
        <w:tab/>
        <w:t>Wypłaty świadczeń w związku z niewypłacalnością pracodawcy</w:t>
      </w:r>
    </w:p>
    <w:p w:rsidR="008E1C4C" w:rsidRPr="00C75C71" w:rsidRDefault="008E1C4C" w:rsidP="00B50749">
      <w:pPr>
        <w:autoSpaceDE w:val="0"/>
        <w:autoSpaceDN w:val="0"/>
        <w:adjustRightInd w:val="0"/>
        <w:spacing w:after="0" w:line="240" w:lineRule="auto"/>
        <w:jc w:val="both"/>
        <w:rPr>
          <w:rFonts w:ascii="Times New Roman" w:hAnsi="Times New Roman" w:cs="Times New Roman"/>
          <w:bCs/>
          <w:color w:val="000000"/>
          <w:sz w:val="18"/>
          <w:szCs w:val="18"/>
          <w:highlight w:val="yellow"/>
        </w:rPr>
      </w:pPr>
    </w:p>
    <w:p w:rsidR="002B4519" w:rsidRPr="00C75C71" w:rsidRDefault="008E1C4C" w:rsidP="008E1C4C">
      <w:pPr>
        <w:autoSpaceDE w:val="0"/>
        <w:autoSpaceDN w:val="0"/>
        <w:adjustRightInd w:val="0"/>
        <w:spacing w:after="0" w:line="240" w:lineRule="auto"/>
        <w:jc w:val="center"/>
        <w:rPr>
          <w:rFonts w:ascii="Times New Roman" w:hAnsi="Times New Roman" w:cs="Times New Roman"/>
          <w:bCs/>
          <w:color w:val="000000"/>
          <w:sz w:val="18"/>
          <w:szCs w:val="18"/>
          <w:highlight w:val="yellow"/>
        </w:rPr>
      </w:pPr>
      <w:r w:rsidRPr="008E1C4C">
        <w:rPr>
          <w:noProof/>
          <w:lang w:eastAsia="pl-PL"/>
        </w:rPr>
        <w:drawing>
          <wp:inline distT="0" distB="0" distL="0" distR="0" wp14:anchorId="69F17222" wp14:editId="6EB4701E">
            <wp:extent cx="5759450" cy="31636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759450" cy="3163625"/>
                    </a:xfrm>
                    <a:prstGeom prst="rect">
                      <a:avLst/>
                    </a:prstGeom>
                    <a:noFill/>
                    <a:ln>
                      <a:noFill/>
                    </a:ln>
                  </pic:spPr>
                </pic:pic>
              </a:graphicData>
            </a:graphic>
          </wp:inline>
        </w:drawing>
      </w:r>
    </w:p>
    <w:p w:rsidR="00B53E96" w:rsidRPr="00C75C71" w:rsidRDefault="00B53E96" w:rsidP="00B53E96">
      <w:pPr>
        <w:autoSpaceDE w:val="0"/>
        <w:autoSpaceDN w:val="0"/>
        <w:adjustRightInd w:val="0"/>
        <w:spacing w:after="0" w:line="240" w:lineRule="auto"/>
        <w:jc w:val="both"/>
        <w:rPr>
          <w:rFonts w:ascii="Times New Roman" w:hAnsi="Times New Roman" w:cs="Times New Roman"/>
          <w:bCs/>
          <w:color w:val="000000"/>
          <w:sz w:val="18"/>
          <w:szCs w:val="18"/>
          <w:highlight w:val="yellow"/>
        </w:rPr>
      </w:pPr>
    </w:p>
    <w:p w:rsidR="00B50749" w:rsidRPr="00B53E96" w:rsidRDefault="00B50749" w:rsidP="00B50749">
      <w:pPr>
        <w:pStyle w:val="Default"/>
        <w:pBdr>
          <w:bottom w:val="single" w:sz="4" w:space="1" w:color="auto"/>
        </w:pBdr>
        <w:jc w:val="both"/>
      </w:pPr>
      <w:r w:rsidRPr="00B53E96">
        <w:t>Wnioski:</w:t>
      </w:r>
    </w:p>
    <w:p w:rsidR="00B50749" w:rsidRDefault="00B50749" w:rsidP="00B50749">
      <w:pPr>
        <w:pStyle w:val="Tekstpodstawowywcity"/>
        <w:spacing w:after="0" w:line="360" w:lineRule="auto"/>
        <w:ind w:left="0"/>
        <w:jc w:val="both"/>
        <w:rPr>
          <w:rFonts w:ascii="Times New Roman" w:hAnsi="Times New Roman" w:cs="Times New Roman"/>
          <w:sz w:val="16"/>
          <w:szCs w:val="16"/>
        </w:rPr>
      </w:pPr>
      <w:r w:rsidRPr="00B53E96">
        <w:rPr>
          <w:rFonts w:ascii="Times New Roman" w:hAnsi="Times New Roman" w:cs="Times New Roman"/>
          <w:sz w:val="16"/>
          <w:szCs w:val="16"/>
        </w:rPr>
        <w:t>(na podstawie danych z tabeli XXX</w:t>
      </w:r>
      <w:r w:rsidR="002B4519" w:rsidRPr="00B53E96">
        <w:rPr>
          <w:rFonts w:ascii="Times New Roman" w:hAnsi="Times New Roman" w:cs="Times New Roman"/>
          <w:sz w:val="16"/>
          <w:szCs w:val="16"/>
        </w:rPr>
        <w:t>I</w:t>
      </w:r>
      <w:r w:rsidRPr="00B53E96">
        <w:rPr>
          <w:rFonts w:ascii="Times New Roman" w:hAnsi="Times New Roman" w:cs="Times New Roman"/>
          <w:sz w:val="16"/>
          <w:szCs w:val="16"/>
        </w:rPr>
        <w:t>I)</w:t>
      </w:r>
    </w:p>
    <w:p w:rsidR="008E1C4C" w:rsidRPr="00B53E96" w:rsidRDefault="008E1C4C" w:rsidP="00B50749">
      <w:pPr>
        <w:pStyle w:val="Tekstpodstawowywcity"/>
        <w:spacing w:after="0" w:line="360" w:lineRule="auto"/>
        <w:ind w:left="0"/>
        <w:jc w:val="both"/>
        <w:rPr>
          <w:rFonts w:ascii="Times New Roman" w:hAnsi="Times New Roman" w:cs="Times New Roman"/>
          <w:sz w:val="16"/>
          <w:szCs w:val="16"/>
        </w:rPr>
      </w:pPr>
    </w:p>
    <w:p w:rsidR="00797FF2" w:rsidRPr="00797FF2" w:rsidRDefault="00797FF2" w:rsidP="00797FF2">
      <w:pPr>
        <w:pStyle w:val="Bezodstpw"/>
        <w:numPr>
          <w:ilvl w:val="0"/>
          <w:numId w:val="10"/>
        </w:numPr>
        <w:spacing w:line="360" w:lineRule="auto"/>
        <w:jc w:val="both"/>
        <w:rPr>
          <w:rFonts w:ascii="Times New Roman" w:hAnsi="Times New Roman" w:cs="Times New Roman"/>
          <w:sz w:val="24"/>
          <w:szCs w:val="24"/>
        </w:rPr>
      </w:pPr>
      <w:r w:rsidRPr="00797FF2">
        <w:rPr>
          <w:rFonts w:ascii="Times New Roman" w:hAnsi="Times New Roman" w:cs="Times New Roman"/>
          <w:b/>
          <w:sz w:val="24"/>
          <w:szCs w:val="24"/>
        </w:rPr>
        <w:t>W okresie 12 miesięcy  2018 r. Dyrektor Wojewódzkiego Urzędu Pracy w Rzeszowie dokonał wypłat ze środków Funduszu na kwotę  7,62  mln zł  na rzecz pracowników i byłych pracowników 40 podmiotów gospodarczych. Wypłacone świadczenia objęły łącznie 722 osoby uprawnione</w:t>
      </w:r>
      <w:r w:rsidRPr="00797FF2">
        <w:rPr>
          <w:rFonts w:ascii="Times New Roman" w:hAnsi="Times New Roman" w:cs="Times New Roman"/>
          <w:sz w:val="24"/>
          <w:szCs w:val="24"/>
        </w:rPr>
        <w:t>.</w:t>
      </w:r>
    </w:p>
    <w:p w:rsidR="00797FF2" w:rsidRPr="00797FF2" w:rsidRDefault="00797FF2" w:rsidP="00797FF2">
      <w:pPr>
        <w:pStyle w:val="Bezodstpw"/>
        <w:numPr>
          <w:ilvl w:val="0"/>
          <w:numId w:val="10"/>
        </w:numPr>
        <w:spacing w:line="360" w:lineRule="auto"/>
        <w:jc w:val="both"/>
        <w:rPr>
          <w:rFonts w:ascii="Times New Roman" w:hAnsi="Times New Roman" w:cs="Times New Roman"/>
          <w:sz w:val="24"/>
          <w:szCs w:val="24"/>
        </w:rPr>
      </w:pPr>
      <w:r w:rsidRPr="00797FF2">
        <w:rPr>
          <w:rFonts w:ascii="Times New Roman" w:hAnsi="Times New Roman" w:cs="Times New Roman"/>
          <w:sz w:val="24"/>
          <w:szCs w:val="24"/>
        </w:rPr>
        <w:t xml:space="preserve">W 2018 roku (w por. do 2017 r.) nastąpił wzrost o 8,36 % wartości wypłaconych świadczeń w związku z niewypłacalnością pracodawcy i jednocześnie spadek o 15,36 % osób uprawnionych do skorzystania z FGŚP. </w:t>
      </w:r>
      <w:r w:rsidRPr="00797FF2">
        <w:rPr>
          <w:rFonts w:ascii="Times New Roman" w:hAnsi="Times New Roman" w:cs="Times New Roman"/>
          <w:b/>
          <w:sz w:val="24"/>
          <w:szCs w:val="24"/>
        </w:rPr>
        <w:t>Warunkowało to większą ilość dostępnych środków finansowych w przeliczeniu na 1 uprawnionego</w:t>
      </w:r>
      <w:r w:rsidRPr="00797FF2">
        <w:rPr>
          <w:rFonts w:ascii="Times New Roman" w:hAnsi="Times New Roman" w:cs="Times New Roman"/>
          <w:sz w:val="24"/>
          <w:szCs w:val="24"/>
        </w:rPr>
        <w:t>.</w:t>
      </w:r>
    </w:p>
    <w:p w:rsidR="00797FF2" w:rsidRPr="00797FF2" w:rsidRDefault="00797FF2" w:rsidP="00797FF2">
      <w:pPr>
        <w:pStyle w:val="Bezodstpw"/>
        <w:numPr>
          <w:ilvl w:val="0"/>
          <w:numId w:val="10"/>
        </w:numPr>
        <w:spacing w:line="360" w:lineRule="auto"/>
        <w:jc w:val="both"/>
        <w:rPr>
          <w:rFonts w:ascii="Times New Roman" w:hAnsi="Times New Roman" w:cs="Times New Roman"/>
          <w:sz w:val="24"/>
          <w:szCs w:val="24"/>
        </w:rPr>
      </w:pPr>
      <w:r w:rsidRPr="00797FF2">
        <w:rPr>
          <w:rFonts w:ascii="Times New Roman" w:hAnsi="Times New Roman" w:cs="Times New Roman"/>
          <w:sz w:val="24"/>
          <w:szCs w:val="24"/>
        </w:rPr>
        <w:t>W roku 2018 r. (w por. do 2017 r.) nastąpił również spadek liczby niewypłacalnych pracodawców na terenie województwa podkarpackiego.</w:t>
      </w:r>
    </w:p>
    <w:p w:rsidR="00797FF2" w:rsidRPr="00797FF2" w:rsidRDefault="00797FF2" w:rsidP="00797FF2">
      <w:pPr>
        <w:pStyle w:val="Bezodstpw"/>
        <w:numPr>
          <w:ilvl w:val="0"/>
          <w:numId w:val="10"/>
        </w:numPr>
        <w:spacing w:line="360" w:lineRule="auto"/>
        <w:jc w:val="both"/>
        <w:rPr>
          <w:rFonts w:ascii="Times New Roman" w:hAnsi="Times New Roman" w:cs="Times New Roman"/>
          <w:sz w:val="24"/>
          <w:szCs w:val="24"/>
        </w:rPr>
      </w:pPr>
      <w:r w:rsidRPr="00797FF2">
        <w:rPr>
          <w:rFonts w:ascii="Times New Roman" w:hAnsi="Times New Roman" w:cs="Times New Roman"/>
          <w:sz w:val="24"/>
          <w:szCs w:val="24"/>
        </w:rPr>
        <w:lastRenderedPageBreak/>
        <w:t>Firmy korzystające ze środków FGŚP działały głównie w branżach związanych z</w:t>
      </w:r>
      <w:r>
        <w:rPr>
          <w:rFonts w:ascii="Times New Roman" w:hAnsi="Times New Roman" w:cs="Times New Roman"/>
          <w:sz w:val="24"/>
          <w:szCs w:val="24"/>
        </w:rPr>
        <w:t> </w:t>
      </w:r>
      <w:r w:rsidRPr="00797FF2">
        <w:rPr>
          <w:rFonts w:ascii="Times New Roman" w:hAnsi="Times New Roman" w:cs="Times New Roman"/>
          <w:sz w:val="24"/>
          <w:szCs w:val="24"/>
        </w:rPr>
        <w:t>budownictwem, wyrobami papierniczymi i wyposażeniem sklepów. W grupie niewypłacalnych przedsiębiorców zatrudniających od 1 do 100 osób dominowały firmy budowlane. Z 40 niewypłacalnych pracodawców ogółem, którzy w 2018 roku skorzystali ze wsparcia FGŚP jeden zatrudniał ponad 100 osób, a 39 pozostałych  zatrudniało od 1 do 96 pracowników.</w:t>
      </w:r>
    </w:p>
    <w:p w:rsidR="00797FF2" w:rsidRPr="00797FF2" w:rsidRDefault="00797FF2" w:rsidP="00797FF2">
      <w:pPr>
        <w:pStyle w:val="Bezodstpw"/>
        <w:numPr>
          <w:ilvl w:val="0"/>
          <w:numId w:val="10"/>
        </w:numPr>
        <w:spacing w:line="360" w:lineRule="auto"/>
        <w:jc w:val="both"/>
        <w:rPr>
          <w:rFonts w:ascii="Times New Roman" w:hAnsi="Times New Roman" w:cs="Times New Roman"/>
          <w:sz w:val="24"/>
          <w:szCs w:val="24"/>
        </w:rPr>
      </w:pPr>
      <w:r w:rsidRPr="00797FF2">
        <w:rPr>
          <w:rFonts w:ascii="Times New Roman" w:hAnsi="Times New Roman" w:cs="Times New Roman"/>
          <w:sz w:val="24"/>
          <w:szCs w:val="24"/>
        </w:rPr>
        <w:t>Rzeczywisty obraz kondycji podkarpackich przedsiębiorstw zaburza 1 firma z branży papierniczej, która formalnie przeniosła swą siedzibę z woj. śląskiego do Rzeszowa, co skutkowało koniecznością obsługi tego podmiotu ze względu na właściwość miejscową i</w:t>
      </w:r>
      <w:r>
        <w:rPr>
          <w:rFonts w:ascii="Times New Roman" w:hAnsi="Times New Roman" w:cs="Times New Roman"/>
          <w:sz w:val="24"/>
          <w:szCs w:val="24"/>
        </w:rPr>
        <w:t> </w:t>
      </w:r>
      <w:r w:rsidRPr="00797FF2">
        <w:rPr>
          <w:rFonts w:ascii="Times New Roman" w:hAnsi="Times New Roman" w:cs="Times New Roman"/>
          <w:sz w:val="24"/>
          <w:szCs w:val="24"/>
        </w:rPr>
        <w:t>wypłatę świadczeń w wysokości ok. 1,8 mln zł dla blisko 160 osób.</w:t>
      </w:r>
    </w:p>
    <w:p w:rsidR="00797FF2" w:rsidRPr="00797FF2" w:rsidRDefault="00797FF2" w:rsidP="00797FF2">
      <w:pPr>
        <w:pStyle w:val="Bezodstpw"/>
        <w:numPr>
          <w:ilvl w:val="0"/>
          <w:numId w:val="10"/>
        </w:numPr>
        <w:spacing w:line="360" w:lineRule="auto"/>
        <w:jc w:val="both"/>
        <w:rPr>
          <w:rFonts w:ascii="Times New Roman" w:hAnsi="Times New Roman" w:cs="Times New Roman"/>
          <w:sz w:val="24"/>
          <w:szCs w:val="24"/>
        </w:rPr>
      </w:pPr>
      <w:r w:rsidRPr="00797FF2">
        <w:rPr>
          <w:rFonts w:ascii="Times New Roman" w:hAnsi="Times New Roman" w:cs="Times New Roman"/>
          <w:sz w:val="24"/>
          <w:szCs w:val="24"/>
        </w:rPr>
        <w:t>W roku 2015 wypłaty wyniosły 7,21 mln zł i objęły 1 065 osób, w roku 2016 wypłacono świadczenia w łącznej kwocie 4,9 mln zł dla 785 osób, a w roku 2017 kwotę 7,03 mln zł wypłacono 853 osobom.</w:t>
      </w:r>
    </w:p>
    <w:p w:rsidR="00797FF2" w:rsidRPr="00797FF2" w:rsidRDefault="00797FF2" w:rsidP="00797FF2">
      <w:pPr>
        <w:pStyle w:val="Bezodstpw"/>
        <w:numPr>
          <w:ilvl w:val="0"/>
          <w:numId w:val="10"/>
        </w:numPr>
        <w:spacing w:line="360" w:lineRule="auto"/>
        <w:jc w:val="both"/>
        <w:rPr>
          <w:rFonts w:ascii="Times New Roman" w:hAnsi="Times New Roman" w:cs="Times New Roman"/>
          <w:sz w:val="24"/>
          <w:szCs w:val="24"/>
        </w:rPr>
      </w:pPr>
      <w:r w:rsidRPr="00797FF2">
        <w:rPr>
          <w:rFonts w:ascii="Times New Roman" w:hAnsi="Times New Roman" w:cs="Times New Roman"/>
          <w:sz w:val="24"/>
          <w:szCs w:val="24"/>
        </w:rPr>
        <w:t>Spadek poziomu windykacji wypłaconych świadczeń o 82,19 % wynika z faktu, że syndycy masy upadłościowej wpłacili 2017 roku znaczące kwoty ze względu na zakończenie procesu upadłości, co było najlepszym wynikiem w Polsce osiągniętym przez Wydział FGŚP.</w:t>
      </w:r>
    </w:p>
    <w:p w:rsidR="00797FF2" w:rsidRPr="00B53E96" w:rsidRDefault="00797FF2" w:rsidP="00797FF2">
      <w:pPr>
        <w:pStyle w:val="Bezodstpw"/>
        <w:numPr>
          <w:ilvl w:val="0"/>
          <w:numId w:val="10"/>
        </w:numPr>
        <w:spacing w:line="360" w:lineRule="auto"/>
        <w:jc w:val="both"/>
        <w:rPr>
          <w:rFonts w:ascii="Times New Roman" w:hAnsi="Times New Roman" w:cs="Times New Roman"/>
          <w:sz w:val="24"/>
          <w:szCs w:val="24"/>
        </w:rPr>
      </w:pPr>
      <w:r w:rsidRPr="00797FF2">
        <w:rPr>
          <w:rFonts w:ascii="Times New Roman" w:hAnsi="Times New Roman" w:cs="Times New Roman"/>
          <w:sz w:val="24"/>
          <w:szCs w:val="24"/>
        </w:rPr>
        <w:t>Kwoty windykacji w 2018 roku na poziomie blisko 2 mln spowodowane są początkowym stadium procesów upadłości firm, których pracownicy otrzymali środki FGŚP w ostatnich latach. Postępowanie upadłościowe może trwać od kilku do nawet kilkunastu lat. Wahania wpływów z windykacji są zatem naturalną konsekwencją specyfiki działalności FGŚP.</w:t>
      </w:r>
    </w:p>
    <w:p w:rsidR="00321A2F" w:rsidRPr="00C75C71" w:rsidRDefault="00321A2F" w:rsidP="00156F4A">
      <w:pPr>
        <w:pStyle w:val="Default"/>
        <w:outlineLvl w:val="0"/>
        <w:rPr>
          <w:bCs/>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21A2F" w:rsidRPr="00C75C71" w:rsidRDefault="00321A2F" w:rsidP="00156F4A">
      <w:pPr>
        <w:pStyle w:val="Default"/>
        <w:outlineLvl w:val="0"/>
        <w:rPr>
          <w:bCs/>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21A2F" w:rsidRPr="00C75C71" w:rsidRDefault="00321A2F" w:rsidP="00156F4A">
      <w:pPr>
        <w:pStyle w:val="Default"/>
        <w:outlineLvl w:val="0"/>
        <w:rPr>
          <w:bCs/>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21A2F" w:rsidRPr="00C75C71" w:rsidRDefault="00321A2F" w:rsidP="00156F4A">
      <w:pPr>
        <w:pStyle w:val="Default"/>
        <w:outlineLvl w:val="0"/>
        <w:rPr>
          <w:bCs/>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21A2F" w:rsidRPr="00C75C71" w:rsidRDefault="00321A2F" w:rsidP="00156F4A">
      <w:pPr>
        <w:pStyle w:val="Default"/>
        <w:outlineLvl w:val="0"/>
        <w:rPr>
          <w:bCs/>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21A2F" w:rsidRPr="00C75C71" w:rsidRDefault="00321A2F" w:rsidP="00156F4A">
      <w:pPr>
        <w:pStyle w:val="Default"/>
        <w:outlineLvl w:val="0"/>
        <w:rPr>
          <w:bCs/>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21A2F" w:rsidRPr="00C75C71" w:rsidRDefault="00321A2F" w:rsidP="00156F4A">
      <w:pPr>
        <w:pStyle w:val="Default"/>
        <w:outlineLvl w:val="0"/>
        <w:rPr>
          <w:bCs/>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21A2F" w:rsidRPr="00C75C71" w:rsidRDefault="00321A2F" w:rsidP="00156F4A">
      <w:pPr>
        <w:pStyle w:val="Default"/>
        <w:outlineLvl w:val="0"/>
        <w:rPr>
          <w:bCs/>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21A2F" w:rsidRPr="00C75C71" w:rsidRDefault="00321A2F" w:rsidP="00156F4A">
      <w:pPr>
        <w:pStyle w:val="Default"/>
        <w:outlineLvl w:val="0"/>
        <w:rPr>
          <w:bCs/>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21A2F" w:rsidRPr="00C75C71" w:rsidRDefault="00321A2F" w:rsidP="00156F4A">
      <w:pPr>
        <w:pStyle w:val="Default"/>
        <w:outlineLvl w:val="0"/>
        <w:rPr>
          <w:bCs/>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21A2F" w:rsidRPr="00C75C71" w:rsidRDefault="00321A2F" w:rsidP="00156F4A">
      <w:pPr>
        <w:pStyle w:val="Default"/>
        <w:outlineLvl w:val="0"/>
        <w:rPr>
          <w:bCs/>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76960" w:rsidRPr="00C75C71" w:rsidRDefault="00476960" w:rsidP="00156F4A">
      <w:pPr>
        <w:pStyle w:val="Default"/>
        <w:outlineLvl w:val="0"/>
        <w:rPr>
          <w:bCs/>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76960" w:rsidRPr="00C75C71" w:rsidRDefault="00476960" w:rsidP="00156F4A">
      <w:pPr>
        <w:pStyle w:val="Default"/>
        <w:outlineLvl w:val="0"/>
        <w:rPr>
          <w:bCs/>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76960" w:rsidRPr="00C75C71" w:rsidRDefault="00476960" w:rsidP="00156F4A">
      <w:pPr>
        <w:pStyle w:val="Default"/>
        <w:outlineLvl w:val="0"/>
        <w:rPr>
          <w:bCs/>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76960" w:rsidRPr="00C75C71" w:rsidRDefault="00476960" w:rsidP="00156F4A">
      <w:pPr>
        <w:pStyle w:val="Default"/>
        <w:outlineLvl w:val="0"/>
        <w:rPr>
          <w:bCs/>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73695" w:rsidRDefault="00173695" w:rsidP="00156F4A">
      <w:pPr>
        <w:pStyle w:val="Default"/>
        <w:outlineLvl w:val="0"/>
        <w:rPr>
          <w:bCs/>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73695" w:rsidRDefault="00173695" w:rsidP="00156F4A">
      <w:pPr>
        <w:pStyle w:val="Default"/>
        <w:outlineLvl w:val="0"/>
        <w:rPr>
          <w:bCs/>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73695" w:rsidRDefault="00173695" w:rsidP="00156F4A">
      <w:pPr>
        <w:pStyle w:val="Default"/>
        <w:outlineLvl w:val="0"/>
        <w:rPr>
          <w:bCs/>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73695" w:rsidRDefault="00173695" w:rsidP="00156F4A">
      <w:pPr>
        <w:pStyle w:val="Default"/>
        <w:outlineLvl w:val="0"/>
        <w:rPr>
          <w:bCs/>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73695" w:rsidRDefault="00173695">
      <w:pPr>
        <w:rPr>
          <w:rFonts w:ascii="Times New Roman" w:hAnsi="Times New Roman" w:cs="Times New Roman"/>
          <w:bCs/>
          <w:caps/>
          <w:color w:val="000000"/>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Cs/>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br w:type="page"/>
      </w:r>
    </w:p>
    <w:p w:rsidR="00156F4A" w:rsidRPr="00DA57F5" w:rsidRDefault="00156F4A" w:rsidP="00DA57F5">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4" w:name="_Toc938734"/>
      <w:r w:rsidRPr="00DA57F5">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Podsumowanie</w:t>
      </w:r>
      <w:bookmarkEnd w:id="24"/>
    </w:p>
    <w:p w:rsidR="00156F4A" w:rsidRDefault="00156F4A" w:rsidP="00156F4A">
      <w:pPr>
        <w:pStyle w:val="Default"/>
        <w:rPr>
          <w:sz w:val="16"/>
          <w:szCs w:val="16"/>
          <w:highlight w:val="yellow"/>
        </w:rPr>
      </w:pPr>
    </w:p>
    <w:p w:rsidR="00173695" w:rsidRDefault="00173695" w:rsidP="00156F4A">
      <w:pPr>
        <w:pStyle w:val="Default"/>
        <w:rPr>
          <w:sz w:val="16"/>
          <w:szCs w:val="16"/>
          <w:highlight w:val="yellow"/>
        </w:rPr>
      </w:pPr>
    </w:p>
    <w:p w:rsidR="0099286B" w:rsidRDefault="0099286B" w:rsidP="00156F4A">
      <w:pPr>
        <w:pStyle w:val="Default"/>
        <w:rPr>
          <w:sz w:val="16"/>
          <w:szCs w:val="16"/>
          <w:highlight w:val="yellow"/>
        </w:rPr>
      </w:pPr>
    </w:p>
    <w:p w:rsidR="00096258" w:rsidRDefault="00096258" w:rsidP="00156F4A">
      <w:pPr>
        <w:pStyle w:val="Default"/>
        <w:rPr>
          <w:sz w:val="16"/>
          <w:szCs w:val="16"/>
          <w:highlight w:val="yellow"/>
        </w:rPr>
      </w:pPr>
    </w:p>
    <w:p w:rsidR="00156F4A" w:rsidRPr="00C576D8" w:rsidRDefault="00156F4A" w:rsidP="00156F4A">
      <w:pPr>
        <w:pStyle w:val="Default"/>
        <w:numPr>
          <w:ilvl w:val="0"/>
          <w:numId w:val="26"/>
        </w:numPr>
        <w:spacing w:line="360" w:lineRule="auto"/>
        <w:jc w:val="both"/>
      </w:pPr>
      <w:r w:rsidRPr="00C576D8">
        <w:rPr>
          <w:b/>
        </w:rPr>
        <w:t xml:space="preserve">Zmniejszające się </w:t>
      </w:r>
      <w:r w:rsidR="00321A2F" w:rsidRPr="00C576D8">
        <w:rPr>
          <w:b/>
        </w:rPr>
        <w:t xml:space="preserve">natężenie </w:t>
      </w:r>
      <w:r w:rsidRPr="00C576D8">
        <w:rPr>
          <w:b/>
        </w:rPr>
        <w:t>bezroboci</w:t>
      </w:r>
      <w:r w:rsidR="00321A2F" w:rsidRPr="00C576D8">
        <w:rPr>
          <w:b/>
        </w:rPr>
        <w:t>a</w:t>
      </w:r>
      <w:r w:rsidR="00752510" w:rsidRPr="00C576D8">
        <w:rPr>
          <w:b/>
        </w:rPr>
        <w:t>.</w:t>
      </w:r>
      <w:r w:rsidRPr="00C576D8">
        <w:t xml:space="preserve"> </w:t>
      </w:r>
      <w:r w:rsidR="00752510" w:rsidRPr="00C576D8">
        <w:t>S</w:t>
      </w:r>
      <w:r w:rsidRPr="00C576D8">
        <w:t>topa bezrobocia rejestrowanego w</w:t>
      </w:r>
      <w:r w:rsidR="00321A2F" w:rsidRPr="00C576D8">
        <w:t> </w:t>
      </w:r>
      <w:r w:rsidRPr="00C576D8">
        <w:t>województwie podkarpackim wyniosła na dzień 31</w:t>
      </w:r>
      <w:r w:rsidR="00D91141" w:rsidRPr="00C576D8">
        <w:t xml:space="preserve"> XII ‘</w:t>
      </w:r>
      <w:r w:rsidRPr="00C576D8">
        <w:t>1</w:t>
      </w:r>
      <w:r w:rsidR="00C576D8" w:rsidRPr="00C576D8">
        <w:t>8</w:t>
      </w:r>
      <w:r w:rsidRPr="00C576D8">
        <w:t xml:space="preserve"> r. </w:t>
      </w:r>
      <w:r w:rsidR="00C576D8" w:rsidRPr="00C576D8">
        <w:t>8</w:t>
      </w:r>
      <w:r w:rsidRPr="00C576D8">
        <w:t>,</w:t>
      </w:r>
      <w:r w:rsidR="00C576D8" w:rsidRPr="00C576D8">
        <w:t xml:space="preserve">8 </w:t>
      </w:r>
      <w:r w:rsidRPr="00C576D8">
        <w:t>% (31</w:t>
      </w:r>
      <w:r w:rsidR="00D91141" w:rsidRPr="00C576D8">
        <w:t xml:space="preserve"> XII ‘</w:t>
      </w:r>
      <w:r w:rsidRPr="00C576D8">
        <w:t>1</w:t>
      </w:r>
      <w:r w:rsidR="00C576D8" w:rsidRPr="00C576D8">
        <w:t>7</w:t>
      </w:r>
      <w:r w:rsidRPr="00C576D8">
        <w:t xml:space="preserve"> r. – </w:t>
      </w:r>
      <w:r w:rsidR="00C576D8" w:rsidRPr="00C576D8">
        <w:t>9</w:t>
      </w:r>
      <w:r w:rsidRPr="00C576D8">
        <w:t>,</w:t>
      </w:r>
      <w:r w:rsidR="00C576D8" w:rsidRPr="00C576D8">
        <w:t>6 </w:t>
      </w:r>
      <w:r w:rsidRPr="00C576D8">
        <w:t xml:space="preserve">%), co oznacza </w:t>
      </w:r>
      <w:r w:rsidR="00C576D8" w:rsidRPr="00C576D8">
        <w:t>spadek</w:t>
      </w:r>
      <w:r w:rsidRPr="00C576D8">
        <w:t xml:space="preserve"> w </w:t>
      </w:r>
      <w:r w:rsidR="00EC39E6" w:rsidRPr="00C576D8">
        <w:t>20</w:t>
      </w:r>
      <w:r w:rsidRPr="00C576D8">
        <w:t>1</w:t>
      </w:r>
      <w:r w:rsidR="00C576D8" w:rsidRPr="00C576D8">
        <w:t>8</w:t>
      </w:r>
      <w:r w:rsidRPr="00C576D8">
        <w:t xml:space="preserve"> r</w:t>
      </w:r>
      <w:r w:rsidR="00C576D8" w:rsidRPr="00C576D8">
        <w:t>oku</w:t>
      </w:r>
      <w:r w:rsidRPr="00C576D8">
        <w:t xml:space="preserve"> o </w:t>
      </w:r>
      <w:r w:rsidR="00C576D8" w:rsidRPr="00C576D8">
        <w:t>0</w:t>
      </w:r>
      <w:r w:rsidRPr="00C576D8">
        <w:t>,</w:t>
      </w:r>
      <w:r w:rsidR="00853285" w:rsidRPr="00C576D8">
        <w:t>8</w:t>
      </w:r>
      <w:r w:rsidRPr="00C576D8">
        <w:t xml:space="preserve"> pkt</w:t>
      </w:r>
      <w:r w:rsidR="00F3644A" w:rsidRPr="00C576D8">
        <w:t>.</w:t>
      </w:r>
      <w:r w:rsidRPr="00C576D8">
        <w:t xml:space="preserve"> proc. W kraju stopa bezrobocia wyniosła na dzień 31</w:t>
      </w:r>
      <w:r w:rsidR="00853285" w:rsidRPr="00C576D8">
        <w:t> </w:t>
      </w:r>
      <w:r w:rsidR="00EC39E6" w:rsidRPr="00C576D8">
        <w:t>XII ‘</w:t>
      </w:r>
      <w:r w:rsidRPr="00C576D8">
        <w:t>1</w:t>
      </w:r>
      <w:r w:rsidR="00C576D8" w:rsidRPr="00C576D8">
        <w:t>8</w:t>
      </w:r>
      <w:r w:rsidRPr="00C576D8">
        <w:t xml:space="preserve"> r. </w:t>
      </w:r>
      <w:r w:rsidR="001A5637">
        <w:t>5</w:t>
      </w:r>
      <w:r w:rsidR="00EC39E6" w:rsidRPr="00C576D8">
        <w:t>,</w:t>
      </w:r>
      <w:r w:rsidR="001A5637">
        <w:t>8</w:t>
      </w:r>
      <w:r w:rsidR="00C576D8" w:rsidRPr="00C576D8">
        <w:t xml:space="preserve"> </w:t>
      </w:r>
      <w:r w:rsidRPr="00C576D8">
        <w:t xml:space="preserve">% i w </w:t>
      </w:r>
      <w:r w:rsidR="00EC39E6" w:rsidRPr="00C576D8">
        <w:t>20</w:t>
      </w:r>
      <w:r w:rsidRPr="00C576D8">
        <w:t>1</w:t>
      </w:r>
      <w:r w:rsidR="00C576D8" w:rsidRPr="00C576D8">
        <w:t>8</w:t>
      </w:r>
      <w:r w:rsidRPr="00C576D8">
        <w:t xml:space="preserve"> r</w:t>
      </w:r>
      <w:r w:rsidR="00C576D8" w:rsidRPr="00C576D8">
        <w:t>oku</w:t>
      </w:r>
      <w:r w:rsidRPr="00C576D8">
        <w:t xml:space="preserve"> zmniejszyła się o </w:t>
      </w:r>
      <w:r w:rsidR="001A5637">
        <w:t>0</w:t>
      </w:r>
      <w:r w:rsidRPr="00C576D8">
        <w:t>,</w:t>
      </w:r>
      <w:r w:rsidR="001A5637">
        <w:t>8</w:t>
      </w:r>
      <w:r w:rsidR="00EC39E6" w:rsidRPr="00C576D8">
        <w:t xml:space="preserve"> </w:t>
      </w:r>
      <w:r w:rsidRPr="00C576D8">
        <w:t>pk</w:t>
      </w:r>
      <w:r w:rsidR="007E72CE" w:rsidRPr="00C576D8">
        <w:t>t.</w:t>
      </w:r>
      <w:r w:rsidRPr="00C576D8">
        <w:t xml:space="preserve"> proc</w:t>
      </w:r>
      <w:r w:rsidR="007E72CE" w:rsidRPr="00C576D8">
        <w:t>.</w:t>
      </w:r>
      <w:r w:rsidRPr="00C576D8">
        <w:t xml:space="preserve"> (31</w:t>
      </w:r>
      <w:r w:rsidR="00EC39E6" w:rsidRPr="00C576D8">
        <w:t xml:space="preserve"> XII ‘</w:t>
      </w:r>
      <w:r w:rsidRPr="00C576D8">
        <w:t>1</w:t>
      </w:r>
      <w:r w:rsidR="00C576D8" w:rsidRPr="00C576D8">
        <w:t>7</w:t>
      </w:r>
      <w:r w:rsidRPr="00C576D8">
        <w:t xml:space="preserve"> r. – </w:t>
      </w:r>
      <w:r w:rsidR="001A5637">
        <w:t>6</w:t>
      </w:r>
      <w:r w:rsidRPr="00C576D8">
        <w:t>,</w:t>
      </w:r>
      <w:r w:rsidR="001A5637">
        <w:t>6</w:t>
      </w:r>
      <w:r w:rsidR="00C576D8" w:rsidRPr="00C576D8">
        <w:t xml:space="preserve"> </w:t>
      </w:r>
      <w:r w:rsidRPr="00C576D8">
        <w:t>%).</w:t>
      </w:r>
    </w:p>
    <w:p w:rsidR="00156F4A" w:rsidRPr="00D928C4" w:rsidRDefault="00156F4A" w:rsidP="00156F4A">
      <w:pPr>
        <w:pStyle w:val="Default"/>
        <w:numPr>
          <w:ilvl w:val="0"/>
          <w:numId w:val="26"/>
        </w:numPr>
        <w:spacing w:line="360" w:lineRule="auto"/>
        <w:jc w:val="both"/>
      </w:pPr>
      <w:r w:rsidRPr="00D928C4">
        <w:rPr>
          <w:b/>
        </w:rPr>
        <w:t>Spadek liczby bezrobotnych</w:t>
      </w:r>
      <w:r w:rsidR="00752510" w:rsidRPr="00D928C4">
        <w:rPr>
          <w:b/>
        </w:rPr>
        <w:t>.</w:t>
      </w:r>
      <w:r w:rsidRPr="00D928C4">
        <w:t xml:space="preserve"> </w:t>
      </w:r>
      <w:r w:rsidR="00752510" w:rsidRPr="00D928C4">
        <w:t>W</w:t>
      </w:r>
      <w:r w:rsidRPr="00D928C4">
        <w:t xml:space="preserve"> 201</w:t>
      </w:r>
      <w:r w:rsidR="001A5637" w:rsidRPr="00D928C4">
        <w:t>8</w:t>
      </w:r>
      <w:r w:rsidRPr="00D928C4">
        <w:t xml:space="preserve"> r. więcej osób wyrejestrowano z ewidencji powiatowych urzędów pracy (1</w:t>
      </w:r>
      <w:r w:rsidR="00D928C4" w:rsidRPr="00D928C4">
        <w:t>25</w:t>
      </w:r>
      <w:r w:rsidRPr="00D928C4">
        <w:t> </w:t>
      </w:r>
      <w:r w:rsidR="00D928C4" w:rsidRPr="00D928C4">
        <w:t>403</w:t>
      </w:r>
      <w:r w:rsidRPr="00D928C4">
        <w:t>) niż zarejestrowano (1</w:t>
      </w:r>
      <w:r w:rsidR="00D928C4" w:rsidRPr="00D928C4">
        <w:t>17</w:t>
      </w:r>
      <w:r w:rsidRPr="00D928C4">
        <w:t> </w:t>
      </w:r>
      <w:r w:rsidR="00D928C4" w:rsidRPr="00D928C4">
        <w:t>364</w:t>
      </w:r>
      <w:r w:rsidRPr="00D928C4">
        <w:t xml:space="preserve">). Różnica wyniosła </w:t>
      </w:r>
      <w:r w:rsidR="00D928C4" w:rsidRPr="00D928C4">
        <w:t>8</w:t>
      </w:r>
      <w:r w:rsidRPr="00D928C4">
        <w:t> </w:t>
      </w:r>
      <w:r w:rsidR="00D928C4" w:rsidRPr="00D928C4">
        <w:t>039</w:t>
      </w:r>
      <w:r w:rsidRPr="00D928C4">
        <w:t xml:space="preserve"> osób. </w:t>
      </w:r>
    </w:p>
    <w:p w:rsidR="00156F4A" w:rsidRPr="001316F2" w:rsidRDefault="00156F4A" w:rsidP="00156F4A">
      <w:pPr>
        <w:pStyle w:val="Default"/>
        <w:numPr>
          <w:ilvl w:val="0"/>
          <w:numId w:val="26"/>
        </w:numPr>
        <w:spacing w:line="360" w:lineRule="auto"/>
        <w:jc w:val="both"/>
      </w:pPr>
      <w:r w:rsidRPr="001316F2">
        <w:rPr>
          <w:b/>
        </w:rPr>
        <w:t>Bezrobocie kobiet</w:t>
      </w:r>
      <w:r w:rsidR="00752510" w:rsidRPr="001316F2">
        <w:rPr>
          <w:b/>
        </w:rPr>
        <w:t>.</w:t>
      </w:r>
      <w:r w:rsidRPr="001316F2">
        <w:t xml:space="preserve"> </w:t>
      </w:r>
      <w:r w:rsidR="00752510" w:rsidRPr="001316F2">
        <w:t>P</w:t>
      </w:r>
      <w:r w:rsidRPr="001316F2">
        <w:t>owyżej ½ ogólnej populacji bezrobocia rejestrowanego stanowiły kobiety</w:t>
      </w:r>
      <w:r w:rsidR="008545CB" w:rsidRPr="001316F2">
        <w:t xml:space="preserve"> </w:t>
      </w:r>
      <w:r w:rsidRPr="001316F2">
        <w:t>tj. 5</w:t>
      </w:r>
      <w:r w:rsidR="004B6117" w:rsidRPr="001316F2">
        <w:t>4</w:t>
      </w:r>
      <w:r w:rsidRPr="001316F2">
        <w:t>,</w:t>
      </w:r>
      <w:r w:rsidR="004B6117" w:rsidRPr="001316F2">
        <w:t xml:space="preserve">3 </w:t>
      </w:r>
      <w:r w:rsidRPr="001316F2">
        <w:t>%</w:t>
      </w:r>
      <w:r w:rsidR="001316F2" w:rsidRPr="001316F2">
        <w:t xml:space="preserve"> (</w:t>
      </w:r>
      <w:r w:rsidRPr="001316F2">
        <w:t>rok wcześniej 5</w:t>
      </w:r>
      <w:r w:rsidR="004B6117" w:rsidRPr="001316F2">
        <w:t>3</w:t>
      </w:r>
      <w:r w:rsidRPr="001316F2">
        <w:t>,</w:t>
      </w:r>
      <w:r w:rsidR="00853285" w:rsidRPr="001316F2">
        <w:t>4</w:t>
      </w:r>
      <w:r w:rsidR="004B6117" w:rsidRPr="001316F2">
        <w:t xml:space="preserve"> </w:t>
      </w:r>
      <w:r w:rsidRPr="001316F2">
        <w:t>%</w:t>
      </w:r>
      <w:r w:rsidR="001316F2" w:rsidRPr="001316F2">
        <w:t>)</w:t>
      </w:r>
      <w:r w:rsidRPr="001316F2">
        <w:t xml:space="preserve">. </w:t>
      </w:r>
      <w:r w:rsidR="002800EE" w:rsidRPr="001316F2">
        <w:t>Kumulacje bezrobotnych kobiet to przedziały 25–34 i 35–44 lat</w:t>
      </w:r>
      <w:r w:rsidR="001316F2" w:rsidRPr="001316F2">
        <w:t xml:space="preserve"> </w:t>
      </w:r>
      <w:r w:rsidR="00AC4919">
        <w:t>tj.</w:t>
      </w:r>
      <w:r w:rsidR="001316F2" w:rsidRPr="001316F2">
        <w:t xml:space="preserve"> </w:t>
      </w:r>
      <w:r w:rsidR="002800EE" w:rsidRPr="001316F2">
        <w:t>łącznie 61</w:t>
      </w:r>
      <w:r w:rsidRPr="001316F2">
        <w:t>,</w:t>
      </w:r>
      <w:r w:rsidR="002800EE" w:rsidRPr="001316F2">
        <w:t>2</w:t>
      </w:r>
      <w:r w:rsidR="004B6117" w:rsidRPr="001316F2">
        <w:t xml:space="preserve"> </w:t>
      </w:r>
      <w:r w:rsidRPr="001316F2">
        <w:t xml:space="preserve">% ogółu bezrobotnych kobiet. </w:t>
      </w:r>
      <w:r w:rsidR="002800EE" w:rsidRPr="001316F2">
        <w:t>Dwa ww. przedziały wieku p</w:t>
      </w:r>
      <w:r w:rsidRPr="001316F2">
        <w:t xml:space="preserve">rzeważają </w:t>
      </w:r>
      <w:r w:rsidR="002800EE" w:rsidRPr="001316F2">
        <w:t xml:space="preserve">wśród bezrobotnych </w:t>
      </w:r>
      <w:r w:rsidR="008545CB" w:rsidRPr="001316F2">
        <w:t xml:space="preserve">kobiet </w:t>
      </w:r>
      <w:r w:rsidR="001316F2" w:rsidRPr="001316F2">
        <w:t xml:space="preserve">pozostających bez </w:t>
      </w:r>
      <w:r w:rsidR="002800EE" w:rsidRPr="001316F2">
        <w:t>pracy pow</w:t>
      </w:r>
      <w:r w:rsidR="001316F2" w:rsidRPr="001316F2">
        <w:t>.</w:t>
      </w:r>
      <w:r w:rsidR="002800EE" w:rsidRPr="001316F2">
        <w:t xml:space="preserve"> 1</w:t>
      </w:r>
      <w:r w:rsidR="008545CB" w:rsidRPr="001316F2">
        <w:t> </w:t>
      </w:r>
      <w:r w:rsidR="002800EE" w:rsidRPr="001316F2">
        <w:t>m</w:t>
      </w:r>
      <w:r w:rsidR="001316F2" w:rsidRPr="001316F2">
        <w:t>-</w:t>
      </w:r>
      <w:r w:rsidR="002800EE" w:rsidRPr="001316F2">
        <w:t>ca.</w:t>
      </w:r>
    </w:p>
    <w:p w:rsidR="009C15B7" w:rsidRPr="00C07435" w:rsidRDefault="00156F4A" w:rsidP="00156F4A">
      <w:pPr>
        <w:pStyle w:val="Default"/>
        <w:numPr>
          <w:ilvl w:val="0"/>
          <w:numId w:val="26"/>
        </w:numPr>
        <w:spacing w:line="360" w:lineRule="auto"/>
        <w:jc w:val="both"/>
      </w:pPr>
      <w:r w:rsidRPr="00C07435">
        <w:rPr>
          <w:b/>
        </w:rPr>
        <w:t>Bezrobocie na wsi</w:t>
      </w:r>
      <w:r w:rsidR="00752510" w:rsidRPr="00C07435">
        <w:rPr>
          <w:b/>
        </w:rPr>
        <w:t>.</w:t>
      </w:r>
      <w:r w:rsidRPr="00C07435">
        <w:t xml:space="preserve"> </w:t>
      </w:r>
      <w:r w:rsidR="00752510" w:rsidRPr="00C07435">
        <w:t>O</w:t>
      </w:r>
      <w:r w:rsidRPr="00C07435">
        <w:t>d dłuższego czasu utrzymuje się wysoki poziom bezrobotnych zamieszkałych na terenach wiejskich</w:t>
      </w:r>
      <w:r w:rsidR="004B6117" w:rsidRPr="00C07435">
        <w:t xml:space="preserve"> </w:t>
      </w:r>
      <w:r w:rsidR="00DF09D1" w:rsidRPr="00C07435">
        <w:t>tj.</w:t>
      </w:r>
      <w:r w:rsidR="004B6117" w:rsidRPr="00C07435">
        <w:t xml:space="preserve"> </w:t>
      </w:r>
      <w:r w:rsidRPr="00C07435">
        <w:t>6</w:t>
      </w:r>
      <w:r w:rsidR="00DF09D1" w:rsidRPr="00C07435">
        <w:t>3</w:t>
      </w:r>
      <w:r w:rsidR="00816676" w:rsidRPr="00C07435">
        <w:t>,</w:t>
      </w:r>
      <w:r w:rsidR="00DF09D1" w:rsidRPr="00C07435">
        <w:t>1</w:t>
      </w:r>
      <w:r w:rsidR="004B6117" w:rsidRPr="00C07435">
        <w:t xml:space="preserve"> </w:t>
      </w:r>
      <w:r w:rsidRPr="00C07435">
        <w:t>% bezrobotnych. Bezrobotni na</w:t>
      </w:r>
      <w:r w:rsidR="00DF09D1" w:rsidRPr="00C07435">
        <w:t xml:space="preserve"> wsi</w:t>
      </w:r>
      <w:r w:rsidRPr="00C07435">
        <w:t xml:space="preserve"> </w:t>
      </w:r>
      <w:r w:rsidR="00DF09D1" w:rsidRPr="00C07435">
        <w:t xml:space="preserve">to osoby w wieku </w:t>
      </w:r>
      <w:r w:rsidR="00AC4919" w:rsidRPr="00C07435">
        <w:t xml:space="preserve">25–44 tj. łącznie </w:t>
      </w:r>
      <w:r w:rsidR="00C07435" w:rsidRPr="00C07435">
        <w:t>52</w:t>
      </w:r>
      <w:r w:rsidRPr="00C07435">
        <w:t>,</w:t>
      </w:r>
      <w:r w:rsidR="00C07435" w:rsidRPr="00C07435">
        <w:t>9</w:t>
      </w:r>
      <w:r w:rsidR="00AC4919" w:rsidRPr="00C07435">
        <w:t xml:space="preserve"> </w:t>
      </w:r>
      <w:r w:rsidRPr="00C07435">
        <w:t>% ogółu bezrobotnych zam</w:t>
      </w:r>
      <w:r w:rsidR="00C07435">
        <w:t>.</w:t>
      </w:r>
      <w:r w:rsidRPr="00C07435">
        <w:t xml:space="preserve"> na wsi</w:t>
      </w:r>
      <w:r w:rsidR="009C15B7" w:rsidRPr="00C07435">
        <w:t xml:space="preserve">. </w:t>
      </w:r>
      <w:r w:rsidR="00C07435">
        <w:t xml:space="preserve">Osoby pozostające bez stałego zatrudnienia na wsi są </w:t>
      </w:r>
      <w:r w:rsidR="009C15B7" w:rsidRPr="00C07435">
        <w:t>niewykorzystan</w:t>
      </w:r>
      <w:r w:rsidR="00C07435">
        <w:t>ymi</w:t>
      </w:r>
      <w:r w:rsidR="009C15B7" w:rsidRPr="00C07435">
        <w:t xml:space="preserve"> zasob</w:t>
      </w:r>
      <w:r w:rsidR="00C07435">
        <w:t>ami</w:t>
      </w:r>
      <w:r w:rsidR="009C15B7" w:rsidRPr="00C07435">
        <w:t xml:space="preserve"> </w:t>
      </w:r>
      <w:r w:rsidR="00C07435">
        <w:t xml:space="preserve">pracowników. Często pozostają </w:t>
      </w:r>
      <w:r w:rsidR="009C15B7" w:rsidRPr="00C07435">
        <w:t>w wieku produkcyjnym</w:t>
      </w:r>
      <w:r w:rsidR="00092F4D" w:rsidRPr="00C07435">
        <w:t>. Stanowią tzw. bezrobocie ukryte na wsi</w:t>
      </w:r>
      <w:r w:rsidR="00C07435">
        <w:t>.</w:t>
      </w:r>
    </w:p>
    <w:p w:rsidR="00156F4A" w:rsidRPr="00DA4AA1" w:rsidRDefault="00B53E96" w:rsidP="00156F4A">
      <w:pPr>
        <w:pStyle w:val="Default"/>
        <w:numPr>
          <w:ilvl w:val="0"/>
          <w:numId w:val="26"/>
        </w:numPr>
        <w:spacing w:line="360" w:lineRule="auto"/>
        <w:jc w:val="both"/>
      </w:pPr>
      <w:r w:rsidRPr="00DA4AA1">
        <w:rPr>
          <w:b/>
        </w:rPr>
        <w:t xml:space="preserve">Struktura osób </w:t>
      </w:r>
      <w:r w:rsidR="009C15B7" w:rsidRPr="00DA4AA1">
        <w:rPr>
          <w:b/>
        </w:rPr>
        <w:t>bezrobotnych na wsi</w:t>
      </w:r>
      <w:r w:rsidR="00752510" w:rsidRPr="00DA4AA1">
        <w:rPr>
          <w:b/>
        </w:rPr>
        <w:t>.</w:t>
      </w:r>
      <w:r w:rsidR="009C15B7" w:rsidRPr="00DA4AA1">
        <w:t xml:space="preserve"> </w:t>
      </w:r>
      <w:r w:rsidR="00752510" w:rsidRPr="00DA4AA1">
        <w:t>W</w:t>
      </w:r>
      <w:r w:rsidR="00156F4A" w:rsidRPr="00DA4AA1">
        <w:t xml:space="preserve">ykształcenie zasadnicze zawodowe </w:t>
      </w:r>
      <w:r w:rsidR="00C07435" w:rsidRPr="00DA4AA1">
        <w:t xml:space="preserve">to </w:t>
      </w:r>
      <w:r w:rsidR="00156F4A" w:rsidRPr="00DA4AA1">
        <w:t>3</w:t>
      </w:r>
      <w:r w:rsidR="00DA4AA1" w:rsidRPr="00DA4AA1">
        <w:t>0</w:t>
      </w:r>
      <w:r w:rsidR="00156F4A" w:rsidRPr="00DA4AA1">
        <w:t>,</w:t>
      </w:r>
      <w:r w:rsidR="00DA4AA1" w:rsidRPr="00DA4AA1">
        <w:t>8</w:t>
      </w:r>
      <w:r w:rsidR="00C07435" w:rsidRPr="00DA4AA1">
        <w:t xml:space="preserve"> </w:t>
      </w:r>
      <w:r w:rsidR="00156F4A" w:rsidRPr="00DA4AA1">
        <w:t>% bezrobotnych na wsi</w:t>
      </w:r>
      <w:r w:rsidR="00C07435" w:rsidRPr="00DA4AA1">
        <w:t>.</w:t>
      </w:r>
      <w:r w:rsidR="00156F4A" w:rsidRPr="00DA4AA1">
        <w:t xml:space="preserve"> </w:t>
      </w:r>
      <w:r w:rsidR="00C07435" w:rsidRPr="00DA4AA1">
        <w:t>P</w:t>
      </w:r>
      <w:r w:rsidR="00156F4A" w:rsidRPr="00DA4AA1">
        <w:t>olicealne i średnie zawodowe</w:t>
      </w:r>
      <w:r w:rsidR="00C07435" w:rsidRPr="00DA4AA1">
        <w:t xml:space="preserve"> – </w:t>
      </w:r>
      <w:r w:rsidR="00156F4A" w:rsidRPr="00DA4AA1">
        <w:t>2</w:t>
      </w:r>
      <w:r w:rsidR="00DA4AA1" w:rsidRPr="00DA4AA1">
        <w:t>6</w:t>
      </w:r>
      <w:r w:rsidR="00156F4A" w:rsidRPr="00DA4AA1">
        <w:t>,</w:t>
      </w:r>
      <w:r w:rsidR="00DA4AA1" w:rsidRPr="00DA4AA1">
        <w:t>2</w:t>
      </w:r>
      <w:r w:rsidR="00C07435" w:rsidRPr="00DA4AA1">
        <w:t xml:space="preserve"> </w:t>
      </w:r>
      <w:r w:rsidR="00156F4A" w:rsidRPr="00DA4AA1">
        <w:t xml:space="preserve">%. </w:t>
      </w:r>
      <w:r w:rsidR="00870A42" w:rsidRPr="00DA4AA1">
        <w:t>Bezrobotni na wsi p</w:t>
      </w:r>
      <w:r w:rsidR="00156F4A" w:rsidRPr="00DA4AA1">
        <w:t xml:space="preserve">osiadają krótki staż </w:t>
      </w:r>
      <w:r w:rsidR="00C07435" w:rsidRPr="00DA4AA1">
        <w:t xml:space="preserve">pracy w zawodzie </w:t>
      </w:r>
      <w:r w:rsidR="00156F4A" w:rsidRPr="00DA4AA1">
        <w:t>4</w:t>
      </w:r>
      <w:r w:rsidR="00DA4AA1" w:rsidRPr="00DA4AA1">
        <w:t>5</w:t>
      </w:r>
      <w:r w:rsidR="00156F4A" w:rsidRPr="00DA4AA1">
        <w:t>,</w:t>
      </w:r>
      <w:r w:rsidR="00DA4AA1" w:rsidRPr="00DA4AA1">
        <w:t>4</w:t>
      </w:r>
      <w:r w:rsidR="00C07435" w:rsidRPr="00DA4AA1">
        <w:t xml:space="preserve"> </w:t>
      </w:r>
      <w:r w:rsidR="00156F4A" w:rsidRPr="00DA4AA1">
        <w:t>%</w:t>
      </w:r>
      <w:r w:rsidR="00366BD5" w:rsidRPr="00DA4AA1">
        <w:t xml:space="preserve"> - </w:t>
      </w:r>
      <w:r w:rsidR="00156F4A" w:rsidRPr="00DA4AA1">
        <w:t>do 5 lat</w:t>
      </w:r>
      <w:r w:rsidR="00C07435" w:rsidRPr="00DA4AA1">
        <w:t xml:space="preserve"> </w:t>
      </w:r>
      <w:r w:rsidR="00896B23" w:rsidRPr="00DA4AA1">
        <w:t>oraz</w:t>
      </w:r>
      <w:r w:rsidR="00156F4A" w:rsidRPr="00DA4AA1">
        <w:t xml:space="preserve"> </w:t>
      </w:r>
      <w:r w:rsidR="00DA4AA1" w:rsidRPr="00DA4AA1">
        <w:t>17</w:t>
      </w:r>
      <w:r w:rsidR="00156F4A" w:rsidRPr="00DA4AA1">
        <w:t>,</w:t>
      </w:r>
      <w:r w:rsidR="00DA4AA1" w:rsidRPr="00DA4AA1">
        <w:t>1</w:t>
      </w:r>
      <w:r w:rsidR="00C07435" w:rsidRPr="00DA4AA1">
        <w:t xml:space="preserve"> </w:t>
      </w:r>
      <w:r w:rsidR="00156F4A" w:rsidRPr="00DA4AA1">
        <w:t>% przed rejestracją</w:t>
      </w:r>
      <w:r w:rsidR="00366BD5" w:rsidRPr="00DA4AA1">
        <w:t xml:space="preserve"> </w:t>
      </w:r>
      <w:r w:rsidR="00156F4A" w:rsidRPr="00DA4AA1">
        <w:t>w</w:t>
      </w:r>
      <w:r w:rsidR="00896B23" w:rsidRPr="00DA4AA1">
        <w:t> </w:t>
      </w:r>
      <w:r w:rsidR="00366BD5" w:rsidRPr="00DA4AA1">
        <w:t>PUP</w:t>
      </w:r>
      <w:r w:rsidR="00156F4A" w:rsidRPr="00DA4AA1">
        <w:t xml:space="preserve"> nie pracowało</w:t>
      </w:r>
      <w:r w:rsidR="00870A42" w:rsidRPr="00DA4AA1">
        <w:t>. Brak doświadczenia zawodowego lub bardzo krótki okres pracy to łącznie 62</w:t>
      </w:r>
      <w:r w:rsidR="00156F4A" w:rsidRPr="00DA4AA1">
        <w:t>,</w:t>
      </w:r>
      <w:r w:rsidR="00870A42" w:rsidRPr="00DA4AA1">
        <w:t>5</w:t>
      </w:r>
      <w:r w:rsidR="00C07435" w:rsidRPr="00DA4AA1">
        <w:t xml:space="preserve"> </w:t>
      </w:r>
      <w:r w:rsidR="00156F4A" w:rsidRPr="00DA4AA1">
        <w:t xml:space="preserve">% ogółu bezrobotnych na wsi. </w:t>
      </w:r>
      <w:r w:rsidR="00870A42" w:rsidRPr="00DA4AA1">
        <w:t>B</w:t>
      </w:r>
      <w:r w:rsidR="00015531" w:rsidRPr="00DA4AA1">
        <w:t xml:space="preserve">ez pracy powyżej 12 miesięcy pozostaje </w:t>
      </w:r>
      <w:r w:rsidR="00156F4A" w:rsidRPr="00DA4AA1">
        <w:t>4</w:t>
      </w:r>
      <w:r w:rsidR="00DA4AA1" w:rsidRPr="00DA4AA1">
        <w:t>4</w:t>
      </w:r>
      <w:r w:rsidR="00156F4A" w:rsidRPr="00DA4AA1">
        <w:t>,</w:t>
      </w:r>
      <w:r w:rsidR="00DA4AA1" w:rsidRPr="00DA4AA1">
        <w:t xml:space="preserve">8 </w:t>
      </w:r>
      <w:r w:rsidR="00156F4A" w:rsidRPr="00DA4AA1">
        <w:t>% bezrobotnych zam</w:t>
      </w:r>
      <w:r w:rsidR="00753452" w:rsidRPr="00DA4AA1">
        <w:t>.</w:t>
      </w:r>
      <w:r w:rsidR="00156F4A" w:rsidRPr="00DA4AA1">
        <w:t xml:space="preserve"> na wsi</w:t>
      </w:r>
      <w:r w:rsidR="00753452" w:rsidRPr="00DA4AA1">
        <w:t>.</w:t>
      </w:r>
    </w:p>
    <w:p w:rsidR="00156F4A" w:rsidRPr="007D7EC0" w:rsidRDefault="00156F4A" w:rsidP="00156F4A">
      <w:pPr>
        <w:pStyle w:val="Default"/>
        <w:numPr>
          <w:ilvl w:val="0"/>
          <w:numId w:val="26"/>
        </w:numPr>
        <w:spacing w:line="360" w:lineRule="auto"/>
        <w:jc w:val="both"/>
      </w:pPr>
      <w:r w:rsidRPr="007D7EC0">
        <w:rPr>
          <w:b/>
        </w:rPr>
        <w:t>Bezrobocie długotrwałe</w:t>
      </w:r>
      <w:r w:rsidR="00752510" w:rsidRPr="007D7EC0">
        <w:rPr>
          <w:b/>
        </w:rPr>
        <w:t>.</w:t>
      </w:r>
      <w:r w:rsidRPr="007D7EC0">
        <w:t xml:space="preserve"> </w:t>
      </w:r>
      <w:r w:rsidR="00752510" w:rsidRPr="007D7EC0">
        <w:t>O</w:t>
      </w:r>
      <w:r w:rsidRPr="007D7EC0">
        <w:t xml:space="preserve">dnotowano spadek (o </w:t>
      </w:r>
      <w:r w:rsidR="007D7EC0" w:rsidRPr="007D7EC0">
        <w:t>3</w:t>
      </w:r>
      <w:r w:rsidR="00816676" w:rsidRPr="007D7EC0">
        <w:t>,</w:t>
      </w:r>
      <w:r w:rsidR="007D7EC0" w:rsidRPr="007D7EC0">
        <w:t>1</w:t>
      </w:r>
      <w:r w:rsidRPr="007D7EC0">
        <w:t xml:space="preserve"> pkt</w:t>
      </w:r>
      <w:r w:rsidR="00816676" w:rsidRPr="007D7EC0">
        <w:t>.</w:t>
      </w:r>
      <w:r w:rsidRPr="007D7EC0">
        <w:t xml:space="preserve"> proc</w:t>
      </w:r>
      <w:r w:rsidR="00816676" w:rsidRPr="007D7EC0">
        <w:t>.</w:t>
      </w:r>
      <w:r w:rsidRPr="007D7EC0">
        <w:t>) liczby osób bezrobotnych powyżej 12 miesięcy</w:t>
      </w:r>
      <w:r w:rsidR="004B3EB4" w:rsidRPr="007D7EC0">
        <w:t>.</w:t>
      </w:r>
      <w:r w:rsidRPr="007D7EC0">
        <w:t xml:space="preserve"> </w:t>
      </w:r>
      <w:r w:rsidR="00166169" w:rsidRPr="007D7EC0">
        <w:t>O</w:t>
      </w:r>
      <w:r w:rsidRPr="007D7EC0">
        <w:t xml:space="preserve">soby długotrwale bezrobotne stanowiły </w:t>
      </w:r>
      <w:r w:rsidR="007D7EC0" w:rsidRPr="007D7EC0">
        <w:t>56</w:t>
      </w:r>
      <w:r w:rsidRPr="007D7EC0">
        <w:t>,</w:t>
      </w:r>
      <w:r w:rsidR="007D7EC0" w:rsidRPr="007D7EC0">
        <w:t xml:space="preserve">9 </w:t>
      </w:r>
      <w:r w:rsidRPr="007D7EC0">
        <w:t>% ogólnej liczby bezrobotnych (w 201</w:t>
      </w:r>
      <w:r w:rsidR="007D7EC0" w:rsidRPr="007D7EC0">
        <w:t>7</w:t>
      </w:r>
      <w:r w:rsidRPr="007D7EC0">
        <w:t xml:space="preserve"> r. – 6</w:t>
      </w:r>
      <w:r w:rsidR="007E72CE" w:rsidRPr="007D7EC0">
        <w:t>0</w:t>
      </w:r>
      <w:r w:rsidRPr="007D7EC0">
        <w:t>,</w:t>
      </w:r>
      <w:r w:rsidR="007D7EC0" w:rsidRPr="007D7EC0">
        <w:t xml:space="preserve">0 </w:t>
      </w:r>
      <w:r w:rsidRPr="007D7EC0">
        <w:t>% ogółu).</w:t>
      </w:r>
    </w:p>
    <w:p w:rsidR="0099286B" w:rsidRPr="0099286B" w:rsidRDefault="00752510" w:rsidP="0099286B">
      <w:pPr>
        <w:pStyle w:val="Default"/>
        <w:numPr>
          <w:ilvl w:val="0"/>
          <w:numId w:val="26"/>
        </w:numPr>
        <w:spacing w:line="360" w:lineRule="auto"/>
        <w:jc w:val="both"/>
      </w:pPr>
      <w:r w:rsidRPr="0099286B">
        <w:rPr>
          <w:b/>
        </w:rPr>
        <w:t>Kumulacja poziomów wykształcenia wśród bezrobotnych.</w:t>
      </w:r>
      <w:r w:rsidR="00156F4A" w:rsidRPr="007D7EC0">
        <w:t xml:space="preserve"> </w:t>
      </w:r>
      <w:r w:rsidRPr="007D7EC0">
        <w:t>P</w:t>
      </w:r>
      <w:r w:rsidR="00156F4A" w:rsidRPr="007D7EC0">
        <w:t xml:space="preserve">onad ½ bezrobotnych </w:t>
      </w:r>
      <w:r w:rsidR="004B3EB4" w:rsidRPr="007D7EC0">
        <w:t xml:space="preserve">tj. </w:t>
      </w:r>
      <w:r w:rsidR="007D7EC0" w:rsidRPr="007D7EC0">
        <w:t>53</w:t>
      </w:r>
      <w:r w:rsidR="00156F4A" w:rsidRPr="007D7EC0">
        <w:t>,</w:t>
      </w:r>
      <w:r w:rsidR="007D7EC0" w:rsidRPr="007D7EC0">
        <w:t xml:space="preserve">9 </w:t>
      </w:r>
      <w:r w:rsidR="00156F4A" w:rsidRPr="007D7EC0">
        <w:t>% ogółu</w:t>
      </w:r>
      <w:r w:rsidR="004A3BF8" w:rsidRPr="007D7EC0">
        <w:t xml:space="preserve"> </w:t>
      </w:r>
      <w:r w:rsidR="00156F4A" w:rsidRPr="007D7EC0">
        <w:t>bezrobotnych</w:t>
      </w:r>
      <w:r w:rsidR="004B3EB4" w:rsidRPr="007D7EC0">
        <w:t xml:space="preserve"> </w:t>
      </w:r>
      <w:r w:rsidR="00156F4A" w:rsidRPr="007D7EC0">
        <w:t>posiadała wykształcenie o charakterze zawodowym</w:t>
      </w:r>
      <w:r w:rsidR="00A4248B">
        <w:t xml:space="preserve"> tj.</w:t>
      </w:r>
      <w:r w:rsidR="00156F4A" w:rsidRPr="007D7EC0">
        <w:t xml:space="preserve"> zasadnicze zawodowe (2</w:t>
      </w:r>
      <w:r w:rsidR="007D7EC0" w:rsidRPr="007D7EC0">
        <w:t>7</w:t>
      </w:r>
      <w:r w:rsidR="00156F4A" w:rsidRPr="007D7EC0">
        <w:t>,</w:t>
      </w:r>
      <w:r w:rsidR="007D7EC0" w:rsidRPr="007D7EC0">
        <w:t xml:space="preserve">8 </w:t>
      </w:r>
      <w:r w:rsidR="00156F4A" w:rsidRPr="007D7EC0">
        <w:t>%) oraz policealne i średnie zawodowe (2</w:t>
      </w:r>
      <w:r w:rsidR="007D7EC0" w:rsidRPr="007D7EC0">
        <w:t>6</w:t>
      </w:r>
      <w:r w:rsidR="00156F4A" w:rsidRPr="007D7EC0">
        <w:t>,</w:t>
      </w:r>
      <w:r w:rsidR="007D7EC0" w:rsidRPr="007D7EC0">
        <w:t xml:space="preserve">1 </w:t>
      </w:r>
      <w:r w:rsidR="00156F4A" w:rsidRPr="007D7EC0">
        <w:t>%). Należy zaznaczyć, że trzecią</w:t>
      </w:r>
      <w:r w:rsidR="0075743F" w:rsidRPr="007D7EC0">
        <w:t xml:space="preserve"> kumulacją </w:t>
      </w:r>
      <w:r w:rsidR="00156F4A" w:rsidRPr="007D7EC0">
        <w:t>były osoby bezrobotne z wykształceniem gimnazjalnym i</w:t>
      </w:r>
      <w:r w:rsidRPr="007D7EC0">
        <w:t> </w:t>
      </w:r>
      <w:r w:rsidR="00156F4A" w:rsidRPr="007D7EC0">
        <w:t>niższym (</w:t>
      </w:r>
      <w:r w:rsidR="007D7EC0" w:rsidRPr="007D7EC0">
        <w:t>19</w:t>
      </w:r>
      <w:r w:rsidR="00156F4A" w:rsidRPr="007D7EC0">
        <w:t>,</w:t>
      </w:r>
      <w:r w:rsidR="007D7EC0" w:rsidRPr="007D7EC0">
        <w:t xml:space="preserve">5 </w:t>
      </w:r>
      <w:r w:rsidR="00156F4A" w:rsidRPr="007D7EC0">
        <w:t>%).</w:t>
      </w:r>
      <w:r w:rsidR="0099286B">
        <w:br w:type="page"/>
      </w:r>
    </w:p>
    <w:p w:rsidR="00156F4A" w:rsidRPr="00A4248B" w:rsidRDefault="00952A6F" w:rsidP="00156F4A">
      <w:pPr>
        <w:pStyle w:val="Default"/>
        <w:numPr>
          <w:ilvl w:val="0"/>
          <w:numId w:val="26"/>
        </w:numPr>
        <w:spacing w:line="360" w:lineRule="auto"/>
        <w:jc w:val="both"/>
      </w:pPr>
      <w:r w:rsidRPr="00A4248B">
        <w:rPr>
          <w:b/>
        </w:rPr>
        <w:lastRenderedPageBreak/>
        <w:t>Rejestrowane be</w:t>
      </w:r>
      <w:r w:rsidR="00156F4A" w:rsidRPr="00A4248B">
        <w:rPr>
          <w:b/>
        </w:rPr>
        <w:t xml:space="preserve">zrobocie </w:t>
      </w:r>
      <w:r w:rsidRPr="00A4248B">
        <w:rPr>
          <w:b/>
        </w:rPr>
        <w:t xml:space="preserve">osób </w:t>
      </w:r>
      <w:r w:rsidR="00752510" w:rsidRPr="00A4248B">
        <w:rPr>
          <w:b/>
        </w:rPr>
        <w:t>posiadających w</w:t>
      </w:r>
      <w:r w:rsidR="00156F4A" w:rsidRPr="00A4248B">
        <w:rPr>
          <w:b/>
        </w:rPr>
        <w:t>ykształceni</w:t>
      </w:r>
      <w:r w:rsidR="00752510" w:rsidRPr="00A4248B">
        <w:rPr>
          <w:b/>
        </w:rPr>
        <w:t>e wyższe.</w:t>
      </w:r>
      <w:r w:rsidR="00156F4A" w:rsidRPr="00A4248B">
        <w:t xml:space="preserve"> </w:t>
      </w:r>
      <w:r w:rsidR="00752510" w:rsidRPr="00A4248B">
        <w:t>W</w:t>
      </w:r>
      <w:r w:rsidR="00156F4A" w:rsidRPr="00A4248B">
        <w:t>ykształcenie wyższe posiadało 1</w:t>
      </w:r>
      <w:r w:rsidR="0075743F" w:rsidRPr="00A4248B">
        <w:t>5,</w:t>
      </w:r>
      <w:r w:rsidR="00A4248B" w:rsidRPr="00A4248B">
        <w:t xml:space="preserve">5 </w:t>
      </w:r>
      <w:r w:rsidR="00156F4A" w:rsidRPr="00A4248B">
        <w:t>% osób bezrobotnych zarejestrowanych w PUP. Odsetek ten ulega wzrostowi</w:t>
      </w:r>
      <w:r w:rsidR="004A3BF8" w:rsidRPr="00A4248B">
        <w:t>,</w:t>
      </w:r>
      <w:r w:rsidR="00156F4A" w:rsidRPr="00A4248B">
        <w:t xml:space="preserve"> wraz</w:t>
      </w:r>
      <w:r w:rsidR="007E72CE" w:rsidRPr="00A4248B">
        <w:t xml:space="preserve"> </w:t>
      </w:r>
      <w:r w:rsidR="00156F4A" w:rsidRPr="00A4248B">
        <w:t>z</w:t>
      </w:r>
      <w:r w:rsidR="007E72CE" w:rsidRPr="00A4248B">
        <w:t xml:space="preserve"> </w:t>
      </w:r>
      <w:r w:rsidR="00156F4A" w:rsidRPr="00A4248B">
        <w:t xml:space="preserve">coraz większą ilością </w:t>
      </w:r>
      <w:r w:rsidR="0075743F" w:rsidRPr="00A4248B">
        <w:t xml:space="preserve">osób </w:t>
      </w:r>
      <w:r w:rsidR="00156F4A" w:rsidRPr="00A4248B">
        <w:t>w ogólnej strukturze ludności</w:t>
      </w:r>
      <w:r w:rsidR="007E72CE" w:rsidRPr="00A4248B">
        <w:t xml:space="preserve"> kończących studia wyższe</w:t>
      </w:r>
      <w:r w:rsidR="00156F4A" w:rsidRPr="00A4248B">
        <w:t>.</w:t>
      </w:r>
    </w:p>
    <w:p w:rsidR="00156F4A" w:rsidRPr="009B0303" w:rsidRDefault="00E95936" w:rsidP="00156F4A">
      <w:pPr>
        <w:pStyle w:val="Default"/>
        <w:numPr>
          <w:ilvl w:val="0"/>
          <w:numId w:val="26"/>
        </w:numPr>
        <w:spacing w:line="360" w:lineRule="auto"/>
        <w:jc w:val="both"/>
      </w:pPr>
      <w:r w:rsidRPr="009B0303">
        <w:rPr>
          <w:b/>
        </w:rPr>
        <w:t>Osoby bezrobotne wg wieku</w:t>
      </w:r>
      <w:r w:rsidR="00952A6F" w:rsidRPr="009B0303">
        <w:rPr>
          <w:b/>
        </w:rPr>
        <w:t>.</w:t>
      </w:r>
      <w:r w:rsidR="00156F4A" w:rsidRPr="009B0303">
        <w:t xml:space="preserve"> </w:t>
      </w:r>
      <w:r w:rsidR="00952A6F" w:rsidRPr="009B0303">
        <w:t>O</w:t>
      </w:r>
      <w:r w:rsidR="00156F4A" w:rsidRPr="009B0303">
        <w:t>soby będące w wieku 25</w:t>
      </w:r>
      <w:r w:rsidR="009D4603" w:rsidRPr="009B0303">
        <w:t>–</w:t>
      </w:r>
      <w:r w:rsidR="00156F4A" w:rsidRPr="009B0303">
        <w:t>34 lat to 30,</w:t>
      </w:r>
      <w:r w:rsidR="009B0303" w:rsidRPr="009B0303">
        <w:t xml:space="preserve">2 </w:t>
      </w:r>
      <w:r w:rsidR="00156F4A" w:rsidRPr="009B0303">
        <w:t>% ogółu bezrobotnych w PUP</w:t>
      </w:r>
      <w:r w:rsidR="009D4603" w:rsidRPr="009B0303">
        <w:t>.</w:t>
      </w:r>
      <w:r w:rsidR="00156F4A" w:rsidRPr="009B0303">
        <w:t xml:space="preserve"> </w:t>
      </w:r>
      <w:r w:rsidR="009D4603" w:rsidRPr="009B0303">
        <w:t>O</w:t>
      </w:r>
      <w:r w:rsidR="00156F4A" w:rsidRPr="009B0303">
        <w:t>soby w wieku 35</w:t>
      </w:r>
      <w:r w:rsidR="009D4603" w:rsidRPr="009B0303">
        <w:t>–</w:t>
      </w:r>
      <w:r w:rsidR="00156F4A" w:rsidRPr="009B0303">
        <w:t>44 lat to 2</w:t>
      </w:r>
      <w:r w:rsidR="009B0303" w:rsidRPr="009B0303">
        <w:t>3</w:t>
      </w:r>
      <w:r w:rsidR="00156F4A" w:rsidRPr="009B0303">
        <w:t>,</w:t>
      </w:r>
      <w:r w:rsidR="009B0303" w:rsidRPr="009B0303">
        <w:t xml:space="preserve">2 </w:t>
      </w:r>
      <w:r w:rsidR="00156F4A" w:rsidRPr="009B0303">
        <w:t xml:space="preserve">%, </w:t>
      </w:r>
      <w:r w:rsidR="009D4603" w:rsidRPr="009B0303">
        <w:t>a</w:t>
      </w:r>
      <w:r w:rsidR="00156F4A" w:rsidRPr="009B0303">
        <w:t xml:space="preserve"> w</w:t>
      </w:r>
      <w:r w:rsidR="00EC2F44" w:rsidRPr="009B0303">
        <w:t> </w:t>
      </w:r>
      <w:r w:rsidR="00156F4A" w:rsidRPr="009B0303">
        <w:t>wieku 45</w:t>
      </w:r>
      <w:r w:rsidR="009D4603" w:rsidRPr="009B0303">
        <w:t>–</w:t>
      </w:r>
      <w:r w:rsidR="00156F4A" w:rsidRPr="009B0303">
        <w:t xml:space="preserve">54 lat – </w:t>
      </w:r>
      <w:r w:rsidR="009B0303" w:rsidRPr="009B0303">
        <w:t>17</w:t>
      </w:r>
      <w:r w:rsidR="00156F4A" w:rsidRPr="009B0303">
        <w:t>,</w:t>
      </w:r>
      <w:r w:rsidR="009B0303" w:rsidRPr="009B0303">
        <w:t xml:space="preserve">9 </w:t>
      </w:r>
      <w:r w:rsidR="00156F4A" w:rsidRPr="009B0303">
        <w:t xml:space="preserve">%. </w:t>
      </w:r>
      <w:r w:rsidR="009D4603" w:rsidRPr="009B0303">
        <w:t xml:space="preserve">Są to najbardziej liczne grupy wiekowe. </w:t>
      </w:r>
      <w:r w:rsidR="00156F4A" w:rsidRPr="009B0303">
        <w:t xml:space="preserve">Osoby </w:t>
      </w:r>
      <w:r w:rsidR="009D4603" w:rsidRPr="009B0303">
        <w:t xml:space="preserve">będące </w:t>
      </w:r>
      <w:r w:rsidR="00156F4A" w:rsidRPr="009B0303">
        <w:t>w wieku 18</w:t>
      </w:r>
      <w:r w:rsidR="009D4603" w:rsidRPr="009B0303">
        <w:t>–</w:t>
      </w:r>
      <w:r w:rsidR="00156F4A" w:rsidRPr="009B0303">
        <w:t>24 lat obejmowały 1</w:t>
      </w:r>
      <w:r w:rsidR="009B0303" w:rsidRPr="009B0303">
        <w:t>3</w:t>
      </w:r>
      <w:r w:rsidR="00156F4A" w:rsidRPr="009B0303">
        <w:t>,</w:t>
      </w:r>
      <w:r w:rsidR="009B0303" w:rsidRPr="009B0303">
        <w:t xml:space="preserve">8 </w:t>
      </w:r>
      <w:r w:rsidR="00156F4A" w:rsidRPr="009B0303">
        <w:t xml:space="preserve">% ogółu osób bezrobotnych. </w:t>
      </w:r>
      <w:r w:rsidR="009D4603" w:rsidRPr="009B0303">
        <w:t>B</w:t>
      </w:r>
      <w:r w:rsidR="00156F4A" w:rsidRPr="009B0303">
        <w:t>ezrobotn</w:t>
      </w:r>
      <w:r w:rsidR="009D4603" w:rsidRPr="009B0303">
        <w:t>i</w:t>
      </w:r>
      <w:r w:rsidR="00156F4A" w:rsidRPr="009B0303">
        <w:t xml:space="preserve"> w wieku 18</w:t>
      </w:r>
      <w:r w:rsidR="009D4603" w:rsidRPr="009B0303">
        <w:t>–</w:t>
      </w:r>
      <w:r w:rsidR="00156F4A" w:rsidRPr="009B0303">
        <w:t xml:space="preserve">44 lat </w:t>
      </w:r>
      <w:r w:rsidR="00BC2E7D" w:rsidRPr="009B0303">
        <w:t>zawierali się w</w:t>
      </w:r>
      <w:r w:rsidR="009B0303" w:rsidRPr="009B0303">
        <w:t> </w:t>
      </w:r>
      <w:r w:rsidR="00BC2E7D" w:rsidRPr="009B0303">
        <w:t xml:space="preserve">przedziale więcej </w:t>
      </w:r>
      <w:r w:rsidR="009B0303" w:rsidRPr="009B0303">
        <w:t>niż</w:t>
      </w:r>
      <w:r w:rsidR="00BC2E7D" w:rsidRPr="009B0303">
        <w:t xml:space="preserve"> ½ </w:t>
      </w:r>
      <w:r w:rsidR="009D4603" w:rsidRPr="009B0303">
        <w:t>i</w:t>
      </w:r>
      <w:r w:rsidR="00156F4A" w:rsidRPr="009B0303">
        <w:t xml:space="preserve"> </w:t>
      </w:r>
      <w:r w:rsidR="00BC2E7D" w:rsidRPr="009B0303">
        <w:t xml:space="preserve">mniej </w:t>
      </w:r>
      <w:r w:rsidR="009B0303" w:rsidRPr="009B0303">
        <w:t>jak</w:t>
      </w:r>
      <w:r w:rsidR="00156F4A" w:rsidRPr="009B0303">
        <w:t xml:space="preserve"> ¾ </w:t>
      </w:r>
      <w:r w:rsidR="00BC2E7D" w:rsidRPr="009B0303">
        <w:t xml:space="preserve">tj. </w:t>
      </w:r>
      <w:r w:rsidR="009D4603" w:rsidRPr="009B0303">
        <w:t>67</w:t>
      </w:r>
      <w:r w:rsidR="00156F4A" w:rsidRPr="009B0303">
        <w:t>,</w:t>
      </w:r>
      <w:r w:rsidR="009B0303" w:rsidRPr="009B0303">
        <w:t xml:space="preserve">2 </w:t>
      </w:r>
      <w:r w:rsidR="00156F4A" w:rsidRPr="009B0303">
        <w:t>%</w:t>
      </w:r>
      <w:r w:rsidR="00BC2E7D" w:rsidRPr="009B0303">
        <w:t xml:space="preserve"> </w:t>
      </w:r>
      <w:r w:rsidR="009B0303" w:rsidRPr="009B0303">
        <w:t xml:space="preserve">ogółu </w:t>
      </w:r>
      <w:r w:rsidR="00BC2E7D" w:rsidRPr="009B0303">
        <w:t>bezrobotnych</w:t>
      </w:r>
      <w:r w:rsidR="009B0303" w:rsidRPr="009B0303">
        <w:t xml:space="preserve"> (przed rokiem 67,1 %). Za wzrost  o 0,1 %  bezrobotnych do 44 roku życia odpowiada przedział wieku 35-44 </w:t>
      </w:r>
      <w:r w:rsidR="009B0303">
        <w:t xml:space="preserve">lat – tj. wiek </w:t>
      </w:r>
      <w:r w:rsidR="009B0303" w:rsidRPr="009B0303">
        <w:t>produkcyjny i mobilny.</w:t>
      </w:r>
    </w:p>
    <w:p w:rsidR="00156F4A" w:rsidRPr="00E0403A" w:rsidRDefault="00E95936" w:rsidP="00BC2E7D">
      <w:pPr>
        <w:pStyle w:val="Default"/>
        <w:numPr>
          <w:ilvl w:val="0"/>
          <w:numId w:val="26"/>
        </w:numPr>
        <w:spacing w:line="360" w:lineRule="auto"/>
        <w:ind w:left="357" w:hanging="357"/>
        <w:jc w:val="both"/>
      </w:pPr>
      <w:r w:rsidRPr="00E0403A">
        <w:rPr>
          <w:b/>
        </w:rPr>
        <w:t>Osoby bezrobotne</w:t>
      </w:r>
      <w:r w:rsidR="00156F4A" w:rsidRPr="00E0403A">
        <w:rPr>
          <w:b/>
        </w:rPr>
        <w:t xml:space="preserve"> bez doświadczenia</w:t>
      </w:r>
      <w:r w:rsidR="00952A6F" w:rsidRPr="00E0403A">
        <w:rPr>
          <w:b/>
        </w:rPr>
        <w:t>.</w:t>
      </w:r>
      <w:r w:rsidR="00E0403A">
        <w:rPr>
          <w:b/>
        </w:rPr>
        <w:t xml:space="preserve"> </w:t>
      </w:r>
      <w:r w:rsidR="00156F4A" w:rsidRPr="00E0403A">
        <w:t>1</w:t>
      </w:r>
      <w:r w:rsidR="00E0403A" w:rsidRPr="00E0403A">
        <w:t>5</w:t>
      </w:r>
      <w:r w:rsidR="00156F4A" w:rsidRPr="00E0403A">
        <w:t>,</w:t>
      </w:r>
      <w:r w:rsidR="00E0403A" w:rsidRPr="00E0403A">
        <w:t>8</w:t>
      </w:r>
      <w:r w:rsidR="00E0403A">
        <w:t xml:space="preserve"> </w:t>
      </w:r>
      <w:r w:rsidR="00E0403A" w:rsidRPr="00E0403A">
        <w:t>%</w:t>
      </w:r>
      <w:r w:rsidR="00E0403A">
        <w:t xml:space="preserve"> </w:t>
      </w:r>
      <w:r w:rsidR="00156F4A" w:rsidRPr="00E0403A">
        <w:t>bezrobotnych</w:t>
      </w:r>
      <w:r w:rsidR="00E0403A">
        <w:t xml:space="preserve"> </w:t>
      </w:r>
      <w:r w:rsidR="00156F4A" w:rsidRPr="00E0403A">
        <w:t>ni</w:t>
      </w:r>
      <w:r w:rsidR="00E0403A">
        <w:t>e</w:t>
      </w:r>
      <w:r w:rsidR="00156F4A" w:rsidRPr="00E0403A">
        <w:t xml:space="preserve"> posiadało udokumentowanego doświadczenia zawodowego,</w:t>
      </w:r>
      <w:r w:rsidR="007076F7" w:rsidRPr="00E0403A">
        <w:t xml:space="preserve"> a </w:t>
      </w:r>
      <w:r w:rsidR="00156F4A" w:rsidRPr="00E0403A">
        <w:t>4</w:t>
      </w:r>
      <w:r w:rsidR="00E0403A" w:rsidRPr="00E0403A">
        <w:t>4</w:t>
      </w:r>
      <w:r w:rsidR="00156F4A" w:rsidRPr="00E0403A">
        <w:t>,</w:t>
      </w:r>
      <w:r w:rsidR="00E0403A" w:rsidRPr="00E0403A">
        <w:t>8</w:t>
      </w:r>
      <w:r w:rsidR="007076F7" w:rsidRPr="00E0403A">
        <w:t xml:space="preserve"> </w:t>
      </w:r>
      <w:r w:rsidR="00156F4A" w:rsidRPr="00E0403A">
        <w:t xml:space="preserve">% bezrobotnych posiadało krótki staż </w:t>
      </w:r>
      <w:r w:rsidR="007076F7" w:rsidRPr="00E0403A">
        <w:t xml:space="preserve">– </w:t>
      </w:r>
      <w:r w:rsidR="00156F4A" w:rsidRPr="00E0403A">
        <w:t>do 5 lat</w:t>
      </w:r>
      <w:r w:rsidR="009D4603" w:rsidRPr="00E0403A">
        <w:t>.</w:t>
      </w:r>
      <w:r w:rsidR="00156F4A" w:rsidRPr="00E0403A">
        <w:t xml:space="preserve"> </w:t>
      </w:r>
      <w:r w:rsidR="009D4603" w:rsidRPr="00E0403A">
        <w:t>D</w:t>
      </w:r>
      <w:r w:rsidR="00156F4A" w:rsidRPr="00E0403A">
        <w:t>odatkowo w przypadku części osób zdezaktualizowało się ono ze względu na znaczne odłożenie w czasie ostatniego zatrudnienia</w:t>
      </w:r>
      <w:r w:rsidR="007076F7" w:rsidRPr="00E0403A">
        <w:t>, o czym świadczy znaczna przewaga w rejestracji bezrobotnych, będących w ewidencji już po raz kolejny od 1990 roku</w:t>
      </w:r>
      <w:r w:rsidR="00156F4A" w:rsidRPr="00E0403A">
        <w:t>.</w:t>
      </w:r>
    </w:p>
    <w:p w:rsidR="00156F4A" w:rsidRPr="00E0403A" w:rsidRDefault="00B53E96" w:rsidP="00156F4A">
      <w:pPr>
        <w:pStyle w:val="Default"/>
        <w:numPr>
          <w:ilvl w:val="0"/>
          <w:numId w:val="26"/>
        </w:numPr>
        <w:spacing w:line="360" w:lineRule="auto"/>
        <w:jc w:val="both"/>
      </w:pPr>
      <w:r w:rsidRPr="00E0403A">
        <w:rPr>
          <w:b/>
        </w:rPr>
        <w:t xml:space="preserve">Poziom </w:t>
      </w:r>
      <w:r w:rsidR="00156F4A" w:rsidRPr="00E0403A">
        <w:rPr>
          <w:b/>
        </w:rPr>
        <w:t>zatrudnienia</w:t>
      </w:r>
      <w:r w:rsidR="00952A6F" w:rsidRPr="00E0403A">
        <w:rPr>
          <w:b/>
        </w:rPr>
        <w:t>.</w:t>
      </w:r>
      <w:r w:rsidR="00156F4A" w:rsidRPr="00E0403A">
        <w:t xml:space="preserve"> </w:t>
      </w:r>
      <w:r w:rsidR="00952A6F" w:rsidRPr="00E0403A">
        <w:t>Z</w:t>
      </w:r>
      <w:r w:rsidR="00156F4A" w:rsidRPr="00E0403A">
        <w:t xml:space="preserve"> powodu podjęcia pracy wyłączono </w:t>
      </w:r>
      <w:r w:rsidR="00E0403A" w:rsidRPr="00E0403A">
        <w:t>69</w:t>
      </w:r>
      <w:r w:rsidR="00156F4A" w:rsidRPr="00E0403A">
        <w:t> </w:t>
      </w:r>
      <w:r w:rsidR="00E0403A" w:rsidRPr="00E0403A">
        <w:t>942</w:t>
      </w:r>
      <w:r w:rsidR="00156F4A" w:rsidRPr="00E0403A">
        <w:t xml:space="preserve"> osób bezrobotnych, co stanowiło </w:t>
      </w:r>
      <w:r w:rsidR="009D4603" w:rsidRPr="00E0403A">
        <w:t>5</w:t>
      </w:r>
      <w:r w:rsidR="00E0403A" w:rsidRPr="00E0403A">
        <w:t>5</w:t>
      </w:r>
      <w:r w:rsidR="00156F4A" w:rsidRPr="00E0403A">
        <w:t>,</w:t>
      </w:r>
      <w:r w:rsidR="00E0403A" w:rsidRPr="00E0403A">
        <w:t xml:space="preserve">8 </w:t>
      </w:r>
      <w:r w:rsidR="00156F4A" w:rsidRPr="00E0403A">
        <w:t>% wszystkich wyłączeń z ewidencji w 201</w:t>
      </w:r>
      <w:r w:rsidR="00E0403A" w:rsidRPr="00E0403A">
        <w:t>8</w:t>
      </w:r>
      <w:r w:rsidR="00156F4A" w:rsidRPr="00E0403A">
        <w:t xml:space="preserve"> r</w:t>
      </w:r>
      <w:r w:rsidR="00E0403A" w:rsidRPr="00E0403A">
        <w:t>oku</w:t>
      </w:r>
      <w:r w:rsidR="00156F4A" w:rsidRPr="00E0403A">
        <w:t>.</w:t>
      </w:r>
    </w:p>
    <w:p w:rsidR="00156F4A" w:rsidRPr="00E0403A" w:rsidRDefault="00156F4A" w:rsidP="00156F4A">
      <w:pPr>
        <w:pStyle w:val="Default"/>
        <w:numPr>
          <w:ilvl w:val="0"/>
          <w:numId w:val="26"/>
        </w:numPr>
        <w:spacing w:line="360" w:lineRule="auto"/>
        <w:jc w:val="both"/>
      </w:pPr>
      <w:r w:rsidRPr="00B53E96">
        <w:rPr>
          <w:b/>
        </w:rPr>
        <w:t>Bezrobocie wielokrotne</w:t>
      </w:r>
      <w:r w:rsidR="00952A6F" w:rsidRPr="00B53E96">
        <w:rPr>
          <w:b/>
        </w:rPr>
        <w:t>.</w:t>
      </w:r>
      <w:r w:rsidRPr="00B53E96">
        <w:t xml:space="preserve"> </w:t>
      </w:r>
      <w:r w:rsidR="00952A6F" w:rsidRPr="00B53E96">
        <w:t>O</w:t>
      </w:r>
      <w:r w:rsidRPr="00B53E96">
        <w:t xml:space="preserve">d dłuższego czasu odnotowywany jest wysoki napływ do urzędów pracy osób już wcześniej posiadających status bezrobotnego w PUP, tj. rejestrujących się po raz kolejny. Osoby te stanowiły </w:t>
      </w:r>
      <w:r w:rsidR="002D18FA" w:rsidRPr="00B53E96">
        <w:t xml:space="preserve">w </w:t>
      </w:r>
      <w:r w:rsidR="002D18FA" w:rsidRPr="00E0403A">
        <w:t>okresie 201</w:t>
      </w:r>
      <w:r w:rsidR="00E0403A" w:rsidRPr="00E0403A">
        <w:t>8</w:t>
      </w:r>
      <w:r w:rsidR="002D18FA" w:rsidRPr="00E0403A">
        <w:t xml:space="preserve"> r. </w:t>
      </w:r>
      <w:r w:rsidR="00E0403A">
        <w:t>83</w:t>
      </w:r>
      <w:r w:rsidRPr="00E0403A">
        <w:t>,</w:t>
      </w:r>
      <w:r w:rsidR="00E0403A">
        <w:t>0</w:t>
      </w:r>
      <w:r w:rsidR="00E0403A" w:rsidRPr="00E0403A">
        <w:t xml:space="preserve"> </w:t>
      </w:r>
      <w:r w:rsidRPr="00E0403A">
        <w:t>% ogólnej liczby napływu do statystyk bezrobotnych w PUP (w 201</w:t>
      </w:r>
      <w:r w:rsidR="00E0403A" w:rsidRPr="00E0403A">
        <w:t>7</w:t>
      </w:r>
      <w:r w:rsidRPr="00E0403A">
        <w:t xml:space="preserve"> – 8</w:t>
      </w:r>
      <w:r w:rsidR="00E0403A" w:rsidRPr="00E0403A">
        <w:t>2</w:t>
      </w:r>
      <w:r w:rsidRPr="00E0403A">
        <w:t>,</w:t>
      </w:r>
      <w:r w:rsidR="00E0403A" w:rsidRPr="00E0403A">
        <w:t xml:space="preserve">9 </w:t>
      </w:r>
      <w:r w:rsidRPr="00E0403A">
        <w:t>%).</w:t>
      </w:r>
    </w:p>
    <w:p w:rsidR="00156F4A" w:rsidRPr="00E0403A" w:rsidRDefault="00156F4A" w:rsidP="00156F4A">
      <w:pPr>
        <w:pStyle w:val="Default"/>
        <w:numPr>
          <w:ilvl w:val="0"/>
          <w:numId w:val="26"/>
        </w:numPr>
        <w:spacing w:line="360" w:lineRule="auto"/>
        <w:jc w:val="both"/>
      </w:pPr>
      <w:r w:rsidRPr="00E0403A">
        <w:rPr>
          <w:b/>
        </w:rPr>
        <w:t>Odpływ</w:t>
      </w:r>
      <w:r w:rsidR="00B53E96" w:rsidRPr="00E0403A">
        <w:rPr>
          <w:b/>
        </w:rPr>
        <w:t>y</w:t>
      </w:r>
      <w:r w:rsidRPr="00E0403A">
        <w:rPr>
          <w:b/>
        </w:rPr>
        <w:t xml:space="preserve"> z powodu samodzielnej rezygnacji</w:t>
      </w:r>
      <w:r w:rsidR="00952A6F" w:rsidRPr="00E0403A">
        <w:rPr>
          <w:b/>
        </w:rPr>
        <w:t>.</w:t>
      </w:r>
      <w:r w:rsidRPr="00E0403A">
        <w:t xml:space="preserve"> </w:t>
      </w:r>
      <w:r w:rsidR="00952A6F" w:rsidRPr="00E0403A">
        <w:t>Z</w:t>
      </w:r>
      <w:r w:rsidRPr="00E0403A">
        <w:t>mniejsza się liczba bezrobotnych, którzy nie potwierdzali w urzędach pracy swojej gotowości do podjęcia zatrudnienia (w 201</w:t>
      </w:r>
      <w:r w:rsidR="00E0403A" w:rsidRPr="00E0403A">
        <w:t>8</w:t>
      </w:r>
      <w:r w:rsidRPr="00E0403A">
        <w:t xml:space="preserve"> r</w:t>
      </w:r>
      <w:r w:rsidR="00E0403A" w:rsidRPr="00E0403A">
        <w:t>oku</w:t>
      </w:r>
      <w:r w:rsidRPr="00E0403A">
        <w:t xml:space="preserve"> było to </w:t>
      </w:r>
      <w:r w:rsidR="00390F76" w:rsidRPr="00E0403A">
        <w:t>2</w:t>
      </w:r>
      <w:r w:rsidR="00E0403A" w:rsidRPr="00E0403A">
        <w:t>2</w:t>
      </w:r>
      <w:r w:rsidRPr="00E0403A">
        <w:t> </w:t>
      </w:r>
      <w:r w:rsidR="00E0403A" w:rsidRPr="00E0403A">
        <w:t>710</w:t>
      </w:r>
      <w:r w:rsidRPr="00E0403A">
        <w:t xml:space="preserve"> osób, co stanowiło </w:t>
      </w:r>
      <w:r w:rsidR="00E0403A" w:rsidRPr="00E0403A">
        <w:t>18</w:t>
      </w:r>
      <w:r w:rsidRPr="00E0403A">
        <w:t>,</w:t>
      </w:r>
      <w:r w:rsidR="00E0403A" w:rsidRPr="00E0403A">
        <w:t xml:space="preserve">1 </w:t>
      </w:r>
      <w:r w:rsidRPr="00E0403A">
        <w:t>% ogółu wyrejestrowanych osób bezrobotnych</w:t>
      </w:r>
      <w:r w:rsidR="00EA61F9" w:rsidRPr="00E0403A">
        <w:t xml:space="preserve"> w</w:t>
      </w:r>
      <w:r w:rsidR="00AE279C" w:rsidRPr="00E0403A">
        <w:t> </w:t>
      </w:r>
      <w:r w:rsidR="00EA61F9" w:rsidRPr="00E0403A">
        <w:t>roku</w:t>
      </w:r>
      <w:r w:rsidRPr="00E0403A">
        <w:t xml:space="preserve">, </w:t>
      </w:r>
      <w:r w:rsidR="00EA61F9" w:rsidRPr="00E0403A">
        <w:t xml:space="preserve">a </w:t>
      </w:r>
      <w:r w:rsidRPr="00E0403A">
        <w:t>w 201</w:t>
      </w:r>
      <w:r w:rsidR="00E0403A" w:rsidRPr="00E0403A">
        <w:t>7</w:t>
      </w:r>
      <w:r w:rsidRPr="00E0403A">
        <w:t xml:space="preserve"> r. – </w:t>
      </w:r>
      <w:r w:rsidR="00390F76" w:rsidRPr="00E0403A">
        <w:t>1</w:t>
      </w:r>
      <w:r w:rsidR="00E0403A" w:rsidRPr="00E0403A">
        <w:t>8</w:t>
      </w:r>
      <w:r w:rsidRPr="00E0403A">
        <w:t>,</w:t>
      </w:r>
      <w:r w:rsidR="00E0403A" w:rsidRPr="00E0403A">
        <w:t xml:space="preserve">0 </w:t>
      </w:r>
      <w:r w:rsidRPr="00E0403A">
        <w:t>%).</w:t>
      </w:r>
    </w:p>
    <w:p w:rsidR="00156F4A" w:rsidRPr="0099286B" w:rsidRDefault="00156F4A" w:rsidP="00156F4A">
      <w:pPr>
        <w:pStyle w:val="Default"/>
        <w:numPr>
          <w:ilvl w:val="0"/>
          <w:numId w:val="26"/>
        </w:numPr>
        <w:spacing w:line="360" w:lineRule="auto"/>
        <w:jc w:val="both"/>
        <w:rPr>
          <w:u w:val="single"/>
        </w:rPr>
      </w:pPr>
      <w:r w:rsidRPr="00E0403A">
        <w:rPr>
          <w:b/>
        </w:rPr>
        <w:t>Osoby bezrobotne z prawem do zasiłku</w:t>
      </w:r>
      <w:r w:rsidR="00952A6F" w:rsidRPr="00E0403A">
        <w:rPr>
          <w:b/>
        </w:rPr>
        <w:t>.</w:t>
      </w:r>
      <w:r w:rsidRPr="00E0403A">
        <w:t xml:space="preserve"> </w:t>
      </w:r>
      <w:r w:rsidR="00952A6F" w:rsidRPr="00E0403A">
        <w:t>N</w:t>
      </w:r>
      <w:r w:rsidRPr="00E0403A">
        <w:t>astąpił wzrost</w:t>
      </w:r>
      <w:r w:rsidR="00395101" w:rsidRPr="00E0403A">
        <w:t xml:space="preserve"> – </w:t>
      </w:r>
      <w:r w:rsidRPr="00E0403A">
        <w:t xml:space="preserve">o </w:t>
      </w:r>
      <w:r w:rsidR="00E0403A" w:rsidRPr="00E0403A">
        <w:t>1</w:t>
      </w:r>
      <w:r w:rsidRPr="00E0403A">
        <w:t>,</w:t>
      </w:r>
      <w:r w:rsidR="00E0403A" w:rsidRPr="00E0403A">
        <w:t>5</w:t>
      </w:r>
      <w:r w:rsidRPr="00E0403A">
        <w:t xml:space="preserve"> pkt</w:t>
      </w:r>
      <w:r w:rsidR="00230B07" w:rsidRPr="00E0403A">
        <w:t>.</w:t>
      </w:r>
      <w:r w:rsidRPr="00E0403A">
        <w:t xml:space="preserve"> proc</w:t>
      </w:r>
      <w:r w:rsidR="00230B07" w:rsidRPr="00E0403A">
        <w:t>.</w:t>
      </w:r>
      <w:r w:rsidRPr="00E0403A">
        <w:t xml:space="preserve"> liczby bezrobotnych uprawnionych do pobierania zasiłku (</w:t>
      </w:r>
      <w:r w:rsidR="00390F76" w:rsidRPr="00E0403A">
        <w:t>1</w:t>
      </w:r>
      <w:r w:rsidR="00E0403A" w:rsidRPr="00E0403A">
        <w:t>5</w:t>
      </w:r>
      <w:r w:rsidRPr="00E0403A">
        <w:t>,</w:t>
      </w:r>
      <w:r w:rsidR="00E0403A" w:rsidRPr="00E0403A">
        <w:t xml:space="preserve">0 </w:t>
      </w:r>
      <w:r w:rsidRPr="00E0403A">
        <w:t>% na koniec 201</w:t>
      </w:r>
      <w:r w:rsidR="00E0403A" w:rsidRPr="00E0403A">
        <w:t>8</w:t>
      </w:r>
      <w:r w:rsidRPr="00E0403A">
        <w:t xml:space="preserve"> r. do </w:t>
      </w:r>
      <w:r w:rsidR="00230B07" w:rsidRPr="00E0403A">
        <w:t>1</w:t>
      </w:r>
      <w:r w:rsidR="00E0403A" w:rsidRPr="00E0403A">
        <w:t>3</w:t>
      </w:r>
      <w:r w:rsidRPr="00E0403A">
        <w:t>,</w:t>
      </w:r>
      <w:r w:rsidR="00E0403A" w:rsidRPr="00E0403A">
        <w:t xml:space="preserve">5 </w:t>
      </w:r>
      <w:r w:rsidRPr="00E0403A">
        <w:t>%</w:t>
      </w:r>
      <w:r w:rsidR="00BF2BE7" w:rsidRPr="00E0403A">
        <w:t xml:space="preserve"> - </w:t>
      </w:r>
      <w:r w:rsidRPr="0099286B">
        <w:rPr>
          <w:u w:val="single"/>
        </w:rPr>
        <w:t>na koniec 201</w:t>
      </w:r>
      <w:r w:rsidR="00E0403A" w:rsidRPr="0099286B">
        <w:rPr>
          <w:u w:val="single"/>
        </w:rPr>
        <w:t>7</w:t>
      </w:r>
      <w:r w:rsidRPr="0099286B">
        <w:rPr>
          <w:u w:val="single"/>
        </w:rPr>
        <w:t xml:space="preserve"> r.).</w:t>
      </w:r>
    </w:p>
    <w:p w:rsidR="00156F4A" w:rsidRPr="00891FE3" w:rsidRDefault="00156F4A" w:rsidP="00156F4A">
      <w:pPr>
        <w:pStyle w:val="Default"/>
        <w:numPr>
          <w:ilvl w:val="0"/>
          <w:numId w:val="26"/>
        </w:numPr>
        <w:spacing w:line="360" w:lineRule="auto"/>
        <w:jc w:val="both"/>
      </w:pPr>
      <w:r w:rsidRPr="0099286B">
        <w:rPr>
          <w:b/>
          <w:u w:val="single"/>
        </w:rPr>
        <w:t>Zwolnienia grupowe</w:t>
      </w:r>
      <w:r w:rsidR="00952A6F" w:rsidRPr="0099286B">
        <w:rPr>
          <w:b/>
          <w:u w:val="single"/>
        </w:rPr>
        <w:t>.</w:t>
      </w:r>
      <w:r w:rsidRPr="0099286B">
        <w:rPr>
          <w:u w:val="single"/>
        </w:rPr>
        <w:t xml:space="preserve"> </w:t>
      </w:r>
      <w:r w:rsidR="00952A6F" w:rsidRPr="0099286B">
        <w:rPr>
          <w:u w:val="single"/>
        </w:rPr>
        <w:t>O</w:t>
      </w:r>
      <w:r w:rsidRPr="0099286B">
        <w:rPr>
          <w:u w:val="single"/>
        </w:rPr>
        <w:t xml:space="preserve">dnotowano </w:t>
      </w:r>
      <w:r w:rsidR="007E72CE" w:rsidRPr="0099286B">
        <w:rPr>
          <w:u w:val="single"/>
        </w:rPr>
        <w:t>niższą</w:t>
      </w:r>
      <w:r w:rsidRPr="0099286B">
        <w:rPr>
          <w:u w:val="single"/>
        </w:rPr>
        <w:t xml:space="preserve"> </w:t>
      </w:r>
      <w:r w:rsidR="007D4AF1" w:rsidRPr="0099286B">
        <w:rPr>
          <w:u w:val="single"/>
        </w:rPr>
        <w:t xml:space="preserve">niż </w:t>
      </w:r>
      <w:r w:rsidRPr="0099286B">
        <w:rPr>
          <w:u w:val="single"/>
        </w:rPr>
        <w:t>w roku wcześniejszym liczbę osób</w:t>
      </w:r>
      <w:r w:rsidRPr="00891FE3">
        <w:t xml:space="preserve"> zwolnionych z przyczyn leżących po stronie pracodawcy</w:t>
      </w:r>
      <w:r w:rsidR="00891FE3" w:rsidRPr="00891FE3">
        <w:t xml:space="preserve"> oraz</w:t>
      </w:r>
      <w:r w:rsidR="00445BF4" w:rsidRPr="00891FE3">
        <w:t xml:space="preserve"> mniejszą liczbę </w:t>
      </w:r>
      <w:r w:rsidR="00230B07" w:rsidRPr="00891FE3">
        <w:t>zgłoszeń.</w:t>
      </w:r>
      <w:r w:rsidRPr="00891FE3">
        <w:t xml:space="preserve"> </w:t>
      </w:r>
      <w:r w:rsidR="00230B07" w:rsidRPr="00891FE3">
        <w:lastRenderedPageBreak/>
        <w:t>W</w:t>
      </w:r>
      <w:r w:rsidRPr="00891FE3">
        <w:t xml:space="preserve"> 201</w:t>
      </w:r>
      <w:r w:rsidR="00891FE3" w:rsidRPr="00891FE3">
        <w:t>8</w:t>
      </w:r>
      <w:r w:rsidRPr="00891FE3">
        <w:t xml:space="preserve"> r</w:t>
      </w:r>
      <w:r w:rsidR="00891FE3">
        <w:t>oku</w:t>
      </w:r>
      <w:r w:rsidRPr="00891FE3">
        <w:t xml:space="preserve"> wypowiedzenia umów o</w:t>
      </w:r>
      <w:r w:rsidR="00230B07" w:rsidRPr="00891FE3">
        <w:t> </w:t>
      </w:r>
      <w:r w:rsidRPr="00891FE3">
        <w:t xml:space="preserve">pracę z powodów niedotyczących pracowników otrzymało łącznie </w:t>
      </w:r>
      <w:r w:rsidR="00230B07" w:rsidRPr="00891FE3">
        <w:t>5</w:t>
      </w:r>
      <w:r w:rsidR="00891FE3" w:rsidRPr="00891FE3">
        <w:t>30</w:t>
      </w:r>
      <w:r w:rsidRPr="00891FE3">
        <w:t xml:space="preserve"> osób</w:t>
      </w:r>
      <w:r w:rsidR="00891FE3">
        <w:t>, a</w:t>
      </w:r>
      <w:r w:rsidR="00C9656E" w:rsidRPr="00891FE3">
        <w:t xml:space="preserve"> </w:t>
      </w:r>
      <w:r w:rsidRPr="00891FE3">
        <w:t>w</w:t>
      </w:r>
      <w:r w:rsidR="00EC2F44" w:rsidRPr="00891FE3">
        <w:t> </w:t>
      </w:r>
      <w:r w:rsidRPr="00891FE3">
        <w:t>201</w:t>
      </w:r>
      <w:r w:rsidR="00891FE3" w:rsidRPr="00891FE3">
        <w:t>7</w:t>
      </w:r>
      <w:r w:rsidRPr="00891FE3">
        <w:t xml:space="preserve"> r. – </w:t>
      </w:r>
      <w:r w:rsidR="00891FE3" w:rsidRPr="00891FE3">
        <w:t>557</w:t>
      </w:r>
      <w:r w:rsidR="00230B07" w:rsidRPr="00891FE3">
        <w:t xml:space="preserve"> osób</w:t>
      </w:r>
      <w:r w:rsidRPr="00891FE3">
        <w:t>.</w:t>
      </w:r>
    </w:p>
    <w:p w:rsidR="00156F4A" w:rsidRPr="009C1A0E" w:rsidRDefault="00156F4A" w:rsidP="00156F4A">
      <w:pPr>
        <w:pStyle w:val="Default"/>
        <w:numPr>
          <w:ilvl w:val="0"/>
          <w:numId w:val="26"/>
        </w:numPr>
        <w:spacing w:line="360" w:lineRule="auto"/>
        <w:jc w:val="both"/>
      </w:pPr>
      <w:r w:rsidRPr="009C1A0E">
        <w:rPr>
          <w:b/>
        </w:rPr>
        <w:t>Oferty pracy</w:t>
      </w:r>
      <w:r w:rsidR="00246F26" w:rsidRPr="009C1A0E">
        <w:rPr>
          <w:b/>
        </w:rPr>
        <w:t xml:space="preserve"> </w:t>
      </w:r>
      <w:r w:rsidRPr="009C1A0E">
        <w:rPr>
          <w:b/>
        </w:rPr>
        <w:t>i</w:t>
      </w:r>
      <w:r w:rsidR="00246F26" w:rsidRPr="009C1A0E">
        <w:rPr>
          <w:b/>
        </w:rPr>
        <w:t xml:space="preserve"> </w:t>
      </w:r>
      <w:r w:rsidRPr="009C1A0E">
        <w:rPr>
          <w:b/>
        </w:rPr>
        <w:t>aktywizacji zawodowej</w:t>
      </w:r>
      <w:r w:rsidR="00230B07" w:rsidRPr="009C1A0E">
        <w:rPr>
          <w:b/>
        </w:rPr>
        <w:t xml:space="preserve"> (ogółem)</w:t>
      </w:r>
      <w:r w:rsidR="00952A6F" w:rsidRPr="009C1A0E">
        <w:rPr>
          <w:b/>
        </w:rPr>
        <w:t>. N</w:t>
      </w:r>
      <w:r w:rsidRPr="009C1A0E">
        <w:t xml:space="preserve">astąpił </w:t>
      </w:r>
      <w:r w:rsidR="008976C6">
        <w:t>spadek</w:t>
      </w:r>
      <w:r w:rsidRPr="009C1A0E">
        <w:t xml:space="preserve"> ilości ofert pracy</w:t>
      </w:r>
      <w:r w:rsidR="00246F26" w:rsidRPr="009C1A0E">
        <w:t xml:space="preserve"> </w:t>
      </w:r>
      <w:r w:rsidRPr="009C1A0E">
        <w:t>i</w:t>
      </w:r>
      <w:r w:rsidR="00230B07" w:rsidRPr="009C1A0E">
        <w:t> </w:t>
      </w:r>
      <w:r w:rsidRPr="009C1A0E">
        <w:t>aktywizacji zawodowej</w:t>
      </w:r>
      <w:r w:rsidR="008976C6">
        <w:t xml:space="preserve">. Ponadto ilość ofert znacznie się różnicuje </w:t>
      </w:r>
      <w:r w:rsidRPr="009C1A0E">
        <w:t>w</w:t>
      </w:r>
      <w:r w:rsidR="008976C6">
        <w:t> </w:t>
      </w:r>
      <w:r w:rsidRPr="009C1A0E">
        <w:t>poszczególnych powiatach</w:t>
      </w:r>
      <w:r w:rsidR="00230B07" w:rsidRPr="009C1A0E">
        <w:t>.</w:t>
      </w:r>
      <w:r w:rsidRPr="009C1A0E">
        <w:t xml:space="preserve"> </w:t>
      </w:r>
      <w:r w:rsidR="00230B07" w:rsidRPr="009C1A0E">
        <w:t>W </w:t>
      </w:r>
      <w:r w:rsidR="00616AAF" w:rsidRPr="009C1A0E">
        <w:t>201</w:t>
      </w:r>
      <w:r w:rsidR="009C1A0E" w:rsidRPr="009C1A0E">
        <w:t>8</w:t>
      </w:r>
      <w:r w:rsidR="00616AAF" w:rsidRPr="009C1A0E">
        <w:t xml:space="preserve"> r</w:t>
      </w:r>
      <w:r w:rsidR="008976C6">
        <w:t>oku</w:t>
      </w:r>
      <w:r w:rsidR="00616AAF" w:rsidRPr="009C1A0E">
        <w:t xml:space="preserve"> zgłoszono łącznie </w:t>
      </w:r>
      <w:r w:rsidR="009C1A0E" w:rsidRPr="009C1A0E">
        <w:t>61</w:t>
      </w:r>
      <w:r w:rsidR="00616AAF" w:rsidRPr="009C1A0E">
        <w:t> </w:t>
      </w:r>
      <w:r w:rsidR="009C1A0E" w:rsidRPr="009C1A0E">
        <w:t>438</w:t>
      </w:r>
      <w:r w:rsidRPr="009C1A0E">
        <w:t xml:space="preserve"> (</w:t>
      </w:r>
      <w:r w:rsidR="009C1A0E" w:rsidRPr="009C1A0E">
        <w:t xml:space="preserve">tj. </w:t>
      </w:r>
      <w:r w:rsidRPr="009C1A0E">
        <w:t xml:space="preserve">o </w:t>
      </w:r>
      <w:r w:rsidR="009C1A0E" w:rsidRPr="009C1A0E">
        <w:t>14</w:t>
      </w:r>
      <w:r w:rsidR="006616C4" w:rsidRPr="009C1A0E">
        <w:t> </w:t>
      </w:r>
      <w:r w:rsidR="009C1A0E" w:rsidRPr="009C1A0E">
        <w:t>398</w:t>
      </w:r>
      <w:r w:rsidRPr="009C1A0E">
        <w:t xml:space="preserve"> </w:t>
      </w:r>
      <w:r w:rsidR="009C1A0E" w:rsidRPr="009C1A0E">
        <w:t>mniej</w:t>
      </w:r>
      <w:r w:rsidRPr="009C1A0E">
        <w:t xml:space="preserve"> </w:t>
      </w:r>
      <w:r w:rsidR="00616AAF" w:rsidRPr="009C1A0E">
        <w:t xml:space="preserve">niż </w:t>
      </w:r>
      <w:r w:rsidRPr="009C1A0E">
        <w:t>w 201</w:t>
      </w:r>
      <w:r w:rsidR="009C1A0E" w:rsidRPr="009C1A0E">
        <w:t>7</w:t>
      </w:r>
      <w:r w:rsidRPr="009C1A0E">
        <w:t xml:space="preserve"> r. – </w:t>
      </w:r>
      <w:r w:rsidR="00230B07" w:rsidRPr="009C1A0E">
        <w:t>7</w:t>
      </w:r>
      <w:r w:rsidR="009C1A0E" w:rsidRPr="009C1A0E">
        <w:t>5</w:t>
      </w:r>
      <w:r w:rsidRPr="009C1A0E">
        <w:t> </w:t>
      </w:r>
      <w:r w:rsidR="009C1A0E" w:rsidRPr="009C1A0E">
        <w:t>836</w:t>
      </w:r>
      <w:r w:rsidRPr="009C1A0E">
        <w:t xml:space="preserve">). </w:t>
      </w:r>
    </w:p>
    <w:p w:rsidR="00156F4A" w:rsidRPr="00397762" w:rsidRDefault="00156F4A" w:rsidP="00156F4A">
      <w:pPr>
        <w:pStyle w:val="Default"/>
        <w:numPr>
          <w:ilvl w:val="0"/>
          <w:numId w:val="26"/>
        </w:numPr>
        <w:spacing w:line="360" w:lineRule="auto"/>
        <w:jc w:val="both"/>
      </w:pPr>
      <w:r w:rsidRPr="00397762">
        <w:rPr>
          <w:b/>
        </w:rPr>
        <w:t>Wolne miejsca pracy</w:t>
      </w:r>
      <w:r w:rsidR="00952A6F" w:rsidRPr="00397762">
        <w:rPr>
          <w:b/>
        </w:rPr>
        <w:t>.</w:t>
      </w:r>
      <w:r w:rsidRPr="00397762">
        <w:t xml:space="preserve"> </w:t>
      </w:r>
      <w:r w:rsidR="00952A6F" w:rsidRPr="00397762">
        <w:t>W</w:t>
      </w:r>
      <w:r w:rsidRPr="00397762">
        <w:t xml:space="preserve"> 201</w:t>
      </w:r>
      <w:r w:rsidR="00B53E96" w:rsidRPr="00397762">
        <w:t>8</w:t>
      </w:r>
      <w:r w:rsidRPr="00397762">
        <w:t xml:space="preserve"> r</w:t>
      </w:r>
      <w:r w:rsidR="00B53E96" w:rsidRPr="00397762">
        <w:t>oku</w:t>
      </w:r>
      <w:r w:rsidRPr="00397762">
        <w:t xml:space="preserve"> odnotowano</w:t>
      </w:r>
      <w:r w:rsidR="008E6B5B" w:rsidRPr="00397762">
        <w:t>  </w:t>
      </w:r>
      <w:r w:rsidR="00397762" w:rsidRPr="00397762">
        <w:t>51</w:t>
      </w:r>
      <w:r w:rsidRPr="00397762">
        <w:t xml:space="preserve"> </w:t>
      </w:r>
      <w:r w:rsidR="00397762" w:rsidRPr="00397762">
        <w:t>152</w:t>
      </w:r>
      <w:r w:rsidRPr="00397762">
        <w:t xml:space="preserve"> miejsc zatrudnienia </w:t>
      </w:r>
      <w:r w:rsidR="00C176A9" w:rsidRPr="00397762">
        <w:t>(</w:t>
      </w:r>
      <w:r w:rsidRPr="00397762">
        <w:t>lub innej pracy zarobkowej</w:t>
      </w:r>
      <w:r w:rsidR="00C176A9" w:rsidRPr="00397762">
        <w:t>)</w:t>
      </w:r>
      <w:r w:rsidR="00397762">
        <w:t>.</w:t>
      </w:r>
      <w:r w:rsidR="00C176A9" w:rsidRPr="00397762">
        <w:t xml:space="preserve"> </w:t>
      </w:r>
      <w:r w:rsidR="00397762">
        <w:t>W</w:t>
      </w:r>
      <w:r w:rsidRPr="00397762">
        <w:t> 201</w:t>
      </w:r>
      <w:r w:rsidR="008976C6" w:rsidRPr="00397762">
        <w:t>7</w:t>
      </w:r>
      <w:r w:rsidRPr="00397762">
        <w:t xml:space="preserve"> r</w:t>
      </w:r>
      <w:r w:rsidR="00397762">
        <w:t>oku</w:t>
      </w:r>
      <w:r w:rsidR="00994F30" w:rsidRPr="00397762">
        <w:t xml:space="preserve"> </w:t>
      </w:r>
      <w:r w:rsidRPr="00397762">
        <w:t>–</w:t>
      </w:r>
      <w:r w:rsidR="00994F30" w:rsidRPr="00397762">
        <w:t xml:space="preserve"> </w:t>
      </w:r>
      <w:r w:rsidR="008976C6" w:rsidRPr="00397762">
        <w:t>60</w:t>
      </w:r>
      <w:r w:rsidR="00397762">
        <w:t> </w:t>
      </w:r>
      <w:r w:rsidR="008E6B5B" w:rsidRPr="00397762">
        <w:t>8</w:t>
      </w:r>
      <w:r w:rsidR="008976C6" w:rsidRPr="00397762">
        <w:t>43</w:t>
      </w:r>
      <w:r w:rsidR="00397762">
        <w:t xml:space="preserve">,  </w:t>
      </w:r>
      <w:r w:rsidRPr="00397762">
        <w:t xml:space="preserve">tj. </w:t>
      </w:r>
      <w:r w:rsidR="00397762" w:rsidRPr="00397762">
        <w:t xml:space="preserve">nastąpił spadek </w:t>
      </w:r>
      <w:r w:rsidRPr="00397762">
        <w:t xml:space="preserve">o </w:t>
      </w:r>
      <w:r w:rsidR="00397762" w:rsidRPr="00397762">
        <w:t>9 </w:t>
      </w:r>
      <w:r w:rsidR="00B60174" w:rsidRPr="00397762">
        <w:t>6</w:t>
      </w:r>
      <w:r w:rsidR="00397762" w:rsidRPr="00397762">
        <w:t>91</w:t>
      </w:r>
      <w:r w:rsidRPr="00397762">
        <w:t xml:space="preserve">. </w:t>
      </w:r>
    </w:p>
    <w:p w:rsidR="00156F4A" w:rsidRPr="009304F0" w:rsidRDefault="00156F4A" w:rsidP="00156F4A">
      <w:pPr>
        <w:pStyle w:val="Default"/>
        <w:numPr>
          <w:ilvl w:val="0"/>
          <w:numId w:val="26"/>
        </w:numPr>
        <w:spacing w:line="360" w:lineRule="auto"/>
        <w:jc w:val="both"/>
      </w:pPr>
      <w:r w:rsidRPr="009304F0">
        <w:rPr>
          <w:b/>
        </w:rPr>
        <w:t>Wolne miejsca aktywizacji zawodowej</w:t>
      </w:r>
      <w:r w:rsidR="00952A6F" w:rsidRPr="009304F0">
        <w:rPr>
          <w:b/>
        </w:rPr>
        <w:t>.</w:t>
      </w:r>
      <w:r w:rsidRPr="009304F0">
        <w:t xml:space="preserve"> </w:t>
      </w:r>
      <w:r w:rsidR="00952A6F" w:rsidRPr="009304F0">
        <w:t>W</w:t>
      </w:r>
      <w:r w:rsidRPr="009304F0">
        <w:t xml:space="preserve"> 201</w:t>
      </w:r>
      <w:r w:rsidR="008976C6" w:rsidRPr="009304F0">
        <w:t>8</w:t>
      </w:r>
      <w:r w:rsidRPr="009304F0">
        <w:t xml:space="preserve"> r</w:t>
      </w:r>
      <w:r w:rsidR="008976C6" w:rsidRPr="009304F0">
        <w:t>oku</w:t>
      </w:r>
      <w:r w:rsidRPr="009304F0">
        <w:t xml:space="preserve"> odnotowano 1</w:t>
      </w:r>
      <w:r w:rsidR="009304F0" w:rsidRPr="009304F0">
        <w:t>0</w:t>
      </w:r>
      <w:r w:rsidRPr="009304F0">
        <w:t xml:space="preserve"> </w:t>
      </w:r>
      <w:r w:rsidR="009304F0" w:rsidRPr="009304F0">
        <w:t>286</w:t>
      </w:r>
      <w:r w:rsidRPr="009304F0">
        <w:t xml:space="preserve"> miejsc aktywizacji zawodowej</w:t>
      </w:r>
      <w:r w:rsidR="009304F0" w:rsidRPr="009304F0">
        <w:t>.</w:t>
      </w:r>
      <w:r w:rsidR="00994F30" w:rsidRPr="009304F0">
        <w:t xml:space="preserve"> </w:t>
      </w:r>
      <w:r w:rsidR="009304F0" w:rsidRPr="009304F0">
        <w:t>W</w:t>
      </w:r>
      <w:r w:rsidR="00994F30" w:rsidRPr="009304F0">
        <w:t xml:space="preserve"> </w:t>
      </w:r>
      <w:r w:rsidRPr="009304F0">
        <w:t>201</w:t>
      </w:r>
      <w:r w:rsidR="008976C6" w:rsidRPr="009304F0">
        <w:t>7</w:t>
      </w:r>
      <w:r w:rsidRPr="009304F0">
        <w:t xml:space="preserve"> r. – </w:t>
      </w:r>
      <w:r w:rsidR="008976C6" w:rsidRPr="009304F0">
        <w:t>14</w:t>
      </w:r>
      <w:r w:rsidR="009304F0" w:rsidRPr="009304F0">
        <w:t> </w:t>
      </w:r>
      <w:r w:rsidR="008976C6" w:rsidRPr="009304F0">
        <w:t>993</w:t>
      </w:r>
      <w:r w:rsidR="009304F0" w:rsidRPr="009304F0">
        <w:t xml:space="preserve">, </w:t>
      </w:r>
      <w:r w:rsidRPr="009304F0">
        <w:t xml:space="preserve"> tj. </w:t>
      </w:r>
      <w:r w:rsidR="009304F0" w:rsidRPr="009304F0">
        <w:t xml:space="preserve">nastąpił spadek </w:t>
      </w:r>
      <w:r w:rsidRPr="009304F0">
        <w:t>o </w:t>
      </w:r>
      <w:r w:rsidR="009304F0" w:rsidRPr="009304F0">
        <w:t>4 707.</w:t>
      </w:r>
    </w:p>
    <w:p w:rsidR="00156F4A" w:rsidRPr="00846720" w:rsidRDefault="00156F4A" w:rsidP="00156F4A">
      <w:pPr>
        <w:pStyle w:val="Default"/>
        <w:numPr>
          <w:ilvl w:val="0"/>
          <w:numId w:val="26"/>
        </w:numPr>
        <w:spacing w:line="360" w:lineRule="auto"/>
        <w:jc w:val="both"/>
      </w:pPr>
      <w:r w:rsidRPr="00846720">
        <w:rPr>
          <w:b/>
        </w:rPr>
        <w:t>Oferty pracy subsydiowanej</w:t>
      </w:r>
      <w:r w:rsidR="00952A6F" w:rsidRPr="00846720">
        <w:rPr>
          <w:b/>
        </w:rPr>
        <w:t>.</w:t>
      </w:r>
      <w:r w:rsidRPr="00846720">
        <w:t xml:space="preserve"> </w:t>
      </w:r>
      <w:r w:rsidR="00952A6F" w:rsidRPr="00846720">
        <w:t>W</w:t>
      </w:r>
      <w:r w:rsidRPr="00846720">
        <w:t xml:space="preserve"> okresie 201</w:t>
      </w:r>
      <w:r w:rsidR="008976C6" w:rsidRPr="00846720">
        <w:t>8</w:t>
      </w:r>
      <w:r w:rsidRPr="00846720">
        <w:t xml:space="preserve"> r.</w:t>
      </w:r>
      <w:r w:rsidR="00593EB6" w:rsidRPr="00846720">
        <w:t xml:space="preserve"> </w:t>
      </w:r>
      <w:r w:rsidRPr="00846720">
        <w:t xml:space="preserve">nastąpił </w:t>
      </w:r>
      <w:r w:rsidR="00B15B69" w:rsidRPr="00846720">
        <w:t>spadek</w:t>
      </w:r>
      <w:r w:rsidRPr="00846720">
        <w:t xml:space="preserve"> liczby ofert pracy subsydiowanej</w:t>
      </w:r>
      <w:r w:rsidR="00B15B69" w:rsidRPr="00846720">
        <w:t xml:space="preserve"> – </w:t>
      </w:r>
      <w:r w:rsidRPr="00846720">
        <w:t>wśród wszystkich zgł</w:t>
      </w:r>
      <w:r w:rsidR="00B15B69" w:rsidRPr="00846720">
        <w:t>o</w:t>
      </w:r>
      <w:r w:rsidRPr="00846720">
        <w:t>sz</w:t>
      </w:r>
      <w:r w:rsidR="00B15B69" w:rsidRPr="00846720">
        <w:t>o</w:t>
      </w:r>
      <w:r w:rsidRPr="00846720">
        <w:t>nych</w:t>
      </w:r>
      <w:r w:rsidR="00B15B69" w:rsidRPr="00846720">
        <w:t xml:space="preserve"> do PUP</w:t>
      </w:r>
      <w:r w:rsidRPr="00846720">
        <w:t xml:space="preserve"> (</w:t>
      </w:r>
      <w:r w:rsidR="00846720" w:rsidRPr="00846720">
        <w:t>2</w:t>
      </w:r>
      <w:r w:rsidR="00B15B69" w:rsidRPr="00846720">
        <w:t>0</w:t>
      </w:r>
      <w:r w:rsidR="00C6309D" w:rsidRPr="00846720">
        <w:t> </w:t>
      </w:r>
      <w:r w:rsidR="00846720" w:rsidRPr="00846720">
        <w:t>7</w:t>
      </w:r>
      <w:r w:rsidR="00B15B69" w:rsidRPr="00846720">
        <w:t>8</w:t>
      </w:r>
      <w:r w:rsidR="00846720" w:rsidRPr="00846720">
        <w:t>4</w:t>
      </w:r>
      <w:r w:rsidR="00C6309D" w:rsidRPr="00846720">
        <w:t xml:space="preserve"> – </w:t>
      </w:r>
      <w:r w:rsidR="00846720" w:rsidRPr="00846720">
        <w:t>33</w:t>
      </w:r>
      <w:r w:rsidRPr="00846720">
        <w:t>,</w:t>
      </w:r>
      <w:r w:rsidR="00846720" w:rsidRPr="00846720">
        <w:t xml:space="preserve">8 </w:t>
      </w:r>
      <w:r w:rsidRPr="00846720">
        <w:t>% wszystkich zgłoszonych, w 201</w:t>
      </w:r>
      <w:r w:rsidR="008976C6" w:rsidRPr="00846720">
        <w:t>7</w:t>
      </w:r>
      <w:r w:rsidRPr="00846720">
        <w:t xml:space="preserve"> r. – </w:t>
      </w:r>
      <w:r w:rsidR="00B15B69" w:rsidRPr="00846720">
        <w:t>3</w:t>
      </w:r>
      <w:r w:rsidR="00C91D18" w:rsidRPr="00846720">
        <w:t>0</w:t>
      </w:r>
      <w:r w:rsidR="00C6309D" w:rsidRPr="00846720">
        <w:t> </w:t>
      </w:r>
      <w:r w:rsidR="00C91D18" w:rsidRPr="00846720">
        <w:t>828</w:t>
      </w:r>
      <w:r w:rsidR="00C6309D" w:rsidRPr="00846720">
        <w:t xml:space="preserve"> – </w:t>
      </w:r>
      <w:r w:rsidRPr="00846720">
        <w:t>4</w:t>
      </w:r>
      <w:r w:rsidR="00C91D18" w:rsidRPr="00846720">
        <w:t>0</w:t>
      </w:r>
      <w:r w:rsidR="00E83DCD" w:rsidRPr="00846720">
        <w:t>,</w:t>
      </w:r>
      <w:r w:rsidR="00C91D18" w:rsidRPr="00846720">
        <w:t xml:space="preserve">7 </w:t>
      </w:r>
      <w:r w:rsidRPr="00846720">
        <w:t xml:space="preserve">%). </w:t>
      </w:r>
    </w:p>
    <w:p w:rsidR="00156F4A" w:rsidRPr="009304F0" w:rsidRDefault="00156F4A" w:rsidP="00156F4A">
      <w:pPr>
        <w:pStyle w:val="Default"/>
        <w:numPr>
          <w:ilvl w:val="0"/>
          <w:numId w:val="26"/>
        </w:numPr>
        <w:spacing w:line="360" w:lineRule="auto"/>
        <w:jc w:val="both"/>
      </w:pPr>
      <w:r w:rsidRPr="009304F0">
        <w:rPr>
          <w:b/>
        </w:rPr>
        <w:t>Staże</w:t>
      </w:r>
      <w:r w:rsidR="00952A6F" w:rsidRPr="009304F0">
        <w:rPr>
          <w:b/>
        </w:rPr>
        <w:t>.</w:t>
      </w:r>
      <w:r w:rsidRPr="009304F0">
        <w:t xml:space="preserve"> </w:t>
      </w:r>
      <w:r w:rsidR="00952A6F" w:rsidRPr="009304F0">
        <w:t>W</w:t>
      </w:r>
      <w:r w:rsidRPr="009304F0">
        <w:t xml:space="preserve"> okresie 201</w:t>
      </w:r>
      <w:r w:rsidR="009304F0" w:rsidRPr="009304F0">
        <w:t>8</w:t>
      </w:r>
      <w:r w:rsidRPr="009304F0">
        <w:t xml:space="preserve"> r</w:t>
      </w:r>
      <w:r w:rsidR="009304F0" w:rsidRPr="009304F0">
        <w:t>oku</w:t>
      </w:r>
      <w:r w:rsidRPr="009304F0">
        <w:t xml:space="preserve"> </w:t>
      </w:r>
      <w:r w:rsidR="009304F0" w:rsidRPr="009304F0">
        <w:t>8</w:t>
      </w:r>
      <w:r w:rsidRPr="009304F0">
        <w:t> </w:t>
      </w:r>
      <w:r w:rsidR="009304F0" w:rsidRPr="009304F0">
        <w:t>3</w:t>
      </w:r>
      <w:r w:rsidR="00766AE7" w:rsidRPr="009304F0">
        <w:t>4</w:t>
      </w:r>
      <w:r w:rsidR="00B15B69" w:rsidRPr="009304F0">
        <w:t>8</w:t>
      </w:r>
      <w:r w:rsidRPr="009304F0">
        <w:t xml:space="preserve"> </w:t>
      </w:r>
      <w:r w:rsidR="00D031D3" w:rsidRPr="009304F0">
        <w:t>bezrobotnych</w:t>
      </w:r>
      <w:r w:rsidRPr="009304F0">
        <w:t xml:space="preserve"> został</w:t>
      </w:r>
      <w:r w:rsidR="00D031D3" w:rsidRPr="009304F0">
        <w:t>o</w:t>
      </w:r>
      <w:r w:rsidRPr="009304F0">
        <w:t xml:space="preserve"> skierowan</w:t>
      </w:r>
      <w:r w:rsidR="00D031D3" w:rsidRPr="009304F0">
        <w:t>ych</w:t>
      </w:r>
      <w:r w:rsidRPr="009304F0">
        <w:t xml:space="preserve"> </w:t>
      </w:r>
      <w:r w:rsidR="00D031D3" w:rsidRPr="009304F0">
        <w:t>w celu</w:t>
      </w:r>
      <w:r w:rsidRPr="009304F0">
        <w:t xml:space="preserve"> odbycia staż</w:t>
      </w:r>
      <w:r w:rsidR="00D031D3" w:rsidRPr="009304F0">
        <w:t>y u pracodawców</w:t>
      </w:r>
      <w:r w:rsidRPr="009304F0">
        <w:t xml:space="preserve"> (w 20</w:t>
      </w:r>
      <w:r w:rsidR="009025A5" w:rsidRPr="009304F0">
        <w:t>1</w:t>
      </w:r>
      <w:r w:rsidR="009304F0" w:rsidRPr="009304F0">
        <w:t>7</w:t>
      </w:r>
      <w:r w:rsidRPr="009304F0">
        <w:t xml:space="preserve"> r. 1</w:t>
      </w:r>
      <w:r w:rsidR="009304F0" w:rsidRPr="009304F0">
        <w:t>2</w:t>
      </w:r>
      <w:r w:rsidRPr="009304F0">
        <w:t> </w:t>
      </w:r>
      <w:r w:rsidR="00B15B69" w:rsidRPr="009304F0">
        <w:t>4</w:t>
      </w:r>
      <w:r w:rsidR="009304F0" w:rsidRPr="009304F0">
        <w:t>58</w:t>
      </w:r>
      <w:r w:rsidRPr="009304F0">
        <w:t>)</w:t>
      </w:r>
      <w:r w:rsidR="00766AE7" w:rsidRPr="009304F0">
        <w:t>.</w:t>
      </w:r>
      <w:r w:rsidRPr="009304F0">
        <w:rPr>
          <w:b/>
        </w:rPr>
        <w:t xml:space="preserve"> </w:t>
      </w:r>
    </w:p>
    <w:p w:rsidR="00156F4A" w:rsidRPr="00D56B29" w:rsidRDefault="00156F4A" w:rsidP="00156F4A">
      <w:pPr>
        <w:pStyle w:val="Default"/>
        <w:numPr>
          <w:ilvl w:val="0"/>
          <w:numId w:val="26"/>
        </w:numPr>
        <w:spacing w:line="360" w:lineRule="auto"/>
        <w:jc w:val="both"/>
      </w:pPr>
      <w:r w:rsidRPr="00D56B29">
        <w:rPr>
          <w:b/>
        </w:rPr>
        <w:t>Wsparcie samozatrudnienia</w:t>
      </w:r>
      <w:r w:rsidR="00952A6F" w:rsidRPr="00D56B29">
        <w:rPr>
          <w:b/>
        </w:rPr>
        <w:t>.</w:t>
      </w:r>
      <w:r w:rsidRPr="00D56B29">
        <w:t xml:space="preserve"> </w:t>
      </w:r>
      <w:r w:rsidR="00952A6F" w:rsidRPr="00D56B29">
        <w:t>N</w:t>
      </w:r>
      <w:r w:rsidRPr="00D56B29">
        <w:t xml:space="preserve">astąpił </w:t>
      </w:r>
      <w:r w:rsidR="00B15B69" w:rsidRPr="00D56B29">
        <w:t>spadek</w:t>
      </w:r>
      <w:r w:rsidR="000F785F" w:rsidRPr="00D56B29">
        <w:t xml:space="preserve"> </w:t>
      </w:r>
      <w:r w:rsidRPr="00D56B29">
        <w:t>liczby bezrobotnych wyrejestrowanych z</w:t>
      </w:r>
      <w:r w:rsidR="000F785F" w:rsidRPr="00D56B29">
        <w:t> </w:t>
      </w:r>
      <w:r w:rsidRPr="00D56B29">
        <w:t>powodu uzyskania dotacji na uruchomienie własnej działalności gospodarczej</w:t>
      </w:r>
      <w:r w:rsidR="00FB2D04" w:rsidRPr="00D56B29">
        <w:t xml:space="preserve"> (w ’1</w:t>
      </w:r>
      <w:r w:rsidR="009304F0" w:rsidRPr="00D56B29">
        <w:t>8</w:t>
      </w:r>
      <w:r w:rsidR="00FB2D04" w:rsidRPr="00D56B29">
        <w:t xml:space="preserve"> r</w:t>
      </w:r>
      <w:r w:rsidRPr="00D56B29">
        <w:t>.</w:t>
      </w:r>
      <w:r w:rsidR="00FB2D04" w:rsidRPr="00D56B29">
        <w:t xml:space="preserve"> – 2 </w:t>
      </w:r>
      <w:r w:rsidR="00D56B29" w:rsidRPr="00D56B29">
        <w:t>504</w:t>
      </w:r>
      <w:r w:rsidR="00FB2D04" w:rsidRPr="00D56B29">
        <w:t xml:space="preserve"> osoby, a w ‘1</w:t>
      </w:r>
      <w:r w:rsidR="009304F0" w:rsidRPr="00D56B29">
        <w:t>7</w:t>
      </w:r>
      <w:r w:rsidR="00FB2D04" w:rsidRPr="00D56B29">
        <w:t xml:space="preserve"> r. – 2 </w:t>
      </w:r>
      <w:r w:rsidR="009304F0" w:rsidRPr="00D56B29">
        <w:t>682</w:t>
      </w:r>
      <w:r w:rsidR="00FB2D04" w:rsidRPr="00D56B29">
        <w:t xml:space="preserve"> os</w:t>
      </w:r>
      <w:r w:rsidR="0011770F" w:rsidRPr="00D56B29">
        <w:t>o</w:t>
      </w:r>
      <w:r w:rsidR="00FB2D04" w:rsidRPr="00D56B29">
        <w:t>b</w:t>
      </w:r>
      <w:r w:rsidR="0011770F" w:rsidRPr="00D56B29">
        <w:t>y</w:t>
      </w:r>
      <w:r w:rsidR="00FB2D04" w:rsidRPr="00D56B29">
        <w:t xml:space="preserve">). </w:t>
      </w:r>
      <w:r w:rsidR="000F785F" w:rsidRPr="00D56B29">
        <w:t xml:space="preserve">Na ten cel </w:t>
      </w:r>
      <w:r w:rsidR="009025A5" w:rsidRPr="00D56B29">
        <w:t>wydatkowano</w:t>
      </w:r>
      <w:r w:rsidR="00FC1658" w:rsidRPr="00D56B29">
        <w:t xml:space="preserve"> w 201</w:t>
      </w:r>
      <w:r w:rsidR="009304F0" w:rsidRPr="00D56B29">
        <w:t>8</w:t>
      </w:r>
      <w:r w:rsidR="00FC1658" w:rsidRPr="00D56B29">
        <w:t xml:space="preserve"> r.</w:t>
      </w:r>
      <w:r w:rsidR="009025A5" w:rsidRPr="00D56B29">
        <w:t xml:space="preserve"> </w:t>
      </w:r>
      <w:r w:rsidR="0011770F" w:rsidRPr="00D56B29">
        <w:t>1</w:t>
      </w:r>
      <w:r w:rsidR="00D56B29" w:rsidRPr="00D56B29">
        <w:t>1</w:t>
      </w:r>
      <w:r w:rsidRPr="00D56B29">
        <w:t>,</w:t>
      </w:r>
      <w:r w:rsidR="00D56B29" w:rsidRPr="00D56B29">
        <w:t>50</w:t>
      </w:r>
      <w:r w:rsidR="009304F0" w:rsidRPr="00D56B29">
        <w:t xml:space="preserve"> </w:t>
      </w:r>
      <w:r w:rsidRPr="00D56B29">
        <w:t>% środków Funduszu Pracy.</w:t>
      </w:r>
    </w:p>
    <w:p w:rsidR="00156F4A" w:rsidRPr="00D56B29" w:rsidRDefault="00156F4A" w:rsidP="00156F4A">
      <w:pPr>
        <w:pStyle w:val="Default"/>
        <w:numPr>
          <w:ilvl w:val="0"/>
          <w:numId w:val="26"/>
        </w:numPr>
        <w:spacing w:line="360" w:lineRule="auto"/>
        <w:jc w:val="both"/>
      </w:pPr>
      <w:r w:rsidRPr="00D56B29">
        <w:rPr>
          <w:b/>
        </w:rPr>
        <w:t xml:space="preserve">Wsparcie tworzenia </w:t>
      </w:r>
      <w:r w:rsidR="00E34DD0" w:rsidRPr="00D56B29">
        <w:rPr>
          <w:b/>
        </w:rPr>
        <w:t>miejsc</w:t>
      </w:r>
      <w:r w:rsidRPr="00D56B29">
        <w:rPr>
          <w:b/>
        </w:rPr>
        <w:t xml:space="preserve"> pracy</w:t>
      </w:r>
      <w:r w:rsidR="00952A6F" w:rsidRPr="00D56B29">
        <w:rPr>
          <w:b/>
        </w:rPr>
        <w:t>.</w:t>
      </w:r>
      <w:r w:rsidRPr="00D56B29">
        <w:t xml:space="preserve"> </w:t>
      </w:r>
      <w:r w:rsidR="00952A6F" w:rsidRPr="00D56B29">
        <w:t>N</w:t>
      </w:r>
      <w:r w:rsidRPr="00D56B29">
        <w:t>astąpił spadek liczby bezrobotnych</w:t>
      </w:r>
      <w:r w:rsidR="00FC1658" w:rsidRPr="00D56B29">
        <w:t>,</w:t>
      </w:r>
      <w:r w:rsidRPr="00D56B29">
        <w:t xml:space="preserve"> skierowanych przez PUP do pracodawców w ramach refundacji kosztów na wyposażenie i doposażenie stanowisk pracy</w:t>
      </w:r>
      <w:r w:rsidR="00EA470A" w:rsidRPr="00D56B29">
        <w:t>.</w:t>
      </w:r>
      <w:r w:rsidRPr="00D56B29">
        <w:t xml:space="preserve"> </w:t>
      </w:r>
      <w:r w:rsidR="00EA470A" w:rsidRPr="00D56B29">
        <w:t>W</w:t>
      </w:r>
      <w:r w:rsidR="00E34DD0" w:rsidRPr="00D56B29">
        <w:t xml:space="preserve"> ’1</w:t>
      </w:r>
      <w:r w:rsidR="009304F0" w:rsidRPr="00D56B29">
        <w:t>8</w:t>
      </w:r>
      <w:r w:rsidR="00E34DD0" w:rsidRPr="00D56B29">
        <w:t xml:space="preserve"> r. – 3</w:t>
      </w:r>
      <w:r w:rsidRPr="00D56B29">
        <w:t> </w:t>
      </w:r>
      <w:r w:rsidR="00D56B29" w:rsidRPr="00D56B29">
        <w:t>02</w:t>
      </w:r>
      <w:r w:rsidR="00ED05D3" w:rsidRPr="00D56B29">
        <w:t>6</w:t>
      </w:r>
      <w:r w:rsidRPr="00D56B29">
        <w:t xml:space="preserve"> osób bezrobotnych, </w:t>
      </w:r>
      <w:r w:rsidR="00E34DD0" w:rsidRPr="00D56B29">
        <w:t>a</w:t>
      </w:r>
      <w:r w:rsidRPr="00D56B29">
        <w:t xml:space="preserve"> </w:t>
      </w:r>
      <w:r w:rsidR="00E34DD0" w:rsidRPr="00D56B29">
        <w:t>w ‘</w:t>
      </w:r>
      <w:r w:rsidRPr="00D56B29">
        <w:t>1</w:t>
      </w:r>
      <w:r w:rsidR="00B53E96" w:rsidRPr="00D56B29">
        <w:t>7</w:t>
      </w:r>
      <w:r w:rsidRPr="00D56B29">
        <w:t xml:space="preserve"> r.</w:t>
      </w:r>
      <w:r w:rsidR="00E34DD0" w:rsidRPr="00D56B29">
        <w:t xml:space="preserve"> –</w:t>
      </w:r>
      <w:r w:rsidR="00853285" w:rsidRPr="00D56B29">
        <w:t xml:space="preserve"> 3</w:t>
      </w:r>
      <w:r w:rsidR="00E34DD0" w:rsidRPr="00D56B29">
        <w:t> </w:t>
      </w:r>
      <w:r w:rsidR="00B53E96" w:rsidRPr="00D56B29">
        <w:t>636</w:t>
      </w:r>
      <w:r w:rsidR="00E34DD0" w:rsidRPr="00D56B29">
        <w:t xml:space="preserve"> bezrobotnych</w:t>
      </w:r>
      <w:r w:rsidRPr="00D56B29">
        <w:t xml:space="preserve">. Przeznaczono na ten cel </w:t>
      </w:r>
      <w:r w:rsidR="00FC1658" w:rsidRPr="00D56B29">
        <w:t>w 201</w:t>
      </w:r>
      <w:r w:rsidR="00EA470A" w:rsidRPr="00D56B29">
        <w:t>8</w:t>
      </w:r>
      <w:r w:rsidR="00FC1658" w:rsidRPr="00D56B29">
        <w:t xml:space="preserve"> r. </w:t>
      </w:r>
      <w:r w:rsidR="00D56B29" w:rsidRPr="00D56B29">
        <w:t>9</w:t>
      </w:r>
      <w:r w:rsidRPr="00D56B29">
        <w:t>,</w:t>
      </w:r>
      <w:r w:rsidR="00D56B29" w:rsidRPr="00D56B29">
        <w:t>09</w:t>
      </w:r>
      <w:r w:rsidR="00EA470A" w:rsidRPr="00D56B29">
        <w:t xml:space="preserve"> </w:t>
      </w:r>
      <w:r w:rsidRPr="00D56B29">
        <w:t>% środków Funduszu Pracy.</w:t>
      </w:r>
    </w:p>
    <w:p w:rsidR="00926D4D" w:rsidRPr="00D5788D" w:rsidRDefault="00156F4A" w:rsidP="00926D4D">
      <w:pPr>
        <w:pStyle w:val="Default"/>
        <w:numPr>
          <w:ilvl w:val="0"/>
          <w:numId w:val="26"/>
        </w:numPr>
        <w:spacing w:line="360" w:lineRule="auto"/>
        <w:jc w:val="both"/>
        <w:rPr>
          <w:bCs/>
        </w:rPr>
      </w:pPr>
      <w:r w:rsidRPr="002448AB">
        <w:rPr>
          <w:b/>
        </w:rPr>
        <w:t>Szkolenia</w:t>
      </w:r>
      <w:r w:rsidR="00952A6F" w:rsidRPr="002448AB">
        <w:rPr>
          <w:b/>
        </w:rPr>
        <w:t>.</w:t>
      </w:r>
      <w:r w:rsidRPr="00D5788D">
        <w:t xml:space="preserve"> </w:t>
      </w:r>
      <w:r w:rsidR="00952A6F" w:rsidRPr="00D5788D">
        <w:t>N</w:t>
      </w:r>
      <w:r w:rsidRPr="00D5788D">
        <w:t>iewielkie środki Funduszu Pracy (</w:t>
      </w:r>
      <w:r w:rsidRPr="00EA470A">
        <w:t xml:space="preserve">tylko </w:t>
      </w:r>
      <w:r w:rsidR="006D2060" w:rsidRPr="00EA470A">
        <w:t>0</w:t>
      </w:r>
      <w:r w:rsidRPr="00EA470A">
        <w:t>,</w:t>
      </w:r>
      <w:r w:rsidR="00EA470A" w:rsidRPr="00EA470A">
        <w:t xml:space="preserve">76 </w:t>
      </w:r>
      <w:r w:rsidRPr="00EA470A">
        <w:t>%</w:t>
      </w:r>
      <w:r w:rsidR="008C3FC1" w:rsidRPr="00EA470A">
        <w:t xml:space="preserve"> ogółu</w:t>
      </w:r>
      <w:r w:rsidRPr="00D5788D">
        <w:t xml:space="preserve">) </w:t>
      </w:r>
      <w:r w:rsidR="005978CD" w:rsidRPr="00D5788D">
        <w:t xml:space="preserve">PUP </w:t>
      </w:r>
      <w:r w:rsidR="00FC1658" w:rsidRPr="00D5788D">
        <w:t>wydatkowa</w:t>
      </w:r>
      <w:r w:rsidR="005978CD" w:rsidRPr="00D5788D">
        <w:t>ły</w:t>
      </w:r>
      <w:r w:rsidRPr="00D5788D">
        <w:t xml:space="preserve"> na </w:t>
      </w:r>
      <w:r w:rsidR="005978CD" w:rsidRPr="00D5788D">
        <w:t xml:space="preserve">realizację </w:t>
      </w:r>
      <w:r w:rsidR="00FC1658" w:rsidRPr="00D5788D">
        <w:t>szkole</w:t>
      </w:r>
      <w:r w:rsidR="005978CD" w:rsidRPr="00D5788D">
        <w:t>ń</w:t>
      </w:r>
      <w:r w:rsidRPr="00D5788D">
        <w:t>.</w:t>
      </w:r>
    </w:p>
    <w:sectPr w:rsidR="00926D4D" w:rsidRPr="00D5788D" w:rsidSect="00EF41C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BA3" w:rsidRDefault="00D17BA3" w:rsidP="00644EBC">
      <w:pPr>
        <w:spacing w:after="0" w:line="240" w:lineRule="auto"/>
      </w:pPr>
      <w:r>
        <w:separator/>
      </w:r>
    </w:p>
  </w:endnote>
  <w:endnote w:type="continuationSeparator" w:id="0">
    <w:p w:rsidR="00D17BA3" w:rsidRDefault="00D17BA3" w:rsidP="0064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282118"/>
      <w:docPartObj>
        <w:docPartGallery w:val="Page Numbers (Bottom of Page)"/>
        <w:docPartUnique/>
      </w:docPartObj>
    </w:sdtPr>
    <w:sdtEndPr>
      <w:rPr>
        <w:rFonts w:ascii="Times New Roman" w:hAnsi="Times New Roman" w:cs="Times New Roman"/>
        <w:sz w:val="16"/>
        <w:szCs w:val="16"/>
      </w:rPr>
    </w:sdtEndPr>
    <w:sdtContent>
      <w:p w:rsidR="003B2AA7" w:rsidRPr="00221D6B" w:rsidRDefault="003B2AA7">
        <w:pPr>
          <w:pStyle w:val="Stopka"/>
          <w:jc w:val="center"/>
          <w:rPr>
            <w:rFonts w:ascii="Times New Roman" w:hAnsi="Times New Roman" w:cs="Times New Roman"/>
            <w:sz w:val="16"/>
            <w:szCs w:val="16"/>
          </w:rPr>
        </w:pPr>
        <w:r w:rsidRPr="00221D6B">
          <w:rPr>
            <w:rFonts w:ascii="Times New Roman" w:hAnsi="Times New Roman" w:cs="Times New Roman"/>
            <w:sz w:val="16"/>
            <w:szCs w:val="16"/>
          </w:rPr>
          <w:fldChar w:fldCharType="begin"/>
        </w:r>
        <w:r w:rsidRPr="00221D6B">
          <w:rPr>
            <w:rFonts w:ascii="Times New Roman" w:hAnsi="Times New Roman" w:cs="Times New Roman"/>
            <w:sz w:val="16"/>
            <w:szCs w:val="16"/>
          </w:rPr>
          <w:instrText>PAGE   \* MERGEFORMAT</w:instrText>
        </w:r>
        <w:r w:rsidRPr="00221D6B">
          <w:rPr>
            <w:rFonts w:ascii="Times New Roman" w:hAnsi="Times New Roman" w:cs="Times New Roman"/>
            <w:sz w:val="16"/>
            <w:szCs w:val="16"/>
          </w:rPr>
          <w:fldChar w:fldCharType="separate"/>
        </w:r>
        <w:r w:rsidR="004B2499">
          <w:rPr>
            <w:rFonts w:ascii="Times New Roman" w:hAnsi="Times New Roman" w:cs="Times New Roman"/>
            <w:noProof/>
            <w:sz w:val="16"/>
            <w:szCs w:val="16"/>
          </w:rPr>
          <w:t>58</w:t>
        </w:r>
        <w:r w:rsidRPr="00221D6B">
          <w:rPr>
            <w:rFonts w:ascii="Times New Roman" w:hAnsi="Times New Roman" w:cs="Times New Roman"/>
            <w:sz w:val="16"/>
            <w:szCs w:val="16"/>
          </w:rPr>
          <w:fldChar w:fldCharType="end"/>
        </w:r>
      </w:p>
    </w:sdtContent>
  </w:sdt>
  <w:p w:rsidR="003B2AA7" w:rsidRDefault="003B2A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BA3" w:rsidRDefault="00D17BA3" w:rsidP="00644EBC">
      <w:pPr>
        <w:spacing w:after="0" w:line="240" w:lineRule="auto"/>
      </w:pPr>
      <w:r>
        <w:separator/>
      </w:r>
    </w:p>
  </w:footnote>
  <w:footnote w:type="continuationSeparator" w:id="0">
    <w:p w:rsidR="00D17BA3" w:rsidRDefault="00D17BA3" w:rsidP="00644EBC">
      <w:pPr>
        <w:spacing w:after="0" w:line="240" w:lineRule="auto"/>
      </w:pPr>
      <w:r>
        <w:continuationSeparator/>
      </w:r>
    </w:p>
  </w:footnote>
  <w:footnote w:id="1">
    <w:p w:rsidR="003B2AA7" w:rsidRPr="00E943DB" w:rsidRDefault="003B2AA7" w:rsidP="00B92E45">
      <w:pPr>
        <w:pStyle w:val="Tekstprzypisudolnego"/>
        <w:jc w:val="both"/>
        <w:rPr>
          <w:rFonts w:ascii="Times New Roman" w:hAnsi="Times New Roman" w:cs="Times New Roman"/>
        </w:rPr>
      </w:pPr>
      <w:r w:rsidRPr="00BB0AEB">
        <w:rPr>
          <w:rStyle w:val="Odwoanieprzypisudolnego"/>
          <w:rFonts w:ascii="Times New Roman" w:hAnsi="Times New Roman" w:cs="Times New Roman"/>
        </w:rPr>
        <w:footnoteRef/>
      </w:r>
      <w:r w:rsidRPr="00BB0AEB">
        <w:rPr>
          <w:rFonts w:ascii="Times New Roman" w:hAnsi="Times New Roman" w:cs="Times New Roman"/>
        </w:rPr>
        <w:t xml:space="preserve"> Opracowano na podstawie danych GUS zamieszczonych w internecie [dostęp: 25–28 I ‘19 r.] Bank Danych Lokalnych (</w:t>
      </w:r>
      <w:hyperlink r:id="rId1" w:history="1">
        <w:r w:rsidRPr="00BB0AEB">
          <w:rPr>
            <w:rStyle w:val="Hipercze"/>
            <w:rFonts w:ascii="Times New Roman" w:hAnsi="Times New Roman" w:cs="Times New Roman"/>
          </w:rPr>
          <w:t>https://bdl.stat.gov.pl/BDL/start</w:t>
        </w:r>
      </w:hyperlink>
      <w:r w:rsidRPr="00BB0AEB">
        <w:rPr>
          <w:rFonts w:ascii="Times New Roman" w:hAnsi="Times New Roman" w:cs="Times New Roman"/>
        </w:rPr>
        <w:t xml:space="preserve">); Krajowy Rejestr Urzędowy Podziału Terytorialnego Kraju </w:t>
      </w:r>
      <w:r>
        <w:rPr>
          <w:rFonts w:ascii="Times New Roman" w:hAnsi="Times New Roman" w:cs="Times New Roman"/>
        </w:rPr>
        <w:t>(</w:t>
      </w:r>
      <w:r w:rsidRPr="00BB0AEB">
        <w:rPr>
          <w:rFonts w:ascii="Times New Roman" w:hAnsi="Times New Roman" w:cs="Times New Roman"/>
        </w:rPr>
        <w:t>TERYT</w:t>
      </w:r>
      <w:r>
        <w:rPr>
          <w:rFonts w:ascii="Times New Roman" w:hAnsi="Times New Roman" w:cs="Times New Roman"/>
        </w:rPr>
        <w:t>)</w:t>
      </w:r>
      <w:r w:rsidRPr="00BB0AEB">
        <w:rPr>
          <w:rFonts w:ascii="Times New Roman" w:hAnsi="Times New Roman" w:cs="Times New Roman"/>
        </w:rPr>
        <w:t>:</w:t>
      </w:r>
      <w:r>
        <w:rPr>
          <w:rFonts w:ascii="Times New Roman" w:hAnsi="Times New Roman" w:cs="Times New Roman"/>
        </w:rPr>
        <w:t xml:space="preserve"> </w:t>
      </w:r>
      <w:hyperlink r:id="rId2" w:history="1">
        <w:r w:rsidRPr="000569BD">
          <w:rPr>
            <w:rStyle w:val="Hipercze"/>
            <w:rFonts w:ascii="Times New Roman" w:hAnsi="Times New Roman" w:cs="Times New Roman"/>
          </w:rPr>
          <w:t>http://eteryt.stat.gov.pl/eTeryt/rejestr_teryt/udostepnianie_danych/baza_teryt/raporty/raporty.aspx?contrast=default</w:t>
        </w:r>
      </w:hyperlink>
      <w:r w:rsidRPr="000569BD">
        <w:rPr>
          <w:rFonts w:ascii="Times New Roman" w:hAnsi="Times New Roman" w:cs="Times New Roman"/>
        </w:rPr>
        <w:t>;</w:t>
      </w:r>
      <w:r>
        <w:rPr>
          <w:rFonts w:ascii="Times New Roman" w:hAnsi="Times New Roman" w:cs="Times New Roman"/>
        </w:rPr>
        <w:t xml:space="preserve"> </w:t>
      </w:r>
      <w:r w:rsidRPr="000569BD">
        <w:rPr>
          <w:rFonts w:ascii="Times New Roman" w:hAnsi="Times New Roman" w:cs="Times New Roman"/>
          <w:i/>
        </w:rPr>
        <w:t>Rocznik demograficzny 201</w:t>
      </w:r>
      <w:r>
        <w:rPr>
          <w:rFonts w:ascii="Times New Roman" w:hAnsi="Times New Roman" w:cs="Times New Roman"/>
          <w:i/>
        </w:rPr>
        <w:t>8</w:t>
      </w:r>
      <w:r w:rsidRPr="000569BD">
        <w:rPr>
          <w:rFonts w:ascii="Times New Roman" w:hAnsi="Times New Roman" w:cs="Times New Roman"/>
        </w:rPr>
        <w:t>;</w:t>
      </w:r>
      <w:r>
        <w:rPr>
          <w:rFonts w:ascii="Times New Roman" w:hAnsi="Times New Roman" w:cs="Times New Roman"/>
        </w:rPr>
        <w:t xml:space="preserve"> </w:t>
      </w:r>
      <w:r w:rsidRPr="000569BD">
        <w:rPr>
          <w:rFonts w:ascii="Times New Roman" w:hAnsi="Times New Roman" w:cs="Times New Roman"/>
          <w:i/>
        </w:rPr>
        <w:t>Rocznik Statystyczny Województwa Podkarpackiego 2018</w:t>
      </w:r>
      <w:r>
        <w:rPr>
          <w:rFonts w:ascii="Times New Roman" w:hAnsi="Times New Roman" w:cs="Times New Roman"/>
          <w:i/>
        </w:rPr>
        <w:t xml:space="preserve">; </w:t>
      </w:r>
      <w:r w:rsidRPr="000569BD">
        <w:rPr>
          <w:rFonts w:ascii="Times New Roman" w:hAnsi="Times New Roman" w:cs="Times New Roman"/>
          <w:i/>
        </w:rPr>
        <w:t>Stan, ruch naturalny i migracje ludności w województwie podkarpackim w 2017</w:t>
      </w:r>
      <w:r>
        <w:rPr>
          <w:rFonts w:ascii="Times New Roman" w:hAnsi="Times New Roman" w:cs="Times New Roman"/>
          <w:i/>
        </w:rPr>
        <w:t xml:space="preserve"> </w:t>
      </w:r>
      <w:r w:rsidRPr="000569BD">
        <w:rPr>
          <w:rFonts w:ascii="Times New Roman" w:hAnsi="Times New Roman" w:cs="Times New Roman"/>
          <w:i/>
        </w:rPr>
        <w:t>roku</w:t>
      </w:r>
      <w:r w:rsidRPr="000569BD">
        <w:rPr>
          <w:rFonts w:ascii="Times New Roman" w:hAnsi="Times New Roman" w:cs="Times New Roman"/>
        </w:rPr>
        <w:t>;</w:t>
      </w:r>
      <w:r>
        <w:rPr>
          <w:rFonts w:ascii="Times New Roman" w:hAnsi="Times New Roman" w:cs="Times New Roman"/>
        </w:rPr>
        <w:t xml:space="preserve"> </w:t>
      </w:r>
      <w:r w:rsidRPr="000569BD">
        <w:rPr>
          <w:rFonts w:ascii="Times New Roman" w:hAnsi="Times New Roman" w:cs="Times New Roman"/>
          <w:i/>
        </w:rPr>
        <w:t>Produkt krajowy brutto. Rachunki regionalne w 2016 r</w:t>
      </w:r>
      <w:r>
        <w:rPr>
          <w:rFonts w:ascii="Times New Roman" w:hAnsi="Times New Roman" w:cs="Times New Roman"/>
          <w:i/>
        </w:rPr>
        <w:t>oku</w:t>
      </w:r>
      <w:r w:rsidRPr="000569BD">
        <w:rPr>
          <w:rFonts w:ascii="Times New Roman" w:hAnsi="Times New Roman" w:cs="Times New Roman"/>
        </w:rPr>
        <w:t>.</w:t>
      </w:r>
    </w:p>
  </w:footnote>
  <w:footnote w:id="2">
    <w:p w:rsidR="003B2AA7" w:rsidRPr="00E84E16" w:rsidRDefault="003B2AA7" w:rsidP="004F27D6">
      <w:pPr>
        <w:pStyle w:val="Tekstprzypisudolnego"/>
        <w:jc w:val="both"/>
        <w:rPr>
          <w:rFonts w:ascii="Times New Roman" w:hAnsi="Times New Roman" w:cs="Times New Roman"/>
          <w:sz w:val="16"/>
          <w:szCs w:val="16"/>
        </w:rPr>
      </w:pPr>
      <w:r w:rsidRPr="009619F9">
        <w:rPr>
          <w:rStyle w:val="Odwoanieprzypisudolnego"/>
          <w:rFonts w:ascii="Times New Roman" w:hAnsi="Times New Roman" w:cs="Times New Roman"/>
          <w:sz w:val="16"/>
          <w:szCs w:val="16"/>
        </w:rPr>
        <w:footnoteRef/>
      </w:r>
      <w:r w:rsidRPr="009619F9">
        <w:rPr>
          <w:rFonts w:ascii="Times New Roman" w:hAnsi="Times New Roman" w:cs="Times New Roman"/>
          <w:sz w:val="16"/>
          <w:szCs w:val="16"/>
        </w:rPr>
        <w:t xml:space="preserve"> Odsłona strony 2</w:t>
      </w:r>
      <w:r>
        <w:rPr>
          <w:rFonts w:ascii="Times New Roman" w:hAnsi="Times New Roman" w:cs="Times New Roman"/>
          <w:sz w:val="16"/>
          <w:szCs w:val="16"/>
        </w:rPr>
        <w:t>8</w:t>
      </w:r>
      <w:r w:rsidRPr="009619F9">
        <w:rPr>
          <w:rFonts w:ascii="Times New Roman" w:hAnsi="Times New Roman" w:cs="Times New Roman"/>
          <w:sz w:val="16"/>
          <w:szCs w:val="16"/>
        </w:rPr>
        <w:t xml:space="preserve"> I ’18 r.</w:t>
      </w:r>
    </w:p>
  </w:footnote>
  <w:footnote w:id="3">
    <w:p w:rsidR="003B2AA7" w:rsidRPr="00E84E16" w:rsidRDefault="003B2AA7" w:rsidP="004F27D6">
      <w:pPr>
        <w:pStyle w:val="Tekstprzypisudolnego"/>
        <w:jc w:val="both"/>
        <w:rPr>
          <w:rFonts w:ascii="Times New Roman" w:hAnsi="Times New Roman" w:cs="Times New Roman"/>
          <w:sz w:val="16"/>
          <w:szCs w:val="16"/>
        </w:rPr>
      </w:pPr>
      <w:r w:rsidRPr="009619F9">
        <w:rPr>
          <w:rStyle w:val="Odwoanieprzypisudolnego"/>
          <w:rFonts w:ascii="Times New Roman" w:hAnsi="Times New Roman" w:cs="Times New Roman"/>
          <w:sz w:val="16"/>
          <w:szCs w:val="16"/>
        </w:rPr>
        <w:footnoteRef/>
      </w:r>
      <w:r w:rsidRPr="009619F9">
        <w:rPr>
          <w:rFonts w:ascii="Times New Roman" w:hAnsi="Times New Roman" w:cs="Times New Roman"/>
          <w:sz w:val="16"/>
          <w:szCs w:val="16"/>
        </w:rPr>
        <w:t xml:space="preserve"> Odsłona strony 2</w:t>
      </w:r>
      <w:r>
        <w:rPr>
          <w:rFonts w:ascii="Times New Roman" w:hAnsi="Times New Roman" w:cs="Times New Roman"/>
          <w:sz w:val="16"/>
          <w:szCs w:val="16"/>
        </w:rPr>
        <w:t>8</w:t>
      </w:r>
      <w:r w:rsidRPr="009619F9">
        <w:rPr>
          <w:rFonts w:ascii="Times New Roman" w:hAnsi="Times New Roman" w:cs="Times New Roman"/>
          <w:sz w:val="16"/>
          <w:szCs w:val="16"/>
        </w:rPr>
        <w:t xml:space="preserve"> I ’18 r.</w:t>
      </w:r>
    </w:p>
  </w:footnote>
  <w:footnote w:id="4">
    <w:p w:rsidR="003B2AA7" w:rsidRPr="00A56F5C" w:rsidRDefault="003B2AA7" w:rsidP="00A56F5C">
      <w:pPr>
        <w:pStyle w:val="Tekstprzypisudolnego"/>
        <w:jc w:val="both"/>
        <w:rPr>
          <w:rFonts w:ascii="Times New Roman" w:hAnsi="Times New Roman" w:cs="Times New Roman"/>
          <w:sz w:val="16"/>
          <w:szCs w:val="16"/>
        </w:rPr>
      </w:pPr>
      <w:r w:rsidRPr="00A56F5C">
        <w:rPr>
          <w:rStyle w:val="Odwoanieprzypisudolnego"/>
          <w:rFonts w:ascii="Times New Roman" w:hAnsi="Times New Roman" w:cs="Times New Roman"/>
          <w:sz w:val="16"/>
          <w:szCs w:val="16"/>
        </w:rPr>
        <w:footnoteRef/>
      </w:r>
      <w:r w:rsidRPr="00A56F5C">
        <w:rPr>
          <w:rFonts w:ascii="Times New Roman" w:hAnsi="Times New Roman" w:cs="Times New Roman"/>
          <w:sz w:val="16"/>
          <w:szCs w:val="16"/>
        </w:rPr>
        <w:t xml:space="preserve"> </w:t>
      </w:r>
      <w:r>
        <w:rPr>
          <w:rFonts w:ascii="Times New Roman" w:hAnsi="Times New Roman" w:cs="Times New Roman"/>
          <w:sz w:val="16"/>
          <w:szCs w:val="16"/>
        </w:rPr>
        <w:t xml:space="preserve">Bank Danych Lokalnych, </w:t>
      </w:r>
      <w:hyperlink r:id="rId3" w:history="1">
        <w:r w:rsidRPr="004F5298">
          <w:rPr>
            <w:rStyle w:val="Hipercze"/>
            <w:rFonts w:ascii="Times New Roman" w:hAnsi="Times New Roman" w:cs="Times New Roman"/>
            <w:sz w:val="16"/>
            <w:szCs w:val="16"/>
          </w:rPr>
          <w:t>http://www.stat.gov.pl</w:t>
        </w:r>
      </w:hyperlink>
      <w:r>
        <w:rPr>
          <w:rFonts w:ascii="Times New Roman" w:hAnsi="Times New Roman" w:cs="Times New Roman"/>
          <w:sz w:val="16"/>
          <w:szCs w:val="16"/>
        </w:rPr>
        <w:t>.</w:t>
      </w:r>
    </w:p>
  </w:footnote>
  <w:footnote w:id="5">
    <w:p w:rsidR="003B2AA7" w:rsidRPr="00AE0AE9" w:rsidRDefault="003B2AA7" w:rsidP="00B92E45">
      <w:pPr>
        <w:pStyle w:val="Tekstprzypisudolnego"/>
        <w:jc w:val="both"/>
        <w:rPr>
          <w:rFonts w:ascii="Times New Roman" w:hAnsi="Times New Roman" w:cs="Times New Roman"/>
          <w:sz w:val="16"/>
          <w:szCs w:val="16"/>
        </w:rPr>
      </w:pPr>
      <w:r w:rsidRPr="00AE0AE9">
        <w:rPr>
          <w:rStyle w:val="Odwoanieprzypisudolnego"/>
          <w:rFonts w:ascii="Times New Roman" w:hAnsi="Times New Roman" w:cs="Times New Roman"/>
          <w:sz w:val="16"/>
          <w:szCs w:val="16"/>
        </w:rPr>
        <w:footnoteRef/>
      </w:r>
      <w:r w:rsidRPr="00AE0AE9">
        <w:rPr>
          <w:rFonts w:ascii="Times New Roman" w:hAnsi="Times New Roman" w:cs="Times New Roman"/>
          <w:sz w:val="16"/>
          <w:szCs w:val="16"/>
        </w:rPr>
        <w:t xml:space="preserve"> </w:t>
      </w:r>
      <w:r w:rsidRPr="00AE0AE9">
        <w:rPr>
          <w:rFonts w:ascii="Times New Roman" w:hAnsi="Times New Roman" w:cs="Times New Roman"/>
          <w:color w:val="000000"/>
          <w:sz w:val="16"/>
          <w:szCs w:val="16"/>
        </w:rPr>
        <w:t xml:space="preserve">Ludność w wieku przedprodukcyjnym wg metodologii Badania Aktywności Ekonomicznej Ludności: 14 lat i mniej. </w:t>
      </w:r>
      <w:r w:rsidRPr="00AE0AE9">
        <w:rPr>
          <w:rFonts w:ascii="Times New Roman" w:hAnsi="Times New Roman" w:cs="Times New Roman"/>
          <w:sz w:val="16"/>
          <w:szCs w:val="16"/>
        </w:rPr>
        <w:t xml:space="preserve">Za wiek produkcyjny przyjęto dla kobiet od </w:t>
      </w:r>
      <w:r w:rsidRPr="00D318A9">
        <w:rPr>
          <w:rFonts w:ascii="Times New Roman" w:hAnsi="Times New Roman" w:cs="Times New Roman"/>
          <w:b/>
          <w:sz w:val="16"/>
          <w:szCs w:val="16"/>
        </w:rPr>
        <w:t>15 do 59</w:t>
      </w:r>
      <w:r w:rsidRPr="00AE0AE9">
        <w:rPr>
          <w:rFonts w:ascii="Times New Roman" w:hAnsi="Times New Roman" w:cs="Times New Roman"/>
          <w:sz w:val="16"/>
          <w:szCs w:val="16"/>
        </w:rPr>
        <w:t xml:space="preserve"> lat oraz dla mężczyzn od </w:t>
      </w:r>
      <w:r w:rsidRPr="00D318A9">
        <w:rPr>
          <w:rFonts w:ascii="Times New Roman" w:hAnsi="Times New Roman" w:cs="Times New Roman"/>
          <w:b/>
          <w:sz w:val="16"/>
          <w:szCs w:val="16"/>
        </w:rPr>
        <w:t>15 do 64</w:t>
      </w:r>
      <w:r w:rsidRPr="00AE0AE9">
        <w:rPr>
          <w:rFonts w:ascii="Times New Roman" w:hAnsi="Times New Roman" w:cs="Times New Roman"/>
          <w:sz w:val="16"/>
          <w:szCs w:val="16"/>
        </w:rPr>
        <w:t xml:space="preserve"> lat.</w:t>
      </w:r>
    </w:p>
  </w:footnote>
  <w:footnote w:id="6">
    <w:p w:rsidR="003B2AA7" w:rsidRPr="000D62AE" w:rsidRDefault="003B2AA7" w:rsidP="00B92E45">
      <w:pPr>
        <w:pStyle w:val="Tekstprzypisudolnego"/>
        <w:jc w:val="both"/>
        <w:rPr>
          <w:rFonts w:ascii="Times New Roman" w:hAnsi="Times New Roman" w:cs="Times New Roman"/>
          <w:sz w:val="16"/>
          <w:szCs w:val="16"/>
        </w:rPr>
      </w:pPr>
      <w:r w:rsidRPr="00AE0AE9">
        <w:rPr>
          <w:rStyle w:val="Odwoanieprzypisudolnego"/>
          <w:rFonts w:ascii="Times New Roman" w:hAnsi="Times New Roman" w:cs="Times New Roman"/>
          <w:sz w:val="16"/>
          <w:szCs w:val="16"/>
        </w:rPr>
        <w:footnoteRef/>
      </w:r>
      <w:r w:rsidRPr="00AE0AE9">
        <w:rPr>
          <w:rFonts w:ascii="Times New Roman" w:hAnsi="Times New Roman" w:cs="Times New Roman"/>
          <w:sz w:val="16"/>
          <w:szCs w:val="16"/>
        </w:rPr>
        <w:t xml:space="preserve"> </w:t>
      </w:r>
      <w:r w:rsidRPr="00AE0AE9">
        <w:rPr>
          <w:rFonts w:ascii="Times New Roman" w:hAnsi="Times New Roman" w:cs="Times New Roman"/>
          <w:color w:val="000000"/>
          <w:sz w:val="16"/>
          <w:szCs w:val="16"/>
        </w:rPr>
        <w:t xml:space="preserve">Ludność w wieku przedprodukcyjnym wg założeń stosowanych w demografii: 17 lat i mniej. </w:t>
      </w:r>
      <w:r w:rsidRPr="00AE0AE9">
        <w:rPr>
          <w:rFonts w:ascii="Times New Roman" w:hAnsi="Times New Roman" w:cs="Times New Roman"/>
          <w:sz w:val="16"/>
          <w:szCs w:val="16"/>
        </w:rPr>
        <w:t xml:space="preserve">Za wiek produkcyjny przyjęto dla kobiet od </w:t>
      </w:r>
      <w:r w:rsidRPr="00D318A9">
        <w:rPr>
          <w:rFonts w:ascii="Times New Roman" w:hAnsi="Times New Roman" w:cs="Times New Roman"/>
          <w:b/>
          <w:sz w:val="16"/>
          <w:szCs w:val="16"/>
        </w:rPr>
        <w:t>18 do 59</w:t>
      </w:r>
      <w:r w:rsidRPr="00AE0AE9">
        <w:rPr>
          <w:rFonts w:ascii="Times New Roman" w:hAnsi="Times New Roman" w:cs="Times New Roman"/>
          <w:sz w:val="16"/>
          <w:szCs w:val="16"/>
        </w:rPr>
        <w:t xml:space="preserve"> lat oraz dla mężczyzn od </w:t>
      </w:r>
      <w:r w:rsidRPr="00D318A9">
        <w:rPr>
          <w:rFonts w:ascii="Times New Roman" w:hAnsi="Times New Roman" w:cs="Times New Roman"/>
          <w:b/>
          <w:sz w:val="16"/>
          <w:szCs w:val="16"/>
        </w:rPr>
        <w:t>18 do 64</w:t>
      </w:r>
      <w:r w:rsidRPr="00AE0AE9">
        <w:rPr>
          <w:rFonts w:ascii="Times New Roman" w:hAnsi="Times New Roman" w:cs="Times New Roman"/>
          <w:sz w:val="16"/>
          <w:szCs w:val="16"/>
        </w:rPr>
        <w:t xml:space="preserve"> lat.</w:t>
      </w:r>
    </w:p>
  </w:footnote>
  <w:footnote w:id="7">
    <w:p w:rsidR="003B2AA7" w:rsidRPr="000B5F3B" w:rsidRDefault="003B2AA7" w:rsidP="00B92E45">
      <w:pPr>
        <w:pStyle w:val="Tekstprzypisudolnego"/>
        <w:jc w:val="both"/>
        <w:rPr>
          <w:rFonts w:ascii="Times New Roman" w:hAnsi="Times New Roman" w:cs="Times New Roman"/>
          <w:sz w:val="16"/>
          <w:szCs w:val="16"/>
        </w:rPr>
      </w:pPr>
      <w:r w:rsidRPr="000B5F3B">
        <w:rPr>
          <w:rStyle w:val="Odwoanieprzypisudolnego"/>
          <w:rFonts w:ascii="Times New Roman" w:hAnsi="Times New Roman" w:cs="Times New Roman"/>
          <w:sz w:val="16"/>
          <w:szCs w:val="16"/>
        </w:rPr>
        <w:footnoteRef/>
      </w:r>
      <w:r w:rsidRPr="000B5F3B">
        <w:rPr>
          <w:rFonts w:ascii="Times New Roman" w:hAnsi="Times New Roman" w:cs="Times New Roman"/>
          <w:sz w:val="16"/>
          <w:szCs w:val="16"/>
        </w:rPr>
        <w:t xml:space="preserve"> </w:t>
      </w:r>
      <w:r w:rsidRPr="000B5F3B">
        <w:rPr>
          <w:rFonts w:ascii="Times New Roman" w:hAnsi="Times New Roman" w:cs="Times New Roman"/>
          <w:b/>
          <w:sz w:val="16"/>
          <w:szCs w:val="16"/>
        </w:rPr>
        <w:t>Wskaźnik obciążenia demograficznego</w:t>
      </w:r>
      <w:r w:rsidRPr="000B5F3B">
        <w:rPr>
          <w:rFonts w:ascii="Times New Roman" w:hAnsi="Times New Roman" w:cs="Times New Roman"/>
          <w:sz w:val="16"/>
          <w:szCs w:val="16"/>
        </w:rPr>
        <w:t xml:space="preserve"> – pokazuje ile osób w wieku nieprodukcyjnym (zarówno przed- jak i po-produkcyjnym) przypada na osoby w wieku produkcyjnym (w zależności od przyjętej stałej – w przeliczeniu na 100 – w % lub 1000 – w ‰ osób produkcyjnych).</w:t>
      </w:r>
    </w:p>
    <w:p w:rsidR="003B2AA7" w:rsidRPr="000B5F3B" w:rsidRDefault="003B2AA7" w:rsidP="00B92E45">
      <w:pPr>
        <w:pStyle w:val="Tekstprzypisudolnego"/>
        <w:jc w:val="both"/>
        <w:rPr>
          <w:rFonts w:ascii="Times New Roman" w:hAnsi="Times New Roman" w:cs="Times New Roman"/>
          <w:sz w:val="16"/>
          <w:szCs w:val="16"/>
        </w:rPr>
      </w:pPr>
      <w:r w:rsidRPr="000B5F3B">
        <w:rPr>
          <w:rFonts w:ascii="Times New Roman" w:hAnsi="Times New Roman" w:cs="Times New Roman"/>
          <w:sz w:val="16"/>
          <w:szCs w:val="16"/>
        </w:rPr>
        <w:t>Opracowano na podstawie danych GUS [odczyt: 29 I 2019 r.]: BDL (</w:t>
      </w:r>
      <w:hyperlink r:id="rId4" w:history="1">
        <w:r w:rsidRPr="000B5F3B">
          <w:rPr>
            <w:rStyle w:val="Hipercze"/>
            <w:rFonts w:ascii="Times New Roman" w:hAnsi="Times New Roman" w:cs="Times New Roman"/>
            <w:sz w:val="16"/>
            <w:szCs w:val="16"/>
          </w:rPr>
          <w:t>https://bdl.stat.gov.pl/BDL/start</w:t>
        </w:r>
      </w:hyperlink>
      <w:r w:rsidRPr="000B5F3B">
        <w:rPr>
          <w:rFonts w:ascii="Times New Roman" w:hAnsi="Times New Roman" w:cs="Times New Roman"/>
          <w:sz w:val="16"/>
          <w:szCs w:val="16"/>
        </w:rPr>
        <w:t>). Kategorie wg metody BAEL, tj. wiek przedprodukcyjny: 0-17 lat, wiek produkcyjny: 18 – 59 lat dla kobiet, 18-64 lat dla mężczyzn, wiek poprodukcyjny tj. powyżej wieku produkcyjnego (powyżej 59 lat kobiety i powyżej 64 lat mężczyźni).</w:t>
      </w:r>
    </w:p>
  </w:footnote>
  <w:footnote w:id="8">
    <w:p w:rsidR="003B2AA7" w:rsidRPr="000B5F3B" w:rsidRDefault="003B2AA7" w:rsidP="00296256">
      <w:pPr>
        <w:pStyle w:val="Tekstprzypisudolnego"/>
        <w:jc w:val="both"/>
        <w:rPr>
          <w:rFonts w:ascii="Times New Roman" w:hAnsi="Times New Roman" w:cs="Times New Roman"/>
          <w:sz w:val="16"/>
          <w:szCs w:val="16"/>
        </w:rPr>
      </w:pPr>
      <w:r w:rsidRPr="000B5F3B">
        <w:rPr>
          <w:rStyle w:val="Odwoanieprzypisudolnego"/>
          <w:rFonts w:ascii="Times New Roman" w:hAnsi="Times New Roman" w:cs="Times New Roman"/>
          <w:sz w:val="16"/>
          <w:szCs w:val="16"/>
        </w:rPr>
        <w:footnoteRef/>
      </w:r>
      <w:r w:rsidRPr="000B5F3B">
        <w:rPr>
          <w:rFonts w:ascii="Times New Roman" w:hAnsi="Times New Roman" w:cs="Times New Roman"/>
          <w:sz w:val="16"/>
          <w:szCs w:val="16"/>
        </w:rPr>
        <w:t xml:space="preserve"> </w:t>
      </w:r>
      <w:r w:rsidRPr="00321077">
        <w:rPr>
          <w:rFonts w:ascii="Times New Roman" w:hAnsi="Times New Roman" w:cs="Times New Roman"/>
          <w:b/>
          <w:sz w:val="16"/>
          <w:szCs w:val="16"/>
        </w:rPr>
        <w:t>Współczynnik obciążenia demograficznego osobami starszymi</w:t>
      </w:r>
      <w:r w:rsidRPr="000B5F3B">
        <w:rPr>
          <w:rFonts w:ascii="Times New Roman" w:hAnsi="Times New Roman" w:cs="Times New Roman"/>
          <w:sz w:val="16"/>
          <w:szCs w:val="16"/>
        </w:rPr>
        <w:t xml:space="preserve"> </w:t>
      </w:r>
      <w:r>
        <w:rPr>
          <w:rFonts w:ascii="Times New Roman" w:hAnsi="Times New Roman" w:cs="Times New Roman"/>
          <w:sz w:val="16"/>
          <w:szCs w:val="16"/>
        </w:rPr>
        <w:t>jest to</w:t>
      </w:r>
      <w:r w:rsidRPr="000B5F3B">
        <w:rPr>
          <w:rFonts w:ascii="Times New Roman" w:hAnsi="Times New Roman" w:cs="Times New Roman"/>
          <w:sz w:val="16"/>
          <w:szCs w:val="16"/>
        </w:rPr>
        <w:t xml:space="preserve"> liczba osób w wieku 65 lat i więcej przypadająca na 100 osób </w:t>
      </w:r>
      <w:r>
        <w:rPr>
          <w:rFonts w:ascii="Times New Roman" w:hAnsi="Times New Roman" w:cs="Times New Roman"/>
          <w:sz w:val="16"/>
          <w:szCs w:val="16"/>
        </w:rPr>
        <w:t xml:space="preserve">będących </w:t>
      </w:r>
      <w:r w:rsidRPr="000B5F3B">
        <w:rPr>
          <w:rFonts w:ascii="Times New Roman" w:hAnsi="Times New Roman" w:cs="Times New Roman"/>
          <w:sz w:val="16"/>
          <w:szCs w:val="16"/>
        </w:rPr>
        <w:t>w</w:t>
      </w:r>
      <w:r>
        <w:rPr>
          <w:rFonts w:ascii="Times New Roman" w:hAnsi="Times New Roman" w:cs="Times New Roman"/>
          <w:sz w:val="16"/>
          <w:szCs w:val="16"/>
        </w:rPr>
        <w:t> </w:t>
      </w:r>
      <w:r w:rsidRPr="000B5F3B">
        <w:rPr>
          <w:rFonts w:ascii="Times New Roman" w:hAnsi="Times New Roman" w:cs="Times New Roman"/>
          <w:sz w:val="16"/>
          <w:szCs w:val="16"/>
        </w:rPr>
        <w:t>wieku produkcyjnym i przedprodukcyjnym. Do proporcji pomiędzy populacjami w wieku poprodukcyjnym i nieprodukcyjnym</w:t>
      </w:r>
      <w:r>
        <w:rPr>
          <w:rFonts w:ascii="Times New Roman" w:hAnsi="Times New Roman" w:cs="Times New Roman"/>
          <w:sz w:val="16"/>
          <w:szCs w:val="16"/>
        </w:rPr>
        <w:t xml:space="preserve"> (zarówno przed- jak i poprodukcyjnym)</w:t>
      </w:r>
      <w:r w:rsidRPr="000B5F3B">
        <w:rPr>
          <w:rFonts w:ascii="Times New Roman" w:hAnsi="Times New Roman" w:cs="Times New Roman"/>
          <w:sz w:val="16"/>
          <w:szCs w:val="16"/>
        </w:rPr>
        <w:t xml:space="preserve"> </w:t>
      </w:r>
      <w:r>
        <w:rPr>
          <w:rFonts w:ascii="Times New Roman" w:hAnsi="Times New Roman" w:cs="Times New Roman"/>
          <w:sz w:val="16"/>
          <w:szCs w:val="16"/>
        </w:rPr>
        <w:t xml:space="preserve">stosuje się zwykle </w:t>
      </w:r>
      <w:r w:rsidRPr="000B5F3B">
        <w:rPr>
          <w:rFonts w:ascii="Times New Roman" w:hAnsi="Times New Roman" w:cs="Times New Roman"/>
          <w:sz w:val="16"/>
          <w:szCs w:val="16"/>
        </w:rPr>
        <w:t>nazwę „</w:t>
      </w:r>
      <w:r w:rsidRPr="000B5F3B">
        <w:rPr>
          <w:rFonts w:ascii="Times New Roman" w:hAnsi="Times New Roman" w:cs="Times New Roman"/>
          <w:b/>
          <w:sz w:val="16"/>
          <w:szCs w:val="16"/>
        </w:rPr>
        <w:t>współczynnik”</w:t>
      </w:r>
      <w:r w:rsidRPr="000B5F3B">
        <w:rPr>
          <w:rFonts w:ascii="Times New Roman" w:hAnsi="Times New Roman" w:cs="Times New Roman"/>
          <w:sz w:val="16"/>
          <w:szCs w:val="16"/>
        </w:rPr>
        <w:t>. Wzrastająca wartość oznacza wzrost osób starszych,</w:t>
      </w:r>
      <w:r>
        <w:rPr>
          <w:rFonts w:ascii="Times New Roman" w:hAnsi="Times New Roman" w:cs="Times New Roman"/>
          <w:sz w:val="16"/>
          <w:szCs w:val="16"/>
        </w:rPr>
        <w:t xml:space="preserve"> a </w:t>
      </w:r>
      <w:r w:rsidRPr="000B5F3B">
        <w:rPr>
          <w:rFonts w:ascii="Times New Roman" w:hAnsi="Times New Roman" w:cs="Times New Roman"/>
          <w:sz w:val="16"/>
          <w:szCs w:val="16"/>
        </w:rPr>
        <w:t>malejąca spadek.</w:t>
      </w:r>
    </w:p>
  </w:footnote>
  <w:footnote w:id="9">
    <w:p w:rsidR="003B2AA7" w:rsidRPr="00FC5974" w:rsidRDefault="003B2AA7" w:rsidP="0038009A">
      <w:pPr>
        <w:pStyle w:val="Tekstprzypisudolnego"/>
        <w:jc w:val="both"/>
        <w:rPr>
          <w:rFonts w:ascii="Times New Roman" w:hAnsi="Times New Roman" w:cs="Times New Roman"/>
          <w:sz w:val="16"/>
          <w:szCs w:val="16"/>
        </w:rPr>
      </w:pPr>
      <w:r w:rsidRPr="000B5F3B">
        <w:rPr>
          <w:rStyle w:val="Odwoanieprzypisudolnego"/>
          <w:rFonts w:ascii="Times New Roman" w:hAnsi="Times New Roman" w:cs="Times New Roman"/>
          <w:sz w:val="16"/>
          <w:szCs w:val="16"/>
        </w:rPr>
        <w:footnoteRef/>
      </w:r>
      <w:r w:rsidRPr="000B5F3B">
        <w:rPr>
          <w:rFonts w:ascii="Times New Roman" w:hAnsi="Times New Roman" w:cs="Times New Roman"/>
          <w:sz w:val="16"/>
          <w:szCs w:val="16"/>
        </w:rPr>
        <w:t xml:space="preserve"> Jak wynika z prognoz w 2025 r</w:t>
      </w:r>
      <w:r>
        <w:rPr>
          <w:rFonts w:ascii="Times New Roman" w:hAnsi="Times New Roman" w:cs="Times New Roman"/>
          <w:sz w:val="16"/>
          <w:szCs w:val="16"/>
        </w:rPr>
        <w:t xml:space="preserve">oku </w:t>
      </w:r>
      <w:r w:rsidRPr="000B5F3B">
        <w:rPr>
          <w:rFonts w:ascii="Times New Roman" w:hAnsi="Times New Roman" w:cs="Times New Roman"/>
          <w:sz w:val="16"/>
          <w:szCs w:val="16"/>
        </w:rPr>
        <w:t xml:space="preserve">wskaźnik obciążenia demograficznego może przyjąć wartość z 1990 roku. Wysoka wartość wskaźnika może nie wynikać – tak jak to miało miejsce w początku lat 90. z dużej ilości osób młodych (w wieku przedprodukcyjnym) tylko </w:t>
      </w:r>
      <w:r>
        <w:rPr>
          <w:rFonts w:ascii="Times New Roman" w:hAnsi="Times New Roman" w:cs="Times New Roman"/>
          <w:sz w:val="16"/>
          <w:szCs w:val="16"/>
        </w:rPr>
        <w:t xml:space="preserve">z pewnym prawdopodobieństwem może </w:t>
      </w:r>
      <w:r w:rsidRPr="000B5F3B">
        <w:rPr>
          <w:rFonts w:ascii="Times New Roman" w:hAnsi="Times New Roman" w:cs="Times New Roman"/>
          <w:sz w:val="16"/>
          <w:szCs w:val="16"/>
        </w:rPr>
        <w:t>nastąpić wzrost populacji osób starszych</w:t>
      </w:r>
      <w:r>
        <w:rPr>
          <w:rFonts w:ascii="Times New Roman" w:hAnsi="Times New Roman" w:cs="Times New Roman"/>
          <w:sz w:val="16"/>
          <w:szCs w:val="16"/>
        </w:rPr>
        <w:t xml:space="preserve">, z perspektywy na </w:t>
      </w:r>
      <w:r w:rsidRPr="000B5F3B">
        <w:rPr>
          <w:rFonts w:ascii="Times New Roman" w:hAnsi="Times New Roman" w:cs="Times New Roman"/>
          <w:sz w:val="16"/>
          <w:szCs w:val="16"/>
        </w:rPr>
        <w:t>rynku prac</w:t>
      </w:r>
      <w:r>
        <w:rPr>
          <w:rFonts w:ascii="Times New Roman" w:hAnsi="Times New Roman" w:cs="Times New Roman"/>
          <w:sz w:val="16"/>
          <w:szCs w:val="16"/>
        </w:rPr>
        <w:t xml:space="preserve">y – </w:t>
      </w:r>
      <w:r w:rsidRPr="000B5F3B">
        <w:rPr>
          <w:rFonts w:ascii="Times New Roman" w:hAnsi="Times New Roman" w:cs="Times New Roman"/>
          <w:sz w:val="16"/>
          <w:szCs w:val="16"/>
        </w:rPr>
        <w:t xml:space="preserve">będących </w:t>
      </w:r>
      <w:r>
        <w:rPr>
          <w:rFonts w:ascii="Times New Roman" w:hAnsi="Times New Roman" w:cs="Times New Roman"/>
          <w:sz w:val="16"/>
          <w:szCs w:val="16"/>
        </w:rPr>
        <w:t xml:space="preserve">już </w:t>
      </w:r>
      <w:r w:rsidRPr="000B5F3B">
        <w:rPr>
          <w:rFonts w:ascii="Times New Roman" w:hAnsi="Times New Roman" w:cs="Times New Roman"/>
          <w:sz w:val="16"/>
          <w:szCs w:val="16"/>
        </w:rPr>
        <w:t>w tzw. wieku po-produkcyjnym</w:t>
      </w:r>
      <w:r w:rsidRPr="006F414E">
        <w:rPr>
          <w:rFonts w:ascii="Times New Roman" w:hAnsi="Times New Roman" w:cs="Times New Roman"/>
          <w:sz w:val="16"/>
          <w:szCs w:val="16"/>
        </w:rPr>
        <w:t>. Źródło:</w:t>
      </w:r>
      <w:r>
        <w:rPr>
          <w:rFonts w:ascii="Times New Roman" w:hAnsi="Times New Roman" w:cs="Times New Roman"/>
          <w:sz w:val="16"/>
          <w:szCs w:val="16"/>
        </w:rPr>
        <w:t xml:space="preserve"> R. Murkowski „Ocena obciążenia demograficznego ludności Polski na lata 2010-2025”, Uniwersytet Ekonomiczny w Poznaniu.</w:t>
      </w:r>
    </w:p>
  </w:footnote>
  <w:footnote w:id="10">
    <w:p w:rsidR="003B2AA7" w:rsidRPr="005F78F0" w:rsidRDefault="003B2AA7" w:rsidP="00B92E45">
      <w:pPr>
        <w:pStyle w:val="Tekstprzypisudolnego"/>
        <w:jc w:val="both"/>
        <w:rPr>
          <w:rFonts w:ascii="Times New Roman" w:hAnsi="Times New Roman" w:cs="Times New Roman"/>
          <w:sz w:val="14"/>
          <w:szCs w:val="14"/>
        </w:rPr>
      </w:pPr>
      <w:r w:rsidRPr="00D136C5">
        <w:rPr>
          <w:rStyle w:val="Odwoanieprzypisudolnego"/>
          <w:rFonts w:ascii="Times New Roman" w:hAnsi="Times New Roman" w:cs="Times New Roman"/>
          <w:sz w:val="14"/>
          <w:szCs w:val="14"/>
          <w:shd w:val="clear" w:color="auto" w:fill="FFFFFF" w:themeFill="background1"/>
        </w:rPr>
        <w:footnoteRef/>
      </w:r>
      <w:r w:rsidRPr="00D136C5">
        <w:rPr>
          <w:rFonts w:ascii="Times New Roman" w:hAnsi="Times New Roman" w:cs="Times New Roman"/>
          <w:sz w:val="14"/>
          <w:szCs w:val="14"/>
          <w:shd w:val="clear" w:color="auto" w:fill="FFFFFF" w:themeFill="background1"/>
        </w:rPr>
        <w:t xml:space="preserve"> Rozdział opracowany na podstawie danych GUS: </w:t>
      </w:r>
      <w:r w:rsidRPr="00D136C5">
        <w:rPr>
          <w:rFonts w:ascii="Times New Roman" w:hAnsi="Times New Roman" w:cs="Times New Roman"/>
          <w:i/>
          <w:sz w:val="14"/>
          <w:szCs w:val="14"/>
          <w:shd w:val="clear" w:color="auto" w:fill="FFFFFF" w:themeFill="background1"/>
        </w:rPr>
        <w:t>Miesięczna informacja o podmiotach gospodarki narodowej w rejestrze REGON</w:t>
      </w:r>
      <w:r w:rsidRPr="00D136C5">
        <w:rPr>
          <w:rFonts w:ascii="Times New Roman" w:hAnsi="Times New Roman" w:cs="Times New Roman"/>
          <w:sz w:val="14"/>
          <w:szCs w:val="14"/>
          <w:shd w:val="clear" w:color="auto" w:fill="FFFFFF" w:themeFill="background1"/>
        </w:rPr>
        <w:t>;</w:t>
      </w:r>
      <w:r w:rsidRPr="00D136C5">
        <w:rPr>
          <w:rFonts w:ascii="Times New Roman" w:hAnsi="Times New Roman" w:cs="Times New Roman"/>
          <w:sz w:val="14"/>
          <w:szCs w:val="14"/>
        </w:rPr>
        <w:t xml:space="preserve"> </w:t>
      </w:r>
      <w:r w:rsidRPr="00D136C5">
        <w:rPr>
          <w:rFonts w:ascii="Times New Roman" w:hAnsi="Times New Roman" w:cs="Times New Roman"/>
          <w:i/>
          <w:sz w:val="14"/>
          <w:szCs w:val="14"/>
        </w:rPr>
        <w:t>Podmioty gospodarki narodowej wpisane do rejestru REGON w województwie podkarpackim. Stan na koniec 2017 roku. Opracowanie sygnalne</w:t>
      </w:r>
      <w:r w:rsidRPr="00D136C5">
        <w:rPr>
          <w:rFonts w:ascii="Times New Roman" w:hAnsi="Times New Roman" w:cs="Times New Roman"/>
          <w:sz w:val="14"/>
          <w:szCs w:val="14"/>
        </w:rPr>
        <w:t xml:space="preserve">; </w:t>
      </w:r>
      <w:r w:rsidRPr="00D136C5">
        <w:rPr>
          <w:rFonts w:ascii="Times New Roman" w:hAnsi="Times New Roman" w:cs="Times New Roman"/>
          <w:i/>
          <w:sz w:val="14"/>
          <w:szCs w:val="14"/>
        </w:rPr>
        <w:t>Pracujący w gospodarce narodowej w 2017 r.</w:t>
      </w:r>
      <w:r w:rsidRPr="00D136C5">
        <w:rPr>
          <w:rFonts w:ascii="Times New Roman" w:hAnsi="Times New Roman" w:cs="Times New Roman"/>
          <w:sz w:val="14"/>
          <w:szCs w:val="14"/>
        </w:rPr>
        <w:t xml:space="preserve"> oraz danych GUS BDL [odczyt 30 I ‘19 r.].</w:t>
      </w:r>
    </w:p>
  </w:footnote>
  <w:footnote w:id="11">
    <w:p w:rsidR="003B2AA7" w:rsidRPr="00B12282" w:rsidRDefault="003B2AA7" w:rsidP="00E8385B">
      <w:pPr>
        <w:pStyle w:val="Tekstprzypisudolnego"/>
        <w:jc w:val="both"/>
        <w:rPr>
          <w:rFonts w:ascii="Times New Roman" w:hAnsi="Times New Roman" w:cs="Times New Roman"/>
          <w:sz w:val="16"/>
          <w:szCs w:val="16"/>
        </w:rPr>
      </w:pPr>
      <w:r w:rsidRPr="00B12282">
        <w:rPr>
          <w:rStyle w:val="Odwoanieprzypisudolnego"/>
          <w:rFonts w:ascii="Times New Roman" w:hAnsi="Times New Roman" w:cs="Times New Roman"/>
          <w:sz w:val="16"/>
          <w:szCs w:val="16"/>
        </w:rPr>
        <w:footnoteRef/>
      </w:r>
      <w:r w:rsidRPr="00B12282">
        <w:rPr>
          <w:rFonts w:ascii="Times New Roman" w:hAnsi="Times New Roman" w:cs="Times New Roman"/>
          <w:sz w:val="16"/>
          <w:szCs w:val="16"/>
        </w:rPr>
        <w:t xml:space="preserve"> Takie same skupienia, w zakresie kumulacji </w:t>
      </w:r>
      <w:r>
        <w:rPr>
          <w:rFonts w:ascii="Times New Roman" w:hAnsi="Times New Roman" w:cs="Times New Roman"/>
          <w:sz w:val="16"/>
          <w:szCs w:val="16"/>
        </w:rPr>
        <w:t xml:space="preserve">przewidywanej liczby osób pracujących w </w:t>
      </w:r>
      <w:r w:rsidRPr="00B12282">
        <w:rPr>
          <w:rFonts w:ascii="Times New Roman" w:hAnsi="Times New Roman" w:cs="Times New Roman"/>
          <w:sz w:val="16"/>
          <w:szCs w:val="16"/>
        </w:rPr>
        <w:t>podmiot</w:t>
      </w:r>
      <w:r>
        <w:rPr>
          <w:rFonts w:ascii="Times New Roman" w:hAnsi="Times New Roman" w:cs="Times New Roman"/>
          <w:sz w:val="16"/>
          <w:szCs w:val="16"/>
        </w:rPr>
        <w:t>ach</w:t>
      </w:r>
      <w:r w:rsidRPr="00B12282">
        <w:rPr>
          <w:rFonts w:ascii="Times New Roman" w:hAnsi="Times New Roman" w:cs="Times New Roman"/>
          <w:sz w:val="16"/>
          <w:szCs w:val="16"/>
        </w:rPr>
        <w:t xml:space="preserve"> w przedziale 0-9 odnotowano we wszystkich województwach w kraju – i co jest z tym powiązane – </w:t>
      </w:r>
      <w:r>
        <w:rPr>
          <w:rFonts w:ascii="Times New Roman" w:hAnsi="Times New Roman" w:cs="Times New Roman"/>
          <w:sz w:val="16"/>
          <w:szCs w:val="16"/>
        </w:rPr>
        <w:t xml:space="preserve">dla </w:t>
      </w:r>
      <w:r w:rsidRPr="00B12282">
        <w:rPr>
          <w:rFonts w:ascii="Times New Roman" w:hAnsi="Times New Roman" w:cs="Times New Roman"/>
          <w:sz w:val="16"/>
          <w:szCs w:val="16"/>
        </w:rPr>
        <w:t xml:space="preserve">średniej </w:t>
      </w:r>
      <w:r w:rsidRPr="00E52DEA">
        <w:rPr>
          <w:rFonts w:ascii="Times New Roman" w:hAnsi="Times New Roman" w:cs="Times New Roman"/>
          <w:sz w:val="16"/>
          <w:szCs w:val="16"/>
        </w:rPr>
        <w:t>ogólnopolskiej (96 %).</w:t>
      </w:r>
    </w:p>
  </w:footnote>
  <w:footnote w:id="12">
    <w:p w:rsidR="003B2AA7" w:rsidRPr="00793402" w:rsidRDefault="003B2AA7" w:rsidP="00793402">
      <w:pPr>
        <w:pStyle w:val="Tekstprzypisudolnego"/>
        <w:jc w:val="both"/>
        <w:rPr>
          <w:rFonts w:ascii="Times New Roman" w:hAnsi="Times New Roman" w:cs="Times New Roman"/>
          <w:sz w:val="16"/>
          <w:szCs w:val="16"/>
        </w:rPr>
      </w:pPr>
      <w:r w:rsidRPr="00793402">
        <w:rPr>
          <w:rStyle w:val="Odwoanieprzypisudolnego"/>
          <w:rFonts w:ascii="Times New Roman" w:hAnsi="Times New Roman" w:cs="Times New Roman"/>
          <w:sz w:val="16"/>
          <w:szCs w:val="16"/>
        </w:rPr>
        <w:footnoteRef/>
      </w:r>
      <w:r w:rsidRPr="00793402">
        <w:rPr>
          <w:rFonts w:ascii="Times New Roman" w:hAnsi="Times New Roman" w:cs="Times New Roman"/>
          <w:sz w:val="16"/>
          <w:szCs w:val="16"/>
        </w:rPr>
        <w:t xml:space="preserve"> Liczba dotyczy pracujących cywili. Bez zatrudnionych w jednostkach obrony narodowej, bezpieczeństwa publicznego.</w:t>
      </w:r>
    </w:p>
  </w:footnote>
  <w:footnote w:id="13">
    <w:p w:rsidR="003B2AA7" w:rsidRPr="00D41E9F" w:rsidRDefault="003B2AA7" w:rsidP="00D41E9F">
      <w:pPr>
        <w:pStyle w:val="Tekstprzypisudolnego"/>
        <w:jc w:val="both"/>
        <w:rPr>
          <w:rFonts w:ascii="Times New Roman" w:hAnsi="Times New Roman" w:cs="Times New Roman"/>
          <w:sz w:val="16"/>
          <w:szCs w:val="16"/>
        </w:rPr>
      </w:pPr>
      <w:r w:rsidRPr="00D41E9F">
        <w:rPr>
          <w:rStyle w:val="Odwoanieprzypisudolnego"/>
          <w:rFonts w:ascii="Times New Roman" w:hAnsi="Times New Roman" w:cs="Times New Roman"/>
          <w:sz w:val="16"/>
          <w:szCs w:val="16"/>
        </w:rPr>
        <w:footnoteRef/>
      </w:r>
      <w:r w:rsidRPr="00D41E9F">
        <w:rPr>
          <w:rFonts w:ascii="Times New Roman" w:hAnsi="Times New Roman" w:cs="Times New Roman"/>
          <w:sz w:val="16"/>
          <w:szCs w:val="16"/>
        </w:rPr>
        <w:t xml:space="preserve"> Pod pojęciem </w:t>
      </w:r>
      <w:r>
        <w:rPr>
          <w:rFonts w:ascii="Times New Roman" w:hAnsi="Times New Roman" w:cs="Times New Roman"/>
          <w:sz w:val="16"/>
          <w:szCs w:val="16"/>
        </w:rPr>
        <w:t>„p</w:t>
      </w:r>
      <w:r w:rsidRPr="00D41E9F">
        <w:rPr>
          <w:rFonts w:ascii="Times New Roman" w:hAnsi="Times New Roman" w:cs="Times New Roman"/>
          <w:sz w:val="16"/>
          <w:szCs w:val="16"/>
        </w:rPr>
        <w:t>rzemysł i budownictwo</w:t>
      </w:r>
      <w:r>
        <w:rPr>
          <w:rFonts w:ascii="Times New Roman" w:hAnsi="Times New Roman" w:cs="Times New Roman"/>
          <w:sz w:val="16"/>
          <w:szCs w:val="16"/>
        </w:rPr>
        <w:t>”</w:t>
      </w:r>
      <w:r w:rsidRPr="00D41E9F">
        <w:rPr>
          <w:rFonts w:ascii="Times New Roman" w:hAnsi="Times New Roman" w:cs="Times New Roman"/>
          <w:sz w:val="16"/>
          <w:szCs w:val="16"/>
        </w:rPr>
        <w:t xml:space="preserve"> </w:t>
      </w:r>
      <w:r>
        <w:rPr>
          <w:rFonts w:ascii="Times New Roman" w:hAnsi="Times New Roman" w:cs="Times New Roman"/>
          <w:sz w:val="16"/>
          <w:szCs w:val="16"/>
        </w:rPr>
        <w:t xml:space="preserve">znajdują się </w:t>
      </w:r>
      <w:r w:rsidRPr="00D41E9F">
        <w:rPr>
          <w:rFonts w:ascii="Times New Roman" w:hAnsi="Times New Roman" w:cs="Times New Roman"/>
          <w:sz w:val="16"/>
          <w:szCs w:val="16"/>
        </w:rPr>
        <w:t>sekcje</w:t>
      </w:r>
      <w:r>
        <w:rPr>
          <w:rFonts w:ascii="Times New Roman" w:hAnsi="Times New Roman" w:cs="Times New Roman"/>
          <w:sz w:val="16"/>
          <w:szCs w:val="16"/>
        </w:rPr>
        <w:t xml:space="preserve"> PKD B+C+D+E+F tj.</w:t>
      </w:r>
      <w:r w:rsidRPr="00D41E9F">
        <w:rPr>
          <w:rFonts w:ascii="Times New Roman" w:hAnsi="Times New Roman" w:cs="Times New Roman"/>
          <w:sz w:val="16"/>
          <w:szCs w:val="16"/>
        </w:rPr>
        <w:t xml:space="preserve"> </w:t>
      </w:r>
      <w:r>
        <w:rPr>
          <w:rFonts w:ascii="Times New Roman" w:hAnsi="Times New Roman" w:cs="Times New Roman"/>
          <w:sz w:val="16"/>
          <w:szCs w:val="16"/>
        </w:rPr>
        <w:t>g</w:t>
      </w:r>
      <w:r w:rsidRPr="00D41E9F">
        <w:rPr>
          <w:rFonts w:ascii="Times New Roman" w:hAnsi="Times New Roman" w:cs="Times New Roman"/>
          <w:sz w:val="16"/>
          <w:szCs w:val="16"/>
        </w:rPr>
        <w:t>órnictwo i wydobywanie</w:t>
      </w:r>
      <w:r>
        <w:rPr>
          <w:rFonts w:ascii="Times New Roman" w:hAnsi="Times New Roman" w:cs="Times New Roman"/>
          <w:sz w:val="16"/>
          <w:szCs w:val="16"/>
        </w:rPr>
        <w:t>,</w:t>
      </w:r>
      <w:r w:rsidRPr="00D41E9F">
        <w:rPr>
          <w:rFonts w:ascii="Times New Roman" w:hAnsi="Times New Roman" w:cs="Times New Roman"/>
          <w:sz w:val="16"/>
          <w:szCs w:val="16"/>
        </w:rPr>
        <w:t xml:space="preserve"> </w:t>
      </w:r>
      <w:r>
        <w:rPr>
          <w:rFonts w:ascii="Times New Roman" w:hAnsi="Times New Roman" w:cs="Times New Roman"/>
          <w:sz w:val="16"/>
          <w:szCs w:val="16"/>
        </w:rPr>
        <w:t>p</w:t>
      </w:r>
      <w:r w:rsidRPr="00D41E9F">
        <w:rPr>
          <w:rFonts w:ascii="Times New Roman" w:hAnsi="Times New Roman" w:cs="Times New Roman"/>
          <w:sz w:val="16"/>
          <w:szCs w:val="16"/>
        </w:rPr>
        <w:t>rzetwórstwo przemysłowe</w:t>
      </w:r>
      <w:r>
        <w:rPr>
          <w:rFonts w:ascii="Times New Roman" w:hAnsi="Times New Roman" w:cs="Times New Roman"/>
          <w:sz w:val="16"/>
          <w:szCs w:val="16"/>
        </w:rPr>
        <w:t>,</w:t>
      </w:r>
      <w:r w:rsidRPr="00D41E9F">
        <w:rPr>
          <w:rFonts w:ascii="Times New Roman" w:hAnsi="Times New Roman" w:cs="Times New Roman"/>
          <w:sz w:val="16"/>
          <w:szCs w:val="16"/>
        </w:rPr>
        <w:t xml:space="preserve"> </w:t>
      </w:r>
      <w:r>
        <w:rPr>
          <w:rFonts w:ascii="Times New Roman" w:hAnsi="Times New Roman" w:cs="Times New Roman"/>
          <w:sz w:val="16"/>
          <w:szCs w:val="16"/>
        </w:rPr>
        <w:t>w</w:t>
      </w:r>
      <w:r w:rsidRPr="00D41E9F">
        <w:rPr>
          <w:rFonts w:ascii="Times New Roman" w:hAnsi="Times New Roman" w:cs="Times New Roman"/>
          <w:sz w:val="16"/>
          <w:szCs w:val="16"/>
        </w:rPr>
        <w:t>ytwarzanie i</w:t>
      </w:r>
      <w:r>
        <w:rPr>
          <w:rFonts w:ascii="Times New Roman" w:hAnsi="Times New Roman" w:cs="Times New Roman"/>
          <w:sz w:val="16"/>
          <w:szCs w:val="16"/>
        </w:rPr>
        <w:t> </w:t>
      </w:r>
      <w:r w:rsidRPr="00D41E9F">
        <w:rPr>
          <w:rFonts w:ascii="Times New Roman" w:hAnsi="Times New Roman" w:cs="Times New Roman"/>
          <w:sz w:val="16"/>
          <w:szCs w:val="16"/>
        </w:rPr>
        <w:t xml:space="preserve">zaopatrywanie w energię elektryczną, gaz, parę wodną i gorącą wodę; </w:t>
      </w:r>
      <w:r>
        <w:rPr>
          <w:rFonts w:ascii="Times New Roman" w:hAnsi="Times New Roman" w:cs="Times New Roman"/>
          <w:sz w:val="16"/>
          <w:szCs w:val="16"/>
        </w:rPr>
        <w:t>d</w:t>
      </w:r>
      <w:r w:rsidRPr="00D41E9F">
        <w:rPr>
          <w:rFonts w:ascii="Times New Roman" w:hAnsi="Times New Roman" w:cs="Times New Roman"/>
          <w:sz w:val="16"/>
          <w:szCs w:val="16"/>
        </w:rPr>
        <w:t xml:space="preserve">ostawa wody; gospodarowanie ściekami i odpadami; rekultywacja; oraz </w:t>
      </w:r>
      <w:r>
        <w:rPr>
          <w:rFonts w:ascii="Times New Roman" w:hAnsi="Times New Roman" w:cs="Times New Roman"/>
          <w:sz w:val="16"/>
          <w:szCs w:val="16"/>
        </w:rPr>
        <w:t>b</w:t>
      </w:r>
      <w:r w:rsidRPr="00D41E9F">
        <w:rPr>
          <w:rFonts w:ascii="Times New Roman" w:hAnsi="Times New Roman" w:cs="Times New Roman"/>
          <w:sz w:val="16"/>
          <w:szCs w:val="16"/>
        </w:rPr>
        <w:t>udownictwo.</w:t>
      </w:r>
    </w:p>
  </w:footnote>
  <w:footnote w:id="14">
    <w:p w:rsidR="003B2AA7" w:rsidRPr="00D41E9F" w:rsidRDefault="003B2AA7" w:rsidP="00D41E9F">
      <w:pPr>
        <w:pStyle w:val="Tekstprzypisudolnego"/>
        <w:jc w:val="both"/>
        <w:rPr>
          <w:rFonts w:ascii="Times New Roman" w:hAnsi="Times New Roman" w:cs="Times New Roman"/>
          <w:sz w:val="16"/>
          <w:szCs w:val="16"/>
        </w:rPr>
      </w:pPr>
      <w:r w:rsidRPr="00C72E81">
        <w:rPr>
          <w:rStyle w:val="Odwoanieprzypisudolnego"/>
          <w:rFonts w:ascii="Times New Roman" w:hAnsi="Times New Roman" w:cs="Times New Roman"/>
          <w:b/>
          <w:sz w:val="16"/>
          <w:szCs w:val="16"/>
        </w:rPr>
        <w:footnoteRef/>
      </w:r>
      <w:r w:rsidRPr="00C72E81">
        <w:rPr>
          <w:rFonts w:ascii="Times New Roman" w:hAnsi="Times New Roman" w:cs="Times New Roman"/>
          <w:b/>
          <w:sz w:val="16"/>
          <w:szCs w:val="16"/>
        </w:rPr>
        <w:t xml:space="preserve"> Bez podmiotów gospodarczych o liczbie pracujących do 9 osób</w:t>
      </w:r>
      <w:r w:rsidRPr="00D41E9F">
        <w:rPr>
          <w:rFonts w:ascii="Times New Roman" w:hAnsi="Times New Roman" w:cs="Times New Roman"/>
          <w:sz w:val="16"/>
          <w:szCs w:val="16"/>
        </w:rPr>
        <w:t>, duchownych i pracujących w jednostkach budżetowych działających w</w:t>
      </w:r>
      <w:r>
        <w:rPr>
          <w:rFonts w:ascii="Times New Roman" w:hAnsi="Times New Roman" w:cs="Times New Roman"/>
          <w:sz w:val="16"/>
          <w:szCs w:val="16"/>
        </w:rPr>
        <w:t> </w:t>
      </w:r>
      <w:r w:rsidRPr="00D41E9F">
        <w:rPr>
          <w:rFonts w:ascii="Times New Roman" w:hAnsi="Times New Roman" w:cs="Times New Roman"/>
          <w:sz w:val="16"/>
          <w:szCs w:val="16"/>
        </w:rPr>
        <w:t>zakresie obrony narodowej i bezpieczeństwa publicznego. Dane łącznie z rolnictwem indywidualnym i pracującymi w organizacjach, fundacjach, związkach (SOF), według faktycznego miejsca pracy i rodzaju działalności.</w:t>
      </w:r>
    </w:p>
  </w:footnote>
  <w:footnote w:id="15">
    <w:p w:rsidR="003B2AA7" w:rsidRPr="00F661BB" w:rsidRDefault="003B2AA7" w:rsidP="007F3A79">
      <w:pPr>
        <w:pStyle w:val="Tekstprzypisudolnego"/>
        <w:jc w:val="both"/>
        <w:rPr>
          <w:rFonts w:ascii="Times New Roman" w:hAnsi="Times New Roman" w:cs="Times New Roman"/>
          <w:sz w:val="16"/>
          <w:szCs w:val="16"/>
        </w:rPr>
      </w:pPr>
      <w:r w:rsidRPr="00F661BB">
        <w:rPr>
          <w:rStyle w:val="Odwoanieprzypisudolnego"/>
          <w:rFonts w:ascii="Times New Roman" w:hAnsi="Times New Roman" w:cs="Times New Roman"/>
          <w:sz w:val="16"/>
          <w:szCs w:val="16"/>
        </w:rPr>
        <w:footnoteRef/>
      </w:r>
      <w:r w:rsidRPr="00F661BB">
        <w:rPr>
          <w:rFonts w:ascii="Times New Roman" w:hAnsi="Times New Roman" w:cs="Times New Roman"/>
          <w:sz w:val="16"/>
          <w:szCs w:val="16"/>
        </w:rPr>
        <w:t xml:space="preserve"> Inne podjęcia pracy dotyczą bezrobotnych w PUP, którzy podjęli pracę subsydiowane. Kategoria ta obejmuje między innymi bezrobotnych, którzy otrzymali jednorazowo środki z Państwowego Funduszu Rehabilitacji Osób Niepełnosprawnych lub z instytucji z</w:t>
      </w:r>
      <w:r>
        <w:rPr>
          <w:rFonts w:ascii="Times New Roman" w:hAnsi="Times New Roman" w:cs="Times New Roman"/>
          <w:sz w:val="16"/>
          <w:szCs w:val="16"/>
        </w:rPr>
        <w:t> </w:t>
      </w:r>
      <w:r w:rsidRPr="00F661BB">
        <w:rPr>
          <w:rFonts w:ascii="Times New Roman" w:hAnsi="Times New Roman" w:cs="Times New Roman"/>
          <w:sz w:val="16"/>
          <w:szCs w:val="16"/>
        </w:rPr>
        <w:t>udziałem środków publicznych na podjęcie działalności gospodarczej, rolniczej lub na wniesienie wkładu do spółdzielni socjalnej. Pozbawienie statusu bezrobotnego następuje od następnego dnia po dniu otrzymania środków na podjęcie działalności lub na wniesienie wkładu. Inną przyczyną ujęcia w tej kategorii statystycznej może być rozpoczęcie indywidualnego programu zatrudnienia socjalnego lub podpisanie kontraktu socjalnego. Pozbawienie statusu bezrobotnego następuje od następnego dnia po dniu rozpoczęcia realizacji indywidualnego programu zatrudnienia socjalnego lub podpisania kontraktu socjalnego. Kolejną przyczyną jest jednorazowa refundacja poniesionych kosztów z tytułu opłaconych składek na ubezpieczenia społeczne w związku z zatrudnieniem skierowanego bezrobotnego. Refundacja może nastąpić w przypadku, gdy: 1)pracodawca zatrudniał skierowanego bezrobotnego w pełnym wymiarze czasu pracy przez okres co najmniej 12 miesięcy i druga przesłanka łącznie 2)po upływie 12 miesięcy zatrudnienia skierowany bezrobotny jest nadal zatrudniony.</w:t>
      </w:r>
    </w:p>
  </w:footnote>
  <w:footnote w:id="16">
    <w:p w:rsidR="003B2AA7" w:rsidRPr="005A09D1" w:rsidRDefault="003B2AA7" w:rsidP="005A09D1">
      <w:pPr>
        <w:pStyle w:val="Tekstprzypisudolnego"/>
        <w:jc w:val="both"/>
        <w:rPr>
          <w:rFonts w:ascii="Times New Roman" w:hAnsi="Times New Roman" w:cs="Times New Roman"/>
          <w:sz w:val="16"/>
          <w:szCs w:val="16"/>
        </w:rPr>
      </w:pPr>
      <w:r w:rsidRPr="005A09D1">
        <w:rPr>
          <w:rStyle w:val="Odwoanieprzypisudolnego"/>
          <w:rFonts w:ascii="Times New Roman" w:hAnsi="Times New Roman" w:cs="Times New Roman"/>
          <w:sz w:val="16"/>
          <w:szCs w:val="16"/>
        </w:rPr>
        <w:footnoteRef/>
      </w:r>
      <w:r w:rsidRPr="005A09D1">
        <w:rPr>
          <w:rFonts w:ascii="Times New Roman" w:hAnsi="Times New Roman" w:cs="Times New Roman"/>
          <w:sz w:val="16"/>
          <w:szCs w:val="16"/>
        </w:rPr>
        <w:t xml:space="preserve"> Bezrobotni ogółem oznaczają liczbę osób bezrobotnych zarejestrowanych w danym powiecie wg stanu na ostatni dzień roku.</w:t>
      </w:r>
    </w:p>
  </w:footnote>
  <w:footnote w:id="17">
    <w:p w:rsidR="003B2AA7" w:rsidRPr="0040598E" w:rsidRDefault="003B2AA7" w:rsidP="0040598E">
      <w:pPr>
        <w:pStyle w:val="Tekstprzypisudolnego"/>
        <w:jc w:val="both"/>
        <w:rPr>
          <w:rFonts w:ascii="Times New Roman" w:hAnsi="Times New Roman" w:cs="Times New Roman"/>
          <w:sz w:val="16"/>
          <w:szCs w:val="16"/>
        </w:rPr>
      </w:pPr>
      <w:r w:rsidRPr="0040598E">
        <w:rPr>
          <w:rStyle w:val="Odwoanieprzypisudolnego"/>
          <w:rFonts w:ascii="Times New Roman" w:hAnsi="Times New Roman" w:cs="Times New Roman"/>
          <w:sz w:val="16"/>
          <w:szCs w:val="16"/>
        </w:rPr>
        <w:footnoteRef/>
      </w:r>
      <w:r w:rsidRPr="0040598E">
        <w:rPr>
          <w:rFonts w:ascii="Times New Roman" w:hAnsi="Times New Roman" w:cs="Times New Roman"/>
          <w:sz w:val="16"/>
          <w:szCs w:val="16"/>
        </w:rPr>
        <w:t xml:space="preserve"> Na koniec 2018 r. w porównaniu do stanu z końca 2017 r. zmniejszyła się liczba bezrobotnych do 25 roku życia o 3 523 osoby. Osoby do 25 roku życia obejmowały 14,0% ogółu bezrobotnych</w:t>
      </w:r>
    </w:p>
  </w:footnote>
  <w:footnote w:id="18">
    <w:p w:rsidR="003B2AA7" w:rsidRPr="006E35A4" w:rsidRDefault="003B2AA7" w:rsidP="006E35A4">
      <w:pPr>
        <w:pStyle w:val="Tekstprzypisudolnego"/>
        <w:jc w:val="both"/>
        <w:rPr>
          <w:rFonts w:ascii="Times New Roman" w:hAnsi="Times New Roman" w:cs="Times New Roman"/>
          <w:sz w:val="16"/>
          <w:szCs w:val="16"/>
        </w:rPr>
      </w:pPr>
      <w:r w:rsidRPr="006E35A4">
        <w:rPr>
          <w:rStyle w:val="Odwoanieprzypisudolnego"/>
          <w:rFonts w:ascii="Times New Roman" w:hAnsi="Times New Roman" w:cs="Times New Roman"/>
          <w:sz w:val="16"/>
          <w:szCs w:val="16"/>
        </w:rPr>
        <w:footnoteRef/>
      </w:r>
      <w:r w:rsidRPr="006E35A4">
        <w:rPr>
          <w:rFonts w:ascii="Times New Roman" w:hAnsi="Times New Roman" w:cs="Times New Roman"/>
          <w:sz w:val="16"/>
          <w:szCs w:val="16"/>
        </w:rPr>
        <w:t xml:space="preserve"> Spadki liczby bezrobotnych nie dotyczyły mało licznej grupy I, gdzie odnotowano wzrost o 5 bezrobotnych.</w:t>
      </w:r>
    </w:p>
  </w:footnote>
  <w:footnote w:id="19">
    <w:p w:rsidR="003B2AA7" w:rsidRPr="00BC1DCB" w:rsidRDefault="003B2AA7" w:rsidP="00BC1DCB">
      <w:pPr>
        <w:pStyle w:val="Tekstprzypisudolnego"/>
        <w:jc w:val="both"/>
        <w:rPr>
          <w:rFonts w:ascii="Times New Roman" w:hAnsi="Times New Roman" w:cs="Times New Roman"/>
          <w:sz w:val="16"/>
          <w:szCs w:val="16"/>
        </w:rPr>
      </w:pPr>
      <w:r w:rsidRPr="00BC1DCB">
        <w:rPr>
          <w:rStyle w:val="Odwoanieprzypisudolnego"/>
          <w:rFonts w:ascii="Times New Roman" w:hAnsi="Times New Roman" w:cs="Times New Roman"/>
          <w:sz w:val="16"/>
          <w:szCs w:val="16"/>
        </w:rPr>
        <w:footnoteRef/>
      </w:r>
      <w:r w:rsidRPr="00BC1DCB">
        <w:rPr>
          <w:rFonts w:ascii="Times New Roman" w:hAnsi="Times New Roman" w:cs="Times New Roman"/>
          <w:sz w:val="16"/>
          <w:szCs w:val="16"/>
        </w:rPr>
        <w:t xml:space="preserve"> </w:t>
      </w:r>
      <w:r w:rsidRPr="008A16A6">
        <w:rPr>
          <w:rFonts w:ascii="Times New Roman" w:hAnsi="Times New Roman" w:cs="Times New Roman"/>
          <w:b/>
          <w:sz w:val="16"/>
          <w:szCs w:val="16"/>
        </w:rPr>
        <w:t>Osoby będące w szczególnej sytuacji na rynku pracy to</w:t>
      </w:r>
      <w:r>
        <w:rPr>
          <w:rFonts w:ascii="Times New Roman" w:hAnsi="Times New Roman" w:cs="Times New Roman"/>
          <w:b/>
          <w:sz w:val="16"/>
          <w:szCs w:val="16"/>
        </w:rPr>
        <w:t>:</w:t>
      </w:r>
      <w:r w:rsidRPr="00BC1DCB">
        <w:rPr>
          <w:rFonts w:ascii="Times New Roman" w:hAnsi="Times New Roman" w:cs="Times New Roman"/>
          <w:sz w:val="16"/>
          <w:szCs w:val="16"/>
        </w:rPr>
        <w:t xml:space="preserve"> 1) bezrobotny do 30 roku życia, 2) bezrobotny długotrwale, 3) bezrobotny powyżej 50 roku życia, 4) bezrobotny korzystający ze świadczeń z pomocy społecznej, 5) bezrobotny posiadający co najmniej jedno dziecko do 6</w:t>
      </w:r>
      <w:r>
        <w:rPr>
          <w:rFonts w:ascii="Times New Roman" w:hAnsi="Times New Roman" w:cs="Times New Roman"/>
          <w:sz w:val="16"/>
          <w:szCs w:val="16"/>
        </w:rPr>
        <w:t> </w:t>
      </w:r>
      <w:r w:rsidRPr="00BC1DCB">
        <w:rPr>
          <w:rFonts w:ascii="Times New Roman" w:hAnsi="Times New Roman" w:cs="Times New Roman"/>
          <w:sz w:val="16"/>
          <w:szCs w:val="16"/>
        </w:rPr>
        <w:t xml:space="preserve">roku życia lub co najmniej jedno dziecko niepełnosprawne do 18 roku życia, 6)  bezrobotny niepełnosprawny, 7) poszukującym pracy niepozostający w zatrudnieniu lub niewykonujący innej pracy zarobkowej opiekun osoby niepełnosprawnej, </w:t>
      </w:r>
      <w:r w:rsidRPr="008A16A6">
        <w:rPr>
          <w:rFonts w:ascii="Times New Roman" w:hAnsi="Times New Roman" w:cs="Times New Roman"/>
          <w:sz w:val="16"/>
          <w:szCs w:val="16"/>
          <w:u w:val="single"/>
        </w:rPr>
        <w:t>z wyłączeniem</w:t>
      </w:r>
      <w:r w:rsidRPr="00BC1DCB">
        <w:rPr>
          <w:rFonts w:ascii="Times New Roman" w:hAnsi="Times New Roman" w:cs="Times New Roman"/>
          <w:sz w:val="16"/>
          <w:szCs w:val="16"/>
        </w:rPr>
        <w:t xml:space="preserve"> opiekunów osoby niepełnosprawnej pobierających świadczenie pielęgnacyjne lub specjalny zasiłek opiekuńczy na podstawie przepisów o świadczeniach rodzinnych, lub zasiłek dla opiekuna na podstawie przepisów o ustaleniu i wypłacie zasiłków dla opiekunów.</w:t>
      </w:r>
      <w:r>
        <w:rPr>
          <w:rFonts w:ascii="Times New Roman" w:hAnsi="Times New Roman" w:cs="Times New Roman"/>
          <w:sz w:val="16"/>
          <w:szCs w:val="16"/>
        </w:rPr>
        <w:t xml:space="preserve"> </w:t>
      </w:r>
      <w:hyperlink r:id="rId5" w:history="1">
        <w:r w:rsidRPr="00DF45C6">
          <w:rPr>
            <w:rStyle w:val="Hipercze"/>
            <w:rFonts w:ascii="Times New Roman" w:hAnsi="Times New Roman" w:cs="Times New Roman"/>
            <w:sz w:val="16"/>
            <w:szCs w:val="16"/>
          </w:rPr>
          <w:t>http://psz.praca.gov.pl/-/120524-ujednolicony-tekst-ustawy-z-dnia-20-kwietnia-2004r-o-promocji-zatrudnienia-i-instytucjach-rynku-pracy</w:t>
        </w:r>
      </w:hyperlink>
      <w:r>
        <w:rPr>
          <w:rFonts w:ascii="Times New Roman" w:hAnsi="Times New Roman" w:cs="Times New Roman"/>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8FC"/>
    <w:multiLevelType w:val="hybridMultilevel"/>
    <w:tmpl w:val="F70E980A"/>
    <w:lvl w:ilvl="0" w:tplc="AF0E2E26">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AF0E2E26">
      <w:start w:val="1"/>
      <w:numFmt w:val="bullet"/>
      <w:lvlText w:val="–"/>
      <w:lvlJc w:val="left"/>
      <w:pPr>
        <w:ind w:left="2160" w:hanging="360"/>
      </w:pPr>
      <w:rPr>
        <w:rFonts w:ascii="Calibri" w:hAnsi="Calibri"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1308DA"/>
    <w:multiLevelType w:val="hybridMultilevel"/>
    <w:tmpl w:val="AB7AF3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106A59DC"/>
    <w:multiLevelType w:val="hybridMultilevel"/>
    <w:tmpl w:val="339664A2"/>
    <w:lvl w:ilvl="0" w:tplc="01DCA180">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0FC358F"/>
    <w:multiLevelType w:val="hybridMultilevel"/>
    <w:tmpl w:val="0BCE50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1133001E"/>
    <w:multiLevelType w:val="multilevel"/>
    <w:tmpl w:val="AC3A9D46"/>
    <w:lvl w:ilvl="0">
      <w:start w:val="1"/>
      <w:numFmt w:val="decimal"/>
      <w:lvlText w:val="%1."/>
      <w:lvlJc w:val="left"/>
      <w:pPr>
        <w:ind w:left="786" w:hanging="360"/>
      </w:pPr>
      <w:rPr>
        <w:rFonts w:ascii="Times New Roman" w:hAnsi="Times New Roman" w:cs="Times New Roman" w:hint="default"/>
        <w:b w:val="0"/>
        <w:i w:val="0"/>
        <w:sz w:val="24"/>
      </w:r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5">
    <w:nsid w:val="116D374F"/>
    <w:multiLevelType w:val="hybridMultilevel"/>
    <w:tmpl w:val="0EC4BC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1CA246F"/>
    <w:multiLevelType w:val="hybridMultilevel"/>
    <w:tmpl w:val="ECAACE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73C04DF"/>
    <w:multiLevelType w:val="hybridMultilevel"/>
    <w:tmpl w:val="384E86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C326DEF"/>
    <w:multiLevelType w:val="hybridMultilevel"/>
    <w:tmpl w:val="73481AC6"/>
    <w:lvl w:ilvl="0" w:tplc="AF0E2E2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2C05AC4"/>
    <w:multiLevelType w:val="hybridMultilevel"/>
    <w:tmpl w:val="94E82C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2980612C"/>
    <w:multiLevelType w:val="hybridMultilevel"/>
    <w:tmpl w:val="5496868E"/>
    <w:lvl w:ilvl="0" w:tplc="AF42FC96">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BB04001"/>
    <w:multiLevelType w:val="hybridMultilevel"/>
    <w:tmpl w:val="57A4C03C"/>
    <w:lvl w:ilvl="0" w:tplc="01DCA180">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2180895"/>
    <w:multiLevelType w:val="hybridMultilevel"/>
    <w:tmpl w:val="D222EB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2582444"/>
    <w:multiLevelType w:val="hybridMultilevel"/>
    <w:tmpl w:val="ED1E1FA2"/>
    <w:lvl w:ilvl="0" w:tplc="AF42FC96">
      <w:start w:val="1"/>
      <w:numFmt w:val="bullet"/>
      <w:lvlText w:val=""/>
      <w:lvlJc w:val="left"/>
      <w:pPr>
        <w:ind w:left="750" w:hanging="360"/>
      </w:pPr>
      <w:rPr>
        <w:rFonts w:ascii="Symbol" w:hAnsi="Symbol"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4">
    <w:nsid w:val="327F713B"/>
    <w:multiLevelType w:val="hybridMultilevel"/>
    <w:tmpl w:val="8304A0BE"/>
    <w:lvl w:ilvl="0" w:tplc="AF0E2E2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BE03BBD"/>
    <w:multiLevelType w:val="hybridMultilevel"/>
    <w:tmpl w:val="114863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49F451FF"/>
    <w:multiLevelType w:val="hybridMultilevel"/>
    <w:tmpl w:val="D69CC9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4C1A3FAA"/>
    <w:multiLevelType w:val="hybridMultilevel"/>
    <w:tmpl w:val="B61E47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515C0DDC"/>
    <w:multiLevelType w:val="hybridMultilevel"/>
    <w:tmpl w:val="AB78C8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52111988"/>
    <w:multiLevelType w:val="hybridMultilevel"/>
    <w:tmpl w:val="211444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54727398"/>
    <w:multiLevelType w:val="hybridMultilevel"/>
    <w:tmpl w:val="A8CE6F8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56245EC3"/>
    <w:multiLevelType w:val="hybridMultilevel"/>
    <w:tmpl w:val="C144D90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7040C57"/>
    <w:multiLevelType w:val="hybridMultilevel"/>
    <w:tmpl w:val="48C8AB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629D70C6"/>
    <w:multiLevelType w:val="hybridMultilevel"/>
    <w:tmpl w:val="36024A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6392193A"/>
    <w:multiLevelType w:val="hybridMultilevel"/>
    <w:tmpl w:val="DC122278"/>
    <w:lvl w:ilvl="0" w:tplc="01DCA180">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5884C19"/>
    <w:multiLevelType w:val="hybridMultilevel"/>
    <w:tmpl w:val="3E384B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66504D03"/>
    <w:multiLevelType w:val="hybridMultilevel"/>
    <w:tmpl w:val="3FF61F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673A7816"/>
    <w:multiLevelType w:val="hybridMultilevel"/>
    <w:tmpl w:val="7E5631CA"/>
    <w:lvl w:ilvl="0" w:tplc="AF0E2E26">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6AFB66A2"/>
    <w:multiLevelType w:val="hybridMultilevel"/>
    <w:tmpl w:val="16BC77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6E1033B0"/>
    <w:multiLevelType w:val="multilevel"/>
    <w:tmpl w:val="0415001D"/>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30">
    <w:nsid w:val="705B224F"/>
    <w:multiLevelType w:val="hybridMultilevel"/>
    <w:tmpl w:val="F61051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6"/>
  </w:num>
  <w:num w:numId="2">
    <w:abstractNumId w:val="12"/>
  </w:num>
  <w:num w:numId="3">
    <w:abstractNumId w:val="28"/>
  </w:num>
  <w:num w:numId="4">
    <w:abstractNumId w:val="30"/>
  </w:num>
  <w:num w:numId="5">
    <w:abstractNumId w:val="22"/>
  </w:num>
  <w:num w:numId="6">
    <w:abstractNumId w:val="5"/>
  </w:num>
  <w:num w:numId="7">
    <w:abstractNumId w:val="20"/>
  </w:num>
  <w:num w:numId="8">
    <w:abstractNumId w:val="17"/>
  </w:num>
  <w:num w:numId="9">
    <w:abstractNumId w:val="16"/>
  </w:num>
  <w:num w:numId="10">
    <w:abstractNumId w:val="3"/>
  </w:num>
  <w:num w:numId="11">
    <w:abstractNumId w:val="10"/>
  </w:num>
  <w:num w:numId="12">
    <w:abstractNumId w:val="13"/>
  </w:num>
  <w:num w:numId="13">
    <w:abstractNumId w:val="4"/>
  </w:num>
  <w:num w:numId="14">
    <w:abstractNumId w:val="9"/>
  </w:num>
  <w:num w:numId="15">
    <w:abstractNumId w:val="8"/>
  </w:num>
  <w:num w:numId="16">
    <w:abstractNumId w:val="1"/>
  </w:num>
  <w:num w:numId="17">
    <w:abstractNumId w:val="25"/>
  </w:num>
  <w:num w:numId="18">
    <w:abstractNumId w:val="19"/>
  </w:num>
  <w:num w:numId="19">
    <w:abstractNumId w:val="15"/>
  </w:num>
  <w:num w:numId="20">
    <w:abstractNumId w:val="18"/>
  </w:num>
  <w:num w:numId="21">
    <w:abstractNumId w:val="0"/>
  </w:num>
  <w:num w:numId="22">
    <w:abstractNumId w:val="23"/>
  </w:num>
  <w:num w:numId="23">
    <w:abstractNumId w:val="14"/>
  </w:num>
  <w:num w:numId="24">
    <w:abstractNumId w:val="6"/>
  </w:num>
  <w:num w:numId="25">
    <w:abstractNumId w:val="29"/>
  </w:num>
  <w:num w:numId="26">
    <w:abstractNumId w:val="7"/>
  </w:num>
  <w:num w:numId="27">
    <w:abstractNumId w:val="27"/>
  </w:num>
  <w:num w:numId="28">
    <w:abstractNumId w:val="21"/>
  </w:num>
  <w:num w:numId="29">
    <w:abstractNumId w:val="2"/>
  </w:num>
  <w:num w:numId="30">
    <w:abstractNumId w:val="24"/>
  </w:num>
  <w:num w:numId="31">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16E"/>
    <w:rsid w:val="0000028C"/>
    <w:rsid w:val="00002834"/>
    <w:rsid w:val="000034DC"/>
    <w:rsid w:val="00004257"/>
    <w:rsid w:val="0000557E"/>
    <w:rsid w:val="000058EE"/>
    <w:rsid w:val="00006D81"/>
    <w:rsid w:val="00006E96"/>
    <w:rsid w:val="000078CD"/>
    <w:rsid w:val="00010B3D"/>
    <w:rsid w:val="00011D62"/>
    <w:rsid w:val="00011FA8"/>
    <w:rsid w:val="0001205D"/>
    <w:rsid w:val="00013F6D"/>
    <w:rsid w:val="00015531"/>
    <w:rsid w:val="00015579"/>
    <w:rsid w:val="00015CB2"/>
    <w:rsid w:val="00017264"/>
    <w:rsid w:val="00017718"/>
    <w:rsid w:val="000177FF"/>
    <w:rsid w:val="00017EC0"/>
    <w:rsid w:val="0002115C"/>
    <w:rsid w:val="000211FE"/>
    <w:rsid w:val="00021720"/>
    <w:rsid w:val="00022C02"/>
    <w:rsid w:val="000239C4"/>
    <w:rsid w:val="00023B2A"/>
    <w:rsid w:val="000246BF"/>
    <w:rsid w:val="000258C5"/>
    <w:rsid w:val="00025E6D"/>
    <w:rsid w:val="00027672"/>
    <w:rsid w:val="000307FD"/>
    <w:rsid w:val="00031F27"/>
    <w:rsid w:val="00032114"/>
    <w:rsid w:val="000324F3"/>
    <w:rsid w:val="000336A4"/>
    <w:rsid w:val="00034639"/>
    <w:rsid w:val="00034D1E"/>
    <w:rsid w:val="00035373"/>
    <w:rsid w:val="000361BE"/>
    <w:rsid w:val="000378C0"/>
    <w:rsid w:val="00037BD8"/>
    <w:rsid w:val="000408F3"/>
    <w:rsid w:val="00041BD2"/>
    <w:rsid w:val="0004293D"/>
    <w:rsid w:val="00043227"/>
    <w:rsid w:val="00044181"/>
    <w:rsid w:val="00044529"/>
    <w:rsid w:val="00044661"/>
    <w:rsid w:val="00044978"/>
    <w:rsid w:val="00044B9F"/>
    <w:rsid w:val="00045784"/>
    <w:rsid w:val="00045838"/>
    <w:rsid w:val="00045A93"/>
    <w:rsid w:val="00046141"/>
    <w:rsid w:val="0004667A"/>
    <w:rsid w:val="00046888"/>
    <w:rsid w:val="00046F19"/>
    <w:rsid w:val="0004718E"/>
    <w:rsid w:val="000473BC"/>
    <w:rsid w:val="000473EA"/>
    <w:rsid w:val="00047B02"/>
    <w:rsid w:val="0005008C"/>
    <w:rsid w:val="000503CA"/>
    <w:rsid w:val="0005052D"/>
    <w:rsid w:val="00051207"/>
    <w:rsid w:val="0005295A"/>
    <w:rsid w:val="00053DD5"/>
    <w:rsid w:val="0005421F"/>
    <w:rsid w:val="0005572D"/>
    <w:rsid w:val="00055C65"/>
    <w:rsid w:val="000564AD"/>
    <w:rsid w:val="000566C4"/>
    <w:rsid w:val="000569BD"/>
    <w:rsid w:val="000578D1"/>
    <w:rsid w:val="00057CC1"/>
    <w:rsid w:val="00060D7B"/>
    <w:rsid w:val="00060DFF"/>
    <w:rsid w:val="00061BF4"/>
    <w:rsid w:val="00061DF6"/>
    <w:rsid w:val="000622B3"/>
    <w:rsid w:val="00063539"/>
    <w:rsid w:val="000644BF"/>
    <w:rsid w:val="00065741"/>
    <w:rsid w:val="00067065"/>
    <w:rsid w:val="0007058F"/>
    <w:rsid w:val="000706F3"/>
    <w:rsid w:val="0007097F"/>
    <w:rsid w:val="00071101"/>
    <w:rsid w:val="00071760"/>
    <w:rsid w:val="00071ACF"/>
    <w:rsid w:val="000722BA"/>
    <w:rsid w:val="000726AB"/>
    <w:rsid w:val="00072D31"/>
    <w:rsid w:val="0007301D"/>
    <w:rsid w:val="00073128"/>
    <w:rsid w:val="0007428E"/>
    <w:rsid w:val="000762C5"/>
    <w:rsid w:val="000765F3"/>
    <w:rsid w:val="00076E79"/>
    <w:rsid w:val="0007707D"/>
    <w:rsid w:val="00077229"/>
    <w:rsid w:val="000773D3"/>
    <w:rsid w:val="00080096"/>
    <w:rsid w:val="0008081B"/>
    <w:rsid w:val="0008194D"/>
    <w:rsid w:val="0008397A"/>
    <w:rsid w:val="00084282"/>
    <w:rsid w:val="00087226"/>
    <w:rsid w:val="00090DEB"/>
    <w:rsid w:val="000912E1"/>
    <w:rsid w:val="00091EAF"/>
    <w:rsid w:val="0009289E"/>
    <w:rsid w:val="00092F4D"/>
    <w:rsid w:val="00093EFA"/>
    <w:rsid w:val="00095CCA"/>
    <w:rsid w:val="00096258"/>
    <w:rsid w:val="00096666"/>
    <w:rsid w:val="0009777C"/>
    <w:rsid w:val="00097CDE"/>
    <w:rsid w:val="000A07A4"/>
    <w:rsid w:val="000A0E30"/>
    <w:rsid w:val="000A23F1"/>
    <w:rsid w:val="000A2DBD"/>
    <w:rsid w:val="000A3BE5"/>
    <w:rsid w:val="000A41B7"/>
    <w:rsid w:val="000A4940"/>
    <w:rsid w:val="000A4FAA"/>
    <w:rsid w:val="000A50E1"/>
    <w:rsid w:val="000A5B66"/>
    <w:rsid w:val="000A62D6"/>
    <w:rsid w:val="000A6FDC"/>
    <w:rsid w:val="000A7312"/>
    <w:rsid w:val="000A7638"/>
    <w:rsid w:val="000B0AF1"/>
    <w:rsid w:val="000B3218"/>
    <w:rsid w:val="000B5A88"/>
    <w:rsid w:val="000B5D76"/>
    <w:rsid w:val="000B5F3B"/>
    <w:rsid w:val="000B6AD7"/>
    <w:rsid w:val="000B6FA7"/>
    <w:rsid w:val="000C0BD0"/>
    <w:rsid w:val="000C129C"/>
    <w:rsid w:val="000C157D"/>
    <w:rsid w:val="000C1D5A"/>
    <w:rsid w:val="000C27C0"/>
    <w:rsid w:val="000C52EC"/>
    <w:rsid w:val="000C6395"/>
    <w:rsid w:val="000C656E"/>
    <w:rsid w:val="000C78B2"/>
    <w:rsid w:val="000C7A70"/>
    <w:rsid w:val="000D15E1"/>
    <w:rsid w:val="000D3236"/>
    <w:rsid w:val="000D62AE"/>
    <w:rsid w:val="000D73AE"/>
    <w:rsid w:val="000D744D"/>
    <w:rsid w:val="000D7F87"/>
    <w:rsid w:val="000E084C"/>
    <w:rsid w:val="000E0927"/>
    <w:rsid w:val="000E2F02"/>
    <w:rsid w:val="000E3DFC"/>
    <w:rsid w:val="000E4FF9"/>
    <w:rsid w:val="000E67A2"/>
    <w:rsid w:val="000E6A7A"/>
    <w:rsid w:val="000E6FCA"/>
    <w:rsid w:val="000E7274"/>
    <w:rsid w:val="000F02A8"/>
    <w:rsid w:val="000F09BD"/>
    <w:rsid w:val="000F1185"/>
    <w:rsid w:val="000F18FF"/>
    <w:rsid w:val="000F1D4A"/>
    <w:rsid w:val="000F41D7"/>
    <w:rsid w:val="000F5952"/>
    <w:rsid w:val="000F5A89"/>
    <w:rsid w:val="000F6265"/>
    <w:rsid w:val="000F785F"/>
    <w:rsid w:val="000F7DBB"/>
    <w:rsid w:val="00100704"/>
    <w:rsid w:val="00102D15"/>
    <w:rsid w:val="0010350D"/>
    <w:rsid w:val="001045D9"/>
    <w:rsid w:val="00104AB6"/>
    <w:rsid w:val="00104B98"/>
    <w:rsid w:val="00105A0E"/>
    <w:rsid w:val="001073AA"/>
    <w:rsid w:val="00107D62"/>
    <w:rsid w:val="00111A08"/>
    <w:rsid w:val="00112DC7"/>
    <w:rsid w:val="00113AC8"/>
    <w:rsid w:val="001153DE"/>
    <w:rsid w:val="00115840"/>
    <w:rsid w:val="0011770F"/>
    <w:rsid w:val="001202EB"/>
    <w:rsid w:val="00120AFD"/>
    <w:rsid w:val="00122719"/>
    <w:rsid w:val="00122BF4"/>
    <w:rsid w:val="00123540"/>
    <w:rsid w:val="00123D46"/>
    <w:rsid w:val="00123F48"/>
    <w:rsid w:val="00124250"/>
    <w:rsid w:val="00124E6A"/>
    <w:rsid w:val="001262D3"/>
    <w:rsid w:val="001265FD"/>
    <w:rsid w:val="0012708B"/>
    <w:rsid w:val="001274B4"/>
    <w:rsid w:val="001278BA"/>
    <w:rsid w:val="00130586"/>
    <w:rsid w:val="001312F4"/>
    <w:rsid w:val="001316F2"/>
    <w:rsid w:val="001317BC"/>
    <w:rsid w:val="00133E4E"/>
    <w:rsid w:val="00134083"/>
    <w:rsid w:val="00134E4A"/>
    <w:rsid w:val="00135DFA"/>
    <w:rsid w:val="00136027"/>
    <w:rsid w:val="001371FE"/>
    <w:rsid w:val="00137ADF"/>
    <w:rsid w:val="00137EF8"/>
    <w:rsid w:val="001432AE"/>
    <w:rsid w:val="00143419"/>
    <w:rsid w:val="00144EEC"/>
    <w:rsid w:val="00145AAF"/>
    <w:rsid w:val="0014696F"/>
    <w:rsid w:val="001470C1"/>
    <w:rsid w:val="001477F2"/>
    <w:rsid w:val="00147AD0"/>
    <w:rsid w:val="00150999"/>
    <w:rsid w:val="00151148"/>
    <w:rsid w:val="00151EE1"/>
    <w:rsid w:val="001525D3"/>
    <w:rsid w:val="00152F3B"/>
    <w:rsid w:val="00153F33"/>
    <w:rsid w:val="0015680F"/>
    <w:rsid w:val="00156F4A"/>
    <w:rsid w:val="00160012"/>
    <w:rsid w:val="00160A4B"/>
    <w:rsid w:val="00160DBC"/>
    <w:rsid w:val="00162CA9"/>
    <w:rsid w:val="00163087"/>
    <w:rsid w:val="00163A17"/>
    <w:rsid w:val="00163CF2"/>
    <w:rsid w:val="00163F52"/>
    <w:rsid w:val="001644C3"/>
    <w:rsid w:val="00164835"/>
    <w:rsid w:val="00165326"/>
    <w:rsid w:val="00166169"/>
    <w:rsid w:val="00167F16"/>
    <w:rsid w:val="001707C3"/>
    <w:rsid w:val="00173689"/>
    <w:rsid w:val="00173695"/>
    <w:rsid w:val="001737FF"/>
    <w:rsid w:val="00173FA2"/>
    <w:rsid w:val="0017512A"/>
    <w:rsid w:val="00175221"/>
    <w:rsid w:val="001756B2"/>
    <w:rsid w:val="001759E1"/>
    <w:rsid w:val="00176C58"/>
    <w:rsid w:val="001773BA"/>
    <w:rsid w:val="001777C5"/>
    <w:rsid w:val="00177956"/>
    <w:rsid w:val="00177BFE"/>
    <w:rsid w:val="001806A1"/>
    <w:rsid w:val="00182185"/>
    <w:rsid w:val="00182270"/>
    <w:rsid w:val="00182725"/>
    <w:rsid w:val="00182B86"/>
    <w:rsid w:val="00183AB1"/>
    <w:rsid w:val="00184581"/>
    <w:rsid w:val="001845CF"/>
    <w:rsid w:val="0018460F"/>
    <w:rsid w:val="00184655"/>
    <w:rsid w:val="001856DB"/>
    <w:rsid w:val="00185AAD"/>
    <w:rsid w:val="001863F2"/>
    <w:rsid w:val="0018648B"/>
    <w:rsid w:val="00186E3C"/>
    <w:rsid w:val="00187642"/>
    <w:rsid w:val="00187C36"/>
    <w:rsid w:val="001906D3"/>
    <w:rsid w:val="00190F41"/>
    <w:rsid w:val="00191B9C"/>
    <w:rsid w:val="0019350E"/>
    <w:rsid w:val="001942C4"/>
    <w:rsid w:val="00197A36"/>
    <w:rsid w:val="00197AAC"/>
    <w:rsid w:val="001A147E"/>
    <w:rsid w:val="001A20AE"/>
    <w:rsid w:val="001A2394"/>
    <w:rsid w:val="001A3DEB"/>
    <w:rsid w:val="001A5637"/>
    <w:rsid w:val="001A7709"/>
    <w:rsid w:val="001B000E"/>
    <w:rsid w:val="001B1940"/>
    <w:rsid w:val="001B2026"/>
    <w:rsid w:val="001B2B46"/>
    <w:rsid w:val="001B4020"/>
    <w:rsid w:val="001B4B3C"/>
    <w:rsid w:val="001B4EE1"/>
    <w:rsid w:val="001B5D0B"/>
    <w:rsid w:val="001B677B"/>
    <w:rsid w:val="001B7111"/>
    <w:rsid w:val="001B7AFA"/>
    <w:rsid w:val="001C15EE"/>
    <w:rsid w:val="001C1BC5"/>
    <w:rsid w:val="001C1F08"/>
    <w:rsid w:val="001C3747"/>
    <w:rsid w:val="001C3CF7"/>
    <w:rsid w:val="001C3D03"/>
    <w:rsid w:val="001C3D6D"/>
    <w:rsid w:val="001C3F21"/>
    <w:rsid w:val="001C41B6"/>
    <w:rsid w:val="001C4344"/>
    <w:rsid w:val="001C4957"/>
    <w:rsid w:val="001C78D8"/>
    <w:rsid w:val="001C79B7"/>
    <w:rsid w:val="001D06FD"/>
    <w:rsid w:val="001D17BA"/>
    <w:rsid w:val="001D3B34"/>
    <w:rsid w:val="001D44A9"/>
    <w:rsid w:val="001D6150"/>
    <w:rsid w:val="001D62F7"/>
    <w:rsid w:val="001D65B6"/>
    <w:rsid w:val="001D6F7F"/>
    <w:rsid w:val="001D7069"/>
    <w:rsid w:val="001E0961"/>
    <w:rsid w:val="001E0D9D"/>
    <w:rsid w:val="001E1679"/>
    <w:rsid w:val="001E2230"/>
    <w:rsid w:val="001E2754"/>
    <w:rsid w:val="001E280A"/>
    <w:rsid w:val="001E2A59"/>
    <w:rsid w:val="001E2C0D"/>
    <w:rsid w:val="001E2C87"/>
    <w:rsid w:val="001E3144"/>
    <w:rsid w:val="001E4AD2"/>
    <w:rsid w:val="001E58F0"/>
    <w:rsid w:val="001E5ADE"/>
    <w:rsid w:val="001E6423"/>
    <w:rsid w:val="001E6881"/>
    <w:rsid w:val="001E7DEB"/>
    <w:rsid w:val="001F1808"/>
    <w:rsid w:val="001F252C"/>
    <w:rsid w:val="001F30E0"/>
    <w:rsid w:val="001F314E"/>
    <w:rsid w:val="001F358C"/>
    <w:rsid w:val="001F504A"/>
    <w:rsid w:val="001F51C0"/>
    <w:rsid w:val="001F59FA"/>
    <w:rsid w:val="001F5F15"/>
    <w:rsid w:val="001F645B"/>
    <w:rsid w:val="001F70A1"/>
    <w:rsid w:val="001F75DE"/>
    <w:rsid w:val="001F7F73"/>
    <w:rsid w:val="002001EC"/>
    <w:rsid w:val="0020074D"/>
    <w:rsid w:val="002016F8"/>
    <w:rsid w:val="00201D31"/>
    <w:rsid w:val="00203EC2"/>
    <w:rsid w:val="00206376"/>
    <w:rsid w:val="00206C0F"/>
    <w:rsid w:val="00206E94"/>
    <w:rsid w:val="00207996"/>
    <w:rsid w:val="00207F62"/>
    <w:rsid w:val="0021024C"/>
    <w:rsid w:val="00210254"/>
    <w:rsid w:val="002111DC"/>
    <w:rsid w:val="00211F80"/>
    <w:rsid w:val="0021229D"/>
    <w:rsid w:val="00213454"/>
    <w:rsid w:val="002139C1"/>
    <w:rsid w:val="00214A6D"/>
    <w:rsid w:val="0021582F"/>
    <w:rsid w:val="00216122"/>
    <w:rsid w:val="00217192"/>
    <w:rsid w:val="002171E0"/>
    <w:rsid w:val="00220855"/>
    <w:rsid w:val="00221BB6"/>
    <w:rsid w:val="00221D6B"/>
    <w:rsid w:val="002230D7"/>
    <w:rsid w:val="002242CE"/>
    <w:rsid w:val="002255F8"/>
    <w:rsid w:val="00225613"/>
    <w:rsid w:val="0022721B"/>
    <w:rsid w:val="00230B07"/>
    <w:rsid w:val="00230EA3"/>
    <w:rsid w:val="00231C25"/>
    <w:rsid w:val="002325E6"/>
    <w:rsid w:val="00232AEE"/>
    <w:rsid w:val="00232E30"/>
    <w:rsid w:val="0023309B"/>
    <w:rsid w:val="00234501"/>
    <w:rsid w:val="00234E52"/>
    <w:rsid w:val="00235A6B"/>
    <w:rsid w:val="0023621C"/>
    <w:rsid w:val="00237F10"/>
    <w:rsid w:val="0024006E"/>
    <w:rsid w:val="002402C8"/>
    <w:rsid w:val="002412D7"/>
    <w:rsid w:val="00242C45"/>
    <w:rsid w:val="0024340E"/>
    <w:rsid w:val="002448AB"/>
    <w:rsid w:val="00244A0E"/>
    <w:rsid w:val="0024523E"/>
    <w:rsid w:val="00246BA9"/>
    <w:rsid w:val="00246F26"/>
    <w:rsid w:val="002474CA"/>
    <w:rsid w:val="002505BE"/>
    <w:rsid w:val="00250778"/>
    <w:rsid w:val="00250D74"/>
    <w:rsid w:val="00251C40"/>
    <w:rsid w:val="00252290"/>
    <w:rsid w:val="002522B5"/>
    <w:rsid w:val="00252FB3"/>
    <w:rsid w:val="002540CB"/>
    <w:rsid w:val="00255A9E"/>
    <w:rsid w:val="00255B1E"/>
    <w:rsid w:val="002562BB"/>
    <w:rsid w:val="00256EDC"/>
    <w:rsid w:val="002605E4"/>
    <w:rsid w:val="00260650"/>
    <w:rsid w:val="00261553"/>
    <w:rsid w:val="0026366E"/>
    <w:rsid w:val="00263A04"/>
    <w:rsid w:val="002648C9"/>
    <w:rsid w:val="00264F61"/>
    <w:rsid w:val="00265316"/>
    <w:rsid w:val="00266B9A"/>
    <w:rsid w:val="0027033D"/>
    <w:rsid w:val="00271E13"/>
    <w:rsid w:val="00271E82"/>
    <w:rsid w:val="00273E11"/>
    <w:rsid w:val="00274157"/>
    <w:rsid w:val="0027454D"/>
    <w:rsid w:val="00274765"/>
    <w:rsid w:val="0027572C"/>
    <w:rsid w:val="0027574A"/>
    <w:rsid w:val="002767B7"/>
    <w:rsid w:val="00276CE4"/>
    <w:rsid w:val="00277027"/>
    <w:rsid w:val="00277633"/>
    <w:rsid w:val="00277813"/>
    <w:rsid w:val="002800EE"/>
    <w:rsid w:val="002806AF"/>
    <w:rsid w:val="00280964"/>
    <w:rsid w:val="00280BA5"/>
    <w:rsid w:val="00281719"/>
    <w:rsid w:val="0028191A"/>
    <w:rsid w:val="002830E7"/>
    <w:rsid w:val="002836A6"/>
    <w:rsid w:val="002839DA"/>
    <w:rsid w:val="0028447B"/>
    <w:rsid w:val="002844CE"/>
    <w:rsid w:val="00285D6A"/>
    <w:rsid w:val="00286B69"/>
    <w:rsid w:val="00286D30"/>
    <w:rsid w:val="0028758B"/>
    <w:rsid w:val="00290A53"/>
    <w:rsid w:val="00290C24"/>
    <w:rsid w:val="00293037"/>
    <w:rsid w:val="0029394F"/>
    <w:rsid w:val="0029570C"/>
    <w:rsid w:val="00295756"/>
    <w:rsid w:val="0029588D"/>
    <w:rsid w:val="00296256"/>
    <w:rsid w:val="0029671D"/>
    <w:rsid w:val="002A0749"/>
    <w:rsid w:val="002A0C2C"/>
    <w:rsid w:val="002A161D"/>
    <w:rsid w:val="002A267D"/>
    <w:rsid w:val="002A2DEB"/>
    <w:rsid w:val="002A3A5B"/>
    <w:rsid w:val="002A5774"/>
    <w:rsid w:val="002A5E5A"/>
    <w:rsid w:val="002A6971"/>
    <w:rsid w:val="002B03E5"/>
    <w:rsid w:val="002B17CB"/>
    <w:rsid w:val="002B278F"/>
    <w:rsid w:val="002B3633"/>
    <w:rsid w:val="002B3947"/>
    <w:rsid w:val="002B4519"/>
    <w:rsid w:val="002B4B5B"/>
    <w:rsid w:val="002B5739"/>
    <w:rsid w:val="002B6DF5"/>
    <w:rsid w:val="002B7917"/>
    <w:rsid w:val="002C276B"/>
    <w:rsid w:val="002C3814"/>
    <w:rsid w:val="002C39A8"/>
    <w:rsid w:val="002C570D"/>
    <w:rsid w:val="002C5D42"/>
    <w:rsid w:val="002C5E6E"/>
    <w:rsid w:val="002C66BA"/>
    <w:rsid w:val="002C7F42"/>
    <w:rsid w:val="002D05D0"/>
    <w:rsid w:val="002D12F9"/>
    <w:rsid w:val="002D1381"/>
    <w:rsid w:val="002D13B7"/>
    <w:rsid w:val="002D1667"/>
    <w:rsid w:val="002D18FA"/>
    <w:rsid w:val="002D2593"/>
    <w:rsid w:val="002D4A0B"/>
    <w:rsid w:val="002D4EF1"/>
    <w:rsid w:val="002D55B1"/>
    <w:rsid w:val="002D584A"/>
    <w:rsid w:val="002D74C6"/>
    <w:rsid w:val="002E0534"/>
    <w:rsid w:val="002E0F31"/>
    <w:rsid w:val="002E1822"/>
    <w:rsid w:val="002E2123"/>
    <w:rsid w:val="002E287C"/>
    <w:rsid w:val="002E4526"/>
    <w:rsid w:val="002E4983"/>
    <w:rsid w:val="002E5811"/>
    <w:rsid w:val="002E5CC6"/>
    <w:rsid w:val="002E5FA6"/>
    <w:rsid w:val="002E66D9"/>
    <w:rsid w:val="002E6B28"/>
    <w:rsid w:val="002E7EEE"/>
    <w:rsid w:val="002F05C7"/>
    <w:rsid w:val="002F0667"/>
    <w:rsid w:val="002F07C5"/>
    <w:rsid w:val="002F157A"/>
    <w:rsid w:val="002F2035"/>
    <w:rsid w:val="002F2BF4"/>
    <w:rsid w:val="002F6C19"/>
    <w:rsid w:val="002F735A"/>
    <w:rsid w:val="00300E06"/>
    <w:rsid w:val="00301D1B"/>
    <w:rsid w:val="0030399E"/>
    <w:rsid w:val="00304629"/>
    <w:rsid w:val="003053CC"/>
    <w:rsid w:val="0030613D"/>
    <w:rsid w:val="00306A68"/>
    <w:rsid w:val="00311304"/>
    <w:rsid w:val="003123A5"/>
    <w:rsid w:val="003166CB"/>
    <w:rsid w:val="00316C35"/>
    <w:rsid w:val="00316E4F"/>
    <w:rsid w:val="00320C55"/>
    <w:rsid w:val="00321077"/>
    <w:rsid w:val="00321388"/>
    <w:rsid w:val="00321971"/>
    <w:rsid w:val="00321A2F"/>
    <w:rsid w:val="0032205F"/>
    <w:rsid w:val="003227DC"/>
    <w:rsid w:val="00322A3E"/>
    <w:rsid w:val="00322DCC"/>
    <w:rsid w:val="00323039"/>
    <w:rsid w:val="003231CD"/>
    <w:rsid w:val="003232E4"/>
    <w:rsid w:val="00325773"/>
    <w:rsid w:val="00325F81"/>
    <w:rsid w:val="00326517"/>
    <w:rsid w:val="00326FBC"/>
    <w:rsid w:val="00330F97"/>
    <w:rsid w:val="00333DBD"/>
    <w:rsid w:val="00334375"/>
    <w:rsid w:val="00334F4A"/>
    <w:rsid w:val="00334F76"/>
    <w:rsid w:val="00336D39"/>
    <w:rsid w:val="00337325"/>
    <w:rsid w:val="00337616"/>
    <w:rsid w:val="00337F1C"/>
    <w:rsid w:val="00337F53"/>
    <w:rsid w:val="003404BA"/>
    <w:rsid w:val="00340CCD"/>
    <w:rsid w:val="00340F13"/>
    <w:rsid w:val="003415A3"/>
    <w:rsid w:val="003416E8"/>
    <w:rsid w:val="00341FE5"/>
    <w:rsid w:val="00342094"/>
    <w:rsid w:val="00343D09"/>
    <w:rsid w:val="003444F2"/>
    <w:rsid w:val="00344B3A"/>
    <w:rsid w:val="0034720D"/>
    <w:rsid w:val="00350C0B"/>
    <w:rsid w:val="00350F35"/>
    <w:rsid w:val="0035150C"/>
    <w:rsid w:val="0035257C"/>
    <w:rsid w:val="00355649"/>
    <w:rsid w:val="00355EB3"/>
    <w:rsid w:val="0035637A"/>
    <w:rsid w:val="00357517"/>
    <w:rsid w:val="003630C1"/>
    <w:rsid w:val="0036428C"/>
    <w:rsid w:val="003643A9"/>
    <w:rsid w:val="00365760"/>
    <w:rsid w:val="003658AA"/>
    <w:rsid w:val="00365A5E"/>
    <w:rsid w:val="00366BD5"/>
    <w:rsid w:val="00366D89"/>
    <w:rsid w:val="00366F31"/>
    <w:rsid w:val="003676D2"/>
    <w:rsid w:val="00367D82"/>
    <w:rsid w:val="00367E21"/>
    <w:rsid w:val="003701A2"/>
    <w:rsid w:val="003709A3"/>
    <w:rsid w:val="0037146B"/>
    <w:rsid w:val="00372B56"/>
    <w:rsid w:val="00372B5F"/>
    <w:rsid w:val="003736B4"/>
    <w:rsid w:val="00373BDE"/>
    <w:rsid w:val="00373E8B"/>
    <w:rsid w:val="00374127"/>
    <w:rsid w:val="00374582"/>
    <w:rsid w:val="003748F1"/>
    <w:rsid w:val="0037602E"/>
    <w:rsid w:val="00376972"/>
    <w:rsid w:val="003775BD"/>
    <w:rsid w:val="0038009A"/>
    <w:rsid w:val="003802DB"/>
    <w:rsid w:val="00380DB5"/>
    <w:rsid w:val="00380F32"/>
    <w:rsid w:val="0038171F"/>
    <w:rsid w:val="0038177A"/>
    <w:rsid w:val="00382496"/>
    <w:rsid w:val="003825A5"/>
    <w:rsid w:val="00383183"/>
    <w:rsid w:val="00383632"/>
    <w:rsid w:val="00383A43"/>
    <w:rsid w:val="00385194"/>
    <w:rsid w:val="0038550F"/>
    <w:rsid w:val="00385582"/>
    <w:rsid w:val="003855E3"/>
    <w:rsid w:val="00386632"/>
    <w:rsid w:val="003866E9"/>
    <w:rsid w:val="0038750B"/>
    <w:rsid w:val="00387B02"/>
    <w:rsid w:val="00390F76"/>
    <w:rsid w:val="0039125A"/>
    <w:rsid w:val="00392491"/>
    <w:rsid w:val="00392A9A"/>
    <w:rsid w:val="00392EDD"/>
    <w:rsid w:val="003936E2"/>
    <w:rsid w:val="00394292"/>
    <w:rsid w:val="00394F00"/>
    <w:rsid w:val="003950BA"/>
    <w:rsid w:val="00395101"/>
    <w:rsid w:val="0039593D"/>
    <w:rsid w:val="0039682F"/>
    <w:rsid w:val="00397762"/>
    <w:rsid w:val="003A061B"/>
    <w:rsid w:val="003A171F"/>
    <w:rsid w:val="003A2CE2"/>
    <w:rsid w:val="003A2CF6"/>
    <w:rsid w:val="003A345C"/>
    <w:rsid w:val="003A4E22"/>
    <w:rsid w:val="003A540B"/>
    <w:rsid w:val="003A543F"/>
    <w:rsid w:val="003A74B1"/>
    <w:rsid w:val="003B042A"/>
    <w:rsid w:val="003B0EAF"/>
    <w:rsid w:val="003B23E0"/>
    <w:rsid w:val="003B2AA7"/>
    <w:rsid w:val="003B3CA6"/>
    <w:rsid w:val="003B5D79"/>
    <w:rsid w:val="003B600A"/>
    <w:rsid w:val="003C1F89"/>
    <w:rsid w:val="003C26E2"/>
    <w:rsid w:val="003C319E"/>
    <w:rsid w:val="003C477D"/>
    <w:rsid w:val="003C4B8B"/>
    <w:rsid w:val="003D0209"/>
    <w:rsid w:val="003D13D5"/>
    <w:rsid w:val="003D1441"/>
    <w:rsid w:val="003D1998"/>
    <w:rsid w:val="003D2973"/>
    <w:rsid w:val="003D4126"/>
    <w:rsid w:val="003D430B"/>
    <w:rsid w:val="003D47F4"/>
    <w:rsid w:val="003D51B2"/>
    <w:rsid w:val="003D54DB"/>
    <w:rsid w:val="003D6041"/>
    <w:rsid w:val="003D6600"/>
    <w:rsid w:val="003D6D06"/>
    <w:rsid w:val="003D727A"/>
    <w:rsid w:val="003E09CE"/>
    <w:rsid w:val="003E0E7E"/>
    <w:rsid w:val="003E139B"/>
    <w:rsid w:val="003E18D2"/>
    <w:rsid w:val="003E2E67"/>
    <w:rsid w:val="003E3617"/>
    <w:rsid w:val="003E564E"/>
    <w:rsid w:val="003E58BB"/>
    <w:rsid w:val="003E58C3"/>
    <w:rsid w:val="003E6928"/>
    <w:rsid w:val="003E6FFD"/>
    <w:rsid w:val="003E7943"/>
    <w:rsid w:val="003F048D"/>
    <w:rsid w:val="003F2582"/>
    <w:rsid w:val="003F27E0"/>
    <w:rsid w:val="003F3F65"/>
    <w:rsid w:val="003F60BB"/>
    <w:rsid w:val="0040001C"/>
    <w:rsid w:val="00400A37"/>
    <w:rsid w:val="00400EE6"/>
    <w:rsid w:val="004022A2"/>
    <w:rsid w:val="00402E22"/>
    <w:rsid w:val="00402FB0"/>
    <w:rsid w:val="004034F7"/>
    <w:rsid w:val="00404BFA"/>
    <w:rsid w:val="00404E5F"/>
    <w:rsid w:val="0040520D"/>
    <w:rsid w:val="0040543C"/>
    <w:rsid w:val="004056ED"/>
    <w:rsid w:val="0040598E"/>
    <w:rsid w:val="00407294"/>
    <w:rsid w:val="00407C41"/>
    <w:rsid w:val="00407FE3"/>
    <w:rsid w:val="0041162B"/>
    <w:rsid w:val="00413662"/>
    <w:rsid w:val="00416D42"/>
    <w:rsid w:val="004178AE"/>
    <w:rsid w:val="004208CD"/>
    <w:rsid w:val="00420C32"/>
    <w:rsid w:val="00421450"/>
    <w:rsid w:val="00421B2D"/>
    <w:rsid w:val="00421C60"/>
    <w:rsid w:val="0042214F"/>
    <w:rsid w:val="00423CA6"/>
    <w:rsid w:val="004245A0"/>
    <w:rsid w:val="00425B57"/>
    <w:rsid w:val="00431B91"/>
    <w:rsid w:val="00431F34"/>
    <w:rsid w:val="00433C06"/>
    <w:rsid w:val="004345B3"/>
    <w:rsid w:val="00435136"/>
    <w:rsid w:val="00435209"/>
    <w:rsid w:val="00435EF8"/>
    <w:rsid w:val="004368F8"/>
    <w:rsid w:val="00437882"/>
    <w:rsid w:val="00437A3C"/>
    <w:rsid w:val="004407CB"/>
    <w:rsid w:val="00440FA4"/>
    <w:rsid w:val="00441297"/>
    <w:rsid w:val="00441F82"/>
    <w:rsid w:val="0044289D"/>
    <w:rsid w:val="00442A65"/>
    <w:rsid w:val="004434E2"/>
    <w:rsid w:val="0044373E"/>
    <w:rsid w:val="00443F1B"/>
    <w:rsid w:val="00444727"/>
    <w:rsid w:val="00445BF4"/>
    <w:rsid w:val="00445EE0"/>
    <w:rsid w:val="00446016"/>
    <w:rsid w:val="0044603E"/>
    <w:rsid w:val="00446780"/>
    <w:rsid w:val="00446D10"/>
    <w:rsid w:val="004470C4"/>
    <w:rsid w:val="004473E0"/>
    <w:rsid w:val="00450DA8"/>
    <w:rsid w:val="004515C2"/>
    <w:rsid w:val="00451783"/>
    <w:rsid w:val="004520F6"/>
    <w:rsid w:val="00452A1B"/>
    <w:rsid w:val="00452D2A"/>
    <w:rsid w:val="004567BB"/>
    <w:rsid w:val="0045693A"/>
    <w:rsid w:val="004572D8"/>
    <w:rsid w:val="00461033"/>
    <w:rsid w:val="004613A4"/>
    <w:rsid w:val="00461F4D"/>
    <w:rsid w:val="004626C6"/>
    <w:rsid w:val="00463996"/>
    <w:rsid w:val="00464B47"/>
    <w:rsid w:val="00466760"/>
    <w:rsid w:val="00466B3E"/>
    <w:rsid w:val="00467062"/>
    <w:rsid w:val="004671B0"/>
    <w:rsid w:val="00467216"/>
    <w:rsid w:val="00470A44"/>
    <w:rsid w:val="00471E20"/>
    <w:rsid w:val="0047235F"/>
    <w:rsid w:val="00473236"/>
    <w:rsid w:val="00473912"/>
    <w:rsid w:val="00474190"/>
    <w:rsid w:val="00476960"/>
    <w:rsid w:val="00476B1E"/>
    <w:rsid w:val="00476B48"/>
    <w:rsid w:val="00477E91"/>
    <w:rsid w:val="00477EE1"/>
    <w:rsid w:val="00480797"/>
    <w:rsid w:val="00481159"/>
    <w:rsid w:val="00481E7E"/>
    <w:rsid w:val="00484002"/>
    <w:rsid w:val="00484ABA"/>
    <w:rsid w:val="00484CD3"/>
    <w:rsid w:val="004850B7"/>
    <w:rsid w:val="004860F2"/>
    <w:rsid w:val="00486D94"/>
    <w:rsid w:val="00486D9F"/>
    <w:rsid w:val="0048707C"/>
    <w:rsid w:val="00487F2D"/>
    <w:rsid w:val="00490284"/>
    <w:rsid w:val="00490D8C"/>
    <w:rsid w:val="0049201F"/>
    <w:rsid w:val="00492A77"/>
    <w:rsid w:val="00492E52"/>
    <w:rsid w:val="0049462A"/>
    <w:rsid w:val="00495740"/>
    <w:rsid w:val="00496E94"/>
    <w:rsid w:val="004972C0"/>
    <w:rsid w:val="0049770E"/>
    <w:rsid w:val="004978EE"/>
    <w:rsid w:val="004A3BF8"/>
    <w:rsid w:val="004A49A8"/>
    <w:rsid w:val="004A522F"/>
    <w:rsid w:val="004A54BF"/>
    <w:rsid w:val="004A5887"/>
    <w:rsid w:val="004A5E1F"/>
    <w:rsid w:val="004A7993"/>
    <w:rsid w:val="004B1F80"/>
    <w:rsid w:val="004B2499"/>
    <w:rsid w:val="004B3EB4"/>
    <w:rsid w:val="004B4002"/>
    <w:rsid w:val="004B4524"/>
    <w:rsid w:val="004B48C5"/>
    <w:rsid w:val="004B52C5"/>
    <w:rsid w:val="004B5723"/>
    <w:rsid w:val="004B598C"/>
    <w:rsid w:val="004B6117"/>
    <w:rsid w:val="004B70B0"/>
    <w:rsid w:val="004C2757"/>
    <w:rsid w:val="004C2845"/>
    <w:rsid w:val="004C3D02"/>
    <w:rsid w:val="004C44AC"/>
    <w:rsid w:val="004C466F"/>
    <w:rsid w:val="004C556B"/>
    <w:rsid w:val="004C5A20"/>
    <w:rsid w:val="004C619B"/>
    <w:rsid w:val="004C6ED3"/>
    <w:rsid w:val="004D1D1E"/>
    <w:rsid w:val="004D27F2"/>
    <w:rsid w:val="004D4E23"/>
    <w:rsid w:val="004D4FC2"/>
    <w:rsid w:val="004D4FC8"/>
    <w:rsid w:val="004D531C"/>
    <w:rsid w:val="004D58A1"/>
    <w:rsid w:val="004D5ADE"/>
    <w:rsid w:val="004D7B05"/>
    <w:rsid w:val="004D7ECB"/>
    <w:rsid w:val="004E13DB"/>
    <w:rsid w:val="004E3B3E"/>
    <w:rsid w:val="004E55D0"/>
    <w:rsid w:val="004E6CD8"/>
    <w:rsid w:val="004E7728"/>
    <w:rsid w:val="004E7DD4"/>
    <w:rsid w:val="004F049F"/>
    <w:rsid w:val="004F0AE9"/>
    <w:rsid w:val="004F1452"/>
    <w:rsid w:val="004F1CA8"/>
    <w:rsid w:val="004F27D6"/>
    <w:rsid w:val="004F38D2"/>
    <w:rsid w:val="004F4582"/>
    <w:rsid w:val="004F586F"/>
    <w:rsid w:val="004F68E4"/>
    <w:rsid w:val="004F792D"/>
    <w:rsid w:val="004F79BE"/>
    <w:rsid w:val="004F7BD7"/>
    <w:rsid w:val="0050009C"/>
    <w:rsid w:val="00501206"/>
    <w:rsid w:val="00501276"/>
    <w:rsid w:val="0050209E"/>
    <w:rsid w:val="0050215B"/>
    <w:rsid w:val="005027E6"/>
    <w:rsid w:val="005052A6"/>
    <w:rsid w:val="00505820"/>
    <w:rsid w:val="005063A4"/>
    <w:rsid w:val="00506F3F"/>
    <w:rsid w:val="00506FF1"/>
    <w:rsid w:val="00507831"/>
    <w:rsid w:val="005100B5"/>
    <w:rsid w:val="005102E9"/>
    <w:rsid w:val="00511568"/>
    <w:rsid w:val="00511DB5"/>
    <w:rsid w:val="00512EBC"/>
    <w:rsid w:val="0051416E"/>
    <w:rsid w:val="005148CD"/>
    <w:rsid w:val="00514B87"/>
    <w:rsid w:val="00516004"/>
    <w:rsid w:val="00516B56"/>
    <w:rsid w:val="00521456"/>
    <w:rsid w:val="00522A2C"/>
    <w:rsid w:val="005234B9"/>
    <w:rsid w:val="005237D7"/>
    <w:rsid w:val="0052432B"/>
    <w:rsid w:val="00525B20"/>
    <w:rsid w:val="005261D6"/>
    <w:rsid w:val="00526FD5"/>
    <w:rsid w:val="0052788C"/>
    <w:rsid w:val="00527CAB"/>
    <w:rsid w:val="00530984"/>
    <w:rsid w:val="0053216C"/>
    <w:rsid w:val="00534405"/>
    <w:rsid w:val="00534DDC"/>
    <w:rsid w:val="0053545D"/>
    <w:rsid w:val="0054029D"/>
    <w:rsid w:val="00540F72"/>
    <w:rsid w:val="005417F8"/>
    <w:rsid w:val="00541B65"/>
    <w:rsid w:val="005431AA"/>
    <w:rsid w:val="00543A86"/>
    <w:rsid w:val="0054439A"/>
    <w:rsid w:val="005443D2"/>
    <w:rsid w:val="0054652E"/>
    <w:rsid w:val="00546602"/>
    <w:rsid w:val="005468E1"/>
    <w:rsid w:val="005503DC"/>
    <w:rsid w:val="00550696"/>
    <w:rsid w:val="00551E61"/>
    <w:rsid w:val="00552D80"/>
    <w:rsid w:val="00553E4B"/>
    <w:rsid w:val="00555152"/>
    <w:rsid w:val="00555919"/>
    <w:rsid w:val="005602F6"/>
    <w:rsid w:val="00560A1C"/>
    <w:rsid w:val="00560F52"/>
    <w:rsid w:val="005610F3"/>
    <w:rsid w:val="005619CC"/>
    <w:rsid w:val="005626BA"/>
    <w:rsid w:val="005635FA"/>
    <w:rsid w:val="0056363A"/>
    <w:rsid w:val="00563A48"/>
    <w:rsid w:val="00564155"/>
    <w:rsid w:val="005647F5"/>
    <w:rsid w:val="00565FE9"/>
    <w:rsid w:val="00566163"/>
    <w:rsid w:val="00566949"/>
    <w:rsid w:val="00567436"/>
    <w:rsid w:val="0056796C"/>
    <w:rsid w:val="00567B6A"/>
    <w:rsid w:val="0057026B"/>
    <w:rsid w:val="0057112B"/>
    <w:rsid w:val="00573791"/>
    <w:rsid w:val="005737AB"/>
    <w:rsid w:val="0057472B"/>
    <w:rsid w:val="005749D6"/>
    <w:rsid w:val="00575E59"/>
    <w:rsid w:val="00576F0C"/>
    <w:rsid w:val="00577124"/>
    <w:rsid w:val="00580235"/>
    <w:rsid w:val="0058030C"/>
    <w:rsid w:val="00582EE4"/>
    <w:rsid w:val="005830AB"/>
    <w:rsid w:val="005834A2"/>
    <w:rsid w:val="005836A5"/>
    <w:rsid w:val="005857ED"/>
    <w:rsid w:val="005873B5"/>
    <w:rsid w:val="00587A87"/>
    <w:rsid w:val="0059036D"/>
    <w:rsid w:val="00590589"/>
    <w:rsid w:val="00590CF3"/>
    <w:rsid w:val="00591ACE"/>
    <w:rsid w:val="00591D4B"/>
    <w:rsid w:val="005921C6"/>
    <w:rsid w:val="00592505"/>
    <w:rsid w:val="00592DD3"/>
    <w:rsid w:val="00592F73"/>
    <w:rsid w:val="0059311B"/>
    <w:rsid w:val="00593121"/>
    <w:rsid w:val="00593645"/>
    <w:rsid w:val="00593EB6"/>
    <w:rsid w:val="005940AC"/>
    <w:rsid w:val="00594E10"/>
    <w:rsid w:val="00595A2F"/>
    <w:rsid w:val="00595DDB"/>
    <w:rsid w:val="0059607C"/>
    <w:rsid w:val="00596413"/>
    <w:rsid w:val="00597400"/>
    <w:rsid w:val="005976BC"/>
    <w:rsid w:val="005978CD"/>
    <w:rsid w:val="005A09D1"/>
    <w:rsid w:val="005A0E3B"/>
    <w:rsid w:val="005A17F1"/>
    <w:rsid w:val="005A18D1"/>
    <w:rsid w:val="005A2411"/>
    <w:rsid w:val="005A2876"/>
    <w:rsid w:val="005A3E32"/>
    <w:rsid w:val="005A40F3"/>
    <w:rsid w:val="005A458D"/>
    <w:rsid w:val="005A4B38"/>
    <w:rsid w:val="005A59EC"/>
    <w:rsid w:val="005A64A3"/>
    <w:rsid w:val="005A66F0"/>
    <w:rsid w:val="005B23E4"/>
    <w:rsid w:val="005B4FC4"/>
    <w:rsid w:val="005B76FF"/>
    <w:rsid w:val="005C0431"/>
    <w:rsid w:val="005C14D0"/>
    <w:rsid w:val="005C223D"/>
    <w:rsid w:val="005C2F5C"/>
    <w:rsid w:val="005C433A"/>
    <w:rsid w:val="005C5E97"/>
    <w:rsid w:val="005C6290"/>
    <w:rsid w:val="005C6E96"/>
    <w:rsid w:val="005C72B7"/>
    <w:rsid w:val="005C7F74"/>
    <w:rsid w:val="005D109C"/>
    <w:rsid w:val="005D1820"/>
    <w:rsid w:val="005D30D9"/>
    <w:rsid w:val="005D4323"/>
    <w:rsid w:val="005D7076"/>
    <w:rsid w:val="005D71E4"/>
    <w:rsid w:val="005D7F4C"/>
    <w:rsid w:val="005E1642"/>
    <w:rsid w:val="005E1D89"/>
    <w:rsid w:val="005E2C78"/>
    <w:rsid w:val="005E39CC"/>
    <w:rsid w:val="005E4036"/>
    <w:rsid w:val="005E513F"/>
    <w:rsid w:val="005E55DB"/>
    <w:rsid w:val="005E606A"/>
    <w:rsid w:val="005E7DA0"/>
    <w:rsid w:val="005F0483"/>
    <w:rsid w:val="005F0554"/>
    <w:rsid w:val="005F1E2B"/>
    <w:rsid w:val="005F3F63"/>
    <w:rsid w:val="005F44A0"/>
    <w:rsid w:val="005F4551"/>
    <w:rsid w:val="005F4595"/>
    <w:rsid w:val="005F5837"/>
    <w:rsid w:val="005F78F0"/>
    <w:rsid w:val="00600379"/>
    <w:rsid w:val="006008F4"/>
    <w:rsid w:val="006013BF"/>
    <w:rsid w:val="0060166B"/>
    <w:rsid w:val="0060344D"/>
    <w:rsid w:val="00603B40"/>
    <w:rsid w:val="00603DA2"/>
    <w:rsid w:val="00605366"/>
    <w:rsid w:val="00606049"/>
    <w:rsid w:val="0060673C"/>
    <w:rsid w:val="00610123"/>
    <w:rsid w:val="00610972"/>
    <w:rsid w:val="0061191F"/>
    <w:rsid w:val="00612654"/>
    <w:rsid w:val="006131DC"/>
    <w:rsid w:val="006135B5"/>
    <w:rsid w:val="006149A1"/>
    <w:rsid w:val="006149C0"/>
    <w:rsid w:val="00614E9A"/>
    <w:rsid w:val="006161E3"/>
    <w:rsid w:val="006164D8"/>
    <w:rsid w:val="00616AAF"/>
    <w:rsid w:val="0061728A"/>
    <w:rsid w:val="00617D0E"/>
    <w:rsid w:val="006202AD"/>
    <w:rsid w:val="00620CF7"/>
    <w:rsid w:val="00620DE6"/>
    <w:rsid w:val="00620E71"/>
    <w:rsid w:val="0062135F"/>
    <w:rsid w:val="006218B2"/>
    <w:rsid w:val="00625078"/>
    <w:rsid w:val="00625B1C"/>
    <w:rsid w:val="00626410"/>
    <w:rsid w:val="00626954"/>
    <w:rsid w:val="00626AAD"/>
    <w:rsid w:val="00626DCA"/>
    <w:rsid w:val="0062730B"/>
    <w:rsid w:val="006273D9"/>
    <w:rsid w:val="00627403"/>
    <w:rsid w:val="00630B95"/>
    <w:rsid w:val="00631BF7"/>
    <w:rsid w:val="00632982"/>
    <w:rsid w:val="00633F41"/>
    <w:rsid w:val="00633FC9"/>
    <w:rsid w:val="006341AA"/>
    <w:rsid w:val="006355C6"/>
    <w:rsid w:val="006359B0"/>
    <w:rsid w:val="00636188"/>
    <w:rsid w:val="00637246"/>
    <w:rsid w:val="006376F3"/>
    <w:rsid w:val="00637B29"/>
    <w:rsid w:val="00637FB7"/>
    <w:rsid w:val="00641ADD"/>
    <w:rsid w:val="00642DBA"/>
    <w:rsid w:val="00643D32"/>
    <w:rsid w:val="00644EBC"/>
    <w:rsid w:val="00646CC3"/>
    <w:rsid w:val="00650607"/>
    <w:rsid w:val="006509DD"/>
    <w:rsid w:val="00650D21"/>
    <w:rsid w:val="00650EE8"/>
    <w:rsid w:val="00651529"/>
    <w:rsid w:val="00651C29"/>
    <w:rsid w:val="0065220A"/>
    <w:rsid w:val="0065249E"/>
    <w:rsid w:val="00653241"/>
    <w:rsid w:val="00653C2C"/>
    <w:rsid w:val="00654604"/>
    <w:rsid w:val="00655037"/>
    <w:rsid w:val="0065566E"/>
    <w:rsid w:val="0065592C"/>
    <w:rsid w:val="00656CED"/>
    <w:rsid w:val="00657527"/>
    <w:rsid w:val="006579E5"/>
    <w:rsid w:val="00657B79"/>
    <w:rsid w:val="00657CF5"/>
    <w:rsid w:val="00661047"/>
    <w:rsid w:val="006616C4"/>
    <w:rsid w:val="006630A1"/>
    <w:rsid w:val="00663CE5"/>
    <w:rsid w:val="00664205"/>
    <w:rsid w:val="006663FB"/>
    <w:rsid w:val="006669B8"/>
    <w:rsid w:val="00666AC9"/>
    <w:rsid w:val="00667393"/>
    <w:rsid w:val="006707F1"/>
    <w:rsid w:val="006714D7"/>
    <w:rsid w:val="006715E9"/>
    <w:rsid w:val="0067281D"/>
    <w:rsid w:val="00672BC3"/>
    <w:rsid w:val="0067454E"/>
    <w:rsid w:val="00677027"/>
    <w:rsid w:val="00677A6B"/>
    <w:rsid w:val="00677A91"/>
    <w:rsid w:val="0068079A"/>
    <w:rsid w:val="00680DF0"/>
    <w:rsid w:val="00680E16"/>
    <w:rsid w:val="0068415A"/>
    <w:rsid w:val="00684C08"/>
    <w:rsid w:val="0068503C"/>
    <w:rsid w:val="00685291"/>
    <w:rsid w:val="00686A57"/>
    <w:rsid w:val="006870D2"/>
    <w:rsid w:val="006872F4"/>
    <w:rsid w:val="00687682"/>
    <w:rsid w:val="00687B06"/>
    <w:rsid w:val="00687FB4"/>
    <w:rsid w:val="00690B86"/>
    <w:rsid w:val="00691947"/>
    <w:rsid w:val="00694F79"/>
    <w:rsid w:val="00696840"/>
    <w:rsid w:val="006A0F20"/>
    <w:rsid w:val="006A132D"/>
    <w:rsid w:val="006A240C"/>
    <w:rsid w:val="006A297A"/>
    <w:rsid w:val="006A2B59"/>
    <w:rsid w:val="006A3B2F"/>
    <w:rsid w:val="006A3CE0"/>
    <w:rsid w:val="006A4151"/>
    <w:rsid w:val="006A43F3"/>
    <w:rsid w:val="006A4702"/>
    <w:rsid w:val="006A528D"/>
    <w:rsid w:val="006A6909"/>
    <w:rsid w:val="006A6988"/>
    <w:rsid w:val="006A7CD8"/>
    <w:rsid w:val="006A7CF1"/>
    <w:rsid w:val="006A7F81"/>
    <w:rsid w:val="006B0DA7"/>
    <w:rsid w:val="006B1548"/>
    <w:rsid w:val="006B32EE"/>
    <w:rsid w:val="006B3FB9"/>
    <w:rsid w:val="006B4BF2"/>
    <w:rsid w:val="006B538A"/>
    <w:rsid w:val="006B59DA"/>
    <w:rsid w:val="006B5A07"/>
    <w:rsid w:val="006B5DBB"/>
    <w:rsid w:val="006B6680"/>
    <w:rsid w:val="006B66D1"/>
    <w:rsid w:val="006B6982"/>
    <w:rsid w:val="006B7938"/>
    <w:rsid w:val="006B7EEA"/>
    <w:rsid w:val="006C0365"/>
    <w:rsid w:val="006C3BA3"/>
    <w:rsid w:val="006C4B78"/>
    <w:rsid w:val="006C6C01"/>
    <w:rsid w:val="006C6EBA"/>
    <w:rsid w:val="006C76D7"/>
    <w:rsid w:val="006D11DA"/>
    <w:rsid w:val="006D2060"/>
    <w:rsid w:val="006D3744"/>
    <w:rsid w:val="006D4DD4"/>
    <w:rsid w:val="006D4E02"/>
    <w:rsid w:val="006D5B43"/>
    <w:rsid w:val="006D6908"/>
    <w:rsid w:val="006D6EFB"/>
    <w:rsid w:val="006E0F25"/>
    <w:rsid w:val="006E177D"/>
    <w:rsid w:val="006E1C33"/>
    <w:rsid w:val="006E2312"/>
    <w:rsid w:val="006E2413"/>
    <w:rsid w:val="006E35A4"/>
    <w:rsid w:val="006E3F79"/>
    <w:rsid w:val="006E65C8"/>
    <w:rsid w:val="006E7CB0"/>
    <w:rsid w:val="006F1930"/>
    <w:rsid w:val="006F2D96"/>
    <w:rsid w:val="006F3D1E"/>
    <w:rsid w:val="006F414E"/>
    <w:rsid w:val="006F5528"/>
    <w:rsid w:val="006F5925"/>
    <w:rsid w:val="006F6F5E"/>
    <w:rsid w:val="006F7D43"/>
    <w:rsid w:val="00700786"/>
    <w:rsid w:val="00700F59"/>
    <w:rsid w:val="0070206D"/>
    <w:rsid w:val="0070258A"/>
    <w:rsid w:val="007029BA"/>
    <w:rsid w:val="007030B5"/>
    <w:rsid w:val="007036D0"/>
    <w:rsid w:val="007036E5"/>
    <w:rsid w:val="007059C9"/>
    <w:rsid w:val="0070615D"/>
    <w:rsid w:val="007066C9"/>
    <w:rsid w:val="007066E6"/>
    <w:rsid w:val="00707126"/>
    <w:rsid w:val="0070756B"/>
    <w:rsid w:val="007076F7"/>
    <w:rsid w:val="00711074"/>
    <w:rsid w:val="007120B2"/>
    <w:rsid w:val="00712F98"/>
    <w:rsid w:val="007146B8"/>
    <w:rsid w:val="0071522F"/>
    <w:rsid w:val="00715488"/>
    <w:rsid w:val="007154DA"/>
    <w:rsid w:val="00716382"/>
    <w:rsid w:val="00717215"/>
    <w:rsid w:val="007203E1"/>
    <w:rsid w:val="00721CE3"/>
    <w:rsid w:val="00724895"/>
    <w:rsid w:val="00724962"/>
    <w:rsid w:val="0072501C"/>
    <w:rsid w:val="00725E3E"/>
    <w:rsid w:val="00726157"/>
    <w:rsid w:val="00726DAB"/>
    <w:rsid w:val="00731D43"/>
    <w:rsid w:val="007326B8"/>
    <w:rsid w:val="0073293A"/>
    <w:rsid w:val="00732A38"/>
    <w:rsid w:val="00732CB3"/>
    <w:rsid w:val="007335CD"/>
    <w:rsid w:val="00733744"/>
    <w:rsid w:val="007360C2"/>
    <w:rsid w:val="0073677F"/>
    <w:rsid w:val="00737F37"/>
    <w:rsid w:val="00741648"/>
    <w:rsid w:val="0074264A"/>
    <w:rsid w:val="007451AA"/>
    <w:rsid w:val="00746363"/>
    <w:rsid w:val="0074777F"/>
    <w:rsid w:val="00747A95"/>
    <w:rsid w:val="00747C84"/>
    <w:rsid w:val="0075056B"/>
    <w:rsid w:val="007520E7"/>
    <w:rsid w:val="00752510"/>
    <w:rsid w:val="00752845"/>
    <w:rsid w:val="00753452"/>
    <w:rsid w:val="0075363A"/>
    <w:rsid w:val="0075378C"/>
    <w:rsid w:val="0075389B"/>
    <w:rsid w:val="00753B82"/>
    <w:rsid w:val="007542B1"/>
    <w:rsid w:val="00754BD7"/>
    <w:rsid w:val="00754F8F"/>
    <w:rsid w:val="00755177"/>
    <w:rsid w:val="007556EC"/>
    <w:rsid w:val="00756F00"/>
    <w:rsid w:val="0075743F"/>
    <w:rsid w:val="00760A1A"/>
    <w:rsid w:val="00761896"/>
    <w:rsid w:val="00761E9B"/>
    <w:rsid w:val="007620E2"/>
    <w:rsid w:val="007632F1"/>
    <w:rsid w:val="00763362"/>
    <w:rsid w:val="00763379"/>
    <w:rsid w:val="00764AF3"/>
    <w:rsid w:val="00764DB3"/>
    <w:rsid w:val="007656C9"/>
    <w:rsid w:val="00765F52"/>
    <w:rsid w:val="007666AF"/>
    <w:rsid w:val="007668A0"/>
    <w:rsid w:val="00766AE7"/>
    <w:rsid w:val="0076774D"/>
    <w:rsid w:val="0077001D"/>
    <w:rsid w:val="00770F96"/>
    <w:rsid w:val="0077136A"/>
    <w:rsid w:val="007728D0"/>
    <w:rsid w:val="00772F51"/>
    <w:rsid w:val="007734EB"/>
    <w:rsid w:val="00773560"/>
    <w:rsid w:val="00774BAC"/>
    <w:rsid w:val="00774E17"/>
    <w:rsid w:val="00775AFE"/>
    <w:rsid w:val="0077672C"/>
    <w:rsid w:val="00776D51"/>
    <w:rsid w:val="007802EB"/>
    <w:rsid w:val="00780BE4"/>
    <w:rsid w:val="00781405"/>
    <w:rsid w:val="00781DA5"/>
    <w:rsid w:val="00782597"/>
    <w:rsid w:val="007842AD"/>
    <w:rsid w:val="007847A5"/>
    <w:rsid w:val="007856D1"/>
    <w:rsid w:val="007873F7"/>
    <w:rsid w:val="00787764"/>
    <w:rsid w:val="0079024D"/>
    <w:rsid w:val="0079046A"/>
    <w:rsid w:val="0079147D"/>
    <w:rsid w:val="00792192"/>
    <w:rsid w:val="007926C1"/>
    <w:rsid w:val="00793402"/>
    <w:rsid w:val="00793E91"/>
    <w:rsid w:val="00794D8C"/>
    <w:rsid w:val="0079532C"/>
    <w:rsid w:val="007954E0"/>
    <w:rsid w:val="00796078"/>
    <w:rsid w:val="00796F6E"/>
    <w:rsid w:val="00797BAB"/>
    <w:rsid w:val="00797F16"/>
    <w:rsid w:val="00797FF2"/>
    <w:rsid w:val="007A067F"/>
    <w:rsid w:val="007A10D1"/>
    <w:rsid w:val="007A253C"/>
    <w:rsid w:val="007A2764"/>
    <w:rsid w:val="007A3E7D"/>
    <w:rsid w:val="007A4452"/>
    <w:rsid w:val="007A487D"/>
    <w:rsid w:val="007A5D3E"/>
    <w:rsid w:val="007A6AB1"/>
    <w:rsid w:val="007B0B72"/>
    <w:rsid w:val="007B1031"/>
    <w:rsid w:val="007B1A56"/>
    <w:rsid w:val="007B1E3D"/>
    <w:rsid w:val="007B221E"/>
    <w:rsid w:val="007B34F0"/>
    <w:rsid w:val="007B3733"/>
    <w:rsid w:val="007B3FDA"/>
    <w:rsid w:val="007B4819"/>
    <w:rsid w:val="007B4BA3"/>
    <w:rsid w:val="007B53FB"/>
    <w:rsid w:val="007B5452"/>
    <w:rsid w:val="007B671E"/>
    <w:rsid w:val="007C037A"/>
    <w:rsid w:val="007C0B2A"/>
    <w:rsid w:val="007C0E95"/>
    <w:rsid w:val="007C16F0"/>
    <w:rsid w:val="007C226D"/>
    <w:rsid w:val="007C2765"/>
    <w:rsid w:val="007C2C82"/>
    <w:rsid w:val="007C2EE4"/>
    <w:rsid w:val="007C33A4"/>
    <w:rsid w:val="007C532E"/>
    <w:rsid w:val="007C6B81"/>
    <w:rsid w:val="007D01B9"/>
    <w:rsid w:val="007D162C"/>
    <w:rsid w:val="007D35D3"/>
    <w:rsid w:val="007D42C4"/>
    <w:rsid w:val="007D4AF1"/>
    <w:rsid w:val="007D6315"/>
    <w:rsid w:val="007D7E92"/>
    <w:rsid w:val="007D7EC0"/>
    <w:rsid w:val="007E0A80"/>
    <w:rsid w:val="007E160D"/>
    <w:rsid w:val="007E17AF"/>
    <w:rsid w:val="007E27F0"/>
    <w:rsid w:val="007E2D41"/>
    <w:rsid w:val="007E3EDC"/>
    <w:rsid w:val="007E4B81"/>
    <w:rsid w:val="007E4F8B"/>
    <w:rsid w:val="007E6055"/>
    <w:rsid w:val="007E6F5D"/>
    <w:rsid w:val="007E70A2"/>
    <w:rsid w:val="007E72CE"/>
    <w:rsid w:val="007E75AA"/>
    <w:rsid w:val="007F037F"/>
    <w:rsid w:val="007F0993"/>
    <w:rsid w:val="007F1042"/>
    <w:rsid w:val="007F14C5"/>
    <w:rsid w:val="007F233F"/>
    <w:rsid w:val="007F2793"/>
    <w:rsid w:val="007F2DE5"/>
    <w:rsid w:val="007F3999"/>
    <w:rsid w:val="007F3A79"/>
    <w:rsid w:val="007F4380"/>
    <w:rsid w:val="007F5B02"/>
    <w:rsid w:val="007F6629"/>
    <w:rsid w:val="007F683E"/>
    <w:rsid w:val="007F6A04"/>
    <w:rsid w:val="007F6C4B"/>
    <w:rsid w:val="007F6CDD"/>
    <w:rsid w:val="007F72E8"/>
    <w:rsid w:val="007F7507"/>
    <w:rsid w:val="007F7614"/>
    <w:rsid w:val="00802AFE"/>
    <w:rsid w:val="008042C2"/>
    <w:rsid w:val="0080435C"/>
    <w:rsid w:val="00804CED"/>
    <w:rsid w:val="00807C86"/>
    <w:rsid w:val="00807EF3"/>
    <w:rsid w:val="0081187A"/>
    <w:rsid w:val="008121C5"/>
    <w:rsid w:val="00813D56"/>
    <w:rsid w:val="008143DA"/>
    <w:rsid w:val="00814D6F"/>
    <w:rsid w:val="00815964"/>
    <w:rsid w:val="00815F9D"/>
    <w:rsid w:val="00816676"/>
    <w:rsid w:val="0081673A"/>
    <w:rsid w:val="00816FBA"/>
    <w:rsid w:val="00817F67"/>
    <w:rsid w:val="00821092"/>
    <w:rsid w:val="008233CF"/>
    <w:rsid w:val="008240AB"/>
    <w:rsid w:val="008260E7"/>
    <w:rsid w:val="00826C91"/>
    <w:rsid w:val="008278DB"/>
    <w:rsid w:val="00830271"/>
    <w:rsid w:val="008309D8"/>
    <w:rsid w:val="008324DC"/>
    <w:rsid w:val="008349F4"/>
    <w:rsid w:val="00834BDD"/>
    <w:rsid w:val="0083581A"/>
    <w:rsid w:val="00835A64"/>
    <w:rsid w:val="00835B4D"/>
    <w:rsid w:val="00835E63"/>
    <w:rsid w:val="00837776"/>
    <w:rsid w:val="0084044B"/>
    <w:rsid w:val="00841287"/>
    <w:rsid w:val="008422C8"/>
    <w:rsid w:val="00842850"/>
    <w:rsid w:val="00842F61"/>
    <w:rsid w:val="00844F05"/>
    <w:rsid w:val="00845B6B"/>
    <w:rsid w:val="00846280"/>
    <w:rsid w:val="008466C9"/>
    <w:rsid w:val="00846720"/>
    <w:rsid w:val="00847383"/>
    <w:rsid w:val="008478DE"/>
    <w:rsid w:val="00847B3F"/>
    <w:rsid w:val="00850DF9"/>
    <w:rsid w:val="008515B9"/>
    <w:rsid w:val="00852874"/>
    <w:rsid w:val="00852FD0"/>
    <w:rsid w:val="008530D3"/>
    <w:rsid w:val="00853285"/>
    <w:rsid w:val="0085357D"/>
    <w:rsid w:val="00853754"/>
    <w:rsid w:val="008537F5"/>
    <w:rsid w:val="00854227"/>
    <w:rsid w:val="0085431A"/>
    <w:rsid w:val="008545CB"/>
    <w:rsid w:val="00855552"/>
    <w:rsid w:val="00855E6D"/>
    <w:rsid w:val="0085612C"/>
    <w:rsid w:val="00857674"/>
    <w:rsid w:val="00860225"/>
    <w:rsid w:val="00860F76"/>
    <w:rsid w:val="008613FC"/>
    <w:rsid w:val="008615AF"/>
    <w:rsid w:val="00862E1D"/>
    <w:rsid w:val="00862E87"/>
    <w:rsid w:val="00863A00"/>
    <w:rsid w:val="008655C7"/>
    <w:rsid w:val="00865C43"/>
    <w:rsid w:val="0086627C"/>
    <w:rsid w:val="008667F9"/>
    <w:rsid w:val="00866DE9"/>
    <w:rsid w:val="00870370"/>
    <w:rsid w:val="00870615"/>
    <w:rsid w:val="00870A42"/>
    <w:rsid w:val="00870B69"/>
    <w:rsid w:val="00870C9D"/>
    <w:rsid w:val="00870EE2"/>
    <w:rsid w:val="008713E0"/>
    <w:rsid w:val="00871609"/>
    <w:rsid w:val="00871A5B"/>
    <w:rsid w:val="00871F7B"/>
    <w:rsid w:val="0087429F"/>
    <w:rsid w:val="00874F65"/>
    <w:rsid w:val="008756C4"/>
    <w:rsid w:val="00876325"/>
    <w:rsid w:val="0087682D"/>
    <w:rsid w:val="00880F52"/>
    <w:rsid w:val="008820F1"/>
    <w:rsid w:val="00882411"/>
    <w:rsid w:val="008824DF"/>
    <w:rsid w:val="00882558"/>
    <w:rsid w:val="008832B8"/>
    <w:rsid w:val="00883A9D"/>
    <w:rsid w:val="00885A41"/>
    <w:rsid w:val="008878A0"/>
    <w:rsid w:val="008902A1"/>
    <w:rsid w:val="00890BCA"/>
    <w:rsid w:val="00891FE3"/>
    <w:rsid w:val="008921A9"/>
    <w:rsid w:val="00892E8E"/>
    <w:rsid w:val="00894482"/>
    <w:rsid w:val="00894E04"/>
    <w:rsid w:val="00896628"/>
    <w:rsid w:val="00896629"/>
    <w:rsid w:val="00896B23"/>
    <w:rsid w:val="008976C6"/>
    <w:rsid w:val="008A0669"/>
    <w:rsid w:val="008A0E7E"/>
    <w:rsid w:val="008A16A6"/>
    <w:rsid w:val="008A23D6"/>
    <w:rsid w:val="008A2614"/>
    <w:rsid w:val="008A2745"/>
    <w:rsid w:val="008A2874"/>
    <w:rsid w:val="008A3480"/>
    <w:rsid w:val="008A39CC"/>
    <w:rsid w:val="008A435B"/>
    <w:rsid w:val="008A523C"/>
    <w:rsid w:val="008A5E42"/>
    <w:rsid w:val="008A6366"/>
    <w:rsid w:val="008A67BA"/>
    <w:rsid w:val="008A798C"/>
    <w:rsid w:val="008A7EA9"/>
    <w:rsid w:val="008B0360"/>
    <w:rsid w:val="008B255A"/>
    <w:rsid w:val="008B3DB9"/>
    <w:rsid w:val="008B5774"/>
    <w:rsid w:val="008B5DD7"/>
    <w:rsid w:val="008B7684"/>
    <w:rsid w:val="008C19DF"/>
    <w:rsid w:val="008C1EA0"/>
    <w:rsid w:val="008C1FD4"/>
    <w:rsid w:val="008C2B8D"/>
    <w:rsid w:val="008C3FC1"/>
    <w:rsid w:val="008C5459"/>
    <w:rsid w:val="008C6D42"/>
    <w:rsid w:val="008C73B3"/>
    <w:rsid w:val="008D389C"/>
    <w:rsid w:val="008D6471"/>
    <w:rsid w:val="008D68EC"/>
    <w:rsid w:val="008E03EC"/>
    <w:rsid w:val="008E04C9"/>
    <w:rsid w:val="008E0797"/>
    <w:rsid w:val="008E086D"/>
    <w:rsid w:val="008E1C4C"/>
    <w:rsid w:val="008E2047"/>
    <w:rsid w:val="008E232B"/>
    <w:rsid w:val="008E281E"/>
    <w:rsid w:val="008E29FD"/>
    <w:rsid w:val="008E2D92"/>
    <w:rsid w:val="008E2F76"/>
    <w:rsid w:val="008E3818"/>
    <w:rsid w:val="008E60D0"/>
    <w:rsid w:val="008E6B5B"/>
    <w:rsid w:val="008E6EF2"/>
    <w:rsid w:val="008E730E"/>
    <w:rsid w:val="008E736B"/>
    <w:rsid w:val="008E7856"/>
    <w:rsid w:val="008E789B"/>
    <w:rsid w:val="008E7C68"/>
    <w:rsid w:val="008E7DEA"/>
    <w:rsid w:val="008F0FCD"/>
    <w:rsid w:val="008F2E57"/>
    <w:rsid w:val="008F3ACB"/>
    <w:rsid w:val="008F5BF7"/>
    <w:rsid w:val="008F64AB"/>
    <w:rsid w:val="008F6E36"/>
    <w:rsid w:val="008F787A"/>
    <w:rsid w:val="008F7AB9"/>
    <w:rsid w:val="009014E1"/>
    <w:rsid w:val="009025A5"/>
    <w:rsid w:val="00902EF3"/>
    <w:rsid w:val="009036E4"/>
    <w:rsid w:val="00903C11"/>
    <w:rsid w:val="009044C9"/>
    <w:rsid w:val="00904814"/>
    <w:rsid w:val="00904EA2"/>
    <w:rsid w:val="00905F63"/>
    <w:rsid w:val="00907451"/>
    <w:rsid w:val="00907551"/>
    <w:rsid w:val="0091033A"/>
    <w:rsid w:val="009108CE"/>
    <w:rsid w:val="00912104"/>
    <w:rsid w:val="00912F71"/>
    <w:rsid w:val="009130E5"/>
    <w:rsid w:val="0091362F"/>
    <w:rsid w:val="00913A0E"/>
    <w:rsid w:val="009143C1"/>
    <w:rsid w:val="00916BC0"/>
    <w:rsid w:val="00917B16"/>
    <w:rsid w:val="00920AB0"/>
    <w:rsid w:val="00920D43"/>
    <w:rsid w:val="00921CB3"/>
    <w:rsid w:val="009221BA"/>
    <w:rsid w:val="00923130"/>
    <w:rsid w:val="00923D55"/>
    <w:rsid w:val="0092545A"/>
    <w:rsid w:val="00925F63"/>
    <w:rsid w:val="00926046"/>
    <w:rsid w:val="009265F3"/>
    <w:rsid w:val="00926D4D"/>
    <w:rsid w:val="00927556"/>
    <w:rsid w:val="00927652"/>
    <w:rsid w:val="00927E06"/>
    <w:rsid w:val="0093046E"/>
    <w:rsid w:val="009304F0"/>
    <w:rsid w:val="00931A5A"/>
    <w:rsid w:val="00933117"/>
    <w:rsid w:val="00934248"/>
    <w:rsid w:val="009345EE"/>
    <w:rsid w:val="00935270"/>
    <w:rsid w:val="009355BE"/>
    <w:rsid w:val="009356CC"/>
    <w:rsid w:val="00935E51"/>
    <w:rsid w:val="00936EF0"/>
    <w:rsid w:val="00936F5A"/>
    <w:rsid w:val="009375F1"/>
    <w:rsid w:val="0094096D"/>
    <w:rsid w:val="0094122B"/>
    <w:rsid w:val="00941870"/>
    <w:rsid w:val="0094242C"/>
    <w:rsid w:val="009426A0"/>
    <w:rsid w:val="00943744"/>
    <w:rsid w:val="00943E66"/>
    <w:rsid w:val="009442F5"/>
    <w:rsid w:val="009443FA"/>
    <w:rsid w:val="0094440D"/>
    <w:rsid w:val="00945CCD"/>
    <w:rsid w:val="009476A7"/>
    <w:rsid w:val="009477B4"/>
    <w:rsid w:val="009504D9"/>
    <w:rsid w:val="009517E6"/>
    <w:rsid w:val="009528F9"/>
    <w:rsid w:val="00952A6F"/>
    <w:rsid w:val="0095437B"/>
    <w:rsid w:val="00955ACF"/>
    <w:rsid w:val="00956101"/>
    <w:rsid w:val="0095614B"/>
    <w:rsid w:val="00956E26"/>
    <w:rsid w:val="00957971"/>
    <w:rsid w:val="009579AB"/>
    <w:rsid w:val="0096006B"/>
    <w:rsid w:val="00960071"/>
    <w:rsid w:val="00961298"/>
    <w:rsid w:val="009619F9"/>
    <w:rsid w:val="00961C7D"/>
    <w:rsid w:val="00963A5C"/>
    <w:rsid w:val="00965949"/>
    <w:rsid w:val="00970090"/>
    <w:rsid w:val="00970857"/>
    <w:rsid w:val="00970BCE"/>
    <w:rsid w:val="00971601"/>
    <w:rsid w:val="00971B75"/>
    <w:rsid w:val="00971FF9"/>
    <w:rsid w:val="009731BC"/>
    <w:rsid w:val="00975833"/>
    <w:rsid w:val="0097627F"/>
    <w:rsid w:val="009776FC"/>
    <w:rsid w:val="00980725"/>
    <w:rsid w:val="00980EC8"/>
    <w:rsid w:val="009824F3"/>
    <w:rsid w:val="00985C67"/>
    <w:rsid w:val="0098787A"/>
    <w:rsid w:val="009915C6"/>
    <w:rsid w:val="00991E9E"/>
    <w:rsid w:val="0099286B"/>
    <w:rsid w:val="00992E19"/>
    <w:rsid w:val="0099331A"/>
    <w:rsid w:val="009939B3"/>
    <w:rsid w:val="00994F30"/>
    <w:rsid w:val="0099510B"/>
    <w:rsid w:val="009A1C8B"/>
    <w:rsid w:val="009A1F42"/>
    <w:rsid w:val="009A3EAC"/>
    <w:rsid w:val="009A6205"/>
    <w:rsid w:val="009A6A63"/>
    <w:rsid w:val="009A6CAF"/>
    <w:rsid w:val="009A737E"/>
    <w:rsid w:val="009A7519"/>
    <w:rsid w:val="009B0303"/>
    <w:rsid w:val="009B118C"/>
    <w:rsid w:val="009B1527"/>
    <w:rsid w:val="009B1B1D"/>
    <w:rsid w:val="009B291C"/>
    <w:rsid w:val="009B2F18"/>
    <w:rsid w:val="009B3011"/>
    <w:rsid w:val="009B35A4"/>
    <w:rsid w:val="009B45D0"/>
    <w:rsid w:val="009B465D"/>
    <w:rsid w:val="009B4670"/>
    <w:rsid w:val="009C1190"/>
    <w:rsid w:val="009C15B7"/>
    <w:rsid w:val="009C170A"/>
    <w:rsid w:val="009C19F8"/>
    <w:rsid w:val="009C1A0E"/>
    <w:rsid w:val="009C1B5E"/>
    <w:rsid w:val="009C202F"/>
    <w:rsid w:val="009C228D"/>
    <w:rsid w:val="009C2E38"/>
    <w:rsid w:val="009C2FA7"/>
    <w:rsid w:val="009C4968"/>
    <w:rsid w:val="009C5E5D"/>
    <w:rsid w:val="009C62C4"/>
    <w:rsid w:val="009C65FF"/>
    <w:rsid w:val="009C71B7"/>
    <w:rsid w:val="009D05C1"/>
    <w:rsid w:val="009D1165"/>
    <w:rsid w:val="009D1480"/>
    <w:rsid w:val="009D2364"/>
    <w:rsid w:val="009D2EC6"/>
    <w:rsid w:val="009D36EA"/>
    <w:rsid w:val="009D41B7"/>
    <w:rsid w:val="009D42DE"/>
    <w:rsid w:val="009D4603"/>
    <w:rsid w:val="009D5399"/>
    <w:rsid w:val="009D5D3A"/>
    <w:rsid w:val="009E0E7C"/>
    <w:rsid w:val="009E1353"/>
    <w:rsid w:val="009E19ED"/>
    <w:rsid w:val="009E2635"/>
    <w:rsid w:val="009E3AFD"/>
    <w:rsid w:val="009E3D27"/>
    <w:rsid w:val="009E47CD"/>
    <w:rsid w:val="009E4C00"/>
    <w:rsid w:val="009E5F73"/>
    <w:rsid w:val="009E6121"/>
    <w:rsid w:val="009E6792"/>
    <w:rsid w:val="009E6EDD"/>
    <w:rsid w:val="009E7DDE"/>
    <w:rsid w:val="009F03A6"/>
    <w:rsid w:val="009F0983"/>
    <w:rsid w:val="009F115B"/>
    <w:rsid w:val="009F1E33"/>
    <w:rsid w:val="009F24FF"/>
    <w:rsid w:val="009F2C88"/>
    <w:rsid w:val="009F318F"/>
    <w:rsid w:val="009F4374"/>
    <w:rsid w:val="009F4F22"/>
    <w:rsid w:val="009F723E"/>
    <w:rsid w:val="00A00CB7"/>
    <w:rsid w:val="00A01CA1"/>
    <w:rsid w:val="00A03533"/>
    <w:rsid w:val="00A04E49"/>
    <w:rsid w:val="00A0535A"/>
    <w:rsid w:val="00A0573C"/>
    <w:rsid w:val="00A05D18"/>
    <w:rsid w:val="00A05D34"/>
    <w:rsid w:val="00A067C2"/>
    <w:rsid w:val="00A06DA8"/>
    <w:rsid w:val="00A07AEE"/>
    <w:rsid w:val="00A10AE8"/>
    <w:rsid w:val="00A11007"/>
    <w:rsid w:val="00A1197C"/>
    <w:rsid w:val="00A124DD"/>
    <w:rsid w:val="00A1404A"/>
    <w:rsid w:val="00A14ADC"/>
    <w:rsid w:val="00A157FF"/>
    <w:rsid w:val="00A15D94"/>
    <w:rsid w:val="00A202E2"/>
    <w:rsid w:val="00A2064B"/>
    <w:rsid w:val="00A209CE"/>
    <w:rsid w:val="00A20C5C"/>
    <w:rsid w:val="00A215D0"/>
    <w:rsid w:val="00A2160C"/>
    <w:rsid w:val="00A22602"/>
    <w:rsid w:val="00A22696"/>
    <w:rsid w:val="00A23E8E"/>
    <w:rsid w:val="00A24697"/>
    <w:rsid w:val="00A26BA0"/>
    <w:rsid w:val="00A2717E"/>
    <w:rsid w:val="00A31189"/>
    <w:rsid w:val="00A31B71"/>
    <w:rsid w:val="00A31FF4"/>
    <w:rsid w:val="00A326C7"/>
    <w:rsid w:val="00A34E2A"/>
    <w:rsid w:val="00A35569"/>
    <w:rsid w:val="00A35E44"/>
    <w:rsid w:val="00A377D6"/>
    <w:rsid w:val="00A37F6A"/>
    <w:rsid w:val="00A41923"/>
    <w:rsid w:val="00A42316"/>
    <w:rsid w:val="00A4248B"/>
    <w:rsid w:val="00A44896"/>
    <w:rsid w:val="00A44C67"/>
    <w:rsid w:val="00A44D68"/>
    <w:rsid w:val="00A46258"/>
    <w:rsid w:val="00A4660C"/>
    <w:rsid w:val="00A46738"/>
    <w:rsid w:val="00A46E73"/>
    <w:rsid w:val="00A4745F"/>
    <w:rsid w:val="00A503AF"/>
    <w:rsid w:val="00A51FE0"/>
    <w:rsid w:val="00A5263B"/>
    <w:rsid w:val="00A5457B"/>
    <w:rsid w:val="00A55DA9"/>
    <w:rsid w:val="00A55EC1"/>
    <w:rsid w:val="00A56D19"/>
    <w:rsid w:val="00A56F5C"/>
    <w:rsid w:val="00A57E7E"/>
    <w:rsid w:val="00A60C15"/>
    <w:rsid w:val="00A60CAD"/>
    <w:rsid w:val="00A61839"/>
    <w:rsid w:val="00A62880"/>
    <w:rsid w:val="00A65440"/>
    <w:rsid w:val="00A657DB"/>
    <w:rsid w:val="00A65AF3"/>
    <w:rsid w:val="00A673BF"/>
    <w:rsid w:val="00A677B5"/>
    <w:rsid w:val="00A67D60"/>
    <w:rsid w:val="00A67F49"/>
    <w:rsid w:val="00A7023F"/>
    <w:rsid w:val="00A70831"/>
    <w:rsid w:val="00A70B21"/>
    <w:rsid w:val="00A70D3A"/>
    <w:rsid w:val="00A712E2"/>
    <w:rsid w:val="00A737F5"/>
    <w:rsid w:val="00A74C1B"/>
    <w:rsid w:val="00A75039"/>
    <w:rsid w:val="00A76EE4"/>
    <w:rsid w:val="00A76F64"/>
    <w:rsid w:val="00A7795C"/>
    <w:rsid w:val="00A77D3D"/>
    <w:rsid w:val="00A77EEC"/>
    <w:rsid w:val="00A77FE2"/>
    <w:rsid w:val="00A80710"/>
    <w:rsid w:val="00A835F1"/>
    <w:rsid w:val="00A83FC0"/>
    <w:rsid w:val="00A84017"/>
    <w:rsid w:val="00A84CFE"/>
    <w:rsid w:val="00A85A1E"/>
    <w:rsid w:val="00A8656C"/>
    <w:rsid w:val="00A86C17"/>
    <w:rsid w:val="00A874D2"/>
    <w:rsid w:val="00A87C37"/>
    <w:rsid w:val="00A906F9"/>
    <w:rsid w:val="00A9132A"/>
    <w:rsid w:val="00A91771"/>
    <w:rsid w:val="00A9224D"/>
    <w:rsid w:val="00A93825"/>
    <w:rsid w:val="00A93ADB"/>
    <w:rsid w:val="00A93E3D"/>
    <w:rsid w:val="00A93F05"/>
    <w:rsid w:val="00A95693"/>
    <w:rsid w:val="00A95D0E"/>
    <w:rsid w:val="00A96872"/>
    <w:rsid w:val="00A975AD"/>
    <w:rsid w:val="00A9774B"/>
    <w:rsid w:val="00A97D64"/>
    <w:rsid w:val="00A97EF7"/>
    <w:rsid w:val="00AA08DA"/>
    <w:rsid w:val="00AA0C8D"/>
    <w:rsid w:val="00AA0FB6"/>
    <w:rsid w:val="00AA114E"/>
    <w:rsid w:val="00AA14F6"/>
    <w:rsid w:val="00AA2532"/>
    <w:rsid w:val="00AA3114"/>
    <w:rsid w:val="00AA36E6"/>
    <w:rsid w:val="00AA501D"/>
    <w:rsid w:val="00AA5268"/>
    <w:rsid w:val="00AA68D0"/>
    <w:rsid w:val="00AA755B"/>
    <w:rsid w:val="00AA7FAC"/>
    <w:rsid w:val="00AB1BA4"/>
    <w:rsid w:val="00AB230B"/>
    <w:rsid w:val="00AB31C7"/>
    <w:rsid w:val="00AB4191"/>
    <w:rsid w:val="00AB4C93"/>
    <w:rsid w:val="00AB5673"/>
    <w:rsid w:val="00AB5B84"/>
    <w:rsid w:val="00AB63C3"/>
    <w:rsid w:val="00AB63E5"/>
    <w:rsid w:val="00AB63EA"/>
    <w:rsid w:val="00AB684D"/>
    <w:rsid w:val="00AC0B8B"/>
    <w:rsid w:val="00AC0E15"/>
    <w:rsid w:val="00AC1760"/>
    <w:rsid w:val="00AC2808"/>
    <w:rsid w:val="00AC3029"/>
    <w:rsid w:val="00AC38FF"/>
    <w:rsid w:val="00AC43DF"/>
    <w:rsid w:val="00AC4919"/>
    <w:rsid w:val="00AC4ECD"/>
    <w:rsid w:val="00AC550A"/>
    <w:rsid w:val="00AC6A19"/>
    <w:rsid w:val="00AC724C"/>
    <w:rsid w:val="00AC7323"/>
    <w:rsid w:val="00AC7586"/>
    <w:rsid w:val="00AC7915"/>
    <w:rsid w:val="00AD036F"/>
    <w:rsid w:val="00AD28BB"/>
    <w:rsid w:val="00AD3E48"/>
    <w:rsid w:val="00AD45A3"/>
    <w:rsid w:val="00AD4877"/>
    <w:rsid w:val="00AD55FB"/>
    <w:rsid w:val="00AD6076"/>
    <w:rsid w:val="00AD6A88"/>
    <w:rsid w:val="00AD7838"/>
    <w:rsid w:val="00AD7F58"/>
    <w:rsid w:val="00AE0792"/>
    <w:rsid w:val="00AE0AE9"/>
    <w:rsid w:val="00AE265F"/>
    <w:rsid w:val="00AE26BB"/>
    <w:rsid w:val="00AE279C"/>
    <w:rsid w:val="00AE2F19"/>
    <w:rsid w:val="00AE36F1"/>
    <w:rsid w:val="00AE4725"/>
    <w:rsid w:val="00AE4FF2"/>
    <w:rsid w:val="00AE5712"/>
    <w:rsid w:val="00AE77E5"/>
    <w:rsid w:val="00AF0320"/>
    <w:rsid w:val="00AF1078"/>
    <w:rsid w:val="00AF3904"/>
    <w:rsid w:val="00AF49A3"/>
    <w:rsid w:val="00AF4A24"/>
    <w:rsid w:val="00AF4ED8"/>
    <w:rsid w:val="00AF6322"/>
    <w:rsid w:val="00AF715D"/>
    <w:rsid w:val="00B01491"/>
    <w:rsid w:val="00B02DD8"/>
    <w:rsid w:val="00B04939"/>
    <w:rsid w:val="00B04E6A"/>
    <w:rsid w:val="00B059AF"/>
    <w:rsid w:val="00B059D2"/>
    <w:rsid w:val="00B064E6"/>
    <w:rsid w:val="00B07EAA"/>
    <w:rsid w:val="00B1125F"/>
    <w:rsid w:val="00B1136B"/>
    <w:rsid w:val="00B1201E"/>
    <w:rsid w:val="00B12282"/>
    <w:rsid w:val="00B142AA"/>
    <w:rsid w:val="00B1456C"/>
    <w:rsid w:val="00B14D95"/>
    <w:rsid w:val="00B1523C"/>
    <w:rsid w:val="00B152FF"/>
    <w:rsid w:val="00B15B69"/>
    <w:rsid w:val="00B17AFC"/>
    <w:rsid w:val="00B210A9"/>
    <w:rsid w:val="00B21DA4"/>
    <w:rsid w:val="00B220FE"/>
    <w:rsid w:val="00B224AD"/>
    <w:rsid w:val="00B23875"/>
    <w:rsid w:val="00B23E82"/>
    <w:rsid w:val="00B23F50"/>
    <w:rsid w:val="00B2450B"/>
    <w:rsid w:val="00B2463E"/>
    <w:rsid w:val="00B24B2F"/>
    <w:rsid w:val="00B25801"/>
    <w:rsid w:val="00B279C3"/>
    <w:rsid w:val="00B27C6D"/>
    <w:rsid w:val="00B27E06"/>
    <w:rsid w:val="00B27F2A"/>
    <w:rsid w:val="00B3056F"/>
    <w:rsid w:val="00B30EC7"/>
    <w:rsid w:val="00B30EF9"/>
    <w:rsid w:val="00B315A4"/>
    <w:rsid w:val="00B31D37"/>
    <w:rsid w:val="00B32A92"/>
    <w:rsid w:val="00B32EF3"/>
    <w:rsid w:val="00B3420C"/>
    <w:rsid w:val="00B342BB"/>
    <w:rsid w:val="00B34795"/>
    <w:rsid w:val="00B357FC"/>
    <w:rsid w:val="00B3694D"/>
    <w:rsid w:val="00B371E0"/>
    <w:rsid w:val="00B407AB"/>
    <w:rsid w:val="00B40B31"/>
    <w:rsid w:val="00B412EB"/>
    <w:rsid w:val="00B41CD2"/>
    <w:rsid w:val="00B424B5"/>
    <w:rsid w:val="00B42FCC"/>
    <w:rsid w:val="00B46196"/>
    <w:rsid w:val="00B46782"/>
    <w:rsid w:val="00B50749"/>
    <w:rsid w:val="00B51C47"/>
    <w:rsid w:val="00B532D0"/>
    <w:rsid w:val="00B53778"/>
    <w:rsid w:val="00B53E96"/>
    <w:rsid w:val="00B56AB8"/>
    <w:rsid w:val="00B56D55"/>
    <w:rsid w:val="00B60174"/>
    <w:rsid w:val="00B60432"/>
    <w:rsid w:val="00B60A3F"/>
    <w:rsid w:val="00B60C30"/>
    <w:rsid w:val="00B621A3"/>
    <w:rsid w:val="00B62B99"/>
    <w:rsid w:val="00B63FEA"/>
    <w:rsid w:val="00B6403E"/>
    <w:rsid w:val="00B647CE"/>
    <w:rsid w:val="00B64D86"/>
    <w:rsid w:val="00B65C28"/>
    <w:rsid w:val="00B65D23"/>
    <w:rsid w:val="00B65E28"/>
    <w:rsid w:val="00B662EB"/>
    <w:rsid w:val="00B678DC"/>
    <w:rsid w:val="00B6796D"/>
    <w:rsid w:val="00B7165C"/>
    <w:rsid w:val="00B722F9"/>
    <w:rsid w:val="00B723A5"/>
    <w:rsid w:val="00B72AEC"/>
    <w:rsid w:val="00B73D07"/>
    <w:rsid w:val="00B7500F"/>
    <w:rsid w:val="00B7520E"/>
    <w:rsid w:val="00B75ECD"/>
    <w:rsid w:val="00B77F9D"/>
    <w:rsid w:val="00B80904"/>
    <w:rsid w:val="00B81E6F"/>
    <w:rsid w:val="00B82D2D"/>
    <w:rsid w:val="00B83699"/>
    <w:rsid w:val="00B86A20"/>
    <w:rsid w:val="00B8715F"/>
    <w:rsid w:val="00B91AAC"/>
    <w:rsid w:val="00B9244B"/>
    <w:rsid w:val="00B927AC"/>
    <w:rsid w:val="00B92A5D"/>
    <w:rsid w:val="00B92E45"/>
    <w:rsid w:val="00B946C4"/>
    <w:rsid w:val="00B94D2B"/>
    <w:rsid w:val="00B96434"/>
    <w:rsid w:val="00B9690D"/>
    <w:rsid w:val="00B9794E"/>
    <w:rsid w:val="00BA02D3"/>
    <w:rsid w:val="00BA0D45"/>
    <w:rsid w:val="00BA1265"/>
    <w:rsid w:val="00BA27BF"/>
    <w:rsid w:val="00BA419E"/>
    <w:rsid w:val="00BA58A9"/>
    <w:rsid w:val="00BA64D6"/>
    <w:rsid w:val="00BA66D0"/>
    <w:rsid w:val="00BA6F7D"/>
    <w:rsid w:val="00BA73F5"/>
    <w:rsid w:val="00BA7EE7"/>
    <w:rsid w:val="00BB0975"/>
    <w:rsid w:val="00BB0AEB"/>
    <w:rsid w:val="00BB12AB"/>
    <w:rsid w:val="00BB2AD5"/>
    <w:rsid w:val="00BB2C24"/>
    <w:rsid w:val="00BB3E5A"/>
    <w:rsid w:val="00BB491A"/>
    <w:rsid w:val="00BB4C25"/>
    <w:rsid w:val="00BB7599"/>
    <w:rsid w:val="00BB7890"/>
    <w:rsid w:val="00BB78D6"/>
    <w:rsid w:val="00BC066E"/>
    <w:rsid w:val="00BC1584"/>
    <w:rsid w:val="00BC1799"/>
    <w:rsid w:val="00BC17F7"/>
    <w:rsid w:val="00BC1DCB"/>
    <w:rsid w:val="00BC2E7D"/>
    <w:rsid w:val="00BC446F"/>
    <w:rsid w:val="00BC4A21"/>
    <w:rsid w:val="00BC573E"/>
    <w:rsid w:val="00BC5757"/>
    <w:rsid w:val="00BC5E80"/>
    <w:rsid w:val="00BC62D2"/>
    <w:rsid w:val="00BC6CB5"/>
    <w:rsid w:val="00BC6E62"/>
    <w:rsid w:val="00BD01C4"/>
    <w:rsid w:val="00BD0BA7"/>
    <w:rsid w:val="00BD0C81"/>
    <w:rsid w:val="00BD24F4"/>
    <w:rsid w:val="00BD284D"/>
    <w:rsid w:val="00BD2900"/>
    <w:rsid w:val="00BD2C14"/>
    <w:rsid w:val="00BD2C3C"/>
    <w:rsid w:val="00BD2CC6"/>
    <w:rsid w:val="00BD2D95"/>
    <w:rsid w:val="00BD3C50"/>
    <w:rsid w:val="00BD4515"/>
    <w:rsid w:val="00BD46BA"/>
    <w:rsid w:val="00BD549E"/>
    <w:rsid w:val="00BD5AFF"/>
    <w:rsid w:val="00BD6F87"/>
    <w:rsid w:val="00BE06DA"/>
    <w:rsid w:val="00BE156B"/>
    <w:rsid w:val="00BE2E5E"/>
    <w:rsid w:val="00BE5974"/>
    <w:rsid w:val="00BE5C91"/>
    <w:rsid w:val="00BE67A3"/>
    <w:rsid w:val="00BE6FC1"/>
    <w:rsid w:val="00BE7914"/>
    <w:rsid w:val="00BF11D6"/>
    <w:rsid w:val="00BF1C44"/>
    <w:rsid w:val="00BF20A0"/>
    <w:rsid w:val="00BF2BE7"/>
    <w:rsid w:val="00BF3B7F"/>
    <w:rsid w:val="00BF4BCA"/>
    <w:rsid w:val="00BF4CFF"/>
    <w:rsid w:val="00BF7435"/>
    <w:rsid w:val="00C00ACB"/>
    <w:rsid w:val="00C01480"/>
    <w:rsid w:val="00C01EC5"/>
    <w:rsid w:val="00C0282B"/>
    <w:rsid w:val="00C02952"/>
    <w:rsid w:val="00C02E4F"/>
    <w:rsid w:val="00C030C2"/>
    <w:rsid w:val="00C04A38"/>
    <w:rsid w:val="00C04F50"/>
    <w:rsid w:val="00C04FDE"/>
    <w:rsid w:val="00C06F00"/>
    <w:rsid w:val="00C07435"/>
    <w:rsid w:val="00C101E2"/>
    <w:rsid w:val="00C10230"/>
    <w:rsid w:val="00C10319"/>
    <w:rsid w:val="00C10ED1"/>
    <w:rsid w:val="00C1340D"/>
    <w:rsid w:val="00C15420"/>
    <w:rsid w:val="00C16679"/>
    <w:rsid w:val="00C168FD"/>
    <w:rsid w:val="00C16B2C"/>
    <w:rsid w:val="00C1752E"/>
    <w:rsid w:val="00C176A9"/>
    <w:rsid w:val="00C177D1"/>
    <w:rsid w:val="00C177DA"/>
    <w:rsid w:val="00C17A47"/>
    <w:rsid w:val="00C20549"/>
    <w:rsid w:val="00C207A0"/>
    <w:rsid w:val="00C2104D"/>
    <w:rsid w:val="00C211A6"/>
    <w:rsid w:val="00C21956"/>
    <w:rsid w:val="00C2198F"/>
    <w:rsid w:val="00C22ECF"/>
    <w:rsid w:val="00C239B9"/>
    <w:rsid w:val="00C27BA8"/>
    <w:rsid w:val="00C30343"/>
    <w:rsid w:val="00C30590"/>
    <w:rsid w:val="00C30883"/>
    <w:rsid w:val="00C30EC7"/>
    <w:rsid w:val="00C30F25"/>
    <w:rsid w:val="00C31034"/>
    <w:rsid w:val="00C31A94"/>
    <w:rsid w:val="00C31CE4"/>
    <w:rsid w:val="00C32515"/>
    <w:rsid w:val="00C32A71"/>
    <w:rsid w:val="00C33E08"/>
    <w:rsid w:val="00C345C3"/>
    <w:rsid w:val="00C35188"/>
    <w:rsid w:val="00C3571C"/>
    <w:rsid w:val="00C35FE0"/>
    <w:rsid w:val="00C36CB3"/>
    <w:rsid w:val="00C37012"/>
    <w:rsid w:val="00C413A2"/>
    <w:rsid w:val="00C418EA"/>
    <w:rsid w:val="00C439C9"/>
    <w:rsid w:val="00C44A4C"/>
    <w:rsid w:val="00C47AA2"/>
    <w:rsid w:val="00C47C00"/>
    <w:rsid w:val="00C507DA"/>
    <w:rsid w:val="00C51255"/>
    <w:rsid w:val="00C53EEE"/>
    <w:rsid w:val="00C540B1"/>
    <w:rsid w:val="00C546E2"/>
    <w:rsid w:val="00C54B4F"/>
    <w:rsid w:val="00C576D8"/>
    <w:rsid w:val="00C600B6"/>
    <w:rsid w:val="00C61487"/>
    <w:rsid w:val="00C61C0A"/>
    <w:rsid w:val="00C624EE"/>
    <w:rsid w:val="00C6309D"/>
    <w:rsid w:val="00C63658"/>
    <w:rsid w:val="00C63A15"/>
    <w:rsid w:val="00C646AB"/>
    <w:rsid w:val="00C65AF6"/>
    <w:rsid w:val="00C71750"/>
    <w:rsid w:val="00C7202C"/>
    <w:rsid w:val="00C72652"/>
    <w:rsid w:val="00C72E81"/>
    <w:rsid w:val="00C7411C"/>
    <w:rsid w:val="00C741CE"/>
    <w:rsid w:val="00C74534"/>
    <w:rsid w:val="00C7471C"/>
    <w:rsid w:val="00C75C71"/>
    <w:rsid w:val="00C75E05"/>
    <w:rsid w:val="00C775F1"/>
    <w:rsid w:val="00C80EB8"/>
    <w:rsid w:val="00C82EF2"/>
    <w:rsid w:val="00C836C9"/>
    <w:rsid w:val="00C837FF"/>
    <w:rsid w:val="00C84028"/>
    <w:rsid w:val="00C845A9"/>
    <w:rsid w:val="00C84613"/>
    <w:rsid w:val="00C84EC4"/>
    <w:rsid w:val="00C851A5"/>
    <w:rsid w:val="00C85C44"/>
    <w:rsid w:val="00C86802"/>
    <w:rsid w:val="00C9027C"/>
    <w:rsid w:val="00C9044D"/>
    <w:rsid w:val="00C91D18"/>
    <w:rsid w:val="00C9222A"/>
    <w:rsid w:val="00C92247"/>
    <w:rsid w:val="00C95C7B"/>
    <w:rsid w:val="00C9656E"/>
    <w:rsid w:val="00C97B2E"/>
    <w:rsid w:val="00CA0833"/>
    <w:rsid w:val="00CA21CF"/>
    <w:rsid w:val="00CA4160"/>
    <w:rsid w:val="00CA6A77"/>
    <w:rsid w:val="00CA72C7"/>
    <w:rsid w:val="00CA7680"/>
    <w:rsid w:val="00CB036B"/>
    <w:rsid w:val="00CB0F1D"/>
    <w:rsid w:val="00CB0F59"/>
    <w:rsid w:val="00CB17A2"/>
    <w:rsid w:val="00CB43F3"/>
    <w:rsid w:val="00CB472E"/>
    <w:rsid w:val="00CB54A1"/>
    <w:rsid w:val="00CB5F45"/>
    <w:rsid w:val="00CB75AB"/>
    <w:rsid w:val="00CB76CA"/>
    <w:rsid w:val="00CC18AD"/>
    <w:rsid w:val="00CC2E54"/>
    <w:rsid w:val="00CC326C"/>
    <w:rsid w:val="00CC4555"/>
    <w:rsid w:val="00CC47F0"/>
    <w:rsid w:val="00CC5119"/>
    <w:rsid w:val="00CC5402"/>
    <w:rsid w:val="00CC546E"/>
    <w:rsid w:val="00CC6292"/>
    <w:rsid w:val="00CC637A"/>
    <w:rsid w:val="00CC6CEC"/>
    <w:rsid w:val="00CC707C"/>
    <w:rsid w:val="00CD1263"/>
    <w:rsid w:val="00CD1517"/>
    <w:rsid w:val="00CD215C"/>
    <w:rsid w:val="00CD2CCC"/>
    <w:rsid w:val="00CD4065"/>
    <w:rsid w:val="00CD4B87"/>
    <w:rsid w:val="00CD508A"/>
    <w:rsid w:val="00CD75B9"/>
    <w:rsid w:val="00CD7FCF"/>
    <w:rsid w:val="00CE022F"/>
    <w:rsid w:val="00CE0F39"/>
    <w:rsid w:val="00CE1551"/>
    <w:rsid w:val="00CE167D"/>
    <w:rsid w:val="00CE1D30"/>
    <w:rsid w:val="00CE1FAF"/>
    <w:rsid w:val="00CE254B"/>
    <w:rsid w:val="00CE2E60"/>
    <w:rsid w:val="00CE359C"/>
    <w:rsid w:val="00CE3B4A"/>
    <w:rsid w:val="00CE6796"/>
    <w:rsid w:val="00CE70F1"/>
    <w:rsid w:val="00CE78CC"/>
    <w:rsid w:val="00CF045A"/>
    <w:rsid w:val="00CF2B40"/>
    <w:rsid w:val="00CF2FA3"/>
    <w:rsid w:val="00CF384A"/>
    <w:rsid w:val="00CF3C61"/>
    <w:rsid w:val="00CF6291"/>
    <w:rsid w:val="00CF6326"/>
    <w:rsid w:val="00CF6B45"/>
    <w:rsid w:val="00D01004"/>
    <w:rsid w:val="00D0234A"/>
    <w:rsid w:val="00D031D3"/>
    <w:rsid w:val="00D0507E"/>
    <w:rsid w:val="00D05734"/>
    <w:rsid w:val="00D06869"/>
    <w:rsid w:val="00D1050D"/>
    <w:rsid w:val="00D11E6C"/>
    <w:rsid w:val="00D136C5"/>
    <w:rsid w:val="00D14D34"/>
    <w:rsid w:val="00D15641"/>
    <w:rsid w:val="00D15A03"/>
    <w:rsid w:val="00D17264"/>
    <w:rsid w:val="00D17BA3"/>
    <w:rsid w:val="00D17C5E"/>
    <w:rsid w:val="00D17DFD"/>
    <w:rsid w:val="00D209AB"/>
    <w:rsid w:val="00D2142D"/>
    <w:rsid w:val="00D21FF6"/>
    <w:rsid w:val="00D226A3"/>
    <w:rsid w:val="00D22C55"/>
    <w:rsid w:val="00D22F1C"/>
    <w:rsid w:val="00D23099"/>
    <w:rsid w:val="00D23249"/>
    <w:rsid w:val="00D23299"/>
    <w:rsid w:val="00D23C6F"/>
    <w:rsid w:val="00D2627B"/>
    <w:rsid w:val="00D2736E"/>
    <w:rsid w:val="00D27A37"/>
    <w:rsid w:val="00D3025C"/>
    <w:rsid w:val="00D315FE"/>
    <w:rsid w:val="00D31667"/>
    <w:rsid w:val="00D31864"/>
    <w:rsid w:val="00D318A9"/>
    <w:rsid w:val="00D31EAB"/>
    <w:rsid w:val="00D3271D"/>
    <w:rsid w:val="00D32D14"/>
    <w:rsid w:val="00D3558F"/>
    <w:rsid w:val="00D35BF6"/>
    <w:rsid w:val="00D35CA1"/>
    <w:rsid w:val="00D365A2"/>
    <w:rsid w:val="00D367AC"/>
    <w:rsid w:val="00D36943"/>
    <w:rsid w:val="00D374C9"/>
    <w:rsid w:val="00D41E9F"/>
    <w:rsid w:val="00D42399"/>
    <w:rsid w:val="00D436C5"/>
    <w:rsid w:val="00D44220"/>
    <w:rsid w:val="00D443BB"/>
    <w:rsid w:val="00D44782"/>
    <w:rsid w:val="00D47256"/>
    <w:rsid w:val="00D47765"/>
    <w:rsid w:val="00D47A8B"/>
    <w:rsid w:val="00D500B4"/>
    <w:rsid w:val="00D52178"/>
    <w:rsid w:val="00D54602"/>
    <w:rsid w:val="00D54BBE"/>
    <w:rsid w:val="00D54C2E"/>
    <w:rsid w:val="00D5590D"/>
    <w:rsid w:val="00D56B29"/>
    <w:rsid w:val="00D5748A"/>
    <w:rsid w:val="00D5788D"/>
    <w:rsid w:val="00D6148C"/>
    <w:rsid w:val="00D6158B"/>
    <w:rsid w:val="00D615F0"/>
    <w:rsid w:val="00D62E27"/>
    <w:rsid w:val="00D6428C"/>
    <w:rsid w:val="00D665E1"/>
    <w:rsid w:val="00D666DC"/>
    <w:rsid w:val="00D6683C"/>
    <w:rsid w:val="00D66D8E"/>
    <w:rsid w:val="00D678ED"/>
    <w:rsid w:val="00D72535"/>
    <w:rsid w:val="00D729B0"/>
    <w:rsid w:val="00D72FCD"/>
    <w:rsid w:val="00D74447"/>
    <w:rsid w:val="00D74EA2"/>
    <w:rsid w:val="00D75843"/>
    <w:rsid w:val="00D75D24"/>
    <w:rsid w:val="00D75F9E"/>
    <w:rsid w:val="00D80063"/>
    <w:rsid w:val="00D819E5"/>
    <w:rsid w:val="00D82B5B"/>
    <w:rsid w:val="00D84897"/>
    <w:rsid w:val="00D84F48"/>
    <w:rsid w:val="00D850E5"/>
    <w:rsid w:val="00D861C9"/>
    <w:rsid w:val="00D872C7"/>
    <w:rsid w:val="00D87433"/>
    <w:rsid w:val="00D87478"/>
    <w:rsid w:val="00D90AF8"/>
    <w:rsid w:val="00D91141"/>
    <w:rsid w:val="00D92007"/>
    <w:rsid w:val="00D928C4"/>
    <w:rsid w:val="00D92C1A"/>
    <w:rsid w:val="00D93B8D"/>
    <w:rsid w:val="00D944BE"/>
    <w:rsid w:val="00D94663"/>
    <w:rsid w:val="00D94BC3"/>
    <w:rsid w:val="00D9525D"/>
    <w:rsid w:val="00D96698"/>
    <w:rsid w:val="00D97D9D"/>
    <w:rsid w:val="00DA0262"/>
    <w:rsid w:val="00DA16B5"/>
    <w:rsid w:val="00DA3142"/>
    <w:rsid w:val="00DA32C0"/>
    <w:rsid w:val="00DA340A"/>
    <w:rsid w:val="00DA47C9"/>
    <w:rsid w:val="00DA4AA1"/>
    <w:rsid w:val="00DA4BDF"/>
    <w:rsid w:val="00DA539E"/>
    <w:rsid w:val="00DA57F5"/>
    <w:rsid w:val="00DA5DC7"/>
    <w:rsid w:val="00DA6253"/>
    <w:rsid w:val="00DA6472"/>
    <w:rsid w:val="00DA7030"/>
    <w:rsid w:val="00DA7086"/>
    <w:rsid w:val="00DB0BC8"/>
    <w:rsid w:val="00DB1377"/>
    <w:rsid w:val="00DB2297"/>
    <w:rsid w:val="00DB22FF"/>
    <w:rsid w:val="00DB2895"/>
    <w:rsid w:val="00DB3181"/>
    <w:rsid w:val="00DB3AFB"/>
    <w:rsid w:val="00DB3B4A"/>
    <w:rsid w:val="00DB3D59"/>
    <w:rsid w:val="00DB662A"/>
    <w:rsid w:val="00DB747A"/>
    <w:rsid w:val="00DC0130"/>
    <w:rsid w:val="00DC01B7"/>
    <w:rsid w:val="00DC246C"/>
    <w:rsid w:val="00DC2FC5"/>
    <w:rsid w:val="00DC3058"/>
    <w:rsid w:val="00DC3C03"/>
    <w:rsid w:val="00DC552B"/>
    <w:rsid w:val="00DC6D8B"/>
    <w:rsid w:val="00DC7D72"/>
    <w:rsid w:val="00DD09AB"/>
    <w:rsid w:val="00DD0AC5"/>
    <w:rsid w:val="00DD1609"/>
    <w:rsid w:val="00DD1BFA"/>
    <w:rsid w:val="00DD2218"/>
    <w:rsid w:val="00DD37EF"/>
    <w:rsid w:val="00DD38EA"/>
    <w:rsid w:val="00DD3E2A"/>
    <w:rsid w:val="00DD4FBC"/>
    <w:rsid w:val="00DD5AA4"/>
    <w:rsid w:val="00DD5C7B"/>
    <w:rsid w:val="00DD5D89"/>
    <w:rsid w:val="00DD7495"/>
    <w:rsid w:val="00DE0A46"/>
    <w:rsid w:val="00DE1781"/>
    <w:rsid w:val="00DE1E38"/>
    <w:rsid w:val="00DE22BF"/>
    <w:rsid w:val="00DE2D41"/>
    <w:rsid w:val="00DE2EF0"/>
    <w:rsid w:val="00DE4DF0"/>
    <w:rsid w:val="00DE52F0"/>
    <w:rsid w:val="00DE5750"/>
    <w:rsid w:val="00DE6828"/>
    <w:rsid w:val="00DE71BA"/>
    <w:rsid w:val="00DE772D"/>
    <w:rsid w:val="00DE77A9"/>
    <w:rsid w:val="00DF03A0"/>
    <w:rsid w:val="00DF09D1"/>
    <w:rsid w:val="00DF0EB3"/>
    <w:rsid w:val="00DF101F"/>
    <w:rsid w:val="00DF2E38"/>
    <w:rsid w:val="00DF351A"/>
    <w:rsid w:val="00DF40C5"/>
    <w:rsid w:val="00DF43C7"/>
    <w:rsid w:val="00DF5323"/>
    <w:rsid w:val="00DF5650"/>
    <w:rsid w:val="00DF589E"/>
    <w:rsid w:val="00DF6845"/>
    <w:rsid w:val="00DF6B8E"/>
    <w:rsid w:val="00DF73F2"/>
    <w:rsid w:val="00DF7800"/>
    <w:rsid w:val="00E0097F"/>
    <w:rsid w:val="00E01227"/>
    <w:rsid w:val="00E0204C"/>
    <w:rsid w:val="00E02738"/>
    <w:rsid w:val="00E03E7E"/>
    <w:rsid w:val="00E0403A"/>
    <w:rsid w:val="00E049D4"/>
    <w:rsid w:val="00E06282"/>
    <w:rsid w:val="00E06C87"/>
    <w:rsid w:val="00E06D94"/>
    <w:rsid w:val="00E06FC9"/>
    <w:rsid w:val="00E07506"/>
    <w:rsid w:val="00E10F11"/>
    <w:rsid w:val="00E11D7E"/>
    <w:rsid w:val="00E12615"/>
    <w:rsid w:val="00E12B57"/>
    <w:rsid w:val="00E13218"/>
    <w:rsid w:val="00E135B6"/>
    <w:rsid w:val="00E14AA5"/>
    <w:rsid w:val="00E164D7"/>
    <w:rsid w:val="00E17ECC"/>
    <w:rsid w:val="00E2037F"/>
    <w:rsid w:val="00E20AE1"/>
    <w:rsid w:val="00E24309"/>
    <w:rsid w:val="00E27209"/>
    <w:rsid w:val="00E27DE2"/>
    <w:rsid w:val="00E30334"/>
    <w:rsid w:val="00E30487"/>
    <w:rsid w:val="00E31B03"/>
    <w:rsid w:val="00E324E9"/>
    <w:rsid w:val="00E343F3"/>
    <w:rsid w:val="00E34DD0"/>
    <w:rsid w:val="00E35749"/>
    <w:rsid w:val="00E358D1"/>
    <w:rsid w:val="00E3704B"/>
    <w:rsid w:val="00E37D60"/>
    <w:rsid w:val="00E40420"/>
    <w:rsid w:val="00E423F5"/>
    <w:rsid w:val="00E42CD3"/>
    <w:rsid w:val="00E42DE1"/>
    <w:rsid w:val="00E434BE"/>
    <w:rsid w:val="00E43B91"/>
    <w:rsid w:val="00E43C6F"/>
    <w:rsid w:val="00E4437C"/>
    <w:rsid w:val="00E450EA"/>
    <w:rsid w:val="00E47177"/>
    <w:rsid w:val="00E47D7F"/>
    <w:rsid w:val="00E52DEA"/>
    <w:rsid w:val="00E530F2"/>
    <w:rsid w:val="00E538F7"/>
    <w:rsid w:val="00E53ED5"/>
    <w:rsid w:val="00E542B1"/>
    <w:rsid w:val="00E542EF"/>
    <w:rsid w:val="00E554E3"/>
    <w:rsid w:val="00E55FE5"/>
    <w:rsid w:val="00E56128"/>
    <w:rsid w:val="00E57116"/>
    <w:rsid w:val="00E57565"/>
    <w:rsid w:val="00E608E2"/>
    <w:rsid w:val="00E613EA"/>
    <w:rsid w:val="00E61FAA"/>
    <w:rsid w:val="00E6247A"/>
    <w:rsid w:val="00E62DAB"/>
    <w:rsid w:val="00E63372"/>
    <w:rsid w:val="00E639EB"/>
    <w:rsid w:val="00E64818"/>
    <w:rsid w:val="00E64A2D"/>
    <w:rsid w:val="00E650BA"/>
    <w:rsid w:val="00E7048D"/>
    <w:rsid w:val="00E71DDE"/>
    <w:rsid w:val="00E72149"/>
    <w:rsid w:val="00E75828"/>
    <w:rsid w:val="00E7594F"/>
    <w:rsid w:val="00E761CE"/>
    <w:rsid w:val="00E7785E"/>
    <w:rsid w:val="00E77AD4"/>
    <w:rsid w:val="00E77B6C"/>
    <w:rsid w:val="00E80013"/>
    <w:rsid w:val="00E81DDB"/>
    <w:rsid w:val="00E8208A"/>
    <w:rsid w:val="00E824B1"/>
    <w:rsid w:val="00E82B2B"/>
    <w:rsid w:val="00E83839"/>
    <w:rsid w:val="00E8385B"/>
    <w:rsid w:val="00E83DCD"/>
    <w:rsid w:val="00E84BED"/>
    <w:rsid w:val="00E84E16"/>
    <w:rsid w:val="00E854FD"/>
    <w:rsid w:val="00E8584B"/>
    <w:rsid w:val="00E86EDC"/>
    <w:rsid w:val="00E90CE6"/>
    <w:rsid w:val="00E94663"/>
    <w:rsid w:val="00E94FC3"/>
    <w:rsid w:val="00E95936"/>
    <w:rsid w:val="00E967BD"/>
    <w:rsid w:val="00E96D51"/>
    <w:rsid w:val="00E9749E"/>
    <w:rsid w:val="00EA0BE7"/>
    <w:rsid w:val="00EA0D84"/>
    <w:rsid w:val="00EA2C0D"/>
    <w:rsid w:val="00EA2F14"/>
    <w:rsid w:val="00EA4370"/>
    <w:rsid w:val="00EA470A"/>
    <w:rsid w:val="00EA607E"/>
    <w:rsid w:val="00EA61F9"/>
    <w:rsid w:val="00EA6BAA"/>
    <w:rsid w:val="00EB214E"/>
    <w:rsid w:val="00EB2644"/>
    <w:rsid w:val="00EB374A"/>
    <w:rsid w:val="00EB483E"/>
    <w:rsid w:val="00EB583F"/>
    <w:rsid w:val="00EB6302"/>
    <w:rsid w:val="00EB64E0"/>
    <w:rsid w:val="00EB7938"/>
    <w:rsid w:val="00EC00EE"/>
    <w:rsid w:val="00EC0277"/>
    <w:rsid w:val="00EC19B9"/>
    <w:rsid w:val="00EC2F44"/>
    <w:rsid w:val="00EC30A5"/>
    <w:rsid w:val="00EC36ED"/>
    <w:rsid w:val="00EC39E6"/>
    <w:rsid w:val="00EC4005"/>
    <w:rsid w:val="00EC44B8"/>
    <w:rsid w:val="00EC56D5"/>
    <w:rsid w:val="00EC6281"/>
    <w:rsid w:val="00EC66BA"/>
    <w:rsid w:val="00EC6D88"/>
    <w:rsid w:val="00ED05D3"/>
    <w:rsid w:val="00ED09E8"/>
    <w:rsid w:val="00ED0B81"/>
    <w:rsid w:val="00ED2627"/>
    <w:rsid w:val="00ED2DC0"/>
    <w:rsid w:val="00ED3688"/>
    <w:rsid w:val="00ED3A67"/>
    <w:rsid w:val="00ED4A4B"/>
    <w:rsid w:val="00ED593E"/>
    <w:rsid w:val="00ED5CA6"/>
    <w:rsid w:val="00ED5D2D"/>
    <w:rsid w:val="00ED6C54"/>
    <w:rsid w:val="00ED7001"/>
    <w:rsid w:val="00ED7E4F"/>
    <w:rsid w:val="00EE1726"/>
    <w:rsid w:val="00EE241D"/>
    <w:rsid w:val="00EE274B"/>
    <w:rsid w:val="00EE2826"/>
    <w:rsid w:val="00EE3C53"/>
    <w:rsid w:val="00EE5B46"/>
    <w:rsid w:val="00EE6111"/>
    <w:rsid w:val="00EE7919"/>
    <w:rsid w:val="00EF16E2"/>
    <w:rsid w:val="00EF1A22"/>
    <w:rsid w:val="00EF2680"/>
    <w:rsid w:val="00EF41CF"/>
    <w:rsid w:val="00EF48BE"/>
    <w:rsid w:val="00EF4984"/>
    <w:rsid w:val="00EF4A76"/>
    <w:rsid w:val="00EF5757"/>
    <w:rsid w:val="00F0094C"/>
    <w:rsid w:val="00F00E91"/>
    <w:rsid w:val="00F0161D"/>
    <w:rsid w:val="00F02B0B"/>
    <w:rsid w:val="00F03010"/>
    <w:rsid w:val="00F04A72"/>
    <w:rsid w:val="00F0500C"/>
    <w:rsid w:val="00F0505E"/>
    <w:rsid w:val="00F05F36"/>
    <w:rsid w:val="00F066B5"/>
    <w:rsid w:val="00F1012E"/>
    <w:rsid w:val="00F11191"/>
    <w:rsid w:val="00F1209A"/>
    <w:rsid w:val="00F1229B"/>
    <w:rsid w:val="00F1382C"/>
    <w:rsid w:val="00F14E71"/>
    <w:rsid w:val="00F14EAE"/>
    <w:rsid w:val="00F15C6B"/>
    <w:rsid w:val="00F1748C"/>
    <w:rsid w:val="00F17C27"/>
    <w:rsid w:val="00F204A9"/>
    <w:rsid w:val="00F234D0"/>
    <w:rsid w:val="00F261F7"/>
    <w:rsid w:val="00F26C1F"/>
    <w:rsid w:val="00F27BDB"/>
    <w:rsid w:val="00F27BF9"/>
    <w:rsid w:val="00F3122E"/>
    <w:rsid w:val="00F325DC"/>
    <w:rsid w:val="00F32733"/>
    <w:rsid w:val="00F33452"/>
    <w:rsid w:val="00F33B6F"/>
    <w:rsid w:val="00F35BA9"/>
    <w:rsid w:val="00F35E89"/>
    <w:rsid w:val="00F3644A"/>
    <w:rsid w:val="00F36B61"/>
    <w:rsid w:val="00F36FA3"/>
    <w:rsid w:val="00F40634"/>
    <w:rsid w:val="00F41B52"/>
    <w:rsid w:val="00F428E6"/>
    <w:rsid w:val="00F43278"/>
    <w:rsid w:val="00F43419"/>
    <w:rsid w:val="00F43A12"/>
    <w:rsid w:val="00F43CE7"/>
    <w:rsid w:val="00F45651"/>
    <w:rsid w:val="00F45FBA"/>
    <w:rsid w:val="00F46376"/>
    <w:rsid w:val="00F50A08"/>
    <w:rsid w:val="00F51B83"/>
    <w:rsid w:val="00F529BB"/>
    <w:rsid w:val="00F53556"/>
    <w:rsid w:val="00F53FE2"/>
    <w:rsid w:val="00F540F9"/>
    <w:rsid w:val="00F547FA"/>
    <w:rsid w:val="00F54AFB"/>
    <w:rsid w:val="00F55D18"/>
    <w:rsid w:val="00F56507"/>
    <w:rsid w:val="00F574CF"/>
    <w:rsid w:val="00F60373"/>
    <w:rsid w:val="00F6040F"/>
    <w:rsid w:val="00F608AD"/>
    <w:rsid w:val="00F61179"/>
    <w:rsid w:val="00F6141B"/>
    <w:rsid w:val="00F624B9"/>
    <w:rsid w:val="00F63119"/>
    <w:rsid w:val="00F63B04"/>
    <w:rsid w:val="00F642BB"/>
    <w:rsid w:val="00F6602C"/>
    <w:rsid w:val="00F661BB"/>
    <w:rsid w:val="00F66A44"/>
    <w:rsid w:val="00F66E2F"/>
    <w:rsid w:val="00F71680"/>
    <w:rsid w:val="00F72623"/>
    <w:rsid w:val="00F72634"/>
    <w:rsid w:val="00F72A23"/>
    <w:rsid w:val="00F73987"/>
    <w:rsid w:val="00F73B5F"/>
    <w:rsid w:val="00F73E4F"/>
    <w:rsid w:val="00F749D8"/>
    <w:rsid w:val="00F75594"/>
    <w:rsid w:val="00F7681C"/>
    <w:rsid w:val="00F773B0"/>
    <w:rsid w:val="00F77417"/>
    <w:rsid w:val="00F80359"/>
    <w:rsid w:val="00F80728"/>
    <w:rsid w:val="00F81306"/>
    <w:rsid w:val="00F8225A"/>
    <w:rsid w:val="00F873A0"/>
    <w:rsid w:val="00F905A7"/>
    <w:rsid w:val="00F90E94"/>
    <w:rsid w:val="00F910E7"/>
    <w:rsid w:val="00F92AA6"/>
    <w:rsid w:val="00F93886"/>
    <w:rsid w:val="00F94EBA"/>
    <w:rsid w:val="00F953EF"/>
    <w:rsid w:val="00F95DD3"/>
    <w:rsid w:val="00F95E52"/>
    <w:rsid w:val="00F97EF7"/>
    <w:rsid w:val="00FA0C9C"/>
    <w:rsid w:val="00FA36B2"/>
    <w:rsid w:val="00FA3CB2"/>
    <w:rsid w:val="00FA50CC"/>
    <w:rsid w:val="00FA6E51"/>
    <w:rsid w:val="00FA6E6E"/>
    <w:rsid w:val="00FA7755"/>
    <w:rsid w:val="00FB1767"/>
    <w:rsid w:val="00FB2016"/>
    <w:rsid w:val="00FB2D04"/>
    <w:rsid w:val="00FB3334"/>
    <w:rsid w:val="00FB462D"/>
    <w:rsid w:val="00FB6383"/>
    <w:rsid w:val="00FB7861"/>
    <w:rsid w:val="00FB7D6A"/>
    <w:rsid w:val="00FC0611"/>
    <w:rsid w:val="00FC1658"/>
    <w:rsid w:val="00FC175C"/>
    <w:rsid w:val="00FC2383"/>
    <w:rsid w:val="00FC27CE"/>
    <w:rsid w:val="00FC2984"/>
    <w:rsid w:val="00FC32C4"/>
    <w:rsid w:val="00FC3AEB"/>
    <w:rsid w:val="00FC3C93"/>
    <w:rsid w:val="00FC416D"/>
    <w:rsid w:val="00FC4F11"/>
    <w:rsid w:val="00FC58E4"/>
    <w:rsid w:val="00FC5974"/>
    <w:rsid w:val="00FC5BAA"/>
    <w:rsid w:val="00FC6624"/>
    <w:rsid w:val="00FC6F29"/>
    <w:rsid w:val="00FC77E9"/>
    <w:rsid w:val="00FD04E9"/>
    <w:rsid w:val="00FD0B3C"/>
    <w:rsid w:val="00FD1C70"/>
    <w:rsid w:val="00FD391F"/>
    <w:rsid w:val="00FD454E"/>
    <w:rsid w:val="00FD51BE"/>
    <w:rsid w:val="00FD6EF8"/>
    <w:rsid w:val="00FD7BBA"/>
    <w:rsid w:val="00FE08D7"/>
    <w:rsid w:val="00FE2497"/>
    <w:rsid w:val="00FE3294"/>
    <w:rsid w:val="00FE4D21"/>
    <w:rsid w:val="00FE6609"/>
    <w:rsid w:val="00FE6E10"/>
    <w:rsid w:val="00FE724E"/>
    <w:rsid w:val="00FE7E5B"/>
    <w:rsid w:val="00FF0677"/>
    <w:rsid w:val="00FF1F12"/>
    <w:rsid w:val="00FF40E5"/>
    <w:rsid w:val="00FF46AD"/>
    <w:rsid w:val="00FF4F72"/>
    <w:rsid w:val="00FF79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B92E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3824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5100B5"/>
    <w:pPr>
      <w:keepNext/>
      <w:spacing w:after="0" w:line="240" w:lineRule="auto"/>
      <w:jc w:val="center"/>
      <w:outlineLvl w:val="2"/>
    </w:pPr>
    <w:rPr>
      <w:rFonts w:ascii="Cambria" w:eastAsia="Times New Roman" w:hAnsi="Cambria" w:cs="Cambria"/>
      <w:b/>
      <w:bCs/>
      <w:sz w:val="26"/>
      <w:szCs w:val="26"/>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1416E"/>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29394F"/>
    <w:pPr>
      <w:ind w:left="720"/>
      <w:contextualSpacing/>
    </w:pPr>
  </w:style>
  <w:style w:type="character" w:styleId="Hipercze">
    <w:name w:val="Hyperlink"/>
    <w:basedOn w:val="Domylnaczcionkaakapitu"/>
    <w:uiPriority w:val="99"/>
    <w:unhideWhenUsed/>
    <w:rsid w:val="002B3633"/>
    <w:rPr>
      <w:color w:val="0000FF" w:themeColor="hyperlink"/>
      <w:u w:val="single"/>
    </w:rPr>
  </w:style>
  <w:style w:type="paragraph" w:styleId="Tekstprzypisudolnego">
    <w:name w:val="footnote text"/>
    <w:basedOn w:val="Normalny"/>
    <w:link w:val="TekstprzypisudolnegoZnak"/>
    <w:uiPriority w:val="99"/>
    <w:unhideWhenUsed/>
    <w:rsid w:val="00644EB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44EBC"/>
    <w:rPr>
      <w:sz w:val="20"/>
      <w:szCs w:val="20"/>
    </w:rPr>
  </w:style>
  <w:style w:type="character" w:styleId="Odwoanieprzypisudolnego">
    <w:name w:val="footnote reference"/>
    <w:basedOn w:val="Domylnaczcionkaakapitu"/>
    <w:uiPriority w:val="99"/>
    <w:semiHidden/>
    <w:unhideWhenUsed/>
    <w:rsid w:val="00644EBC"/>
    <w:rPr>
      <w:vertAlign w:val="superscript"/>
    </w:rPr>
  </w:style>
  <w:style w:type="paragraph" w:styleId="Tekstpodstawowy2">
    <w:name w:val="Body Text 2"/>
    <w:basedOn w:val="Normalny"/>
    <w:link w:val="Tekstpodstawowy2Znak"/>
    <w:rsid w:val="00035373"/>
    <w:pPr>
      <w:spacing w:after="0" w:line="240" w:lineRule="auto"/>
      <w:jc w:val="center"/>
    </w:pPr>
    <w:rPr>
      <w:rFonts w:ascii="Arial" w:eastAsia="Times New Roman" w:hAnsi="Arial" w:cs="Arial"/>
      <w:sz w:val="16"/>
      <w:szCs w:val="16"/>
      <w:lang w:eastAsia="pl-PL"/>
    </w:rPr>
  </w:style>
  <w:style w:type="character" w:customStyle="1" w:styleId="Tekstpodstawowy2Znak">
    <w:name w:val="Tekst podstawowy 2 Znak"/>
    <w:basedOn w:val="Domylnaczcionkaakapitu"/>
    <w:link w:val="Tekstpodstawowy2"/>
    <w:rsid w:val="00035373"/>
    <w:rPr>
      <w:rFonts w:ascii="Arial" w:eastAsia="Times New Roman" w:hAnsi="Arial" w:cs="Arial"/>
      <w:sz w:val="16"/>
      <w:szCs w:val="16"/>
      <w:lang w:eastAsia="pl-PL"/>
    </w:rPr>
  </w:style>
  <w:style w:type="paragraph" w:styleId="Tekstpodstawowy">
    <w:name w:val="Body Text"/>
    <w:basedOn w:val="Normalny"/>
    <w:link w:val="TekstpodstawowyZnak"/>
    <w:rsid w:val="00035373"/>
    <w:pPr>
      <w:widowControl w:val="0"/>
      <w:suppressAutoHyphens/>
      <w:spacing w:after="120" w:line="240" w:lineRule="auto"/>
    </w:pPr>
    <w:rPr>
      <w:rFonts w:ascii="Times New Roman" w:eastAsia="Arial Unicode MS" w:hAnsi="Times New Roman" w:cs="Times New Roman"/>
      <w:sz w:val="24"/>
      <w:szCs w:val="24"/>
      <w:lang w:eastAsia="pl-PL"/>
    </w:rPr>
  </w:style>
  <w:style w:type="character" w:customStyle="1" w:styleId="TekstpodstawowyZnak">
    <w:name w:val="Tekst podstawowy Znak"/>
    <w:basedOn w:val="Domylnaczcionkaakapitu"/>
    <w:link w:val="Tekstpodstawowy"/>
    <w:rsid w:val="00035373"/>
    <w:rPr>
      <w:rFonts w:ascii="Times New Roman" w:eastAsia="Arial Unicode MS"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40F13"/>
    <w:pPr>
      <w:spacing w:after="120" w:line="240" w:lineRule="auto"/>
    </w:pPr>
    <w:rPr>
      <w:rFonts w:ascii="Times New Roman" w:eastAsia="Times New Roman" w:hAnsi="Times New Roman" w:cs="Times New Roman"/>
      <w:sz w:val="16"/>
      <w:szCs w:val="16"/>
      <w:lang w:val="de-DE" w:eastAsia="pl-PL"/>
    </w:rPr>
  </w:style>
  <w:style w:type="character" w:customStyle="1" w:styleId="Tekstpodstawowy3Znak">
    <w:name w:val="Tekst podstawowy 3 Znak"/>
    <w:basedOn w:val="Domylnaczcionkaakapitu"/>
    <w:link w:val="Tekstpodstawowy3"/>
    <w:uiPriority w:val="99"/>
    <w:semiHidden/>
    <w:rsid w:val="00340F13"/>
    <w:rPr>
      <w:rFonts w:ascii="Times New Roman" w:eastAsia="Times New Roman" w:hAnsi="Times New Roman" w:cs="Times New Roman"/>
      <w:sz w:val="16"/>
      <w:szCs w:val="16"/>
      <w:lang w:val="de-DE" w:eastAsia="pl-PL"/>
    </w:rPr>
  </w:style>
  <w:style w:type="paragraph" w:styleId="Tekstdymka">
    <w:name w:val="Balloon Text"/>
    <w:basedOn w:val="Normalny"/>
    <w:link w:val="TekstdymkaZnak"/>
    <w:uiPriority w:val="99"/>
    <w:semiHidden/>
    <w:unhideWhenUsed/>
    <w:rsid w:val="009A6A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6A63"/>
    <w:rPr>
      <w:rFonts w:ascii="Tahoma" w:hAnsi="Tahoma" w:cs="Tahoma"/>
      <w:sz w:val="16"/>
      <w:szCs w:val="16"/>
    </w:rPr>
  </w:style>
  <w:style w:type="paragraph" w:styleId="Nagwek">
    <w:name w:val="header"/>
    <w:basedOn w:val="Normalny"/>
    <w:link w:val="NagwekZnak"/>
    <w:uiPriority w:val="99"/>
    <w:unhideWhenUsed/>
    <w:rsid w:val="00BD0B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0BA7"/>
  </w:style>
  <w:style w:type="paragraph" w:styleId="Stopka">
    <w:name w:val="footer"/>
    <w:basedOn w:val="Normalny"/>
    <w:link w:val="StopkaZnak"/>
    <w:uiPriority w:val="99"/>
    <w:unhideWhenUsed/>
    <w:rsid w:val="00BD0B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0BA7"/>
  </w:style>
  <w:style w:type="table" w:styleId="Tabela-Siatka">
    <w:name w:val="Table Grid"/>
    <w:basedOn w:val="Standardowy"/>
    <w:uiPriority w:val="59"/>
    <w:rsid w:val="0037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F624B9"/>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5100B5"/>
    <w:pPr>
      <w:spacing w:after="120"/>
      <w:ind w:left="283"/>
    </w:pPr>
  </w:style>
  <w:style w:type="character" w:customStyle="1" w:styleId="TekstpodstawowywcityZnak">
    <w:name w:val="Tekst podstawowy wcięty Znak"/>
    <w:basedOn w:val="Domylnaczcionkaakapitu"/>
    <w:link w:val="Tekstpodstawowywcity"/>
    <w:uiPriority w:val="99"/>
    <w:rsid w:val="005100B5"/>
  </w:style>
  <w:style w:type="character" w:customStyle="1" w:styleId="Nagwek3Znak">
    <w:name w:val="Nagłówek 3 Znak"/>
    <w:basedOn w:val="Domylnaczcionkaakapitu"/>
    <w:link w:val="Nagwek3"/>
    <w:uiPriority w:val="9"/>
    <w:rsid w:val="005100B5"/>
    <w:rPr>
      <w:rFonts w:ascii="Cambria" w:eastAsia="Times New Roman" w:hAnsi="Cambria" w:cs="Cambria"/>
      <w:b/>
      <w:bCs/>
      <w:sz w:val="26"/>
      <w:szCs w:val="26"/>
      <w:lang w:val="de-DE" w:eastAsia="pl-PL"/>
    </w:rPr>
  </w:style>
  <w:style w:type="paragraph" w:styleId="Legenda">
    <w:name w:val="caption"/>
    <w:basedOn w:val="Normalny"/>
    <w:next w:val="Normalny"/>
    <w:uiPriority w:val="99"/>
    <w:qFormat/>
    <w:rsid w:val="005100B5"/>
    <w:pPr>
      <w:spacing w:after="0" w:line="240" w:lineRule="auto"/>
    </w:pPr>
    <w:rPr>
      <w:rFonts w:ascii="Times New Roman" w:eastAsia="Times New Roman" w:hAnsi="Times New Roman" w:cs="Times New Roman"/>
      <w:i/>
      <w:iCs/>
      <w:sz w:val="18"/>
      <w:szCs w:val="18"/>
      <w:lang w:eastAsia="pl-PL"/>
    </w:rPr>
  </w:style>
  <w:style w:type="character" w:customStyle="1" w:styleId="Nagwek2Znak">
    <w:name w:val="Nagłówek 2 Znak"/>
    <w:basedOn w:val="Domylnaczcionkaakapitu"/>
    <w:link w:val="Nagwek2"/>
    <w:uiPriority w:val="9"/>
    <w:semiHidden/>
    <w:rsid w:val="00382496"/>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A44C67"/>
    <w:pPr>
      <w:spacing w:after="0" w:line="240" w:lineRule="auto"/>
    </w:pPr>
  </w:style>
  <w:style w:type="character" w:styleId="Odwoaniedokomentarza">
    <w:name w:val="annotation reference"/>
    <w:basedOn w:val="Domylnaczcionkaakapitu"/>
    <w:uiPriority w:val="99"/>
    <w:semiHidden/>
    <w:unhideWhenUsed/>
    <w:rsid w:val="00D5590D"/>
    <w:rPr>
      <w:sz w:val="16"/>
      <w:szCs w:val="16"/>
    </w:rPr>
  </w:style>
  <w:style w:type="paragraph" w:styleId="Tekstkomentarza">
    <w:name w:val="annotation text"/>
    <w:basedOn w:val="Normalny"/>
    <w:link w:val="TekstkomentarzaZnak"/>
    <w:uiPriority w:val="99"/>
    <w:semiHidden/>
    <w:unhideWhenUsed/>
    <w:rsid w:val="00D559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5590D"/>
    <w:rPr>
      <w:sz w:val="20"/>
      <w:szCs w:val="20"/>
    </w:rPr>
  </w:style>
  <w:style w:type="paragraph" w:styleId="Tematkomentarza">
    <w:name w:val="annotation subject"/>
    <w:basedOn w:val="Tekstkomentarza"/>
    <w:next w:val="Tekstkomentarza"/>
    <w:link w:val="TematkomentarzaZnak"/>
    <w:uiPriority w:val="99"/>
    <w:semiHidden/>
    <w:unhideWhenUsed/>
    <w:rsid w:val="00D5590D"/>
    <w:rPr>
      <w:b/>
      <w:bCs/>
    </w:rPr>
  </w:style>
  <w:style w:type="character" w:customStyle="1" w:styleId="TematkomentarzaZnak">
    <w:name w:val="Temat komentarza Znak"/>
    <w:basedOn w:val="TekstkomentarzaZnak"/>
    <w:link w:val="Tematkomentarza"/>
    <w:uiPriority w:val="99"/>
    <w:semiHidden/>
    <w:rsid w:val="00D5590D"/>
    <w:rPr>
      <w:b/>
      <w:bCs/>
      <w:sz w:val="20"/>
      <w:szCs w:val="20"/>
    </w:rPr>
  </w:style>
  <w:style w:type="character" w:customStyle="1" w:styleId="Nagwek1Znak">
    <w:name w:val="Nagłówek 1 Znak"/>
    <w:basedOn w:val="Domylnaczcionkaakapitu"/>
    <w:link w:val="Nagwek1"/>
    <w:uiPriority w:val="9"/>
    <w:rsid w:val="00B92E45"/>
    <w:rPr>
      <w:rFonts w:asciiTheme="majorHAnsi" w:eastAsiaTheme="majorEastAsia" w:hAnsiTheme="majorHAnsi" w:cstheme="majorBidi"/>
      <w:b/>
      <w:bCs/>
      <w:color w:val="365F91" w:themeColor="accent1" w:themeShade="BF"/>
      <w:sz w:val="28"/>
      <w:szCs w:val="28"/>
    </w:rPr>
  </w:style>
  <w:style w:type="table" w:styleId="Jasnasiatkaakcent3">
    <w:name w:val="Light Grid Accent 3"/>
    <w:basedOn w:val="Standardowy"/>
    <w:uiPriority w:val="62"/>
    <w:rsid w:val="00B92E4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Spistreci1">
    <w:name w:val="toc 1"/>
    <w:basedOn w:val="Normalny"/>
    <w:next w:val="Normalny"/>
    <w:autoRedefine/>
    <w:uiPriority w:val="39"/>
    <w:unhideWhenUsed/>
    <w:rsid w:val="004C556B"/>
    <w:pPr>
      <w:tabs>
        <w:tab w:val="right" w:leader="dot" w:pos="9060"/>
      </w:tabs>
      <w:spacing w:after="100"/>
    </w:pPr>
    <w:rPr>
      <w:rFonts w:ascii="Times New Roman" w:hAnsi="Times New Roman" w:cs="Times New Roman"/>
      <w:b/>
      <w:bCs/>
      <w:caps/>
      <w:noProo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paragraph" w:styleId="Tekstprzypisukocowego">
    <w:name w:val="endnote text"/>
    <w:basedOn w:val="Normalny"/>
    <w:link w:val="TekstprzypisukocowegoZnak"/>
    <w:uiPriority w:val="99"/>
    <w:semiHidden/>
    <w:unhideWhenUsed/>
    <w:rsid w:val="001759E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759E1"/>
    <w:rPr>
      <w:sz w:val="20"/>
      <w:szCs w:val="20"/>
    </w:rPr>
  </w:style>
  <w:style w:type="character" w:styleId="Odwoanieprzypisukocowego">
    <w:name w:val="endnote reference"/>
    <w:basedOn w:val="Domylnaczcionkaakapitu"/>
    <w:uiPriority w:val="99"/>
    <w:semiHidden/>
    <w:unhideWhenUsed/>
    <w:rsid w:val="001759E1"/>
    <w:rPr>
      <w:vertAlign w:val="superscript"/>
    </w:rPr>
  </w:style>
  <w:style w:type="paragraph" w:styleId="Nagwekspisutreci">
    <w:name w:val="TOC Heading"/>
    <w:basedOn w:val="Nagwek1"/>
    <w:next w:val="Normalny"/>
    <w:uiPriority w:val="39"/>
    <w:semiHidden/>
    <w:unhideWhenUsed/>
    <w:qFormat/>
    <w:rsid w:val="001F59FA"/>
    <w:pPr>
      <w:outlineLvl w:val="9"/>
    </w:pPr>
    <w:rPr>
      <w:lang w:eastAsia="pl-PL"/>
    </w:rPr>
  </w:style>
  <w:style w:type="paragraph" w:styleId="Spistreci2">
    <w:name w:val="toc 2"/>
    <w:basedOn w:val="Normalny"/>
    <w:next w:val="Normalny"/>
    <w:autoRedefine/>
    <w:uiPriority w:val="39"/>
    <w:unhideWhenUsed/>
    <w:rsid w:val="00DA7030"/>
    <w:pPr>
      <w:tabs>
        <w:tab w:val="right" w:leader="dot" w:pos="9060"/>
      </w:tabs>
      <w:spacing w:after="100"/>
      <w:ind w:left="220"/>
    </w:pPr>
    <w:rPr>
      <w:rFonts w:cs="Times New Roman"/>
      <w:b/>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paragraph" w:styleId="Spistreci3">
    <w:name w:val="toc 3"/>
    <w:basedOn w:val="Normalny"/>
    <w:next w:val="Normalny"/>
    <w:autoRedefine/>
    <w:uiPriority w:val="39"/>
    <w:unhideWhenUsed/>
    <w:rsid w:val="000773D3"/>
    <w:pPr>
      <w:tabs>
        <w:tab w:val="right" w:leader="dot" w:pos="9060"/>
      </w:tabs>
      <w:spacing w:after="100"/>
    </w:pPr>
    <w:rPr>
      <w:rFonts w:ascii="Times New Roman" w:hAnsi="Times New Roman" w:cs="Times New Roman"/>
      <w:b/>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B92E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3824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5100B5"/>
    <w:pPr>
      <w:keepNext/>
      <w:spacing w:after="0" w:line="240" w:lineRule="auto"/>
      <w:jc w:val="center"/>
      <w:outlineLvl w:val="2"/>
    </w:pPr>
    <w:rPr>
      <w:rFonts w:ascii="Cambria" w:eastAsia="Times New Roman" w:hAnsi="Cambria" w:cs="Cambria"/>
      <w:b/>
      <w:bCs/>
      <w:sz w:val="26"/>
      <w:szCs w:val="26"/>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1416E"/>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29394F"/>
    <w:pPr>
      <w:ind w:left="720"/>
      <w:contextualSpacing/>
    </w:pPr>
  </w:style>
  <w:style w:type="character" w:styleId="Hipercze">
    <w:name w:val="Hyperlink"/>
    <w:basedOn w:val="Domylnaczcionkaakapitu"/>
    <w:uiPriority w:val="99"/>
    <w:unhideWhenUsed/>
    <w:rsid w:val="002B3633"/>
    <w:rPr>
      <w:color w:val="0000FF" w:themeColor="hyperlink"/>
      <w:u w:val="single"/>
    </w:rPr>
  </w:style>
  <w:style w:type="paragraph" w:styleId="Tekstprzypisudolnego">
    <w:name w:val="footnote text"/>
    <w:basedOn w:val="Normalny"/>
    <w:link w:val="TekstprzypisudolnegoZnak"/>
    <w:uiPriority w:val="99"/>
    <w:unhideWhenUsed/>
    <w:rsid w:val="00644EB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44EBC"/>
    <w:rPr>
      <w:sz w:val="20"/>
      <w:szCs w:val="20"/>
    </w:rPr>
  </w:style>
  <w:style w:type="character" w:styleId="Odwoanieprzypisudolnego">
    <w:name w:val="footnote reference"/>
    <w:basedOn w:val="Domylnaczcionkaakapitu"/>
    <w:uiPriority w:val="99"/>
    <w:semiHidden/>
    <w:unhideWhenUsed/>
    <w:rsid w:val="00644EBC"/>
    <w:rPr>
      <w:vertAlign w:val="superscript"/>
    </w:rPr>
  </w:style>
  <w:style w:type="paragraph" w:styleId="Tekstpodstawowy2">
    <w:name w:val="Body Text 2"/>
    <w:basedOn w:val="Normalny"/>
    <w:link w:val="Tekstpodstawowy2Znak"/>
    <w:rsid w:val="00035373"/>
    <w:pPr>
      <w:spacing w:after="0" w:line="240" w:lineRule="auto"/>
      <w:jc w:val="center"/>
    </w:pPr>
    <w:rPr>
      <w:rFonts w:ascii="Arial" w:eastAsia="Times New Roman" w:hAnsi="Arial" w:cs="Arial"/>
      <w:sz w:val="16"/>
      <w:szCs w:val="16"/>
      <w:lang w:eastAsia="pl-PL"/>
    </w:rPr>
  </w:style>
  <w:style w:type="character" w:customStyle="1" w:styleId="Tekstpodstawowy2Znak">
    <w:name w:val="Tekst podstawowy 2 Znak"/>
    <w:basedOn w:val="Domylnaczcionkaakapitu"/>
    <w:link w:val="Tekstpodstawowy2"/>
    <w:rsid w:val="00035373"/>
    <w:rPr>
      <w:rFonts w:ascii="Arial" w:eastAsia="Times New Roman" w:hAnsi="Arial" w:cs="Arial"/>
      <w:sz w:val="16"/>
      <w:szCs w:val="16"/>
      <w:lang w:eastAsia="pl-PL"/>
    </w:rPr>
  </w:style>
  <w:style w:type="paragraph" w:styleId="Tekstpodstawowy">
    <w:name w:val="Body Text"/>
    <w:basedOn w:val="Normalny"/>
    <w:link w:val="TekstpodstawowyZnak"/>
    <w:rsid w:val="00035373"/>
    <w:pPr>
      <w:widowControl w:val="0"/>
      <w:suppressAutoHyphens/>
      <w:spacing w:after="120" w:line="240" w:lineRule="auto"/>
    </w:pPr>
    <w:rPr>
      <w:rFonts w:ascii="Times New Roman" w:eastAsia="Arial Unicode MS" w:hAnsi="Times New Roman" w:cs="Times New Roman"/>
      <w:sz w:val="24"/>
      <w:szCs w:val="24"/>
      <w:lang w:eastAsia="pl-PL"/>
    </w:rPr>
  </w:style>
  <w:style w:type="character" w:customStyle="1" w:styleId="TekstpodstawowyZnak">
    <w:name w:val="Tekst podstawowy Znak"/>
    <w:basedOn w:val="Domylnaczcionkaakapitu"/>
    <w:link w:val="Tekstpodstawowy"/>
    <w:rsid w:val="00035373"/>
    <w:rPr>
      <w:rFonts w:ascii="Times New Roman" w:eastAsia="Arial Unicode MS"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40F13"/>
    <w:pPr>
      <w:spacing w:after="120" w:line="240" w:lineRule="auto"/>
    </w:pPr>
    <w:rPr>
      <w:rFonts w:ascii="Times New Roman" w:eastAsia="Times New Roman" w:hAnsi="Times New Roman" w:cs="Times New Roman"/>
      <w:sz w:val="16"/>
      <w:szCs w:val="16"/>
      <w:lang w:val="de-DE" w:eastAsia="pl-PL"/>
    </w:rPr>
  </w:style>
  <w:style w:type="character" w:customStyle="1" w:styleId="Tekstpodstawowy3Znak">
    <w:name w:val="Tekst podstawowy 3 Znak"/>
    <w:basedOn w:val="Domylnaczcionkaakapitu"/>
    <w:link w:val="Tekstpodstawowy3"/>
    <w:uiPriority w:val="99"/>
    <w:semiHidden/>
    <w:rsid w:val="00340F13"/>
    <w:rPr>
      <w:rFonts w:ascii="Times New Roman" w:eastAsia="Times New Roman" w:hAnsi="Times New Roman" w:cs="Times New Roman"/>
      <w:sz w:val="16"/>
      <w:szCs w:val="16"/>
      <w:lang w:val="de-DE" w:eastAsia="pl-PL"/>
    </w:rPr>
  </w:style>
  <w:style w:type="paragraph" w:styleId="Tekstdymka">
    <w:name w:val="Balloon Text"/>
    <w:basedOn w:val="Normalny"/>
    <w:link w:val="TekstdymkaZnak"/>
    <w:uiPriority w:val="99"/>
    <w:semiHidden/>
    <w:unhideWhenUsed/>
    <w:rsid w:val="009A6A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6A63"/>
    <w:rPr>
      <w:rFonts w:ascii="Tahoma" w:hAnsi="Tahoma" w:cs="Tahoma"/>
      <w:sz w:val="16"/>
      <w:szCs w:val="16"/>
    </w:rPr>
  </w:style>
  <w:style w:type="paragraph" w:styleId="Nagwek">
    <w:name w:val="header"/>
    <w:basedOn w:val="Normalny"/>
    <w:link w:val="NagwekZnak"/>
    <w:uiPriority w:val="99"/>
    <w:unhideWhenUsed/>
    <w:rsid w:val="00BD0B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0BA7"/>
  </w:style>
  <w:style w:type="paragraph" w:styleId="Stopka">
    <w:name w:val="footer"/>
    <w:basedOn w:val="Normalny"/>
    <w:link w:val="StopkaZnak"/>
    <w:uiPriority w:val="99"/>
    <w:unhideWhenUsed/>
    <w:rsid w:val="00BD0B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0BA7"/>
  </w:style>
  <w:style w:type="table" w:styleId="Tabela-Siatka">
    <w:name w:val="Table Grid"/>
    <w:basedOn w:val="Standardowy"/>
    <w:uiPriority w:val="59"/>
    <w:rsid w:val="0037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F624B9"/>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5100B5"/>
    <w:pPr>
      <w:spacing w:after="120"/>
      <w:ind w:left="283"/>
    </w:pPr>
  </w:style>
  <w:style w:type="character" w:customStyle="1" w:styleId="TekstpodstawowywcityZnak">
    <w:name w:val="Tekst podstawowy wcięty Znak"/>
    <w:basedOn w:val="Domylnaczcionkaakapitu"/>
    <w:link w:val="Tekstpodstawowywcity"/>
    <w:uiPriority w:val="99"/>
    <w:rsid w:val="005100B5"/>
  </w:style>
  <w:style w:type="character" w:customStyle="1" w:styleId="Nagwek3Znak">
    <w:name w:val="Nagłówek 3 Znak"/>
    <w:basedOn w:val="Domylnaczcionkaakapitu"/>
    <w:link w:val="Nagwek3"/>
    <w:uiPriority w:val="9"/>
    <w:rsid w:val="005100B5"/>
    <w:rPr>
      <w:rFonts w:ascii="Cambria" w:eastAsia="Times New Roman" w:hAnsi="Cambria" w:cs="Cambria"/>
      <w:b/>
      <w:bCs/>
      <w:sz w:val="26"/>
      <w:szCs w:val="26"/>
      <w:lang w:val="de-DE" w:eastAsia="pl-PL"/>
    </w:rPr>
  </w:style>
  <w:style w:type="paragraph" w:styleId="Legenda">
    <w:name w:val="caption"/>
    <w:basedOn w:val="Normalny"/>
    <w:next w:val="Normalny"/>
    <w:uiPriority w:val="99"/>
    <w:qFormat/>
    <w:rsid w:val="005100B5"/>
    <w:pPr>
      <w:spacing w:after="0" w:line="240" w:lineRule="auto"/>
    </w:pPr>
    <w:rPr>
      <w:rFonts w:ascii="Times New Roman" w:eastAsia="Times New Roman" w:hAnsi="Times New Roman" w:cs="Times New Roman"/>
      <w:i/>
      <w:iCs/>
      <w:sz w:val="18"/>
      <w:szCs w:val="18"/>
      <w:lang w:eastAsia="pl-PL"/>
    </w:rPr>
  </w:style>
  <w:style w:type="character" w:customStyle="1" w:styleId="Nagwek2Znak">
    <w:name w:val="Nagłówek 2 Znak"/>
    <w:basedOn w:val="Domylnaczcionkaakapitu"/>
    <w:link w:val="Nagwek2"/>
    <w:uiPriority w:val="9"/>
    <w:semiHidden/>
    <w:rsid w:val="00382496"/>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A44C67"/>
    <w:pPr>
      <w:spacing w:after="0" w:line="240" w:lineRule="auto"/>
    </w:pPr>
  </w:style>
  <w:style w:type="character" w:styleId="Odwoaniedokomentarza">
    <w:name w:val="annotation reference"/>
    <w:basedOn w:val="Domylnaczcionkaakapitu"/>
    <w:uiPriority w:val="99"/>
    <w:semiHidden/>
    <w:unhideWhenUsed/>
    <w:rsid w:val="00D5590D"/>
    <w:rPr>
      <w:sz w:val="16"/>
      <w:szCs w:val="16"/>
    </w:rPr>
  </w:style>
  <w:style w:type="paragraph" w:styleId="Tekstkomentarza">
    <w:name w:val="annotation text"/>
    <w:basedOn w:val="Normalny"/>
    <w:link w:val="TekstkomentarzaZnak"/>
    <w:uiPriority w:val="99"/>
    <w:semiHidden/>
    <w:unhideWhenUsed/>
    <w:rsid w:val="00D559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5590D"/>
    <w:rPr>
      <w:sz w:val="20"/>
      <w:szCs w:val="20"/>
    </w:rPr>
  </w:style>
  <w:style w:type="paragraph" w:styleId="Tematkomentarza">
    <w:name w:val="annotation subject"/>
    <w:basedOn w:val="Tekstkomentarza"/>
    <w:next w:val="Tekstkomentarza"/>
    <w:link w:val="TematkomentarzaZnak"/>
    <w:uiPriority w:val="99"/>
    <w:semiHidden/>
    <w:unhideWhenUsed/>
    <w:rsid w:val="00D5590D"/>
    <w:rPr>
      <w:b/>
      <w:bCs/>
    </w:rPr>
  </w:style>
  <w:style w:type="character" w:customStyle="1" w:styleId="TematkomentarzaZnak">
    <w:name w:val="Temat komentarza Znak"/>
    <w:basedOn w:val="TekstkomentarzaZnak"/>
    <w:link w:val="Tematkomentarza"/>
    <w:uiPriority w:val="99"/>
    <w:semiHidden/>
    <w:rsid w:val="00D5590D"/>
    <w:rPr>
      <w:b/>
      <w:bCs/>
      <w:sz w:val="20"/>
      <w:szCs w:val="20"/>
    </w:rPr>
  </w:style>
  <w:style w:type="character" w:customStyle="1" w:styleId="Nagwek1Znak">
    <w:name w:val="Nagłówek 1 Znak"/>
    <w:basedOn w:val="Domylnaczcionkaakapitu"/>
    <w:link w:val="Nagwek1"/>
    <w:uiPriority w:val="9"/>
    <w:rsid w:val="00B92E45"/>
    <w:rPr>
      <w:rFonts w:asciiTheme="majorHAnsi" w:eastAsiaTheme="majorEastAsia" w:hAnsiTheme="majorHAnsi" w:cstheme="majorBidi"/>
      <w:b/>
      <w:bCs/>
      <w:color w:val="365F91" w:themeColor="accent1" w:themeShade="BF"/>
      <w:sz w:val="28"/>
      <w:szCs w:val="28"/>
    </w:rPr>
  </w:style>
  <w:style w:type="table" w:styleId="Jasnasiatkaakcent3">
    <w:name w:val="Light Grid Accent 3"/>
    <w:basedOn w:val="Standardowy"/>
    <w:uiPriority w:val="62"/>
    <w:rsid w:val="00B92E4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Spistreci1">
    <w:name w:val="toc 1"/>
    <w:basedOn w:val="Normalny"/>
    <w:next w:val="Normalny"/>
    <w:autoRedefine/>
    <w:uiPriority w:val="39"/>
    <w:unhideWhenUsed/>
    <w:rsid w:val="004C556B"/>
    <w:pPr>
      <w:tabs>
        <w:tab w:val="right" w:leader="dot" w:pos="9060"/>
      </w:tabs>
      <w:spacing w:after="100"/>
    </w:pPr>
    <w:rPr>
      <w:rFonts w:ascii="Times New Roman" w:hAnsi="Times New Roman" w:cs="Times New Roman"/>
      <w:b/>
      <w:bCs/>
      <w:caps/>
      <w:noProo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paragraph" w:styleId="Tekstprzypisukocowego">
    <w:name w:val="endnote text"/>
    <w:basedOn w:val="Normalny"/>
    <w:link w:val="TekstprzypisukocowegoZnak"/>
    <w:uiPriority w:val="99"/>
    <w:semiHidden/>
    <w:unhideWhenUsed/>
    <w:rsid w:val="001759E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759E1"/>
    <w:rPr>
      <w:sz w:val="20"/>
      <w:szCs w:val="20"/>
    </w:rPr>
  </w:style>
  <w:style w:type="character" w:styleId="Odwoanieprzypisukocowego">
    <w:name w:val="endnote reference"/>
    <w:basedOn w:val="Domylnaczcionkaakapitu"/>
    <w:uiPriority w:val="99"/>
    <w:semiHidden/>
    <w:unhideWhenUsed/>
    <w:rsid w:val="001759E1"/>
    <w:rPr>
      <w:vertAlign w:val="superscript"/>
    </w:rPr>
  </w:style>
  <w:style w:type="paragraph" w:styleId="Nagwekspisutreci">
    <w:name w:val="TOC Heading"/>
    <w:basedOn w:val="Nagwek1"/>
    <w:next w:val="Normalny"/>
    <w:uiPriority w:val="39"/>
    <w:semiHidden/>
    <w:unhideWhenUsed/>
    <w:qFormat/>
    <w:rsid w:val="001F59FA"/>
    <w:pPr>
      <w:outlineLvl w:val="9"/>
    </w:pPr>
    <w:rPr>
      <w:lang w:eastAsia="pl-PL"/>
    </w:rPr>
  </w:style>
  <w:style w:type="paragraph" w:styleId="Spistreci2">
    <w:name w:val="toc 2"/>
    <w:basedOn w:val="Normalny"/>
    <w:next w:val="Normalny"/>
    <w:autoRedefine/>
    <w:uiPriority w:val="39"/>
    <w:unhideWhenUsed/>
    <w:rsid w:val="00DA7030"/>
    <w:pPr>
      <w:tabs>
        <w:tab w:val="right" w:leader="dot" w:pos="9060"/>
      </w:tabs>
      <w:spacing w:after="100"/>
      <w:ind w:left="220"/>
    </w:pPr>
    <w:rPr>
      <w:rFonts w:cs="Times New Roman"/>
      <w:b/>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paragraph" w:styleId="Spistreci3">
    <w:name w:val="toc 3"/>
    <w:basedOn w:val="Normalny"/>
    <w:next w:val="Normalny"/>
    <w:autoRedefine/>
    <w:uiPriority w:val="39"/>
    <w:unhideWhenUsed/>
    <w:rsid w:val="000773D3"/>
    <w:pPr>
      <w:tabs>
        <w:tab w:val="right" w:leader="dot" w:pos="9060"/>
      </w:tabs>
      <w:spacing w:after="100"/>
    </w:pPr>
    <w:rPr>
      <w:rFonts w:ascii="Times New Roman" w:hAnsi="Times New Roman" w:cs="Times New Roman"/>
      <w:b/>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103">
      <w:bodyDiv w:val="1"/>
      <w:marLeft w:val="0"/>
      <w:marRight w:val="0"/>
      <w:marTop w:val="0"/>
      <w:marBottom w:val="0"/>
      <w:divBdr>
        <w:top w:val="none" w:sz="0" w:space="0" w:color="auto"/>
        <w:left w:val="none" w:sz="0" w:space="0" w:color="auto"/>
        <w:bottom w:val="none" w:sz="0" w:space="0" w:color="auto"/>
        <w:right w:val="none" w:sz="0" w:space="0" w:color="auto"/>
      </w:divBdr>
    </w:div>
    <w:div w:id="15422257">
      <w:bodyDiv w:val="1"/>
      <w:marLeft w:val="0"/>
      <w:marRight w:val="0"/>
      <w:marTop w:val="0"/>
      <w:marBottom w:val="0"/>
      <w:divBdr>
        <w:top w:val="none" w:sz="0" w:space="0" w:color="auto"/>
        <w:left w:val="none" w:sz="0" w:space="0" w:color="auto"/>
        <w:bottom w:val="none" w:sz="0" w:space="0" w:color="auto"/>
        <w:right w:val="none" w:sz="0" w:space="0" w:color="auto"/>
      </w:divBdr>
    </w:div>
    <w:div w:id="42488151">
      <w:bodyDiv w:val="1"/>
      <w:marLeft w:val="0"/>
      <w:marRight w:val="0"/>
      <w:marTop w:val="0"/>
      <w:marBottom w:val="0"/>
      <w:divBdr>
        <w:top w:val="none" w:sz="0" w:space="0" w:color="auto"/>
        <w:left w:val="none" w:sz="0" w:space="0" w:color="auto"/>
        <w:bottom w:val="none" w:sz="0" w:space="0" w:color="auto"/>
        <w:right w:val="none" w:sz="0" w:space="0" w:color="auto"/>
      </w:divBdr>
    </w:div>
    <w:div w:id="60489789">
      <w:bodyDiv w:val="1"/>
      <w:marLeft w:val="0"/>
      <w:marRight w:val="0"/>
      <w:marTop w:val="0"/>
      <w:marBottom w:val="0"/>
      <w:divBdr>
        <w:top w:val="none" w:sz="0" w:space="0" w:color="auto"/>
        <w:left w:val="none" w:sz="0" w:space="0" w:color="auto"/>
        <w:bottom w:val="none" w:sz="0" w:space="0" w:color="auto"/>
        <w:right w:val="none" w:sz="0" w:space="0" w:color="auto"/>
      </w:divBdr>
    </w:div>
    <w:div w:id="64769281">
      <w:bodyDiv w:val="1"/>
      <w:marLeft w:val="0"/>
      <w:marRight w:val="0"/>
      <w:marTop w:val="0"/>
      <w:marBottom w:val="0"/>
      <w:divBdr>
        <w:top w:val="none" w:sz="0" w:space="0" w:color="auto"/>
        <w:left w:val="none" w:sz="0" w:space="0" w:color="auto"/>
        <w:bottom w:val="none" w:sz="0" w:space="0" w:color="auto"/>
        <w:right w:val="none" w:sz="0" w:space="0" w:color="auto"/>
      </w:divBdr>
    </w:div>
    <w:div w:id="65148266">
      <w:bodyDiv w:val="1"/>
      <w:marLeft w:val="0"/>
      <w:marRight w:val="0"/>
      <w:marTop w:val="0"/>
      <w:marBottom w:val="0"/>
      <w:divBdr>
        <w:top w:val="none" w:sz="0" w:space="0" w:color="auto"/>
        <w:left w:val="none" w:sz="0" w:space="0" w:color="auto"/>
        <w:bottom w:val="none" w:sz="0" w:space="0" w:color="auto"/>
        <w:right w:val="none" w:sz="0" w:space="0" w:color="auto"/>
      </w:divBdr>
    </w:div>
    <w:div w:id="65736190">
      <w:bodyDiv w:val="1"/>
      <w:marLeft w:val="0"/>
      <w:marRight w:val="0"/>
      <w:marTop w:val="0"/>
      <w:marBottom w:val="0"/>
      <w:divBdr>
        <w:top w:val="none" w:sz="0" w:space="0" w:color="auto"/>
        <w:left w:val="none" w:sz="0" w:space="0" w:color="auto"/>
        <w:bottom w:val="none" w:sz="0" w:space="0" w:color="auto"/>
        <w:right w:val="none" w:sz="0" w:space="0" w:color="auto"/>
      </w:divBdr>
    </w:div>
    <w:div w:id="67071372">
      <w:bodyDiv w:val="1"/>
      <w:marLeft w:val="0"/>
      <w:marRight w:val="0"/>
      <w:marTop w:val="0"/>
      <w:marBottom w:val="0"/>
      <w:divBdr>
        <w:top w:val="none" w:sz="0" w:space="0" w:color="auto"/>
        <w:left w:val="none" w:sz="0" w:space="0" w:color="auto"/>
        <w:bottom w:val="none" w:sz="0" w:space="0" w:color="auto"/>
        <w:right w:val="none" w:sz="0" w:space="0" w:color="auto"/>
      </w:divBdr>
    </w:div>
    <w:div w:id="119497678">
      <w:bodyDiv w:val="1"/>
      <w:marLeft w:val="0"/>
      <w:marRight w:val="0"/>
      <w:marTop w:val="0"/>
      <w:marBottom w:val="0"/>
      <w:divBdr>
        <w:top w:val="none" w:sz="0" w:space="0" w:color="auto"/>
        <w:left w:val="none" w:sz="0" w:space="0" w:color="auto"/>
        <w:bottom w:val="none" w:sz="0" w:space="0" w:color="auto"/>
        <w:right w:val="none" w:sz="0" w:space="0" w:color="auto"/>
      </w:divBdr>
    </w:div>
    <w:div w:id="121534082">
      <w:bodyDiv w:val="1"/>
      <w:marLeft w:val="0"/>
      <w:marRight w:val="0"/>
      <w:marTop w:val="0"/>
      <w:marBottom w:val="0"/>
      <w:divBdr>
        <w:top w:val="none" w:sz="0" w:space="0" w:color="auto"/>
        <w:left w:val="none" w:sz="0" w:space="0" w:color="auto"/>
        <w:bottom w:val="none" w:sz="0" w:space="0" w:color="auto"/>
        <w:right w:val="none" w:sz="0" w:space="0" w:color="auto"/>
      </w:divBdr>
    </w:div>
    <w:div w:id="128592865">
      <w:bodyDiv w:val="1"/>
      <w:marLeft w:val="0"/>
      <w:marRight w:val="0"/>
      <w:marTop w:val="0"/>
      <w:marBottom w:val="0"/>
      <w:divBdr>
        <w:top w:val="none" w:sz="0" w:space="0" w:color="auto"/>
        <w:left w:val="none" w:sz="0" w:space="0" w:color="auto"/>
        <w:bottom w:val="none" w:sz="0" w:space="0" w:color="auto"/>
        <w:right w:val="none" w:sz="0" w:space="0" w:color="auto"/>
      </w:divBdr>
    </w:div>
    <w:div w:id="129440879">
      <w:bodyDiv w:val="1"/>
      <w:marLeft w:val="0"/>
      <w:marRight w:val="0"/>
      <w:marTop w:val="0"/>
      <w:marBottom w:val="0"/>
      <w:divBdr>
        <w:top w:val="none" w:sz="0" w:space="0" w:color="auto"/>
        <w:left w:val="none" w:sz="0" w:space="0" w:color="auto"/>
        <w:bottom w:val="none" w:sz="0" w:space="0" w:color="auto"/>
        <w:right w:val="none" w:sz="0" w:space="0" w:color="auto"/>
      </w:divBdr>
    </w:div>
    <w:div w:id="140968247">
      <w:bodyDiv w:val="1"/>
      <w:marLeft w:val="0"/>
      <w:marRight w:val="0"/>
      <w:marTop w:val="0"/>
      <w:marBottom w:val="0"/>
      <w:divBdr>
        <w:top w:val="none" w:sz="0" w:space="0" w:color="auto"/>
        <w:left w:val="none" w:sz="0" w:space="0" w:color="auto"/>
        <w:bottom w:val="none" w:sz="0" w:space="0" w:color="auto"/>
        <w:right w:val="none" w:sz="0" w:space="0" w:color="auto"/>
      </w:divBdr>
    </w:div>
    <w:div w:id="154298318">
      <w:bodyDiv w:val="1"/>
      <w:marLeft w:val="0"/>
      <w:marRight w:val="0"/>
      <w:marTop w:val="0"/>
      <w:marBottom w:val="0"/>
      <w:divBdr>
        <w:top w:val="none" w:sz="0" w:space="0" w:color="auto"/>
        <w:left w:val="none" w:sz="0" w:space="0" w:color="auto"/>
        <w:bottom w:val="none" w:sz="0" w:space="0" w:color="auto"/>
        <w:right w:val="none" w:sz="0" w:space="0" w:color="auto"/>
      </w:divBdr>
    </w:div>
    <w:div w:id="179853981">
      <w:bodyDiv w:val="1"/>
      <w:marLeft w:val="0"/>
      <w:marRight w:val="0"/>
      <w:marTop w:val="0"/>
      <w:marBottom w:val="0"/>
      <w:divBdr>
        <w:top w:val="none" w:sz="0" w:space="0" w:color="auto"/>
        <w:left w:val="none" w:sz="0" w:space="0" w:color="auto"/>
        <w:bottom w:val="none" w:sz="0" w:space="0" w:color="auto"/>
        <w:right w:val="none" w:sz="0" w:space="0" w:color="auto"/>
      </w:divBdr>
    </w:div>
    <w:div w:id="180321902">
      <w:bodyDiv w:val="1"/>
      <w:marLeft w:val="0"/>
      <w:marRight w:val="0"/>
      <w:marTop w:val="0"/>
      <w:marBottom w:val="0"/>
      <w:divBdr>
        <w:top w:val="none" w:sz="0" w:space="0" w:color="auto"/>
        <w:left w:val="none" w:sz="0" w:space="0" w:color="auto"/>
        <w:bottom w:val="none" w:sz="0" w:space="0" w:color="auto"/>
        <w:right w:val="none" w:sz="0" w:space="0" w:color="auto"/>
      </w:divBdr>
    </w:div>
    <w:div w:id="199900012">
      <w:bodyDiv w:val="1"/>
      <w:marLeft w:val="0"/>
      <w:marRight w:val="0"/>
      <w:marTop w:val="0"/>
      <w:marBottom w:val="0"/>
      <w:divBdr>
        <w:top w:val="none" w:sz="0" w:space="0" w:color="auto"/>
        <w:left w:val="none" w:sz="0" w:space="0" w:color="auto"/>
        <w:bottom w:val="none" w:sz="0" w:space="0" w:color="auto"/>
        <w:right w:val="none" w:sz="0" w:space="0" w:color="auto"/>
      </w:divBdr>
    </w:div>
    <w:div w:id="200439359">
      <w:bodyDiv w:val="1"/>
      <w:marLeft w:val="0"/>
      <w:marRight w:val="0"/>
      <w:marTop w:val="0"/>
      <w:marBottom w:val="0"/>
      <w:divBdr>
        <w:top w:val="none" w:sz="0" w:space="0" w:color="auto"/>
        <w:left w:val="none" w:sz="0" w:space="0" w:color="auto"/>
        <w:bottom w:val="none" w:sz="0" w:space="0" w:color="auto"/>
        <w:right w:val="none" w:sz="0" w:space="0" w:color="auto"/>
      </w:divBdr>
    </w:div>
    <w:div w:id="213125766">
      <w:bodyDiv w:val="1"/>
      <w:marLeft w:val="0"/>
      <w:marRight w:val="0"/>
      <w:marTop w:val="0"/>
      <w:marBottom w:val="0"/>
      <w:divBdr>
        <w:top w:val="none" w:sz="0" w:space="0" w:color="auto"/>
        <w:left w:val="none" w:sz="0" w:space="0" w:color="auto"/>
        <w:bottom w:val="none" w:sz="0" w:space="0" w:color="auto"/>
        <w:right w:val="none" w:sz="0" w:space="0" w:color="auto"/>
      </w:divBdr>
    </w:div>
    <w:div w:id="240918383">
      <w:bodyDiv w:val="1"/>
      <w:marLeft w:val="0"/>
      <w:marRight w:val="0"/>
      <w:marTop w:val="0"/>
      <w:marBottom w:val="0"/>
      <w:divBdr>
        <w:top w:val="none" w:sz="0" w:space="0" w:color="auto"/>
        <w:left w:val="none" w:sz="0" w:space="0" w:color="auto"/>
        <w:bottom w:val="none" w:sz="0" w:space="0" w:color="auto"/>
        <w:right w:val="none" w:sz="0" w:space="0" w:color="auto"/>
      </w:divBdr>
    </w:div>
    <w:div w:id="248004050">
      <w:bodyDiv w:val="1"/>
      <w:marLeft w:val="0"/>
      <w:marRight w:val="0"/>
      <w:marTop w:val="0"/>
      <w:marBottom w:val="0"/>
      <w:divBdr>
        <w:top w:val="none" w:sz="0" w:space="0" w:color="auto"/>
        <w:left w:val="none" w:sz="0" w:space="0" w:color="auto"/>
        <w:bottom w:val="none" w:sz="0" w:space="0" w:color="auto"/>
        <w:right w:val="none" w:sz="0" w:space="0" w:color="auto"/>
      </w:divBdr>
    </w:div>
    <w:div w:id="299767209">
      <w:bodyDiv w:val="1"/>
      <w:marLeft w:val="0"/>
      <w:marRight w:val="0"/>
      <w:marTop w:val="0"/>
      <w:marBottom w:val="0"/>
      <w:divBdr>
        <w:top w:val="none" w:sz="0" w:space="0" w:color="auto"/>
        <w:left w:val="none" w:sz="0" w:space="0" w:color="auto"/>
        <w:bottom w:val="none" w:sz="0" w:space="0" w:color="auto"/>
        <w:right w:val="none" w:sz="0" w:space="0" w:color="auto"/>
      </w:divBdr>
    </w:div>
    <w:div w:id="348290625">
      <w:bodyDiv w:val="1"/>
      <w:marLeft w:val="0"/>
      <w:marRight w:val="0"/>
      <w:marTop w:val="0"/>
      <w:marBottom w:val="0"/>
      <w:divBdr>
        <w:top w:val="none" w:sz="0" w:space="0" w:color="auto"/>
        <w:left w:val="none" w:sz="0" w:space="0" w:color="auto"/>
        <w:bottom w:val="none" w:sz="0" w:space="0" w:color="auto"/>
        <w:right w:val="none" w:sz="0" w:space="0" w:color="auto"/>
      </w:divBdr>
    </w:div>
    <w:div w:id="356664370">
      <w:bodyDiv w:val="1"/>
      <w:marLeft w:val="0"/>
      <w:marRight w:val="0"/>
      <w:marTop w:val="0"/>
      <w:marBottom w:val="0"/>
      <w:divBdr>
        <w:top w:val="none" w:sz="0" w:space="0" w:color="auto"/>
        <w:left w:val="none" w:sz="0" w:space="0" w:color="auto"/>
        <w:bottom w:val="none" w:sz="0" w:space="0" w:color="auto"/>
        <w:right w:val="none" w:sz="0" w:space="0" w:color="auto"/>
      </w:divBdr>
    </w:div>
    <w:div w:id="366175386">
      <w:bodyDiv w:val="1"/>
      <w:marLeft w:val="0"/>
      <w:marRight w:val="0"/>
      <w:marTop w:val="0"/>
      <w:marBottom w:val="0"/>
      <w:divBdr>
        <w:top w:val="none" w:sz="0" w:space="0" w:color="auto"/>
        <w:left w:val="none" w:sz="0" w:space="0" w:color="auto"/>
        <w:bottom w:val="none" w:sz="0" w:space="0" w:color="auto"/>
        <w:right w:val="none" w:sz="0" w:space="0" w:color="auto"/>
      </w:divBdr>
    </w:div>
    <w:div w:id="395014982">
      <w:bodyDiv w:val="1"/>
      <w:marLeft w:val="0"/>
      <w:marRight w:val="0"/>
      <w:marTop w:val="0"/>
      <w:marBottom w:val="0"/>
      <w:divBdr>
        <w:top w:val="none" w:sz="0" w:space="0" w:color="auto"/>
        <w:left w:val="none" w:sz="0" w:space="0" w:color="auto"/>
        <w:bottom w:val="none" w:sz="0" w:space="0" w:color="auto"/>
        <w:right w:val="none" w:sz="0" w:space="0" w:color="auto"/>
      </w:divBdr>
    </w:div>
    <w:div w:id="402223583">
      <w:bodyDiv w:val="1"/>
      <w:marLeft w:val="0"/>
      <w:marRight w:val="0"/>
      <w:marTop w:val="0"/>
      <w:marBottom w:val="0"/>
      <w:divBdr>
        <w:top w:val="none" w:sz="0" w:space="0" w:color="auto"/>
        <w:left w:val="none" w:sz="0" w:space="0" w:color="auto"/>
        <w:bottom w:val="none" w:sz="0" w:space="0" w:color="auto"/>
        <w:right w:val="none" w:sz="0" w:space="0" w:color="auto"/>
      </w:divBdr>
    </w:div>
    <w:div w:id="435174239">
      <w:bodyDiv w:val="1"/>
      <w:marLeft w:val="0"/>
      <w:marRight w:val="0"/>
      <w:marTop w:val="0"/>
      <w:marBottom w:val="0"/>
      <w:divBdr>
        <w:top w:val="none" w:sz="0" w:space="0" w:color="auto"/>
        <w:left w:val="none" w:sz="0" w:space="0" w:color="auto"/>
        <w:bottom w:val="none" w:sz="0" w:space="0" w:color="auto"/>
        <w:right w:val="none" w:sz="0" w:space="0" w:color="auto"/>
      </w:divBdr>
    </w:div>
    <w:div w:id="435559589">
      <w:bodyDiv w:val="1"/>
      <w:marLeft w:val="0"/>
      <w:marRight w:val="0"/>
      <w:marTop w:val="0"/>
      <w:marBottom w:val="0"/>
      <w:divBdr>
        <w:top w:val="none" w:sz="0" w:space="0" w:color="auto"/>
        <w:left w:val="none" w:sz="0" w:space="0" w:color="auto"/>
        <w:bottom w:val="none" w:sz="0" w:space="0" w:color="auto"/>
        <w:right w:val="none" w:sz="0" w:space="0" w:color="auto"/>
      </w:divBdr>
    </w:div>
    <w:div w:id="446774592">
      <w:bodyDiv w:val="1"/>
      <w:marLeft w:val="0"/>
      <w:marRight w:val="0"/>
      <w:marTop w:val="0"/>
      <w:marBottom w:val="0"/>
      <w:divBdr>
        <w:top w:val="none" w:sz="0" w:space="0" w:color="auto"/>
        <w:left w:val="none" w:sz="0" w:space="0" w:color="auto"/>
        <w:bottom w:val="none" w:sz="0" w:space="0" w:color="auto"/>
        <w:right w:val="none" w:sz="0" w:space="0" w:color="auto"/>
      </w:divBdr>
    </w:div>
    <w:div w:id="468330274">
      <w:bodyDiv w:val="1"/>
      <w:marLeft w:val="0"/>
      <w:marRight w:val="0"/>
      <w:marTop w:val="0"/>
      <w:marBottom w:val="0"/>
      <w:divBdr>
        <w:top w:val="none" w:sz="0" w:space="0" w:color="auto"/>
        <w:left w:val="none" w:sz="0" w:space="0" w:color="auto"/>
        <w:bottom w:val="none" w:sz="0" w:space="0" w:color="auto"/>
        <w:right w:val="none" w:sz="0" w:space="0" w:color="auto"/>
      </w:divBdr>
    </w:div>
    <w:div w:id="500125178">
      <w:bodyDiv w:val="1"/>
      <w:marLeft w:val="0"/>
      <w:marRight w:val="0"/>
      <w:marTop w:val="0"/>
      <w:marBottom w:val="0"/>
      <w:divBdr>
        <w:top w:val="none" w:sz="0" w:space="0" w:color="auto"/>
        <w:left w:val="none" w:sz="0" w:space="0" w:color="auto"/>
        <w:bottom w:val="none" w:sz="0" w:space="0" w:color="auto"/>
        <w:right w:val="none" w:sz="0" w:space="0" w:color="auto"/>
      </w:divBdr>
    </w:div>
    <w:div w:id="507252217">
      <w:bodyDiv w:val="1"/>
      <w:marLeft w:val="0"/>
      <w:marRight w:val="0"/>
      <w:marTop w:val="0"/>
      <w:marBottom w:val="0"/>
      <w:divBdr>
        <w:top w:val="none" w:sz="0" w:space="0" w:color="auto"/>
        <w:left w:val="none" w:sz="0" w:space="0" w:color="auto"/>
        <w:bottom w:val="none" w:sz="0" w:space="0" w:color="auto"/>
        <w:right w:val="none" w:sz="0" w:space="0" w:color="auto"/>
      </w:divBdr>
    </w:div>
    <w:div w:id="562371180">
      <w:bodyDiv w:val="1"/>
      <w:marLeft w:val="0"/>
      <w:marRight w:val="0"/>
      <w:marTop w:val="0"/>
      <w:marBottom w:val="0"/>
      <w:divBdr>
        <w:top w:val="none" w:sz="0" w:space="0" w:color="auto"/>
        <w:left w:val="none" w:sz="0" w:space="0" w:color="auto"/>
        <w:bottom w:val="none" w:sz="0" w:space="0" w:color="auto"/>
        <w:right w:val="none" w:sz="0" w:space="0" w:color="auto"/>
      </w:divBdr>
    </w:div>
    <w:div w:id="583994369">
      <w:bodyDiv w:val="1"/>
      <w:marLeft w:val="0"/>
      <w:marRight w:val="0"/>
      <w:marTop w:val="0"/>
      <w:marBottom w:val="0"/>
      <w:divBdr>
        <w:top w:val="none" w:sz="0" w:space="0" w:color="auto"/>
        <w:left w:val="none" w:sz="0" w:space="0" w:color="auto"/>
        <w:bottom w:val="none" w:sz="0" w:space="0" w:color="auto"/>
        <w:right w:val="none" w:sz="0" w:space="0" w:color="auto"/>
      </w:divBdr>
    </w:div>
    <w:div w:id="607322905">
      <w:bodyDiv w:val="1"/>
      <w:marLeft w:val="0"/>
      <w:marRight w:val="0"/>
      <w:marTop w:val="0"/>
      <w:marBottom w:val="0"/>
      <w:divBdr>
        <w:top w:val="none" w:sz="0" w:space="0" w:color="auto"/>
        <w:left w:val="none" w:sz="0" w:space="0" w:color="auto"/>
        <w:bottom w:val="none" w:sz="0" w:space="0" w:color="auto"/>
        <w:right w:val="none" w:sz="0" w:space="0" w:color="auto"/>
      </w:divBdr>
    </w:div>
    <w:div w:id="614678130">
      <w:bodyDiv w:val="1"/>
      <w:marLeft w:val="0"/>
      <w:marRight w:val="0"/>
      <w:marTop w:val="0"/>
      <w:marBottom w:val="0"/>
      <w:divBdr>
        <w:top w:val="none" w:sz="0" w:space="0" w:color="auto"/>
        <w:left w:val="none" w:sz="0" w:space="0" w:color="auto"/>
        <w:bottom w:val="none" w:sz="0" w:space="0" w:color="auto"/>
        <w:right w:val="none" w:sz="0" w:space="0" w:color="auto"/>
      </w:divBdr>
    </w:div>
    <w:div w:id="637346911">
      <w:bodyDiv w:val="1"/>
      <w:marLeft w:val="0"/>
      <w:marRight w:val="0"/>
      <w:marTop w:val="0"/>
      <w:marBottom w:val="0"/>
      <w:divBdr>
        <w:top w:val="none" w:sz="0" w:space="0" w:color="auto"/>
        <w:left w:val="none" w:sz="0" w:space="0" w:color="auto"/>
        <w:bottom w:val="none" w:sz="0" w:space="0" w:color="auto"/>
        <w:right w:val="none" w:sz="0" w:space="0" w:color="auto"/>
      </w:divBdr>
    </w:div>
    <w:div w:id="675381148">
      <w:bodyDiv w:val="1"/>
      <w:marLeft w:val="0"/>
      <w:marRight w:val="0"/>
      <w:marTop w:val="0"/>
      <w:marBottom w:val="0"/>
      <w:divBdr>
        <w:top w:val="none" w:sz="0" w:space="0" w:color="auto"/>
        <w:left w:val="none" w:sz="0" w:space="0" w:color="auto"/>
        <w:bottom w:val="none" w:sz="0" w:space="0" w:color="auto"/>
        <w:right w:val="none" w:sz="0" w:space="0" w:color="auto"/>
      </w:divBdr>
    </w:div>
    <w:div w:id="698702069">
      <w:bodyDiv w:val="1"/>
      <w:marLeft w:val="0"/>
      <w:marRight w:val="0"/>
      <w:marTop w:val="0"/>
      <w:marBottom w:val="0"/>
      <w:divBdr>
        <w:top w:val="none" w:sz="0" w:space="0" w:color="auto"/>
        <w:left w:val="none" w:sz="0" w:space="0" w:color="auto"/>
        <w:bottom w:val="none" w:sz="0" w:space="0" w:color="auto"/>
        <w:right w:val="none" w:sz="0" w:space="0" w:color="auto"/>
      </w:divBdr>
    </w:div>
    <w:div w:id="737943337">
      <w:bodyDiv w:val="1"/>
      <w:marLeft w:val="0"/>
      <w:marRight w:val="0"/>
      <w:marTop w:val="0"/>
      <w:marBottom w:val="0"/>
      <w:divBdr>
        <w:top w:val="none" w:sz="0" w:space="0" w:color="auto"/>
        <w:left w:val="none" w:sz="0" w:space="0" w:color="auto"/>
        <w:bottom w:val="none" w:sz="0" w:space="0" w:color="auto"/>
        <w:right w:val="none" w:sz="0" w:space="0" w:color="auto"/>
      </w:divBdr>
    </w:div>
    <w:div w:id="742029273">
      <w:bodyDiv w:val="1"/>
      <w:marLeft w:val="0"/>
      <w:marRight w:val="0"/>
      <w:marTop w:val="0"/>
      <w:marBottom w:val="0"/>
      <w:divBdr>
        <w:top w:val="none" w:sz="0" w:space="0" w:color="auto"/>
        <w:left w:val="none" w:sz="0" w:space="0" w:color="auto"/>
        <w:bottom w:val="none" w:sz="0" w:space="0" w:color="auto"/>
        <w:right w:val="none" w:sz="0" w:space="0" w:color="auto"/>
      </w:divBdr>
    </w:div>
    <w:div w:id="766193678">
      <w:bodyDiv w:val="1"/>
      <w:marLeft w:val="0"/>
      <w:marRight w:val="0"/>
      <w:marTop w:val="0"/>
      <w:marBottom w:val="0"/>
      <w:divBdr>
        <w:top w:val="none" w:sz="0" w:space="0" w:color="auto"/>
        <w:left w:val="none" w:sz="0" w:space="0" w:color="auto"/>
        <w:bottom w:val="none" w:sz="0" w:space="0" w:color="auto"/>
        <w:right w:val="none" w:sz="0" w:space="0" w:color="auto"/>
      </w:divBdr>
    </w:div>
    <w:div w:id="770471089">
      <w:bodyDiv w:val="1"/>
      <w:marLeft w:val="0"/>
      <w:marRight w:val="0"/>
      <w:marTop w:val="0"/>
      <w:marBottom w:val="0"/>
      <w:divBdr>
        <w:top w:val="none" w:sz="0" w:space="0" w:color="auto"/>
        <w:left w:val="none" w:sz="0" w:space="0" w:color="auto"/>
        <w:bottom w:val="none" w:sz="0" w:space="0" w:color="auto"/>
        <w:right w:val="none" w:sz="0" w:space="0" w:color="auto"/>
      </w:divBdr>
    </w:div>
    <w:div w:id="779448788">
      <w:bodyDiv w:val="1"/>
      <w:marLeft w:val="0"/>
      <w:marRight w:val="0"/>
      <w:marTop w:val="0"/>
      <w:marBottom w:val="0"/>
      <w:divBdr>
        <w:top w:val="none" w:sz="0" w:space="0" w:color="auto"/>
        <w:left w:val="none" w:sz="0" w:space="0" w:color="auto"/>
        <w:bottom w:val="none" w:sz="0" w:space="0" w:color="auto"/>
        <w:right w:val="none" w:sz="0" w:space="0" w:color="auto"/>
      </w:divBdr>
    </w:div>
    <w:div w:id="785084154">
      <w:bodyDiv w:val="1"/>
      <w:marLeft w:val="0"/>
      <w:marRight w:val="0"/>
      <w:marTop w:val="0"/>
      <w:marBottom w:val="0"/>
      <w:divBdr>
        <w:top w:val="none" w:sz="0" w:space="0" w:color="auto"/>
        <w:left w:val="none" w:sz="0" w:space="0" w:color="auto"/>
        <w:bottom w:val="none" w:sz="0" w:space="0" w:color="auto"/>
        <w:right w:val="none" w:sz="0" w:space="0" w:color="auto"/>
      </w:divBdr>
    </w:div>
    <w:div w:id="813987585">
      <w:bodyDiv w:val="1"/>
      <w:marLeft w:val="0"/>
      <w:marRight w:val="0"/>
      <w:marTop w:val="0"/>
      <w:marBottom w:val="0"/>
      <w:divBdr>
        <w:top w:val="none" w:sz="0" w:space="0" w:color="auto"/>
        <w:left w:val="none" w:sz="0" w:space="0" w:color="auto"/>
        <w:bottom w:val="none" w:sz="0" w:space="0" w:color="auto"/>
        <w:right w:val="none" w:sz="0" w:space="0" w:color="auto"/>
      </w:divBdr>
    </w:div>
    <w:div w:id="818153578">
      <w:bodyDiv w:val="1"/>
      <w:marLeft w:val="0"/>
      <w:marRight w:val="0"/>
      <w:marTop w:val="0"/>
      <w:marBottom w:val="0"/>
      <w:divBdr>
        <w:top w:val="none" w:sz="0" w:space="0" w:color="auto"/>
        <w:left w:val="none" w:sz="0" w:space="0" w:color="auto"/>
        <w:bottom w:val="none" w:sz="0" w:space="0" w:color="auto"/>
        <w:right w:val="none" w:sz="0" w:space="0" w:color="auto"/>
      </w:divBdr>
    </w:div>
    <w:div w:id="823934819">
      <w:bodyDiv w:val="1"/>
      <w:marLeft w:val="0"/>
      <w:marRight w:val="0"/>
      <w:marTop w:val="0"/>
      <w:marBottom w:val="0"/>
      <w:divBdr>
        <w:top w:val="none" w:sz="0" w:space="0" w:color="auto"/>
        <w:left w:val="none" w:sz="0" w:space="0" w:color="auto"/>
        <w:bottom w:val="none" w:sz="0" w:space="0" w:color="auto"/>
        <w:right w:val="none" w:sz="0" w:space="0" w:color="auto"/>
      </w:divBdr>
    </w:div>
    <w:div w:id="884096959">
      <w:bodyDiv w:val="1"/>
      <w:marLeft w:val="0"/>
      <w:marRight w:val="0"/>
      <w:marTop w:val="0"/>
      <w:marBottom w:val="0"/>
      <w:divBdr>
        <w:top w:val="none" w:sz="0" w:space="0" w:color="auto"/>
        <w:left w:val="none" w:sz="0" w:space="0" w:color="auto"/>
        <w:bottom w:val="none" w:sz="0" w:space="0" w:color="auto"/>
        <w:right w:val="none" w:sz="0" w:space="0" w:color="auto"/>
      </w:divBdr>
    </w:div>
    <w:div w:id="890116640">
      <w:bodyDiv w:val="1"/>
      <w:marLeft w:val="0"/>
      <w:marRight w:val="0"/>
      <w:marTop w:val="0"/>
      <w:marBottom w:val="0"/>
      <w:divBdr>
        <w:top w:val="none" w:sz="0" w:space="0" w:color="auto"/>
        <w:left w:val="none" w:sz="0" w:space="0" w:color="auto"/>
        <w:bottom w:val="none" w:sz="0" w:space="0" w:color="auto"/>
        <w:right w:val="none" w:sz="0" w:space="0" w:color="auto"/>
      </w:divBdr>
    </w:div>
    <w:div w:id="951472688">
      <w:bodyDiv w:val="1"/>
      <w:marLeft w:val="0"/>
      <w:marRight w:val="0"/>
      <w:marTop w:val="0"/>
      <w:marBottom w:val="0"/>
      <w:divBdr>
        <w:top w:val="none" w:sz="0" w:space="0" w:color="auto"/>
        <w:left w:val="none" w:sz="0" w:space="0" w:color="auto"/>
        <w:bottom w:val="none" w:sz="0" w:space="0" w:color="auto"/>
        <w:right w:val="none" w:sz="0" w:space="0" w:color="auto"/>
      </w:divBdr>
    </w:div>
    <w:div w:id="960695703">
      <w:bodyDiv w:val="1"/>
      <w:marLeft w:val="0"/>
      <w:marRight w:val="0"/>
      <w:marTop w:val="0"/>
      <w:marBottom w:val="0"/>
      <w:divBdr>
        <w:top w:val="none" w:sz="0" w:space="0" w:color="auto"/>
        <w:left w:val="none" w:sz="0" w:space="0" w:color="auto"/>
        <w:bottom w:val="none" w:sz="0" w:space="0" w:color="auto"/>
        <w:right w:val="none" w:sz="0" w:space="0" w:color="auto"/>
      </w:divBdr>
    </w:div>
    <w:div w:id="966593995">
      <w:bodyDiv w:val="1"/>
      <w:marLeft w:val="0"/>
      <w:marRight w:val="0"/>
      <w:marTop w:val="0"/>
      <w:marBottom w:val="0"/>
      <w:divBdr>
        <w:top w:val="none" w:sz="0" w:space="0" w:color="auto"/>
        <w:left w:val="none" w:sz="0" w:space="0" w:color="auto"/>
        <w:bottom w:val="none" w:sz="0" w:space="0" w:color="auto"/>
        <w:right w:val="none" w:sz="0" w:space="0" w:color="auto"/>
      </w:divBdr>
    </w:div>
    <w:div w:id="968587529">
      <w:bodyDiv w:val="1"/>
      <w:marLeft w:val="0"/>
      <w:marRight w:val="0"/>
      <w:marTop w:val="0"/>
      <w:marBottom w:val="0"/>
      <w:divBdr>
        <w:top w:val="none" w:sz="0" w:space="0" w:color="auto"/>
        <w:left w:val="none" w:sz="0" w:space="0" w:color="auto"/>
        <w:bottom w:val="none" w:sz="0" w:space="0" w:color="auto"/>
        <w:right w:val="none" w:sz="0" w:space="0" w:color="auto"/>
      </w:divBdr>
    </w:div>
    <w:div w:id="981160395">
      <w:bodyDiv w:val="1"/>
      <w:marLeft w:val="0"/>
      <w:marRight w:val="0"/>
      <w:marTop w:val="0"/>
      <w:marBottom w:val="0"/>
      <w:divBdr>
        <w:top w:val="none" w:sz="0" w:space="0" w:color="auto"/>
        <w:left w:val="none" w:sz="0" w:space="0" w:color="auto"/>
        <w:bottom w:val="none" w:sz="0" w:space="0" w:color="auto"/>
        <w:right w:val="none" w:sz="0" w:space="0" w:color="auto"/>
      </w:divBdr>
    </w:div>
    <w:div w:id="1019428894">
      <w:bodyDiv w:val="1"/>
      <w:marLeft w:val="0"/>
      <w:marRight w:val="0"/>
      <w:marTop w:val="0"/>
      <w:marBottom w:val="0"/>
      <w:divBdr>
        <w:top w:val="none" w:sz="0" w:space="0" w:color="auto"/>
        <w:left w:val="none" w:sz="0" w:space="0" w:color="auto"/>
        <w:bottom w:val="none" w:sz="0" w:space="0" w:color="auto"/>
        <w:right w:val="none" w:sz="0" w:space="0" w:color="auto"/>
      </w:divBdr>
    </w:div>
    <w:div w:id="1036811564">
      <w:bodyDiv w:val="1"/>
      <w:marLeft w:val="0"/>
      <w:marRight w:val="0"/>
      <w:marTop w:val="0"/>
      <w:marBottom w:val="0"/>
      <w:divBdr>
        <w:top w:val="none" w:sz="0" w:space="0" w:color="auto"/>
        <w:left w:val="none" w:sz="0" w:space="0" w:color="auto"/>
        <w:bottom w:val="none" w:sz="0" w:space="0" w:color="auto"/>
        <w:right w:val="none" w:sz="0" w:space="0" w:color="auto"/>
      </w:divBdr>
    </w:div>
    <w:div w:id="1046831607">
      <w:bodyDiv w:val="1"/>
      <w:marLeft w:val="0"/>
      <w:marRight w:val="0"/>
      <w:marTop w:val="0"/>
      <w:marBottom w:val="0"/>
      <w:divBdr>
        <w:top w:val="none" w:sz="0" w:space="0" w:color="auto"/>
        <w:left w:val="none" w:sz="0" w:space="0" w:color="auto"/>
        <w:bottom w:val="none" w:sz="0" w:space="0" w:color="auto"/>
        <w:right w:val="none" w:sz="0" w:space="0" w:color="auto"/>
      </w:divBdr>
    </w:div>
    <w:div w:id="1072577566">
      <w:bodyDiv w:val="1"/>
      <w:marLeft w:val="0"/>
      <w:marRight w:val="0"/>
      <w:marTop w:val="0"/>
      <w:marBottom w:val="0"/>
      <w:divBdr>
        <w:top w:val="none" w:sz="0" w:space="0" w:color="auto"/>
        <w:left w:val="none" w:sz="0" w:space="0" w:color="auto"/>
        <w:bottom w:val="none" w:sz="0" w:space="0" w:color="auto"/>
        <w:right w:val="none" w:sz="0" w:space="0" w:color="auto"/>
      </w:divBdr>
    </w:div>
    <w:div w:id="1073426043">
      <w:bodyDiv w:val="1"/>
      <w:marLeft w:val="0"/>
      <w:marRight w:val="0"/>
      <w:marTop w:val="0"/>
      <w:marBottom w:val="0"/>
      <w:divBdr>
        <w:top w:val="none" w:sz="0" w:space="0" w:color="auto"/>
        <w:left w:val="none" w:sz="0" w:space="0" w:color="auto"/>
        <w:bottom w:val="none" w:sz="0" w:space="0" w:color="auto"/>
        <w:right w:val="none" w:sz="0" w:space="0" w:color="auto"/>
      </w:divBdr>
    </w:div>
    <w:div w:id="1075740513">
      <w:bodyDiv w:val="1"/>
      <w:marLeft w:val="0"/>
      <w:marRight w:val="0"/>
      <w:marTop w:val="0"/>
      <w:marBottom w:val="0"/>
      <w:divBdr>
        <w:top w:val="none" w:sz="0" w:space="0" w:color="auto"/>
        <w:left w:val="none" w:sz="0" w:space="0" w:color="auto"/>
        <w:bottom w:val="none" w:sz="0" w:space="0" w:color="auto"/>
        <w:right w:val="none" w:sz="0" w:space="0" w:color="auto"/>
      </w:divBdr>
    </w:div>
    <w:div w:id="1091774756">
      <w:bodyDiv w:val="1"/>
      <w:marLeft w:val="0"/>
      <w:marRight w:val="0"/>
      <w:marTop w:val="0"/>
      <w:marBottom w:val="0"/>
      <w:divBdr>
        <w:top w:val="none" w:sz="0" w:space="0" w:color="auto"/>
        <w:left w:val="none" w:sz="0" w:space="0" w:color="auto"/>
        <w:bottom w:val="none" w:sz="0" w:space="0" w:color="auto"/>
        <w:right w:val="none" w:sz="0" w:space="0" w:color="auto"/>
      </w:divBdr>
    </w:div>
    <w:div w:id="1104299779">
      <w:bodyDiv w:val="1"/>
      <w:marLeft w:val="0"/>
      <w:marRight w:val="0"/>
      <w:marTop w:val="0"/>
      <w:marBottom w:val="0"/>
      <w:divBdr>
        <w:top w:val="none" w:sz="0" w:space="0" w:color="auto"/>
        <w:left w:val="none" w:sz="0" w:space="0" w:color="auto"/>
        <w:bottom w:val="none" w:sz="0" w:space="0" w:color="auto"/>
        <w:right w:val="none" w:sz="0" w:space="0" w:color="auto"/>
      </w:divBdr>
    </w:div>
    <w:div w:id="1113289197">
      <w:bodyDiv w:val="1"/>
      <w:marLeft w:val="0"/>
      <w:marRight w:val="0"/>
      <w:marTop w:val="0"/>
      <w:marBottom w:val="0"/>
      <w:divBdr>
        <w:top w:val="none" w:sz="0" w:space="0" w:color="auto"/>
        <w:left w:val="none" w:sz="0" w:space="0" w:color="auto"/>
        <w:bottom w:val="none" w:sz="0" w:space="0" w:color="auto"/>
        <w:right w:val="none" w:sz="0" w:space="0" w:color="auto"/>
      </w:divBdr>
    </w:div>
    <w:div w:id="1134517633">
      <w:bodyDiv w:val="1"/>
      <w:marLeft w:val="0"/>
      <w:marRight w:val="0"/>
      <w:marTop w:val="0"/>
      <w:marBottom w:val="0"/>
      <w:divBdr>
        <w:top w:val="none" w:sz="0" w:space="0" w:color="auto"/>
        <w:left w:val="none" w:sz="0" w:space="0" w:color="auto"/>
        <w:bottom w:val="none" w:sz="0" w:space="0" w:color="auto"/>
        <w:right w:val="none" w:sz="0" w:space="0" w:color="auto"/>
      </w:divBdr>
    </w:div>
    <w:div w:id="1145970065">
      <w:bodyDiv w:val="1"/>
      <w:marLeft w:val="0"/>
      <w:marRight w:val="0"/>
      <w:marTop w:val="0"/>
      <w:marBottom w:val="0"/>
      <w:divBdr>
        <w:top w:val="none" w:sz="0" w:space="0" w:color="auto"/>
        <w:left w:val="none" w:sz="0" w:space="0" w:color="auto"/>
        <w:bottom w:val="none" w:sz="0" w:space="0" w:color="auto"/>
        <w:right w:val="none" w:sz="0" w:space="0" w:color="auto"/>
      </w:divBdr>
    </w:div>
    <w:div w:id="1153765040">
      <w:bodyDiv w:val="1"/>
      <w:marLeft w:val="0"/>
      <w:marRight w:val="0"/>
      <w:marTop w:val="0"/>
      <w:marBottom w:val="0"/>
      <w:divBdr>
        <w:top w:val="none" w:sz="0" w:space="0" w:color="auto"/>
        <w:left w:val="none" w:sz="0" w:space="0" w:color="auto"/>
        <w:bottom w:val="none" w:sz="0" w:space="0" w:color="auto"/>
        <w:right w:val="none" w:sz="0" w:space="0" w:color="auto"/>
      </w:divBdr>
    </w:div>
    <w:div w:id="1157569567">
      <w:bodyDiv w:val="1"/>
      <w:marLeft w:val="0"/>
      <w:marRight w:val="0"/>
      <w:marTop w:val="0"/>
      <w:marBottom w:val="0"/>
      <w:divBdr>
        <w:top w:val="none" w:sz="0" w:space="0" w:color="auto"/>
        <w:left w:val="none" w:sz="0" w:space="0" w:color="auto"/>
        <w:bottom w:val="none" w:sz="0" w:space="0" w:color="auto"/>
        <w:right w:val="none" w:sz="0" w:space="0" w:color="auto"/>
      </w:divBdr>
    </w:div>
    <w:div w:id="1160659471">
      <w:bodyDiv w:val="1"/>
      <w:marLeft w:val="0"/>
      <w:marRight w:val="0"/>
      <w:marTop w:val="0"/>
      <w:marBottom w:val="0"/>
      <w:divBdr>
        <w:top w:val="none" w:sz="0" w:space="0" w:color="auto"/>
        <w:left w:val="none" w:sz="0" w:space="0" w:color="auto"/>
        <w:bottom w:val="none" w:sz="0" w:space="0" w:color="auto"/>
        <w:right w:val="none" w:sz="0" w:space="0" w:color="auto"/>
      </w:divBdr>
    </w:div>
    <w:div w:id="1180437742">
      <w:bodyDiv w:val="1"/>
      <w:marLeft w:val="0"/>
      <w:marRight w:val="0"/>
      <w:marTop w:val="0"/>
      <w:marBottom w:val="0"/>
      <w:divBdr>
        <w:top w:val="none" w:sz="0" w:space="0" w:color="auto"/>
        <w:left w:val="none" w:sz="0" w:space="0" w:color="auto"/>
        <w:bottom w:val="none" w:sz="0" w:space="0" w:color="auto"/>
        <w:right w:val="none" w:sz="0" w:space="0" w:color="auto"/>
      </w:divBdr>
    </w:div>
    <w:div w:id="1185245424">
      <w:bodyDiv w:val="1"/>
      <w:marLeft w:val="0"/>
      <w:marRight w:val="0"/>
      <w:marTop w:val="0"/>
      <w:marBottom w:val="0"/>
      <w:divBdr>
        <w:top w:val="none" w:sz="0" w:space="0" w:color="auto"/>
        <w:left w:val="none" w:sz="0" w:space="0" w:color="auto"/>
        <w:bottom w:val="none" w:sz="0" w:space="0" w:color="auto"/>
        <w:right w:val="none" w:sz="0" w:space="0" w:color="auto"/>
      </w:divBdr>
    </w:div>
    <w:div w:id="1201698498">
      <w:bodyDiv w:val="1"/>
      <w:marLeft w:val="0"/>
      <w:marRight w:val="0"/>
      <w:marTop w:val="0"/>
      <w:marBottom w:val="0"/>
      <w:divBdr>
        <w:top w:val="none" w:sz="0" w:space="0" w:color="auto"/>
        <w:left w:val="none" w:sz="0" w:space="0" w:color="auto"/>
        <w:bottom w:val="none" w:sz="0" w:space="0" w:color="auto"/>
        <w:right w:val="none" w:sz="0" w:space="0" w:color="auto"/>
      </w:divBdr>
    </w:div>
    <w:div w:id="1247954603">
      <w:bodyDiv w:val="1"/>
      <w:marLeft w:val="0"/>
      <w:marRight w:val="0"/>
      <w:marTop w:val="0"/>
      <w:marBottom w:val="0"/>
      <w:divBdr>
        <w:top w:val="none" w:sz="0" w:space="0" w:color="auto"/>
        <w:left w:val="none" w:sz="0" w:space="0" w:color="auto"/>
        <w:bottom w:val="none" w:sz="0" w:space="0" w:color="auto"/>
        <w:right w:val="none" w:sz="0" w:space="0" w:color="auto"/>
      </w:divBdr>
    </w:div>
    <w:div w:id="1248927695">
      <w:bodyDiv w:val="1"/>
      <w:marLeft w:val="0"/>
      <w:marRight w:val="0"/>
      <w:marTop w:val="0"/>
      <w:marBottom w:val="0"/>
      <w:divBdr>
        <w:top w:val="none" w:sz="0" w:space="0" w:color="auto"/>
        <w:left w:val="none" w:sz="0" w:space="0" w:color="auto"/>
        <w:bottom w:val="none" w:sz="0" w:space="0" w:color="auto"/>
        <w:right w:val="none" w:sz="0" w:space="0" w:color="auto"/>
      </w:divBdr>
    </w:div>
    <w:div w:id="1263566551">
      <w:bodyDiv w:val="1"/>
      <w:marLeft w:val="0"/>
      <w:marRight w:val="0"/>
      <w:marTop w:val="0"/>
      <w:marBottom w:val="0"/>
      <w:divBdr>
        <w:top w:val="none" w:sz="0" w:space="0" w:color="auto"/>
        <w:left w:val="none" w:sz="0" w:space="0" w:color="auto"/>
        <w:bottom w:val="none" w:sz="0" w:space="0" w:color="auto"/>
        <w:right w:val="none" w:sz="0" w:space="0" w:color="auto"/>
      </w:divBdr>
    </w:div>
    <w:div w:id="1286765248">
      <w:bodyDiv w:val="1"/>
      <w:marLeft w:val="0"/>
      <w:marRight w:val="0"/>
      <w:marTop w:val="0"/>
      <w:marBottom w:val="0"/>
      <w:divBdr>
        <w:top w:val="none" w:sz="0" w:space="0" w:color="auto"/>
        <w:left w:val="none" w:sz="0" w:space="0" w:color="auto"/>
        <w:bottom w:val="none" w:sz="0" w:space="0" w:color="auto"/>
        <w:right w:val="none" w:sz="0" w:space="0" w:color="auto"/>
      </w:divBdr>
    </w:div>
    <w:div w:id="1287588031">
      <w:bodyDiv w:val="1"/>
      <w:marLeft w:val="0"/>
      <w:marRight w:val="0"/>
      <w:marTop w:val="0"/>
      <w:marBottom w:val="0"/>
      <w:divBdr>
        <w:top w:val="none" w:sz="0" w:space="0" w:color="auto"/>
        <w:left w:val="none" w:sz="0" w:space="0" w:color="auto"/>
        <w:bottom w:val="none" w:sz="0" w:space="0" w:color="auto"/>
        <w:right w:val="none" w:sz="0" w:space="0" w:color="auto"/>
      </w:divBdr>
    </w:div>
    <w:div w:id="1292638434">
      <w:bodyDiv w:val="1"/>
      <w:marLeft w:val="0"/>
      <w:marRight w:val="0"/>
      <w:marTop w:val="0"/>
      <w:marBottom w:val="0"/>
      <w:divBdr>
        <w:top w:val="none" w:sz="0" w:space="0" w:color="auto"/>
        <w:left w:val="none" w:sz="0" w:space="0" w:color="auto"/>
        <w:bottom w:val="none" w:sz="0" w:space="0" w:color="auto"/>
        <w:right w:val="none" w:sz="0" w:space="0" w:color="auto"/>
      </w:divBdr>
    </w:div>
    <w:div w:id="1311599039">
      <w:bodyDiv w:val="1"/>
      <w:marLeft w:val="0"/>
      <w:marRight w:val="0"/>
      <w:marTop w:val="0"/>
      <w:marBottom w:val="0"/>
      <w:divBdr>
        <w:top w:val="none" w:sz="0" w:space="0" w:color="auto"/>
        <w:left w:val="none" w:sz="0" w:space="0" w:color="auto"/>
        <w:bottom w:val="none" w:sz="0" w:space="0" w:color="auto"/>
        <w:right w:val="none" w:sz="0" w:space="0" w:color="auto"/>
      </w:divBdr>
    </w:div>
    <w:div w:id="1315140715">
      <w:bodyDiv w:val="1"/>
      <w:marLeft w:val="0"/>
      <w:marRight w:val="0"/>
      <w:marTop w:val="0"/>
      <w:marBottom w:val="0"/>
      <w:divBdr>
        <w:top w:val="none" w:sz="0" w:space="0" w:color="auto"/>
        <w:left w:val="none" w:sz="0" w:space="0" w:color="auto"/>
        <w:bottom w:val="none" w:sz="0" w:space="0" w:color="auto"/>
        <w:right w:val="none" w:sz="0" w:space="0" w:color="auto"/>
      </w:divBdr>
    </w:div>
    <w:div w:id="1327198728">
      <w:bodyDiv w:val="1"/>
      <w:marLeft w:val="0"/>
      <w:marRight w:val="0"/>
      <w:marTop w:val="0"/>
      <w:marBottom w:val="0"/>
      <w:divBdr>
        <w:top w:val="none" w:sz="0" w:space="0" w:color="auto"/>
        <w:left w:val="none" w:sz="0" w:space="0" w:color="auto"/>
        <w:bottom w:val="none" w:sz="0" w:space="0" w:color="auto"/>
        <w:right w:val="none" w:sz="0" w:space="0" w:color="auto"/>
      </w:divBdr>
    </w:div>
    <w:div w:id="1343311989">
      <w:bodyDiv w:val="1"/>
      <w:marLeft w:val="0"/>
      <w:marRight w:val="0"/>
      <w:marTop w:val="0"/>
      <w:marBottom w:val="0"/>
      <w:divBdr>
        <w:top w:val="none" w:sz="0" w:space="0" w:color="auto"/>
        <w:left w:val="none" w:sz="0" w:space="0" w:color="auto"/>
        <w:bottom w:val="none" w:sz="0" w:space="0" w:color="auto"/>
        <w:right w:val="none" w:sz="0" w:space="0" w:color="auto"/>
      </w:divBdr>
    </w:div>
    <w:div w:id="1383360377">
      <w:bodyDiv w:val="1"/>
      <w:marLeft w:val="0"/>
      <w:marRight w:val="0"/>
      <w:marTop w:val="0"/>
      <w:marBottom w:val="0"/>
      <w:divBdr>
        <w:top w:val="none" w:sz="0" w:space="0" w:color="auto"/>
        <w:left w:val="none" w:sz="0" w:space="0" w:color="auto"/>
        <w:bottom w:val="none" w:sz="0" w:space="0" w:color="auto"/>
        <w:right w:val="none" w:sz="0" w:space="0" w:color="auto"/>
      </w:divBdr>
    </w:div>
    <w:div w:id="1402212789">
      <w:bodyDiv w:val="1"/>
      <w:marLeft w:val="0"/>
      <w:marRight w:val="0"/>
      <w:marTop w:val="0"/>
      <w:marBottom w:val="0"/>
      <w:divBdr>
        <w:top w:val="none" w:sz="0" w:space="0" w:color="auto"/>
        <w:left w:val="none" w:sz="0" w:space="0" w:color="auto"/>
        <w:bottom w:val="none" w:sz="0" w:space="0" w:color="auto"/>
        <w:right w:val="none" w:sz="0" w:space="0" w:color="auto"/>
      </w:divBdr>
    </w:div>
    <w:div w:id="1436899402">
      <w:bodyDiv w:val="1"/>
      <w:marLeft w:val="0"/>
      <w:marRight w:val="0"/>
      <w:marTop w:val="0"/>
      <w:marBottom w:val="0"/>
      <w:divBdr>
        <w:top w:val="none" w:sz="0" w:space="0" w:color="auto"/>
        <w:left w:val="none" w:sz="0" w:space="0" w:color="auto"/>
        <w:bottom w:val="none" w:sz="0" w:space="0" w:color="auto"/>
        <w:right w:val="none" w:sz="0" w:space="0" w:color="auto"/>
      </w:divBdr>
    </w:div>
    <w:div w:id="1493329901">
      <w:bodyDiv w:val="1"/>
      <w:marLeft w:val="0"/>
      <w:marRight w:val="0"/>
      <w:marTop w:val="0"/>
      <w:marBottom w:val="0"/>
      <w:divBdr>
        <w:top w:val="none" w:sz="0" w:space="0" w:color="auto"/>
        <w:left w:val="none" w:sz="0" w:space="0" w:color="auto"/>
        <w:bottom w:val="none" w:sz="0" w:space="0" w:color="auto"/>
        <w:right w:val="none" w:sz="0" w:space="0" w:color="auto"/>
      </w:divBdr>
    </w:div>
    <w:div w:id="1499887006">
      <w:bodyDiv w:val="1"/>
      <w:marLeft w:val="0"/>
      <w:marRight w:val="0"/>
      <w:marTop w:val="0"/>
      <w:marBottom w:val="0"/>
      <w:divBdr>
        <w:top w:val="none" w:sz="0" w:space="0" w:color="auto"/>
        <w:left w:val="none" w:sz="0" w:space="0" w:color="auto"/>
        <w:bottom w:val="none" w:sz="0" w:space="0" w:color="auto"/>
        <w:right w:val="none" w:sz="0" w:space="0" w:color="auto"/>
      </w:divBdr>
    </w:div>
    <w:div w:id="1500466072">
      <w:bodyDiv w:val="1"/>
      <w:marLeft w:val="0"/>
      <w:marRight w:val="0"/>
      <w:marTop w:val="0"/>
      <w:marBottom w:val="0"/>
      <w:divBdr>
        <w:top w:val="none" w:sz="0" w:space="0" w:color="auto"/>
        <w:left w:val="none" w:sz="0" w:space="0" w:color="auto"/>
        <w:bottom w:val="none" w:sz="0" w:space="0" w:color="auto"/>
        <w:right w:val="none" w:sz="0" w:space="0" w:color="auto"/>
      </w:divBdr>
    </w:div>
    <w:div w:id="1501970900">
      <w:bodyDiv w:val="1"/>
      <w:marLeft w:val="0"/>
      <w:marRight w:val="0"/>
      <w:marTop w:val="0"/>
      <w:marBottom w:val="0"/>
      <w:divBdr>
        <w:top w:val="none" w:sz="0" w:space="0" w:color="auto"/>
        <w:left w:val="none" w:sz="0" w:space="0" w:color="auto"/>
        <w:bottom w:val="none" w:sz="0" w:space="0" w:color="auto"/>
        <w:right w:val="none" w:sz="0" w:space="0" w:color="auto"/>
      </w:divBdr>
    </w:div>
    <w:div w:id="1517231485">
      <w:bodyDiv w:val="1"/>
      <w:marLeft w:val="0"/>
      <w:marRight w:val="0"/>
      <w:marTop w:val="0"/>
      <w:marBottom w:val="0"/>
      <w:divBdr>
        <w:top w:val="none" w:sz="0" w:space="0" w:color="auto"/>
        <w:left w:val="none" w:sz="0" w:space="0" w:color="auto"/>
        <w:bottom w:val="none" w:sz="0" w:space="0" w:color="auto"/>
        <w:right w:val="none" w:sz="0" w:space="0" w:color="auto"/>
      </w:divBdr>
    </w:div>
    <w:div w:id="1547595674">
      <w:bodyDiv w:val="1"/>
      <w:marLeft w:val="0"/>
      <w:marRight w:val="0"/>
      <w:marTop w:val="0"/>
      <w:marBottom w:val="0"/>
      <w:divBdr>
        <w:top w:val="none" w:sz="0" w:space="0" w:color="auto"/>
        <w:left w:val="none" w:sz="0" w:space="0" w:color="auto"/>
        <w:bottom w:val="none" w:sz="0" w:space="0" w:color="auto"/>
        <w:right w:val="none" w:sz="0" w:space="0" w:color="auto"/>
      </w:divBdr>
    </w:div>
    <w:div w:id="1572541831">
      <w:bodyDiv w:val="1"/>
      <w:marLeft w:val="0"/>
      <w:marRight w:val="0"/>
      <w:marTop w:val="0"/>
      <w:marBottom w:val="0"/>
      <w:divBdr>
        <w:top w:val="none" w:sz="0" w:space="0" w:color="auto"/>
        <w:left w:val="none" w:sz="0" w:space="0" w:color="auto"/>
        <w:bottom w:val="none" w:sz="0" w:space="0" w:color="auto"/>
        <w:right w:val="none" w:sz="0" w:space="0" w:color="auto"/>
      </w:divBdr>
    </w:div>
    <w:div w:id="1581255895">
      <w:bodyDiv w:val="1"/>
      <w:marLeft w:val="0"/>
      <w:marRight w:val="0"/>
      <w:marTop w:val="0"/>
      <w:marBottom w:val="0"/>
      <w:divBdr>
        <w:top w:val="none" w:sz="0" w:space="0" w:color="auto"/>
        <w:left w:val="none" w:sz="0" w:space="0" w:color="auto"/>
        <w:bottom w:val="none" w:sz="0" w:space="0" w:color="auto"/>
        <w:right w:val="none" w:sz="0" w:space="0" w:color="auto"/>
      </w:divBdr>
    </w:div>
    <w:div w:id="1594360864">
      <w:bodyDiv w:val="1"/>
      <w:marLeft w:val="0"/>
      <w:marRight w:val="0"/>
      <w:marTop w:val="0"/>
      <w:marBottom w:val="0"/>
      <w:divBdr>
        <w:top w:val="none" w:sz="0" w:space="0" w:color="auto"/>
        <w:left w:val="none" w:sz="0" w:space="0" w:color="auto"/>
        <w:bottom w:val="none" w:sz="0" w:space="0" w:color="auto"/>
        <w:right w:val="none" w:sz="0" w:space="0" w:color="auto"/>
      </w:divBdr>
    </w:div>
    <w:div w:id="1624921954">
      <w:bodyDiv w:val="1"/>
      <w:marLeft w:val="0"/>
      <w:marRight w:val="0"/>
      <w:marTop w:val="0"/>
      <w:marBottom w:val="0"/>
      <w:divBdr>
        <w:top w:val="none" w:sz="0" w:space="0" w:color="auto"/>
        <w:left w:val="none" w:sz="0" w:space="0" w:color="auto"/>
        <w:bottom w:val="none" w:sz="0" w:space="0" w:color="auto"/>
        <w:right w:val="none" w:sz="0" w:space="0" w:color="auto"/>
      </w:divBdr>
    </w:div>
    <w:div w:id="1626497212">
      <w:bodyDiv w:val="1"/>
      <w:marLeft w:val="0"/>
      <w:marRight w:val="0"/>
      <w:marTop w:val="0"/>
      <w:marBottom w:val="0"/>
      <w:divBdr>
        <w:top w:val="none" w:sz="0" w:space="0" w:color="auto"/>
        <w:left w:val="none" w:sz="0" w:space="0" w:color="auto"/>
        <w:bottom w:val="none" w:sz="0" w:space="0" w:color="auto"/>
        <w:right w:val="none" w:sz="0" w:space="0" w:color="auto"/>
      </w:divBdr>
    </w:div>
    <w:div w:id="1665862535">
      <w:bodyDiv w:val="1"/>
      <w:marLeft w:val="0"/>
      <w:marRight w:val="0"/>
      <w:marTop w:val="0"/>
      <w:marBottom w:val="0"/>
      <w:divBdr>
        <w:top w:val="none" w:sz="0" w:space="0" w:color="auto"/>
        <w:left w:val="none" w:sz="0" w:space="0" w:color="auto"/>
        <w:bottom w:val="none" w:sz="0" w:space="0" w:color="auto"/>
        <w:right w:val="none" w:sz="0" w:space="0" w:color="auto"/>
      </w:divBdr>
    </w:div>
    <w:div w:id="1689477536">
      <w:bodyDiv w:val="1"/>
      <w:marLeft w:val="0"/>
      <w:marRight w:val="0"/>
      <w:marTop w:val="0"/>
      <w:marBottom w:val="0"/>
      <w:divBdr>
        <w:top w:val="none" w:sz="0" w:space="0" w:color="auto"/>
        <w:left w:val="none" w:sz="0" w:space="0" w:color="auto"/>
        <w:bottom w:val="none" w:sz="0" w:space="0" w:color="auto"/>
        <w:right w:val="none" w:sz="0" w:space="0" w:color="auto"/>
      </w:divBdr>
    </w:div>
    <w:div w:id="1692488376">
      <w:bodyDiv w:val="1"/>
      <w:marLeft w:val="0"/>
      <w:marRight w:val="0"/>
      <w:marTop w:val="0"/>
      <w:marBottom w:val="0"/>
      <w:divBdr>
        <w:top w:val="none" w:sz="0" w:space="0" w:color="auto"/>
        <w:left w:val="none" w:sz="0" w:space="0" w:color="auto"/>
        <w:bottom w:val="none" w:sz="0" w:space="0" w:color="auto"/>
        <w:right w:val="none" w:sz="0" w:space="0" w:color="auto"/>
      </w:divBdr>
    </w:div>
    <w:div w:id="1737124221">
      <w:bodyDiv w:val="1"/>
      <w:marLeft w:val="0"/>
      <w:marRight w:val="0"/>
      <w:marTop w:val="0"/>
      <w:marBottom w:val="0"/>
      <w:divBdr>
        <w:top w:val="none" w:sz="0" w:space="0" w:color="auto"/>
        <w:left w:val="none" w:sz="0" w:space="0" w:color="auto"/>
        <w:bottom w:val="none" w:sz="0" w:space="0" w:color="auto"/>
        <w:right w:val="none" w:sz="0" w:space="0" w:color="auto"/>
      </w:divBdr>
    </w:div>
    <w:div w:id="1750080375">
      <w:bodyDiv w:val="1"/>
      <w:marLeft w:val="0"/>
      <w:marRight w:val="0"/>
      <w:marTop w:val="0"/>
      <w:marBottom w:val="0"/>
      <w:divBdr>
        <w:top w:val="none" w:sz="0" w:space="0" w:color="auto"/>
        <w:left w:val="none" w:sz="0" w:space="0" w:color="auto"/>
        <w:bottom w:val="none" w:sz="0" w:space="0" w:color="auto"/>
        <w:right w:val="none" w:sz="0" w:space="0" w:color="auto"/>
      </w:divBdr>
    </w:div>
    <w:div w:id="1759786234">
      <w:bodyDiv w:val="1"/>
      <w:marLeft w:val="0"/>
      <w:marRight w:val="0"/>
      <w:marTop w:val="0"/>
      <w:marBottom w:val="0"/>
      <w:divBdr>
        <w:top w:val="none" w:sz="0" w:space="0" w:color="auto"/>
        <w:left w:val="none" w:sz="0" w:space="0" w:color="auto"/>
        <w:bottom w:val="none" w:sz="0" w:space="0" w:color="auto"/>
        <w:right w:val="none" w:sz="0" w:space="0" w:color="auto"/>
      </w:divBdr>
    </w:div>
    <w:div w:id="1777824256">
      <w:bodyDiv w:val="1"/>
      <w:marLeft w:val="0"/>
      <w:marRight w:val="0"/>
      <w:marTop w:val="0"/>
      <w:marBottom w:val="0"/>
      <w:divBdr>
        <w:top w:val="none" w:sz="0" w:space="0" w:color="auto"/>
        <w:left w:val="none" w:sz="0" w:space="0" w:color="auto"/>
        <w:bottom w:val="none" w:sz="0" w:space="0" w:color="auto"/>
        <w:right w:val="none" w:sz="0" w:space="0" w:color="auto"/>
      </w:divBdr>
    </w:div>
    <w:div w:id="1779831416">
      <w:bodyDiv w:val="1"/>
      <w:marLeft w:val="0"/>
      <w:marRight w:val="0"/>
      <w:marTop w:val="0"/>
      <w:marBottom w:val="0"/>
      <w:divBdr>
        <w:top w:val="none" w:sz="0" w:space="0" w:color="auto"/>
        <w:left w:val="none" w:sz="0" w:space="0" w:color="auto"/>
        <w:bottom w:val="none" w:sz="0" w:space="0" w:color="auto"/>
        <w:right w:val="none" w:sz="0" w:space="0" w:color="auto"/>
      </w:divBdr>
    </w:div>
    <w:div w:id="1793595038">
      <w:bodyDiv w:val="1"/>
      <w:marLeft w:val="0"/>
      <w:marRight w:val="0"/>
      <w:marTop w:val="0"/>
      <w:marBottom w:val="0"/>
      <w:divBdr>
        <w:top w:val="none" w:sz="0" w:space="0" w:color="auto"/>
        <w:left w:val="none" w:sz="0" w:space="0" w:color="auto"/>
        <w:bottom w:val="none" w:sz="0" w:space="0" w:color="auto"/>
        <w:right w:val="none" w:sz="0" w:space="0" w:color="auto"/>
      </w:divBdr>
    </w:div>
    <w:div w:id="1816213809">
      <w:bodyDiv w:val="1"/>
      <w:marLeft w:val="0"/>
      <w:marRight w:val="0"/>
      <w:marTop w:val="0"/>
      <w:marBottom w:val="0"/>
      <w:divBdr>
        <w:top w:val="none" w:sz="0" w:space="0" w:color="auto"/>
        <w:left w:val="none" w:sz="0" w:space="0" w:color="auto"/>
        <w:bottom w:val="none" w:sz="0" w:space="0" w:color="auto"/>
        <w:right w:val="none" w:sz="0" w:space="0" w:color="auto"/>
      </w:divBdr>
    </w:div>
    <w:div w:id="1824007900">
      <w:bodyDiv w:val="1"/>
      <w:marLeft w:val="0"/>
      <w:marRight w:val="0"/>
      <w:marTop w:val="0"/>
      <w:marBottom w:val="0"/>
      <w:divBdr>
        <w:top w:val="none" w:sz="0" w:space="0" w:color="auto"/>
        <w:left w:val="none" w:sz="0" w:space="0" w:color="auto"/>
        <w:bottom w:val="none" w:sz="0" w:space="0" w:color="auto"/>
        <w:right w:val="none" w:sz="0" w:space="0" w:color="auto"/>
      </w:divBdr>
    </w:div>
    <w:div w:id="1837837406">
      <w:bodyDiv w:val="1"/>
      <w:marLeft w:val="0"/>
      <w:marRight w:val="0"/>
      <w:marTop w:val="0"/>
      <w:marBottom w:val="0"/>
      <w:divBdr>
        <w:top w:val="none" w:sz="0" w:space="0" w:color="auto"/>
        <w:left w:val="none" w:sz="0" w:space="0" w:color="auto"/>
        <w:bottom w:val="none" w:sz="0" w:space="0" w:color="auto"/>
        <w:right w:val="none" w:sz="0" w:space="0" w:color="auto"/>
      </w:divBdr>
    </w:div>
    <w:div w:id="1851946180">
      <w:bodyDiv w:val="1"/>
      <w:marLeft w:val="0"/>
      <w:marRight w:val="0"/>
      <w:marTop w:val="0"/>
      <w:marBottom w:val="0"/>
      <w:divBdr>
        <w:top w:val="none" w:sz="0" w:space="0" w:color="auto"/>
        <w:left w:val="none" w:sz="0" w:space="0" w:color="auto"/>
        <w:bottom w:val="none" w:sz="0" w:space="0" w:color="auto"/>
        <w:right w:val="none" w:sz="0" w:space="0" w:color="auto"/>
      </w:divBdr>
    </w:div>
    <w:div w:id="1869903447">
      <w:bodyDiv w:val="1"/>
      <w:marLeft w:val="0"/>
      <w:marRight w:val="0"/>
      <w:marTop w:val="0"/>
      <w:marBottom w:val="0"/>
      <w:divBdr>
        <w:top w:val="none" w:sz="0" w:space="0" w:color="auto"/>
        <w:left w:val="none" w:sz="0" w:space="0" w:color="auto"/>
        <w:bottom w:val="none" w:sz="0" w:space="0" w:color="auto"/>
        <w:right w:val="none" w:sz="0" w:space="0" w:color="auto"/>
      </w:divBdr>
    </w:div>
    <w:div w:id="1931499968">
      <w:bodyDiv w:val="1"/>
      <w:marLeft w:val="0"/>
      <w:marRight w:val="0"/>
      <w:marTop w:val="0"/>
      <w:marBottom w:val="0"/>
      <w:divBdr>
        <w:top w:val="none" w:sz="0" w:space="0" w:color="auto"/>
        <w:left w:val="none" w:sz="0" w:space="0" w:color="auto"/>
        <w:bottom w:val="none" w:sz="0" w:space="0" w:color="auto"/>
        <w:right w:val="none" w:sz="0" w:space="0" w:color="auto"/>
      </w:divBdr>
    </w:div>
    <w:div w:id="1947031523">
      <w:bodyDiv w:val="1"/>
      <w:marLeft w:val="0"/>
      <w:marRight w:val="0"/>
      <w:marTop w:val="0"/>
      <w:marBottom w:val="0"/>
      <w:divBdr>
        <w:top w:val="none" w:sz="0" w:space="0" w:color="auto"/>
        <w:left w:val="none" w:sz="0" w:space="0" w:color="auto"/>
        <w:bottom w:val="none" w:sz="0" w:space="0" w:color="auto"/>
        <w:right w:val="none" w:sz="0" w:space="0" w:color="auto"/>
      </w:divBdr>
    </w:div>
    <w:div w:id="2002197159">
      <w:bodyDiv w:val="1"/>
      <w:marLeft w:val="0"/>
      <w:marRight w:val="0"/>
      <w:marTop w:val="0"/>
      <w:marBottom w:val="0"/>
      <w:divBdr>
        <w:top w:val="none" w:sz="0" w:space="0" w:color="auto"/>
        <w:left w:val="none" w:sz="0" w:space="0" w:color="auto"/>
        <w:bottom w:val="none" w:sz="0" w:space="0" w:color="auto"/>
        <w:right w:val="none" w:sz="0" w:space="0" w:color="auto"/>
      </w:divBdr>
    </w:div>
    <w:div w:id="2019230578">
      <w:bodyDiv w:val="1"/>
      <w:marLeft w:val="0"/>
      <w:marRight w:val="0"/>
      <w:marTop w:val="0"/>
      <w:marBottom w:val="0"/>
      <w:divBdr>
        <w:top w:val="none" w:sz="0" w:space="0" w:color="auto"/>
        <w:left w:val="none" w:sz="0" w:space="0" w:color="auto"/>
        <w:bottom w:val="none" w:sz="0" w:space="0" w:color="auto"/>
        <w:right w:val="none" w:sz="0" w:space="0" w:color="auto"/>
      </w:divBdr>
    </w:div>
    <w:div w:id="2036618458">
      <w:bodyDiv w:val="1"/>
      <w:marLeft w:val="0"/>
      <w:marRight w:val="0"/>
      <w:marTop w:val="0"/>
      <w:marBottom w:val="0"/>
      <w:divBdr>
        <w:top w:val="none" w:sz="0" w:space="0" w:color="auto"/>
        <w:left w:val="none" w:sz="0" w:space="0" w:color="auto"/>
        <w:bottom w:val="none" w:sz="0" w:space="0" w:color="auto"/>
        <w:right w:val="none" w:sz="0" w:space="0" w:color="auto"/>
      </w:divBdr>
    </w:div>
    <w:div w:id="2054621699">
      <w:bodyDiv w:val="1"/>
      <w:marLeft w:val="0"/>
      <w:marRight w:val="0"/>
      <w:marTop w:val="0"/>
      <w:marBottom w:val="0"/>
      <w:divBdr>
        <w:top w:val="none" w:sz="0" w:space="0" w:color="auto"/>
        <w:left w:val="none" w:sz="0" w:space="0" w:color="auto"/>
        <w:bottom w:val="none" w:sz="0" w:space="0" w:color="auto"/>
        <w:right w:val="none" w:sz="0" w:space="0" w:color="auto"/>
      </w:divBdr>
    </w:div>
    <w:div w:id="2099447688">
      <w:bodyDiv w:val="1"/>
      <w:marLeft w:val="0"/>
      <w:marRight w:val="0"/>
      <w:marTop w:val="0"/>
      <w:marBottom w:val="0"/>
      <w:divBdr>
        <w:top w:val="none" w:sz="0" w:space="0" w:color="auto"/>
        <w:left w:val="none" w:sz="0" w:space="0" w:color="auto"/>
        <w:bottom w:val="none" w:sz="0" w:space="0" w:color="auto"/>
        <w:right w:val="none" w:sz="0" w:space="0" w:color="auto"/>
      </w:divBdr>
    </w:div>
    <w:div w:id="2120560356">
      <w:bodyDiv w:val="1"/>
      <w:marLeft w:val="0"/>
      <w:marRight w:val="0"/>
      <w:marTop w:val="0"/>
      <w:marBottom w:val="0"/>
      <w:divBdr>
        <w:top w:val="none" w:sz="0" w:space="0" w:color="auto"/>
        <w:left w:val="none" w:sz="0" w:space="0" w:color="auto"/>
        <w:bottom w:val="none" w:sz="0" w:space="0" w:color="auto"/>
        <w:right w:val="none" w:sz="0" w:space="0" w:color="auto"/>
      </w:divBdr>
    </w:div>
    <w:div w:id="214638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image" Target="media/image7.emf"/><Relationship Id="rId39" Type="http://schemas.openxmlformats.org/officeDocument/2006/relationships/image" Target="media/image19.emf"/><Relationship Id="rId21" Type="http://schemas.openxmlformats.org/officeDocument/2006/relationships/image" Target="media/image2.emf"/><Relationship Id="rId34" Type="http://schemas.openxmlformats.org/officeDocument/2006/relationships/image" Target="media/image15.emf"/><Relationship Id="rId42" Type="http://schemas.openxmlformats.org/officeDocument/2006/relationships/image" Target="media/image22.emf"/><Relationship Id="rId47" Type="http://schemas.openxmlformats.org/officeDocument/2006/relationships/image" Target="media/image27.emf"/><Relationship Id="rId50" Type="http://schemas.openxmlformats.org/officeDocument/2006/relationships/image" Target="media/image30.emf"/><Relationship Id="rId55" Type="http://schemas.openxmlformats.org/officeDocument/2006/relationships/image" Target="media/image35.emf"/><Relationship Id="rId63" Type="http://schemas.openxmlformats.org/officeDocument/2006/relationships/image" Target="media/image43.emf"/><Relationship Id="rId68" Type="http://schemas.openxmlformats.org/officeDocument/2006/relationships/image" Target="media/image46.emf"/><Relationship Id="rId76" Type="http://schemas.openxmlformats.org/officeDocument/2006/relationships/image" Target="media/image54.emf"/><Relationship Id="rId7" Type="http://schemas.openxmlformats.org/officeDocument/2006/relationships/footnotes" Target="footnotes.xml"/><Relationship Id="rId71" Type="http://schemas.openxmlformats.org/officeDocument/2006/relationships/image" Target="media/image49.emf"/><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image" Target="media/image10.emf"/><Relationship Id="rId11" Type="http://schemas.openxmlformats.org/officeDocument/2006/relationships/chart" Target="charts/chart2.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image" Target="media/image20.emf"/><Relationship Id="rId45" Type="http://schemas.openxmlformats.org/officeDocument/2006/relationships/image" Target="media/image25.emf"/><Relationship Id="rId53" Type="http://schemas.openxmlformats.org/officeDocument/2006/relationships/image" Target="media/image33.emf"/><Relationship Id="rId58" Type="http://schemas.openxmlformats.org/officeDocument/2006/relationships/image" Target="media/image38.emf"/><Relationship Id="rId66" Type="http://schemas.openxmlformats.org/officeDocument/2006/relationships/chart" Target="charts/chart13.xml"/><Relationship Id="rId74" Type="http://schemas.openxmlformats.org/officeDocument/2006/relationships/image" Target="media/image52.emf"/><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41.emf"/><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image" Target="media/image12.emf"/><Relationship Id="rId44" Type="http://schemas.openxmlformats.org/officeDocument/2006/relationships/image" Target="media/image24.emf"/><Relationship Id="rId52" Type="http://schemas.openxmlformats.org/officeDocument/2006/relationships/image" Target="media/image32.emf"/><Relationship Id="rId60" Type="http://schemas.openxmlformats.org/officeDocument/2006/relationships/image" Target="media/image40.emf"/><Relationship Id="rId65" Type="http://schemas.openxmlformats.org/officeDocument/2006/relationships/image" Target="media/image44.emf"/><Relationship Id="rId73" Type="http://schemas.openxmlformats.org/officeDocument/2006/relationships/image" Target="media/image51.emf"/><Relationship Id="rId78" Type="http://schemas.openxmlformats.org/officeDocument/2006/relationships/image" Target="media/image55.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image" Target="media/image23.emf"/><Relationship Id="rId48" Type="http://schemas.openxmlformats.org/officeDocument/2006/relationships/image" Target="media/image28.emf"/><Relationship Id="rId56" Type="http://schemas.openxmlformats.org/officeDocument/2006/relationships/image" Target="media/image36.emf"/><Relationship Id="rId64" Type="http://schemas.openxmlformats.org/officeDocument/2006/relationships/footer" Target="footer1.xml"/><Relationship Id="rId69" Type="http://schemas.openxmlformats.org/officeDocument/2006/relationships/image" Target="media/image47.emf"/><Relationship Id="rId77" Type="http://schemas.openxmlformats.org/officeDocument/2006/relationships/chart" Target="charts/chart14.xml"/><Relationship Id="rId8" Type="http://schemas.openxmlformats.org/officeDocument/2006/relationships/endnotes" Target="endnotes.xml"/><Relationship Id="rId51" Type="http://schemas.openxmlformats.org/officeDocument/2006/relationships/image" Target="media/image31.emf"/><Relationship Id="rId72" Type="http://schemas.openxmlformats.org/officeDocument/2006/relationships/image" Target="media/image50.e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chart" Target="charts/chart12.xml"/><Relationship Id="rId46" Type="http://schemas.openxmlformats.org/officeDocument/2006/relationships/image" Target="media/image26.emf"/><Relationship Id="rId59" Type="http://schemas.openxmlformats.org/officeDocument/2006/relationships/image" Target="media/image39.emf"/><Relationship Id="rId67" Type="http://schemas.openxmlformats.org/officeDocument/2006/relationships/image" Target="media/image45.emf"/><Relationship Id="rId20" Type="http://schemas.openxmlformats.org/officeDocument/2006/relationships/chart" Target="charts/chart11.xml"/><Relationship Id="rId41" Type="http://schemas.openxmlformats.org/officeDocument/2006/relationships/image" Target="media/image21.emf"/><Relationship Id="rId54" Type="http://schemas.openxmlformats.org/officeDocument/2006/relationships/image" Target="media/image34.emf"/><Relationship Id="rId62" Type="http://schemas.openxmlformats.org/officeDocument/2006/relationships/image" Target="media/image42.emf"/><Relationship Id="rId70" Type="http://schemas.openxmlformats.org/officeDocument/2006/relationships/image" Target="media/image48.emf"/><Relationship Id="rId75" Type="http://schemas.openxmlformats.org/officeDocument/2006/relationships/image" Target="media/image53.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emf"/><Relationship Id="rId49" Type="http://schemas.openxmlformats.org/officeDocument/2006/relationships/image" Target="media/image29.emf"/><Relationship Id="rId57" Type="http://schemas.openxmlformats.org/officeDocument/2006/relationships/image" Target="media/image37.emf"/></Relationships>
</file>

<file path=word/_rels/footnotes.xml.rels><?xml version="1.0" encoding="UTF-8" standalone="yes"?>
<Relationships xmlns="http://schemas.openxmlformats.org/package/2006/relationships"><Relationship Id="rId3" Type="http://schemas.openxmlformats.org/officeDocument/2006/relationships/hyperlink" Target="http://www.stat.gov.pl" TargetMode="External"/><Relationship Id="rId2" Type="http://schemas.openxmlformats.org/officeDocument/2006/relationships/hyperlink" Target="http://eteryt.stat.gov.pl/eTeryt/rejestr_teryt/udostepnianie_danych/baza_teryt/raporty/raporty.aspx?contrast=default" TargetMode="External"/><Relationship Id="rId1" Type="http://schemas.openxmlformats.org/officeDocument/2006/relationships/hyperlink" Target="https://bdl.stat.gov.pl/BDL/start" TargetMode="External"/><Relationship Id="rId5" Type="http://schemas.openxmlformats.org/officeDocument/2006/relationships/hyperlink" Target="http://psz.praca.gov.pl/-/120524-ujednolicony-tekst-ustawy-z-dnia-20-kwietnia-2004r-o-promocji-zatrudnienia-i-instytucjach-rynku-pracy" TargetMode="External"/><Relationship Id="rId4" Type="http://schemas.openxmlformats.org/officeDocument/2006/relationships/hyperlink" Target="https://bdl.stat.gov.pl/BDL/star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iotr.Kocaj\Desktop\przyrost%20naturalny_1%20miejsce%20po%20przec..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Piotr.Kocaj\Desktop\przeds_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Piotr.Kocaj\Desktop\pracuj&#261;c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Piotr.Kocaj\Desktop\Analiza%202018%20+%20spr%20WUP\Aneks_2018.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Piotr.Kocaj\Desktop\Analiza%202018%20+%20spr%20WUP\Aneks_2018.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Piotr.Kocaj\Desktop\Analiza%202018%20+%20spr%20WUP\Aneks_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iotr.Kocaj\Desktop\Analiza%202018%20+%20spr%20WUP\cz%20I_dane\mediana%20wsp.%20fem.%20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iotr.Kocaj\Desktop\Analiza%202018%20+%20spr%20WUP\cz%20I_dane\mediana%20wsp.%20fem.%2020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iotr.Kocaj\Desktop\Analiza%202018%20+%20spr%20WUP\cz%20I_dane%20ekon_gr.%20wieku\ekon_gr_wieku_wariant%20I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iotr.Kocaj\Desktop\Analiza%202018%20+%20spr%20WUP\cz%20I_dane%20ekon_gr.%20wieku\ekon_gr_wieku_wariant%20I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iotr.Kocaj\Desktop\Analiza%202018%20+%20spr%20WUP\cz%20I_dane%20ekon_gr.%20wieku\00_ekon_gr_wieku_wariant%20I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Piotr.Kocaj\Desktop\Analiza%202018%20+%20spr%20WUP\cz%20I_dane%20ekon_gr.%20wieku\00_ekon_gr_wieku_wariant%20I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Piotr.Kocaj\Desktop\podm_na%201000%20ludn..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Piotr.Kocaj\Desktop\wska&#378;nik%20przed_woj..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450208429828626E-2"/>
          <c:y val="6.7262943483415924E-2"/>
          <c:w val="0.92032630118616554"/>
          <c:h val="0.90288026438229363"/>
        </c:manualLayout>
      </c:layout>
      <c:lineChart>
        <c:grouping val="standard"/>
        <c:varyColors val="0"/>
        <c:ser>
          <c:idx val="0"/>
          <c:order val="0"/>
          <c:tx>
            <c:strRef>
              <c:f>TABLICA!$B$6</c:f>
              <c:strCache>
                <c:ptCount val="1"/>
                <c:pt idx="0">
                  <c:v>POLSKA</c:v>
                </c:pt>
              </c:strCache>
            </c:strRef>
          </c:tx>
          <c:spPr>
            <a:ln w="38100">
              <a:solidFill>
                <a:schemeClr val="tx1"/>
              </a:solidFill>
              <a:prstDash val="sysDot"/>
            </a:ln>
          </c:spPr>
          <c:marker>
            <c:symbol val="none"/>
          </c:marker>
          <c:dLbls>
            <c:dLbl>
              <c:idx val="1"/>
              <c:layout>
                <c:manualLayout>
                  <c:x val="-3.7400948093229226E-2"/>
                  <c:y val="-9.9928901738077544E-2"/>
                </c:manualLayout>
              </c:layout>
              <c:dLblPos val="r"/>
              <c:showLegendKey val="0"/>
              <c:showVal val="1"/>
              <c:showCatName val="0"/>
              <c:showSerName val="0"/>
              <c:showPercent val="0"/>
              <c:showBubbleSize val="0"/>
            </c:dLbl>
            <c:dLbl>
              <c:idx val="6"/>
              <c:layout>
                <c:manualLayout>
                  <c:x val="-3.4641566709420445E-2"/>
                  <c:y val="-5.0042275969278481E-2"/>
                </c:manualLayout>
              </c:layout>
              <c:dLblPos val="r"/>
              <c:showLegendKey val="0"/>
              <c:showVal val="1"/>
              <c:showCatName val="0"/>
              <c:showSerName val="0"/>
              <c:showPercent val="0"/>
              <c:showBubbleSize val="0"/>
            </c:dLbl>
            <c:dLbl>
              <c:idx val="8"/>
              <c:layout>
                <c:manualLayout>
                  <c:x val="-3.4641566709420445E-2"/>
                  <c:y val="-4.3806447748178601E-2"/>
                </c:manualLayout>
              </c:layout>
              <c:dLblPos val="r"/>
              <c:showLegendKey val="0"/>
              <c:showVal val="1"/>
              <c:showCatName val="0"/>
              <c:showSerName val="0"/>
              <c:showPercent val="0"/>
              <c:showBubbleSize val="0"/>
            </c:dLbl>
            <c:dLbl>
              <c:idx val="9"/>
              <c:layout>
                <c:manualLayout>
                  <c:x val="-3.2272918951774518E-2"/>
                  <c:y val="-5.0042275969278426E-2"/>
                </c:manualLayout>
              </c:layout>
              <c:dLblPos val="r"/>
              <c:showLegendKey val="0"/>
              <c:showVal val="1"/>
              <c:showCatName val="0"/>
              <c:showSerName val="0"/>
              <c:showPercent val="0"/>
              <c:showBubbleSize val="0"/>
            </c:dLbl>
            <c:dLbl>
              <c:idx val="10"/>
              <c:layout>
                <c:manualLayout>
                  <c:x val="-3.4644177117324981E-2"/>
                  <c:y val="-5.6282885125795198E-2"/>
                </c:manualLayout>
              </c:layout>
              <c:dLblPos val="r"/>
              <c:showLegendKey val="0"/>
              <c:showVal val="1"/>
              <c:showCatName val="0"/>
              <c:showSerName val="0"/>
              <c:showPercent val="0"/>
              <c:showBubbleSize val="0"/>
            </c:dLbl>
            <c:dLbl>
              <c:idx val="11"/>
              <c:layout>
                <c:manualLayout>
                  <c:x val="-3.9772592680326901E-2"/>
                  <c:y val="-0.13735553869611014"/>
                </c:manualLayout>
              </c:layout>
              <c:dLblPos val="r"/>
              <c:showLegendKey val="0"/>
              <c:showVal val="1"/>
              <c:showCatName val="0"/>
              <c:showSerName val="0"/>
              <c:showPercent val="0"/>
              <c:showBubbleSize val="0"/>
            </c:dLbl>
            <c:dLbl>
              <c:idx val="12"/>
              <c:layout>
                <c:manualLayout>
                  <c:x val="-3.7400948093229226E-2"/>
                  <c:y val="-4.3806447748178601E-2"/>
                </c:manualLayout>
              </c:layout>
              <c:dLblPos val="r"/>
              <c:showLegendKey val="0"/>
              <c:showVal val="1"/>
              <c:showCatName val="0"/>
              <c:showSerName val="0"/>
              <c:showPercent val="0"/>
              <c:showBubbleSize val="0"/>
            </c:dLbl>
            <c:dLbl>
              <c:idx val="13"/>
              <c:layout>
                <c:manualLayout>
                  <c:x val="-3.50323003355833E-2"/>
                  <c:y val="3.7259319126119871E-2"/>
                </c:manualLayout>
              </c:layout>
              <c:dLblPos val="r"/>
              <c:showLegendKey val="0"/>
              <c:showVal val="1"/>
              <c:showCatName val="0"/>
              <c:showSerName val="0"/>
              <c:showPercent val="0"/>
              <c:showBubbleSize val="0"/>
            </c:dLbl>
            <c:dLbl>
              <c:idx val="14"/>
              <c:layout>
                <c:manualLayout>
                  <c:x val="-3.7400948093229226E-2"/>
                  <c:y val="-5.0042275969278481E-2"/>
                </c:manualLayout>
              </c:layout>
              <c:dLblPos val="r"/>
              <c:showLegendKey val="0"/>
              <c:showVal val="1"/>
              <c:showCatName val="0"/>
              <c:showSerName val="0"/>
              <c:showPercent val="0"/>
              <c:showBubbleSize val="0"/>
            </c:dLbl>
            <c:dLbl>
              <c:idx val="15"/>
              <c:layout>
                <c:manualLayout>
                  <c:x val="-1.9608472191005734E-2"/>
                  <c:y val="-5.0046527158847894E-2"/>
                </c:manualLayout>
              </c:layout>
              <c:dLblPos val="r"/>
              <c:showLegendKey val="0"/>
              <c:showVal val="1"/>
              <c:showCatName val="0"/>
              <c:showSerName val="0"/>
              <c:showPercent val="0"/>
              <c:showBubbleSize val="0"/>
            </c:dLbl>
            <c:txPr>
              <a:bodyPr/>
              <a:lstStyle/>
              <a:p>
                <a:pPr>
                  <a:defRPr sz="700" b="1">
                    <a:solidFill>
                      <a:schemeClr val="tx1"/>
                    </a:solidFill>
                    <a:latin typeface="Times New Roman" panose="02020603050405020304" pitchFamily="18" charset="0"/>
                    <a:cs typeface="Times New Roman" panose="02020603050405020304" pitchFamily="18" charset="0"/>
                  </a:defRPr>
                </a:pPr>
                <a:endParaRPr lang="pl-PL"/>
              </a:p>
            </c:txPr>
            <c:dLblPos val="t"/>
            <c:showLegendKey val="0"/>
            <c:showVal val="1"/>
            <c:showCatName val="0"/>
            <c:showSerName val="0"/>
            <c:showPercent val="0"/>
            <c:showBubbleSize val="0"/>
            <c:showLeaderLines val="0"/>
          </c:dLbls>
          <c:cat>
            <c:strRef>
              <c:f>TABLICA!$C$4:$R$4</c:f>
              <c:strCache>
                <c:ptCount val="16"/>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strCache>
            </c:strRef>
          </c:cat>
          <c:val>
            <c:numRef>
              <c:f>TABLICA!$C$6:$R$6</c:f>
              <c:numCache>
                <c:formatCode>General</c:formatCode>
                <c:ptCount val="16"/>
                <c:pt idx="0">
                  <c:v>-0.15</c:v>
                </c:pt>
                <c:pt idx="1">
                  <c:v>-0.37</c:v>
                </c:pt>
                <c:pt idx="2">
                  <c:v>-0.19</c:v>
                </c:pt>
                <c:pt idx="3" formatCode="#,##0.00">
                  <c:v>-0.1</c:v>
                </c:pt>
                <c:pt idx="4" formatCode="#,##0.00">
                  <c:v>0.12</c:v>
                </c:pt>
                <c:pt idx="5" formatCode="#,##0.00">
                  <c:v>0.28000000000000003</c:v>
                </c:pt>
                <c:pt idx="6" formatCode="#,##0.00">
                  <c:v>0.92</c:v>
                </c:pt>
                <c:pt idx="7" formatCode="#,##0.00">
                  <c:v>0.86</c:v>
                </c:pt>
                <c:pt idx="8" formatCode="#,##0.00">
                  <c:v>0.9</c:v>
                </c:pt>
                <c:pt idx="9" formatCode="#,##0.00">
                  <c:v>0.34</c:v>
                </c:pt>
                <c:pt idx="10" formatCode="#,##0.00">
                  <c:v>0.04</c:v>
                </c:pt>
                <c:pt idx="11" formatCode="#,##0.00">
                  <c:v>-0.46</c:v>
                </c:pt>
                <c:pt idx="12" formatCode="#,##0.00">
                  <c:v>-0.03</c:v>
                </c:pt>
                <c:pt idx="13" formatCode="#,##0.00">
                  <c:v>-0.67</c:v>
                </c:pt>
                <c:pt idx="14" formatCode="#,##0.00">
                  <c:v>-0.15</c:v>
                </c:pt>
                <c:pt idx="15" formatCode="#,##0.00">
                  <c:v>-0.02</c:v>
                </c:pt>
              </c:numCache>
            </c:numRef>
          </c:val>
          <c:smooth val="1"/>
        </c:ser>
        <c:ser>
          <c:idx val="1"/>
          <c:order val="1"/>
          <c:tx>
            <c:strRef>
              <c:f>TABLICA!$B$10</c:f>
              <c:strCache>
                <c:ptCount val="1"/>
                <c:pt idx="0">
                  <c:v>PODKARPACKIE</c:v>
                </c:pt>
              </c:strCache>
            </c:strRef>
          </c:tx>
          <c:spPr>
            <a:ln w="53975">
              <a:solidFill>
                <a:schemeClr val="accent4">
                  <a:lumMod val="60000"/>
                  <a:lumOff val="40000"/>
                </a:schemeClr>
              </a:solidFill>
              <a:prstDash val="solid"/>
            </a:ln>
          </c:spPr>
          <c:marker>
            <c:symbol val="none"/>
          </c:marker>
          <c:dLbls>
            <c:dLbl>
              <c:idx val="15"/>
              <c:layout>
                <c:manualLayout>
                  <c:x val="-2.2369919740142557E-2"/>
                  <c:y val="-4.3806447748178601E-2"/>
                </c:manualLayout>
              </c:layout>
              <c:dLblPos val="r"/>
              <c:showLegendKey val="0"/>
              <c:showVal val="1"/>
              <c:showCatName val="0"/>
              <c:showSerName val="0"/>
              <c:showPercent val="0"/>
              <c:showBubbleSize val="0"/>
            </c:dLbl>
            <c:txPr>
              <a:bodyPr/>
              <a:lstStyle/>
              <a:p>
                <a:pPr>
                  <a:defRPr sz="700" b="1">
                    <a:latin typeface="Times New Roman" panose="02020603050405020304" pitchFamily="18" charset="0"/>
                    <a:cs typeface="Times New Roman" panose="02020603050405020304" pitchFamily="18" charset="0"/>
                  </a:defRPr>
                </a:pPr>
                <a:endParaRPr lang="pl-PL"/>
              </a:p>
            </c:txPr>
            <c:dLblPos val="t"/>
            <c:showLegendKey val="0"/>
            <c:showVal val="1"/>
            <c:showCatName val="0"/>
            <c:showSerName val="0"/>
            <c:showPercent val="0"/>
            <c:showBubbleSize val="0"/>
            <c:showLeaderLines val="0"/>
          </c:dLbls>
          <c:cat>
            <c:strRef>
              <c:f>TABLICA!$C$4:$R$4</c:f>
              <c:strCache>
                <c:ptCount val="16"/>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strCache>
            </c:strRef>
          </c:cat>
          <c:val>
            <c:numRef>
              <c:f>TABLICA!$C$10:$R$10</c:f>
              <c:numCache>
                <c:formatCode>General</c:formatCode>
                <c:ptCount val="16"/>
                <c:pt idx="0">
                  <c:v>1.58</c:v>
                </c:pt>
                <c:pt idx="1">
                  <c:v>1.23</c:v>
                </c:pt>
                <c:pt idx="2">
                  <c:v>1.22</c:v>
                </c:pt>
                <c:pt idx="3" formatCode="#,##0.00">
                  <c:v>1.06</c:v>
                </c:pt>
                <c:pt idx="4" formatCode="#,##0.00">
                  <c:v>1.29</c:v>
                </c:pt>
                <c:pt idx="5" formatCode="#,##0.00">
                  <c:v>1.45</c:v>
                </c:pt>
                <c:pt idx="6" formatCode="#,##0.00">
                  <c:v>1.9</c:v>
                </c:pt>
                <c:pt idx="7" formatCode="#,##0.00">
                  <c:v>1.75</c:v>
                </c:pt>
                <c:pt idx="8" formatCode="#,##0.00">
                  <c:v>1.74</c:v>
                </c:pt>
                <c:pt idx="9" formatCode="#,##0.00">
                  <c:v>1.37</c:v>
                </c:pt>
                <c:pt idx="10" formatCode="#,##0.00">
                  <c:v>1.25</c:v>
                </c:pt>
                <c:pt idx="11" formatCode="#,##0.00">
                  <c:v>0.84</c:v>
                </c:pt>
                <c:pt idx="12" formatCode="#,##0.00">
                  <c:v>0.75</c:v>
                </c:pt>
                <c:pt idx="13" formatCode="#,##0.00">
                  <c:v>7.0000000000000007E-2</c:v>
                </c:pt>
                <c:pt idx="14" formatCode="#,##0.00">
                  <c:v>0.54</c:v>
                </c:pt>
                <c:pt idx="15" formatCode="#,##0.00">
                  <c:v>1.22</c:v>
                </c:pt>
              </c:numCache>
            </c:numRef>
          </c:val>
          <c:smooth val="1"/>
        </c:ser>
        <c:dLbls>
          <c:showLegendKey val="0"/>
          <c:showVal val="0"/>
          <c:showCatName val="0"/>
          <c:showSerName val="0"/>
          <c:showPercent val="0"/>
          <c:showBubbleSize val="0"/>
        </c:dLbls>
        <c:marker val="1"/>
        <c:smooth val="0"/>
        <c:axId val="184057856"/>
        <c:axId val="184059392"/>
      </c:lineChart>
      <c:catAx>
        <c:axId val="184057856"/>
        <c:scaling>
          <c:orientation val="minMax"/>
        </c:scaling>
        <c:delete val="0"/>
        <c:axPos val="b"/>
        <c:majorGridlines>
          <c:spPr>
            <a:ln w="22225">
              <a:solidFill>
                <a:schemeClr val="accent4">
                  <a:lumMod val="60000"/>
                  <a:lumOff val="40000"/>
                  <a:alpha val="76000"/>
                </a:schemeClr>
              </a:solidFill>
              <a:prstDash val="sysDot"/>
            </a:ln>
          </c:spPr>
        </c:majorGridlines>
        <c:minorGridlines/>
        <c:numFmt formatCode="General" sourceLinked="1"/>
        <c:majorTickMark val="none"/>
        <c:minorTickMark val="none"/>
        <c:tickLblPos val="nextTo"/>
        <c:spPr>
          <a:ln w="19050">
            <a:solidFill>
              <a:schemeClr val="accent4">
                <a:lumMod val="20000"/>
                <a:lumOff val="80000"/>
                <a:alpha val="68000"/>
              </a:schemeClr>
            </a:solidFill>
            <a:prstDash val="solid"/>
          </a:ln>
        </c:spPr>
        <c:txPr>
          <a:bodyPr/>
          <a:lstStyle/>
          <a:p>
            <a:pPr>
              <a:defRPr sz="600" b="0">
                <a:solidFill>
                  <a:schemeClr val="tx1"/>
                </a:solidFill>
                <a:latin typeface="Times New Roman" panose="02020603050405020304" pitchFamily="18" charset="0"/>
                <a:cs typeface="Times New Roman" panose="02020603050405020304" pitchFamily="18" charset="0"/>
              </a:defRPr>
            </a:pPr>
            <a:endParaRPr lang="pl-PL"/>
          </a:p>
        </c:txPr>
        <c:crossAx val="184059392"/>
        <c:crosses val="autoZero"/>
        <c:auto val="1"/>
        <c:lblAlgn val="ctr"/>
        <c:lblOffset val="100"/>
        <c:noMultiLvlLbl val="0"/>
      </c:catAx>
      <c:valAx>
        <c:axId val="184059392"/>
        <c:scaling>
          <c:orientation val="minMax"/>
        </c:scaling>
        <c:delete val="0"/>
        <c:axPos val="l"/>
        <c:majorGridlines>
          <c:spPr>
            <a:ln>
              <a:solidFill>
                <a:schemeClr val="accent4">
                  <a:lumMod val="75000"/>
                  <a:alpha val="33000"/>
                </a:schemeClr>
              </a:solidFill>
            </a:ln>
          </c:spPr>
        </c:majorGridlines>
        <c:minorGridlines>
          <c:spPr>
            <a:ln w="6350">
              <a:solidFill>
                <a:srgbClr val="2EB0AA"/>
              </a:solidFill>
              <a:prstDash val="sysDot"/>
            </a:ln>
          </c:spPr>
        </c:minorGridlines>
        <c:numFmt formatCode="General" sourceLinked="1"/>
        <c:majorTickMark val="out"/>
        <c:minorTickMark val="none"/>
        <c:tickLblPos val="nextTo"/>
        <c:spPr>
          <a:noFill/>
          <a:ln>
            <a:solidFill>
              <a:schemeClr val="accent4">
                <a:lumMod val="60000"/>
                <a:lumOff val="40000"/>
              </a:schemeClr>
            </a:solidFill>
          </a:ln>
        </c:spPr>
        <c:txPr>
          <a:bodyPr/>
          <a:lstStyle/>
          <a:p>
            <a:pPr>
              <a:defRPr sz="800">
                <a:latin typeface="Times New Roman" panose="02020603050405020304" pitchFamily="18" charset="0"/>
                <a:ea typeface="Verdana" panose="020B0604030504040204" pitchFamily="34" charset="0"/>
                <a:cs typeface="Times New Roman" panose="02020603050405020304" pitchFamily="18" charset="0"/>
              </a:defRPr>
            </a:pPr>
            <a:endParaRPr lang="pl-PL"/>
          </a:p>
        </c:txPr>
        <c:crossAx val="184057856"/>
        <c:crosses val="autoZero"/>
        <c:crossBetween val="between"/>
      </c:valAx>
      <c:spPr>
        <a:noFill/>
      </c:spPr>
    </c:plotArea>
    <c:legend>
      <c:legendPos val="t"/>
      <c:layout>
        <c:manualLayout>
          <c:xMode val="edge"/>
          <c:yMode val="edge"/>
          <c:x val="0.32665125433133713"/>
          <c:y val="1.5619534044730899E-2"/>
          <c:w val="0.40064464589913884"/>
          <c:h val="7.6042521711813055E-2"/>
        </c:manualLayout>
      </c:layout>
      <c:overlay val="0"/>
      <c:txPr>
        <a:bodyPr/>
        <a:lstStyle/>
        <a:p>
          <a:pPr>
            <a:defRPr sz="80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6.2661735791731565E-2"/>
          <c:y val="2.8982662741249592E-2"/>
          <c:w val="0.92549164320643118"/>
          <c:h val="0.94203467451750078"/>
        </c:manualLayout>
      </c:layout>
      <c:barChart>
        <c:barDir val="col"/>
        <c:grouping val="clustered"/>
        <c:varyColors val="0"/>
        <c:ser>
          <c:idx val="0"/>
          <c:order val="0"/>
          <c:tx>
            <c:strRef>
              <c:f>Arkusz2!$B$2</c:f>
              <c:strCache>
                <c:ptCount val="1"/>
                <c:pt idx="0">
                  <c:v>OKRES</c:v>
                </c:pt>
              </c:strCache>
            </c:strRef>
          </c:tx>
          <c:spPr>
            <a:solidFill>
              <a:srgbClr val="C00000"/>
            </a:solidFill>
            <a:ln w="66675">
              <a:noFill/>
            </a:ln>
            <a:effectLst>
              <a:outerShdw blurRad="152400" dist="317500" dir="5400000" sx="90000" sy="-19000" rotWithShape="0">
                <a:prstClr val="black">
                  <a:alpha val="15000"/>
                </a:prstClr>
              </a:outerShdw>
            </a:effectLst>
          </c:spPr>
          <c:invertIfNegative val="0"/>
          <c:dPt>
            <c:idx val="1"/>
            <c:invertIfNegative val="0"/>
            <c:bubble3D val="0"/>
            <c:spPr>
              <a:solidFill>
                <a:schemeClr val="accent4">
                  <a:lumMod val="60000"/>
                  <a:lumOff val="40000"/>
                </a:schemeClr>
              </a:solidFill>
              <a:ln w="66675">
                <a:noFill/>
              </a:ln>
              <a:effectLst>
                <a:outerShdw blurRad="152400" dist="317500" dir="5400000" sx="90000" sy="-19000" rotWithShape="0">
                  <a:prstClr val="black">
                    <a:alpha val="15000"/>
                  </a:prstClr>
                </a:outerShdw>
              </a:effectLst>
            </c:spPr>
          </c:dPt>
          <c:dPt>
            <c:idx val="2"/>
            <c:invertIfNegative val="0"/>
            <c:bubble3D val="0"/>
            <c:spPr>
              <a:solidFill>
                <a:schemeClr val="accent4">
                  <a:lumMod val="60000"/>
                  <a:lumOff val="40000"/>
                </a:schemeClr>
              </a:solidFill>
              <a:ln w="66675">
                <a:noFill/>
              </a:ln>
              <a:effectLst>
                <a:outerShdw blurRad="152400" dist="317500" dir="5400000" sx="90000" sy="-19000" rotWithShape="0">
                  <a:prstClr val="black">
                    <a:alpha val="15000"/>
                  </a:prstClr>
                </a:outerShdw>
              </a:effectLst>
            </c:spPr>
          </c:dPt>
          <c:dPt>
            <c:idx val="8"/>
            <c:invertIfNegative val="0"/>
            <c:bubble3D val="0"/>
            <c:spPr>
              <a:solidFill>
                <a:schemeClr val="accent4">
                  <a:lumMod val="60000"/>
                  <a:lumOff val="40000"/>
                </a:schemeClr>
              </a:solidFill>
              <a:ln w="66675">
                <a:noFill/>
              </a:ln>
              <a:effectLst>
                <a:outerShdw blurRad="152400" dist="317500" dir="5400000" sx="90000" sy="-19000" rotWithShape="0">
                  <a:prstClr val="black">
                    <a:alpha val="15000"/>
                  </a:prstClr>
                </a:outerShdw>
              </a:effectLst>
            </c:spPr>
          </c:dPt>
          <c:dLbls>
            <c:dLbl>
              <c:idx val="0"/>
              <c:layout>
                <c:manualLayout>
                  <c:x val="0"/>
                  <c:y val="0.22615508397470857"/>
                </c:manualLayout>
              </c:layout>
              <c:tx>
                <c:rich>
                  <a:bodyPr rot="-5400000" vert="horz"/>
                  <a:lstStyle/>
                  <a:p>
                    <a:pPr>
                      <a:defRPr sz="800" b="1">
                        <a:solidFill>
                          <a:schemeClr val="bg1"/>
                        </a:solidFill>
                        <a:latin typeface="Times New Roman" panose="02020603050405020304" pitchFamily="18" charset="0"/>
                        <a:cs typeface="Times New Roman" panose="02020603050405020304" pitchFamily="18" charset="0"/>
                      </a:defRPr>
                    </a:pPr>
                    <a:r>
                      <a:rPr lang="en-US" b="1"/>
                      <a:t>3 969</a:t>
                    </a:r>
                  </a:p>
                </c:rich>
              </c:tx>
              <c:spPr/>
              <c:showLegendKey val="0"/>
              <c:showVal val="1"/>
              <c:showCatName val="0"/>
              <c:showSerName val="0"/>
              <c:showPercent val="0"/>
              <c:showBubbleSize val="0"/>
            </c:dLbl>
            <c:dLbl>
              <c:idx val="1"/>
              <c:layout>
                <c:manualLayout>
                  <c:x val="-3.9592340235966941E-4"/>
                  <c:y val="7.2043790442285413E-2"/>
                </c:manualLayout>
              </c:layout>
              <c:spPr/>
              <c:txPr>
                <a:bodyPr rot="0" vert="horz"/>
                <a:lstStyle/>
                <a:p>
                  <a:pPr>
                    <a:defRPr sz="800" b="1">
                      <a:solidFill>
                        <a:schemeClr val="tx1"/>
                      </a:solidFill>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dLbl>
            <c:dLbl>
              <c:idx val="2"/>
              <c:layout>
                <c:manualLayout>
                  <c:x val="-7.9184680471933882E-4"/>
                  <c:y val="0.13894248551266561"/>
                </c:manualLayout>
              </c:layout>
              <c:showLegendKey val="0"/>
              <c:showVal val="1"/>
              <c:showCatName val="0"/>
              <c:showSerName val="0"/>
              <c:showPercent val="0"/>
              <c:showBubbleSize val="0"/>
            </c:dLbl>
            <c:dLbl>
              <c:idx val="3"/>
              <c:layout>
                <c:manualLayout>
                  <c:x val="-5.1169587698025295E-3"/>
                  <c:y val="1.7754798065116952E-2"/>
                </c:manualLayout>
              </c:layout>
              <c:showLegendKey val="0"/>
              <c:showVal val="1"/>
              <c:showCatName val="0"/>
              <c:showSerName val="0"/>
              <c:showPercent val="0"/>
              <c:showBubbleSize val="0"/>
            </c:dLbl>
            <c:dLbl>
              <c:idx val="4"/>
              <c:layout>
                <c:manualLayout>
                  <c:x val="0"/>
                  <c:y val="2.7816004812486094E-2"/>
                </c:manualLayout>
              </c:layout>
              <c:showLegendKey val="0"/>
              <c:showVal val="1"/>
              <c:showCatName val="0"/>
              <c:showSerName val="0"/>
              <c:showPercent val="0"/>
              <c:showBubbleSize val="0"/>
            </c:dLbl>
            <c:dLbl>
              <c:idx val="5"/>
              <c:layout>
                <c:manualLayout>
                  <c:x val="6.0436520903179485E-7"/>
                  <c:y val="0.17576235465715151"/>
                </c:manualLayout>
              </c:layout>
              <c:spPr/>
              <c:txPr>
                <a:bodyPr rot="-5400000" vert="horz"/>
                <a:lstStyle/>
                <a:p>
                  <a:pPr>
                    <a:defRPr sz="800" b="1">
                      <a:solidFill>
                        <a:schemeClr val="bg1"/>
                      </a:solidFill>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dLbl>
            <c:dLbl>
              <c:idx val="6"/>
              <c:layout>
                <c:manualLayout>
                  <c:x val="0"/>
                  <c:y val="2.4711889477630946E-2"/>
                </c:manualLayout>
              </c:layout>
              <c:showLegendKey val="0"/>
              <c:showVal val="1"/>
              <c:showCatName val="0"/>
              <c:showSerName val="0"/>
              <c:showPercent val="0"/>
              <c:showBubbleSize val="0"/>
            </c:dLbl>
            <c:dLbl>
              <c:idx val="7"/>
              <c:layout>
                <c:manualLayout>
                  <c:x val="1.4101854877408547E-6"/>
                  <c:y val="8.005084424520606E-2"/>
                </c:manualLayout>
              </c:layout>
              <c:spPr/>
              <c:txPr>
                <a:bodyPr rot="-5400000" vert="horz"/>
                <a:lstStyle/>
                <a:p>
                  <a:pPr>
                    <a:defRPr sz="800" b="1">
                      <a:solidFill>
                        <a:schemeClr val="bg1"/>
                      </a:solidFill>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dLbl>
            <c:dLbl>
              <c:idx val="8"/>
              <c:layout>
                <c:manualLayout>
                  <c:x val="0"/>
                  <c:y val="3.9543206941573573E-2"/>
                </c:manualLayout>
              </c:layout>
              <c:showLegendKey val="0"/>
              <c:showVal val="1"/>
              <c:showCatName val="0"/>
              <c:showSerName val="0"/>
              <c:showPercent val="0"/>
              <c:showBubbleSize val="0"/>
            </c:dLbl>
            <c:dLbl>
              <c:idx val="9"/>
              <c:layout>
                <c:manualLayout>
                  <c:x val="-7.6760425199128264E-3"/>
                  <c:y val="2.7313845786190474E-2"/>
                </c:manualLayout>
              </c:layout>
              <c:showLegendKey val="0"/>
              <c:showVal val="1"/>
              <c:showCatName val="0"/>
              <c:showSerName val="0"/>
              <c:showPercent val="0"/>
              <c:showBubbleSize val="0"/>
            </c:dLbl>
            <c:dLbl>
              <c:idx val="10"/>
              <c:layout>
                <c:manualLayout>
                  <c:x val="-1.7028963542351372E-7"/>
                  <c:y val="0.24400065524548351"/>
                </c:manualLayout>
              </c:layout>
              <c:spPr/>
              <c:txPr>
                <a:bodyPr rot="-5400000" vert="horz"/>
                <a:lstStyle/>
                <a:p>
                  <a:pPr>
                    <a:defRPr sz="800" b="1">
                      <a:solidFill>
                        <a:schemeClr val="bg1"/>
                      </a:solidFill>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dLbl>
            <c:dLbl>
              <c:idx val="11"/>
              <c:layout>
                <c:manualLayout>
                  <c:x val="0"/>
                  <c:y val="3.3294954911794024E-2"/>
                </c:manualLayout>
              </c:layout>
              <c:showLegendKey val="0"/>
              <c:showVal val="1"/>
              <c:showCatName val="0"/>
              <c:showSerName val="0"/>
              <c:showPercent val="0"/>
              <c:showBubbleSize val="0"/>
            </c:dLbl>
            <c:dLbl>
              <c:idx val="12"/>
              <c:layout>
                <c:manualLayout>
                  <c:x val="-1.7028963542351372E-7"/>
                  <c:y val="0.21393172947308658"/>
                </c:manualLayout>
              </c:layout>
              <c:spPr/>
              <c:txPr>
                <a:bodyPr rot="-5400000" vert="horz"/>
                <a:lstStyle/>
                <a:p>
                  <a:pPr>
                    <a:defRPr sz="800" b="1">
                      <a:solidFill>
                        <a:schemeClr val="bg1"/>
                      </a:solidFill>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dLbl>
            <c:dLbl>
              <c:idx val="13"/>
              <c:layout>
                <c:manualLayout>
                  <c:x val="-2.558680839970942E-3"/>
                  <c:y val="1.7787245263739072E-2"/>
                </c:manualLayout>
              </c:layout>
              <c:showLegendKey val="0"/>
              <c:showVal val="1"/>
              <c:showCatName val="0"/>
              <c:showSerName val="0"/>
              <c:showPercent val="0"/>
              <c:showBubbleSize val="0"/>
            </c:dLbl>
            <c:dLbl>
              <c:idx val="14"/>
              <c:layout>
                <c:manualLayout>
                  <c:x val="2.5133827737494389E-3"/>
                  <c:y val="2.7831904702483225E-2"/>
                </c:manualLayout>
              </c:layout>
              <c:showLegendKey val="0"/>
              <c:showVal val="1"/>
              <c:showCatName val="0"/>
              <c:showSerName val="0"/>
              <c:showPercent val="0"/>
              <c:showBubbleSize val="0"/>
            </c:dLbl>
            <c:dLbl>
              <c:idx val="15"/>
              <c:layout>
                <c:manualLayout>
                  <c:x val="0"/>
                  <c:y val="2.9347220278475479E-2"/>
                </c:manualLayout>
              </c:layout>
              <c:showLegendKey val="0"/>
              <c:showVal val="1"/>
              <c:showCatName val="0"/>
              <c:showSerName val="0"/>
              <c:showPercent val="0"/>
              <c:showBubbleSize val="0"/>
            </c:dLbl>
            <c:txPr>
              <a:bodyPr rot="0" vert="horz"/>
              <a:lstStyle/>
              <a:p>
                <a:pPr>
                  <a:defRPr sz="800" b="0">
                    <a:solidFill>
                      <a:schemeClr val="tx1"/>
                    </a:solidFill>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dLbls>
          <c:cat>
            <c:strRef>
              <c:f>Arkusz2!$B$5:$B$20</c:f>
              <c:strCache>
                <c:ptCount val="16"/>
                <c:pt idx="0">
                  <c:v>31 XII '03</c:v>
                </c:pt>
                <c:pt idx="1">
                  <c:v>31 XII '04</c:v>
                </c:pt>
                <c:pt idx="2">
                  <c:v>31 XII '05</c:v>
                </c:pt>
                <c:pt idx="3">
                  <c:v>31 XII '06</c:v>
                </c:pt>
                <c:pt idx="4">
                  <c:v>31 XII '07</c:v>
                </c:pt>
                <c:pt idx="5">
                  <c:v>31 XII '08</c:v>
                </c:pt>
                <c:pt idx="6">
                  <c:v>31 XII '09</c:v>
                </c:pt>
                <c:pt idx="7">
                  <c:v>31 XII '10</c:v>
                </c:pt>
                <c:pt idx="8">
                  <c:v>31 XII '11</c:v>
                </c:pt>
                <c:pt idx="9">
                  <c:v>31 XII '12</c:v>
                </c:pt>
                <c:pt idx="10">
                  <c:v>31 XII '13</c:v>
                </c:pt>
                <c:pt idx="11">
                  <c:v>31 XII '14</c:v>
                </c:pt>
                <c:pt idx="12">
                  <c:v>31 XII '15</c:v>
                </c:pt>
                <c:pt idx="13">
                  <c:v>31 XII '16</c:v>
                </c:pt>
                <c:pt idx="14">
                  <c:v>31 XII '17</c:v>
                </c:pt>
                <c:pt idx="15">
                  <c:v>31 XII '18</c:v>
                </c:pt>
              </c:strCache>
            </c:strRef>
          </c:cat>
          <c:val>
            <c:numRef>
              <c:f>Arkusz2!$F$5:$F$20</c:f>
              <c:numCache>
                <c:formatCode>#,##0</c:formatCode>
                <c:ptCount val="16"/>
                <c:pt idx="0">
                  <c:v>3969</c:v>
                </c:pt>
                <c:pt idx="1">
                  <c:v>-3137</c:v>
                </c:pt>
                <c:pt idx="2">
                  <c:v>-486</c:v>
                </c:pt>
                <c:pt idx="3">
                  <c:v>1597</c:v>
                </c:pt>
                <c:pt idx="4">
                  <c:v>1400</c:v>
                </c:pt>
                <c:pt idx="5">
                  <c:v>2207</c:v>
                </c:pt>
                <c:pt idx="6">
                  <c:v>736</c:v>
                </c:pt>
                <c:pt idx="7">
                  <c:v>7619</c:v>
                </c:pt>
                <c:pt idx="8">
                  <c:v>-1527</c:v>
                </c:pt>
                <c:pt idx="9">
                  <c:v>3943</c:v>
                </c:pt>
                <c:pt idx="10">
                  <c:v>4593</c:v>
                </c:pt>
                <c:pt idx="11">
                  <c:v>2929</c:v>
                </c:pt>
                <c:pt idx="12">
                  <c:v>2599</c:v>
                </c:pt>
                <c:pt idx="13">
                  <c:v>2594</c:v>
                </c:pt>
                <c:pt idx="14">
                  <c:v>3321</c:v>
                </c:pt>
                <c:pt idx="15">
                  <c:v>3760</c:v>
                </c:pt>
              </c:numCache>
            </c:numRef>
          </c:val>
        </c:ser>
        <c:dLbls>
          <c:showLegendKey val="0"/>
          <c:showVal val="0"/>
          <c:showCatName val="0"/>
          <c:showSerName val="0"/>
          <c:showPercent val="0"/>
          <c:showBubbleSize val="0"/>
        </c:dLbls>
        <c:gapWidth val="17"/>
        <c:overlap val="-32"/>
        <c:axId val="197355776"/>
        <c:axId val="197672960"/>
      </c:barChart>
      <c:catAx>
        <c:axId val="197355776"/>
        <c:scaling>
          <c:orientation val="minMax"/>
        </c:scaling>
        <c:delete val="0"/>
        <c:axPos val="b"/>
        <c:numFmt formatCode="General" sourceLinked="1"/>
        <c:majorTickMark val="out"/>
        <c:minorTickMark val="none"/>
        <c:tickLblPos val="nextTo"/>
        <c:txPr>
          <a:bodyPr/>
          <a:lstStyle/>
          <a:p>
            <a:pPr>
              <a:defRPr sz="600">
                <a:latin typeface="Times New Roman" panose="02020603050405020304" pitchFamily="18" charset="0"/>
                <a:cs typeface="Times New Roman" panose="02020603050405020304" pitchFamily="18" charset="0"/>
              </a:defRPr>
            </a:pPr>
            <a:endParaRPr lang="pl-PL"/>
          </a:p>
        </c:txPr>
        <c:crossAx val="197672960"/>
        <c:crosses val="autoZero"/>
        <c:auto val="1"/>
        <c:lblAlgn val="ctr"/>
        <c:lblOffset val="100"/>
        <c:noMultiLvlLbl val="0"/>
      </c:catAx>
      <c:valAx>
        <c:axId val="197672960"/>
        <c:scaling>
          <c:orientation val="minMax"/>
          <c:max val="8000"/>
          <c:min val="-3600"/>
        </c:scaling>
        <c:delete val="0"/>
        <c:axPos val="l"/>
        <c:majorGridlines>
          <c:spPr>
            <a:ln>
              <a:solidFill>
                <a:schemeClr val="accent4">
                  <a:lumMod val="75000"/>
                  <a:alpha val="28000"/>
                </a:schemeClr>
              </a:solidFill>
            </a:ln>
          </c:spPr>
        </c:majorGridlines>
        <c:numFmt formatCode="#,##0" sourceLinked="1"/>
        <c:majorTickMark val="out"/>
        <c:minorTickMark val="none"/>
        <c:tickLblPos val="nextTo"/>
        <c:spPr>
          <a:ln>
            <a:solidFill>
              <a:schemeClr val="accent1"/>
            </a:solidFill>
          </a:ln>
        </c:spPr>
        <c:txPr>
          <a:bodyPr/>
          <a:lstStyle/>
          <a:p>
            <a:pPr>
              <a:defRPr sz="800">
                <a:latin typeface="Times New Roman" panose="02020603050405020304" pitchFamily="18" charset="0"/>
                <a:cs typeface="Times New Roman" panose="02020603050405020304" pitchFamily="18" charset="0"/>
              </a:defRPr>
            </a:pPr>
            <a:endParaRPr lang="pl-PL"/>
          </a:p>
        </c:txPr>
        <c:crossAx val="197355776"/>
        <c:crosses val="autoZero"/>
        <c:crossBetween val="between"/>
        <c:majorUnit val="800"/>
        <c:minorUnit val="100"/>
      </c:valAx>
      <c:spPr>
        <a:noFill/>
      </c:spPr>
    </c:plotArea>
    <c:plotVisOnly val="1"/>
    <c:dispBlanksAs val="gap"/>
    <c:showDLblsOverMax val="0"/>
  </c:chart>
  <c:spPr>
    <a:noFill/>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9.7994841816987061E-2"/>
          <c:y val="4.9798191950097957E-2"/>
          <c:w val="0.89805363102458136"/>
          <c:h val="0.88639057496942864"/>
        </c:manualLayout>
      </c:layout>
      <c:lineChart>
        <c:grouping val="standard"/>
        <c:varyColors val="0"/>
        <c:ser>
          <c:idx val="1"/>
          <c:order val="0"/>
          <c:tx>
            <c:strRef>
              <c:f>TABLICA!$B$14</c:f>
              <c:strCache>
                <c:ptCount val="1"/>
                <c:pt idx="0">
                  <c:v>PODKARPACKIE pracujący wg faktycznego miejsca pracy łącznie z rolnictwem</c:v>
                </c:pt>
              </c:strCache>
            </c:strRef>
          </c:tx>
          <c:spPr>
            <a:ln w="38100">
              <a:solidFill>
                <a:srgbClr val="D60000"/>
              </a:solidFill>
              <a:prstDash val="sysDot"/>
            </a:ln>
          </c:spPr>
          <c:marker>
            <c:symbol val="none"/>
          </c:marker>
          <c:dLbls>
            <c:dLbl>
              <c:idx val="0"/>
              <c:layout>
                <c:manualLayout>
                  <c:x val="-2.3868436247465957E-2"/>
                  <c:y val="-8.5111794323049036E-2"/>
                </c:manualLayout>
              </c:layout>
              <c:dLblPos val="r"/>
              <c:showLegendKey val="0"/>
              <c:showVal val="1"/>
              <c:showCatName val="0"/>
              <c:showSerName val="0"/>
              <c:showPercent val="0"/>
              <c:showBubbleSize val="0"/>
            </c:dLbl>
            <c:txPr>
              <a:bodyPr/>
              <a:lstStyle/>
              <a:p>
                <a:pPr>
                  <a:defRPr sz="800">
                    <a:latin typeface="Times" panose="02020603060405020304" pitchFamily="18" charset="0"/>
                  </a:defRPr>
                </a:pPr>
                <a:endParaRPr lang="pl-PL"/>
              </a:p>
            </c:txPr>
            <c:dLblPos val="t"/>
            <c:showLegendKey val="0"/>
            <c:showVal val="1"/>
            <c:showCatName val="0"/>
            <c:showSerName val="0"/>
            <c:showPercent val="0"/>
            <c:showBubbleSize val="0"/>
            <c:showLeaderLines val="0"/>
          </c:dLbls>
          <c:cat>
            <c:strRef>
              <c:f>TABLICA!$C$3:$K$3</c:f>
              <c:strCache>
                <c:ptCount val="9"/>
                <c:pt idx="0">
                  <c:v>2009</c:v>
                </c:pt>
                <c:pt idx="1">
                  <c:v>2010</c:v>
                </c:pt>
                <c:pt idx="2">
                  <c:v>2011</c:v>
                </c:pt>
                <c:pt idx="3">
                  <c:v>2012</c:v>
                </c:pt>
                <c:pt idx="4">
                  <c:v>2013</c:v>
                </c:pt>
                <c:pt idx="5">
                  <c:v>2014</c:v>
                </c:pt>
                <c:pt idx="6">
                  <c:v>2015</c:v>
                </c:pt>
                <c:pt idx="7">
                  <c:v>2016</c:v>
                </c:pt>
                <c:pt idx="8">
                  <c:v>2017</c:v>
                </c:pt>
              </c:strCache>
            </c:strRef>
          </c:cat>
          <c:val>
            <c:numRef>
              <c:f>TABLICA!$C$14:$K$14</c:f>
              <c:numCache>
                <c:formatCode>#,##0</c:formatCode>
                <c:ptCount val="9"/>
                <c:pt idx="0">
                  <c:v>667253</c:v>
                </c:pt>
                <c:pt idx="1">
                  <c:v>781765</c:v>
                </c:pt>
                <c:pt idx="2">
                  <c:v>794727</c:v>
                </c:pt>
                <c:pt idx="3">
                  <c:v>784946</c:v>
                </c:pt>
                <c:pt idx="4">
                  <c:v>792771</c:v>
                </c:pt>
                <c:pt idx="5">
                  <c:v>804330</c:v>
                </c:pt>
                <c:pt idx="6">
                  <c:v>809734</c:v>
                </c:pt>
                <c:pt idx="7">
                  <c:v>831425</c:v>
                </c:pt>
                <c:pt idx="8">
                  <c:v>852388</c:v>
                </c:pt>
              </c:numCache>
            </c:numRef>
          </c:val>
          <c:smooth val="0"/>
        </c:ser>
        <c:ser>
          <c:idx val="3"/>
          <c:order val="1"/>
          <c:tx>
            <c:strRef>
              <c:f>TABLICA!$B$25</c:f>
              <c:strCache>
                <c:ptCount val="1"/>
                <c:pt idx="0">
                  <c:v>ludność w wieku produkcyjnym podkarpackie od 18 r.ż</c:v>
                </c:pt>
              </c:strCache>
            </c:strRef>
          </c:tx>
          <c:spPr>
            <a:ln w="66675" cmpd="dbl">
              <a:solidFill>
                <a:schemeClr val="accent4">
                  <a:lumMod val="75000"/>
                </a:schemeClr>
              </a:solidFill>
            </a:ln>
          </c:spPr>
          <c:marker>
            <c:symbol val="none"/>
          </c:marker>
          <c:dLbls>
            <c:dLbl>
              <c:idx val="0"/>
              <c:layout>
                <c:manualLayout>
                  <c:x val="-1.830166123750367E-2"/>
                  <c:y val="4.1029940883016203E-2"/>
                </c:manualLayout>
              </c:layout>
              <c:dLblPos val="r"/>
              <c:showLegendKey val="0"/>
              <c:showVal val="1"/>
              <c:showCatName val="0"/>
              <c:showSerName val="0"/>
              <c:showPercent val="0"/>
              <c:showBubbleSize val="0"/>
            </c:dLbl>
            <c:txPr>
              <a:bodyPr/>
              <a:lstStyle/>
              <a:p>
                <a:pPr>
                  <a:defRPr sz="550"/>
                </a:pPr>
                <a:endParaRPr lang="pl-PL"/>
              </a:p>
            </c:txPr>
            <c:dLblPos val="b"/>
            <c:showLegendKey val="0"/>
            <c:showVal val="1"/>
            <c:showCatName val="0"/>
            <c:showSerName val="0"/>
            <c:showPercent val="0"/>
            <c:showBubbleSize val="0"/>
            <c:showLeaderLines val="0"/>
          </c:dLbls>
          <c:cat>
            <c:strRef>
              <c:f>TABLICA!$C$3:$K$3</c:f>
              <c:strCache>
                <c:ptCount val="9"/>
                <c:pt idx="0">
                  <c:v>2009</c:v>
                </c:pt>
                <c:pt idx="1">
                  <c:v>2010</c:v>
                </c:pt>
                <c:pt idx="2">
                  <c:v>2011</c:v>
                </c:pt>
                <c:pt idx="3">
                  <c:v>2012</c:v>
                </c:pt>
                <c:pt idx="4">
                  <c:v>2013</c:v>
                </c:pt>
                <c:pt idx="5">
                  <c:v>2014</c:v>
                </c:pt>
                <c:pt idx="6">
                  <c:v>2015</c:v>
                </c:pt>
                <c:pt idx="7">
                  <c:v>2016</c:v>
                </c:pt>
                <c:pt idx="8">
                  <c:v>2017</c:v>
                </c:pt>
              </c:strCache>
            </c:strRef>
          </c:cat>
          <c:val>
            <c:numRef>
              <c:f>TABLICA!$C$25:$K$25</c:f>
              <c:numCache>
                <c:formatCode>#,##0</c:formatCode>
                <c:ptCount val="9"/>
                <c:pt idx="0">
                  <c:v>1341630</c:v>
                </c:pt>
                <c:pt idx="1">
                  <c:v>1358887</c:v>
                </c:pt>
                <c:pt idx="2">
                  <c:v>1360176</c:v>
                </c:pt>
                <c:pt idx="3">
                  <c:v>1359605</c:v>
                </c:pt>
                <c:pt idx="4">
                  <c:v>1355579</c:v>
                </c:pt>
                <c:pt idx="5">
                  <c:v>1351342</c:v>
                </c:pt>
                <c:pt idx="6">
                  <c:v>1345402</c:v>
                </c:pt>
                <c:pt idx="7">
                  <c:v>1337727</c:v>
                </c:pt>
                <c:pt idx="8">
                  <c:v>1329033</c:v>
                </c:pt>
              </c:numCache>
            </c:numRef>
          </c:val>
          <c:smooth val="1"/>
        </c:ser>
        <c:ser>
          <c:idx val="0"/>
          <c:order val="2"/>
          <c:tx>
            <c:strRef>
              <c:f>TABLICA!$B$28</c:f>
              <c:strCache>
                <c:ptCount val="1"/>
                <c:pt idx="0">
                  <c:v>ludność w wieku produkcyjnym podkarpackie od 15 r.ż.</c:v>
                </c:pt>
              </c:strCache>
            </c:strRef>
          </c:tx>
          <c:spPr>
            <a:ln w="34925">
              <a:solidFill>
                <a:schemeClr val="tx1"/>
              </a:solidFill>
            </a:ln>
          </c:spPr>
          <c:marker>
            <c:symbol val="none"/>
          </c:marker>
          <c:dLbls>
            <c:dLbl>
              <c:idx val="0"/>
              <c:layout>
                <c:manualLayout>
                  <c:x val="-1.6377196333454913E-2"/>
                  <c:y val="-3.7416287926854044E-2"/>
                </c:manualLayout>
              </c:layout>
              <c:dLblPos val="r"/>
              <c:showLegendKey val="0"/>
              <c:showVal val="1"/>
              <c:showCatName val="0"/>
              <c:showSerName val="0"/>
              <c:showPercent val="0"/>
              <c:showBubbleSize val="0"/>
            </c:dLbl>
            <c:txPr>
              <a:bodyPr/>
              <a:lstStyle/>
              <a:p>
                <a:pPr>
                  <a:defRPr sz="550"/>
                </a:pPr>
                <a:endParaRPr lang="pl-PL"/>
              </a:p>
            </c:txPr>
            <c:dLblPos val="t"/>
            <c:showLegendKey val="0"/>
            <c:showVal val="1"/>
            <c:showCatName val="0"/>
            <c:showSerName val="0"/>
            <c:showPercent val="0"/>
            <c:showBubbleSize val="0"/>
            <c:showLeaderLines val="0"/>
          </c:dLbls>
          <c:val>
            <c:numRef>
              <c:f>TABLICA!$C$28:$K$28</c:f>
              <c:numCache>
                <c:formatCode>#,##0</c:formatCode>
                <c:ptCount val="9"/>
                <c:pt idx="0">
                  <c:v>1432224</c:v>
                </c:pt>
                <c:pt idx="1">
                  <c:v>1444478</c:v>
                </c:pt>
                <c:pt idx="2">
                  <c:v>1442447</c:v>
                </c:pt>
                <c:pt idx="3">
                  <c:v>1438575</c:v>
                </c:pt>
                <c:pt idx="4">
                  <c:v>1432205</c:v>
                </c:pt>
                <c:pt idx="5">
                  <c:v>1425188</c:v>
                </c:pt>
                <c:pt idx="6">
                  <c:v>1417212</c:v>
                </c:pt>
                <c:pt idx="7">
                  <c:v>1407282</c:v>
                </c:pt>
                <c:pt idx="8">
                  <c:v>1396390</c:v>
                </c:pt>
              </c:numCache>
            </c:numRef>
          </c:val>
          <c:smooth val="1"/>
        </c:ser>
        <c:dLbls>
          <c:showLegendKey val="0"/>
          <c:showVal val="0"/>
          <c:showCatName val="0"/>
          <c:showSerName val="0"/>
          <c:showPercent val="0"/>
          <c:showBubbleSize val="0"/>
        </c:dLbls>
        <c:marker val="1"/>
        <c:smooth val="0"/>
        <c:axId val="198948736"/>
        <c:axId val="198950272"/>
      </c:lineChart>
      <c:catAx>
        <c:axId val="198948736"/>
        <c:scaling>
          <c:orientation val="minMax"/>
        </c:scaling>
        <c:delete val="0"/>
        <c:axPos val="b"/>
        <c:majorGridlines>
          <c:spPr>
            <a:ln>
              <a:solidFill>
                <a:schemeClr val="accent4">
                  <a:lumMod val="75000"/>
                  <a:alpha val="41000"/>
                </a:schemeClr>
              </a:solidFill>
            </a:ln>
          </c:spPr>
        </c:majorGridlines>
        <c:minorGridlines>
          <c:spPr>
            <a:ln>
              <a:solidFill>
                <a:schemeClr val="tx2">
                  <a:lumMod val="60000"/>
                  <a:lumOff val="40000"/>
                  <a:alpha val="61000"/>
                </a:schemeClr>
              </a:solidFill>
              <a:prstDash val="solid"/>
            </a:ln>
          </c:spPr>
        </c:minorGridlines>
        <c:numFmt formatCode="General" sourceLinked="1"/>
        <c:majorTickMark val="out"/>
        <c:minorTickMark val="none"/>
        <c:tickLblPos val="nextTo"/>
        <c:spPr>
          <a:noFill/>
          <a:ln>
            <a:solidFill>
              <a:schemeClr val="tx2">
                <a:lumMod val="75000"/>
              </a:schemeClr>
            </a:solidFill>
          </a:ln>
        </c:spPr>
        <c:txPr>
          <a:bodyPr/>
          <a:lstStyle/>
          <a:p>
            <a:pPr>
              <a:defRPr sz="700">
                <a:latin typeface="Times New Roman" panose="02020603050405020304" pitchFamily="18" charset="0"/>
                <a:cs typeface="Times New Roman" panose="02020603050405020304" pitchFamily="18" charset="0"/>
              </a:defRPr>
            </a:pPr>
            <a:endParaRPr lang="pl-PL"/>
          </a:p>
        </c:txPr>
        <c:crossAx val="198950272"/>
        <c:crosses val="autoZero"/>
        <c:auto val="1"/>
        <c:lblAlgn val="ctr"/>
        <c:lblOffset val="100"/>
        <c:noMultiLvlLbl val="0"/>
      </c:catAx>
      <c:valAx>
        <c:axId val="198950272"/>
        <c:scaling>
          <c:orientation val="minMax"/>
          <c:max val="1500000"/>
          <c:min val="600000"/>
        </c:scaling>
        <c:delete val="0"/>
        <c:axPos val="l"/>
        <c:majorGridlines>
          <c:spPr>
            <a:ln w="3175" cmpd="sng">
              <a:solidFill>
                <a:schemeClr val="tx2">
                  <a:lumMod val="60000"/>
                  <a:lumOff val="40000"/>
                  <a:alpha val="66000"/>
                </a:schemeClr>
              </a:solidFill>
              <a:prstDash val="solid"/>
            </a:ln>
          </c:spPr>
        </c:majorGridlines>
        <c:minorGridlines>
          <c:spPr>
            <a:ln>
              <a:solidFill>
                <a:schemeClr val="bg1">
                  <a:lumMod val="75000"/>
                  <a:alpha val="53000"/>
                </a:schemeClr>
              </a:solidFill>
            </a:ln>
          </c:spPr>
        </c:minorGridlines>
        <c:numFmt formatCode="#,##0" sourceLinked="1"/>
        <c:majorTickMark val="out"/>
        <c:minorTickMark val="none"/>
        <c:tickLblPos val="nextTo"/>
        <c:spPr>
          <a:ln>
            <a:solidFill>
              <a:schemeClr val="accent4">
                <a:lumMod val="40000"/>
                <a:lumOff val="60000"/>
              </a:schemeClr>
            </a:solidFill>
          </a:ln>
        </c:spPr>
        <c:txPr>
          <a:bodyPr/>
          <a:lstStyle/>
          <a:p>
            <a:pPr>
              <a:defRPr sz="800">
                <a:latin typeface="Times New Roman" panose="02020603050405020304" pitchFamily="18" charset="0"/>
                <a:cs typeface="Times New Roman" panose="02020603050405020304" pitchFamily="18" charset="0"/>
              </a:defRPr>
            </a:pPr>
            <a:endParaRPr lang="pl-PL"/>
          </a:p>
        </c:txPr>
        <c:crossAx val="198948736"/>
        <c:crosses val="autoZero"/>
        <c:crossBetween val="midCat"/>
        <c:majorUnit val="100000"/>
        <c:minorUnit val="20000"/>
      </c:valAx>
      <c:spPr>
        <a:noFill/>
      </c:spPr>
    </c:plotArea>
    <c:legend>
      <c:legendPos val="r"/>
      <c:layout>
        <c:manualLayout>
          <c:xMode val="edge"/>
          <c:yMode val="edge"/>
          <c:x val="0.13270155322501678"/>
          <c:y val="0.33830029549634272"/>
          <c:w val="0.70062711046792092"/>
          <c:h val="0.20183081127803418"/>
        </c:manualLayout>
      </c:layout>
      <c:overlay val="0"/>
      <c:txPr>
        <a:bodyPr/>
        <a:lstStyle/>
        <a:p>
          <a:pPr>
            <a:defRPr sz="80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8687017307030593E-2"/>
          <c:y val="2.4211122969993271E-2"/>
          <c:w val="0.84312581930566288"/>
          <c:h val="0.91438952164756115"/>
        </c:manualLayout>
      </c:layout>
      <c:lineChart>
        <c:grouping val="standard"/>
        <c:varyColors val="0"/>
        <c:ser>
          <c:idx val="0"/>
          <c:order val="0"/>
          <c:tx>
            <c:strRef>
              <c:f>'T.XIV A'!$O$9</c:f>
              <c:strCache>
                <c:ptCount val="1"/>
                <c:pt idx="0">
                  <c:v>18-34</c:v>
                </c:pt>
              </c:strCache>
            </c:strRef>
          </c:tx>
          <c:spPr>
            <a:ln w="111125" cmpd="sng">
              <a:solidFill>
                <a:srgbClr val="FFC000">
                  <a:alpha val="59000"/>
                </a:srgbClr>
              </a:solidFill>
            </a:ln>
          </c:spPr>
          <c:marker>
            <c:symbol val="none"/>
          </c:marker>
          <c:dLbls>
            <c:dLbl>
              <c:idx val="0"/>
              <c:layout>
                <c:manualLayout>
                  <c:x val="-1.6890434847831388E-2"/>
                  <c:y val="-3.1964454219203936E-2"/>
                </c:manualLayout>
              </c:layout>
              <c:spPr/>
              <c:txPr>
                <a:bodyPr/>
                <a:lstStyle/>
                <a:p>
                  <a:pPr>
                    <a:defRPr sz="800" b="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dLbl>
            <c:dLbl>
              <c:idx val="1"/>
              <c:layout>
                <c:manualLayout>
                  <c:x val="-6.7347138621679681E-2"/>
                  <c:y val="1.6103586032331009E-2"/>
                </c:manualLayout>
              </c:layout>
              <c:showLegendKey val="0"/>
              <c:showVal val="1"/>
              <c:showCatName val="0"/>
              <c:showSerName val="0"/>
              <c:showPercent val="0"/>
              <c:showBubbleSize val="0"/>
            </c:dLbl>
            <c:txPr>
              <a:bodyPr/>
              <a:lstStyle/>
              <a:p>
                <a:pPr>
                  <a:defRPr sz="800" b="0"/>
                </a:pPr>
                <a:endParaRPr lang="pl-PL"/>
              </a:p>
            </c:txPr>
            <c:showLegendKey val="0"/>
            <c:showVal val="1"/>
            <c:showCatName val="0"/>
            <c:showSerName val="0"/>
            <c:showPercent val="0"/>
            <c:showBubbleSize val="0"/>
            <c:showLeaderLines val="0"/>
          </c:dLbls>
          <c:cat>
            <c:strRef>
              <c:f>'T.XIV A'!$N$10:$N$11</c:f>
              <c:strCache>
                <c:ptCount val="2"/>
                <c:pt idx="0">
                  <c:v>do 12 m-cy</c:v>
                </c:pt>
                <c:pt idx="1">
                  <c:v>pow. 12 m-cy</c:v>
                </c:pt>
              </c:strCache>
            </c:strRef>
          </c:cat>
          <c:val>
            <c:numRef>
              <c:f>'T.XIV A'!$O$10:$O$11</c:f>
              <c:numCache>
                <c:formatCode>#,##0</c:formatCode>
                <c:ptCount val="2"/>
                <c:pt idx="0">
                  <c:v>23821</c:v>
                </c:pt>
                <c:pt idx="1">
                  <c:v>12666</c:v>
                </c:pt>
              </c:numCache>
            </c:numRef>
          </c:val>
          <c:smooth val="0"/>
        </c:ser>
        <c:ser>
          <c:idx val="1"/>
          <c:order val="1"/>
          <c:tx>
            <c:strRef>
              <c:f>'T.XIV A'!$P$9</c:f>
              <c:strCache>
                <c:ptCount val="1"/>
                <c:pt idx="0">
                  <c:v>35-54</c:v>
                </c:pt>
              </c:strCache>
            </c:strRef>
          </c:tx>
          <c:spPr>
            <a:ln w="50800">
              <a:solidFill>
                <a:schemeClr val="tx1"/>
              </a:solidFill>
              <a:prstDash val="sysDash"/>
            </a:ln>
          </c:spPr>
          <c:marker>
            <c:symbol val="square"/>
            <c:size val="3"/>
            <c:spPr>
              <a:solidFill>
                <a:schemeClr val="bg1"/>
              </a:solidFill>
              <a:ln w="6350">
                <a:solidFill>
                  <a:schemeClr val="accent2">
                    <a:lumMod val="75000"/>
                  </a:schemeClr>
                </a:solidFill>
              </a:ln>
            </c:spPr>
          </c:marker>
          <c:dLbls>
            <c:dLbl>
              <c:idx val="0"/>
              <c:layout>
                <c:manualLayout>
                  <c:x val="-1.9309902262892194E-2"/>
                  <c:y val="-3.9623694901566531E-2"/>
                </c:manualLayout>
              </c:layout>
              <c:showLegendKey val="0"/>
              <c:showVal val="1"/>
              <c:showCatName val="0"/>
              <c:showSerName val="0"/>
              <c:showPercent val="0"/>
              <c:showBubbleSize val="0"/>
            </c:dLbl>
            <c:dLbl>
              <c:idx val="1"/>
              <c:layout>
                <c:manualLayout>
                  <c:x val="-6.2937058080413472E-2"/>
                  <c:y val="-4.2120584090777992E-2"/>
                </c:manualLayout>
              </c:layout>
              <c:showLegendKey val="0"/>
              <c:showVal val="1"/>
              <c:showCatName val="0"/>
              <c:showSerName val="0"/>
              <c:showPercent val="0"/>
              <c:showBubbleSize val="0"/>
            </c:dLbl>
            <c:txPr>
              <a:bodyPr/>
              <a:lstStyle/>
              <a:p>
                <a:pPr>
                  <a:defRPr sz="800" b="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dLbls>
          <c:cat>
            <c:strRef>
              <c:f>'T.XIV A'!$N$10:$N$11</c:f>
              <c:strCache>
                <c:ptCount val="2"/>
                <c:pt idx="0">
                  <c:v>do 12 m-cy</c:v>
                </c:pt>
                <c:pt idx="1">
                  <c:v>pow. 12 m-cy</c:v>
                </c:pt>
              </c:strCache>
            </c:strRef>
          </c:cat>
          <c:val>
            <c:numRef>
              <c:f>'T.XIV A'!$P$10:$P$11</c:f>
              <c:numCache>
                <c:formatCode>#,##0</c:formatCode>
                <c:ptCount val="2"/>
                <c:pt idx="0">
                  <c:v>16623</c:v>
                </c:pt>
                <c:pt idx="1">
                  <c:v>17511</c:v>
                </c:pt>
              </c:numCache>
            </c:numRef>
          </c:val>
          <c:smooth val="0"/>
        </c:ser>
        <c:ser>
          <c:idx val="2"/>
          <c:order val="2"/>
          <c:tx>
            <c:strRef>
              <c:f>'T.XIV A'!$Q$9</c:f>
              <c:strCache>
                <c:ptCount val="1"/>
                <c:pt idx="0">
                  <c:v>55 i więcej</c:v>
                </c:pt>
              </c:strCache>
            </c:strRef>
          </c:tx>
          <c:spPr>
            <a:ln w="38100" cmpd="sng">
              <a:solidFill>
                <a:srgbClr val="5C1A1C"/>
              </a:solidFill>
              <a:prstDash val="sysDot"/>
            </a:ln>
          </c:spPr>
          <c:marker>
            <c:symbol val="none"/>
          </c:marker>
          <c:dLbls>
            <c:dLbl>
              <c:idx val="0"/>
              <c:layout>
                <c:manualLayout>
                  <c:x val="-1.2587481066169959E-2"/>
                  <c:y val="3.608471348149029E-2"/>
                </c:manualLayout>
              </c:layout>
              <c:showLegendKey val="0"/>
              <c:showVal val="1"/>
              <c:showCatName val="0"/>
              <c:showSerName val="0"/>
              <c:showPercent val="0"/>
              <c:showBubbleSize val="0"/>
            </c:dLbl>
            <c:dLbl>
              <c:idx val="1"/>
              <c:layout>
                <c:manualLayout>
                  <c:x val="-5.8205597260332954E-2"/>
                  <c:y val="4.61460968595232E-2"/>
                </c:manualLayout>
              </c:layout>
              <c:showLegendKey val="0"/>
              <c:showVal val="1"/>
              <c:showCatName val="0"/>
              <c:showSerName val="0"/>
              <c:showPercent val="0"/>
              <c:showBubbleSize val="0"/>
            </c:dLbl>
            <c:txPr>
              <a:bodyPr/>
              <a:lstStyle/>
              <a:p>
                <a:pPr>
                  <a:defRPr sz="800" b="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dLbls>
          <c:cat>
            <c:strRef>
              <c:f>'T.XIV A'!$N$10:$N$11</c:f>
              <c:strCache>
                <c:ptCount val="2"/>
                <c:pt idx="0">
                  <c:v>do 12 m-cy</c:v>
                </c:pt>
                <c:pt idx="1">
                  <c:v>pow. 12 m-cy</c:v>
                </c:pt>
              </c:strCache>
            </c:strRef>
          </c:cat>
          <c:val>
            <c:numRef>
              <c:f>'T.XIV A'!$Q$10:$Q$11</c:f>
              <c:numCache>
                <c:formatCode>#,##0</c:formatCode>
                <c:ptCount val="2"/>
                <c:pt idx="0">
                  <c:v>4826</c:v>
                </c:pt>
                <c:pt idx="1">
                  <c:v>7486</c:v>
                </c:pt>
              </c:numCache>
            </c:numRef>
          </c:val>
          <c:smooth val="1"/>
        </c:ser>
        <c:dLbls>
          <c:showLegendKey val="0"/>
          <c:showVal val="0"/>
          <c:showCatName val="0"/>
          <c:showSerName val="0"/>
          <c:showPercent val="0"/>
          <c:showBubbleSize val="0"/>
        </c:dLbls>
        <c:marker val="1"/>
        <c:smooth val="0"/>
        <c:axId val="199043328"/>
        <c:axId val="199155712"/>
      </c:lineChart>
      <c:catAx>
        <c:axId val="199043328"/>
        <c:scaling>
          <c:orientation val="minMax"/>
        </c:scaling>
        <c:delete val="0"/>
        <c:axPos val="b"/>
        <c:numFmt formatCode="General" sourceLinked="1"/>
        <c:majorTickMark val="out"/>
        <c:minorTickMark val="none"/>
        <c:tickLblPos val="nextTo"/>
        <c:txPr>
          <a:bodyPr/>
          <a:lstStyle/>
          <a:p>
            <a:pPr>
              <a:defRPr sz="800" b="0">
                <a:latin typeface="Times New Roman" panose="02020603050405020304" pitchFamily="18" charset="0"/>
                <a:cs typeface="Times New Roman" panose="02020603050405020304" pitchFamily="18" charset="0"/>
              </a:defRPr>
            </a:pPr>
            <a:endParaRPr lang="pl-PL"/>
          </a:p>
        </c:txPr>
        <c:crossAx val="199155712"/>
        <c:crosses val="autoZero"/>
        <c:auto val="1"/>
        <c:lblAlgn val="ctr"/>
        <c:lblOffset val="100"/>
        <c:noMultiLvlLbl val="0"/>
      </c:catAx>
      <c:valAx>
        <c:axId val="199155712"/>
        <c:scaling>
          <c:orientation val="minMax"/>
          <c:max val="30000"/>
          <c:min val="0"/>
        </c:scaling>
        <c:delete val="0"/>
        <c:axPos val="l"/>
        <c:majorGridlines>
          <c:spPr>
            <a:ln>
              <a:solidFill>
                <a:srgbClr val="794D73">
                  <a:alpha val="28000"/>
                </a:srgbClr>
              </a:solidFill>
            </a:ln>
          </c:spPr>
        </c:majorGridlines>
        <c:minorGridlines>
          <c:spPr>
            <a:ln>
              <a:solidFill>
                <a:schemeClr val="bg1">
                  <a:lumMod val="65000"/>
                  <a:alpha val="57000"/>
                </a:schemeClr>
              </a:solidFill>
            </a:ln>
          </c:spPr>
        </c:minorGridlines>
        <c:numFmt formatCode="#,##0" sourceLinked="1"/>
        <c:majorTickMark val="out"/>
        <c:minorTickMark val="none"/>
        <c:tickLblPos val="nextTo"/>
        <c:spPr>
          <a:noFill/>
          <a:ln>
            <a:solidFill>
              <a:schemeClr val="bg1">
                <a:lumMod val="85000"/>
                <a:alpha val="72000"/>
              </a:schemeClr>
            </a:solidFill>
          </a:ln>
        </c:spPr>
        <c:txPr>
          <a:bodyPr/>
          <a:lstStyle/>
          <a:p>
            <a:pPr>
              <a:defRPr sz="800" b="0">
                <a:latin typeface="Times New Roman" panose="02020603050405020304" pitchFamily="18" charset="0"/>
                <a:cs typeface="Times New Roman" panose="02020603050405020304" pitchFamily="18" charset="0"/>
              </a:defRPr>
            </a:pPr>
            <a:endParaRPr lang="pl-PL"/>
          </a:p>
        </c:txPr>
        <c:crossAx val="199043328"/>
        <c:crosses val="autoZero"/>
        <c:crossBetween val="midCat"/>
        <c:majorUnit val="2000"/>
        <c:minorUnit val="1000"/>
      </c:valAx>
    </c:plotArea>
    <c:legend>
      <c:legendPos val="r"/>
      <c:layout>
        <c:manualLayout>
          <c:xMode val="edge"/>
          <c:yMode val="edge"/>
          <c:x val="0.22952958677892579"/>
          <c:y val="7.6752206759238509E-2"/>
          <c:w val="0.55050299128692703"/>
          <c:h val="7.2109681482586882E-2"/>
        </c:manualLayout>
      </c:layout>
      <c:overlay val="0"/>
      <c:txPr>
        <a:bodyPr/>
        <a:lstStyle/>
        <a:p>
          <a:pPr>
            <a:defRPr sz="800" b="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a:noFill/>
    </a:ln>
  </c:spPr>
  <c:txPr>
    <a:bodyPr/>
    <a:lstStyle/>
    <a:p>
      <a:pPr>
        <a:defRPr b="1"/>
      </a:pPr>
      <a:endParaRPr lang="pl-PL"/>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20"/>
    </c:view3D>
    <c:floor>
      <c:thickness val="0"/>
      <c:spPr>
        <a:solidFill>
          <a:srgbClr val="DAE0EA">
            <a:alpha val="36000"/>
          </a:srgbClr>
        </a:solidFill>
        <a:ln>
          <a:solidFill>
            <a:schemeClr val="accent1"/>
          </a:solidFill>
        </a:ln>
      </c:spPr>
    </c:floor>
    <c:sideWall>
      <c:thickness val="0"/>
      <c:spPr>
        <a:noFill/>
        <a:ln w="25400">
          <a:noFill/>
        </a:ln>
      </c:spPr>
    </c:sideWall>
    <c:backWall>
      <c:thickness val="0"/>
      <c:spPr>
        <a:noFill/>
        <a:ln w="25400">
          <a:noFill/>
        </a:ln>
      </c:spPr>
    </c:backWall>
    <c:plotArea>
      <c:layout>
        <c:manualLayout>
          <c:layoutTarget val="inner"/>
          <c:xMode val="edge"/>
          <c:yMode val="edge"/>
          <c:x val="7.6128854724589287E-2"/>
          <c:y val="3.7628440009355266E-2"/>
          <c:w val="0.90274511426135684"/>
          <c:h val="0.87909540008405296"/>
        </c:manualLayout>
      </c:layout>
      <c:bar3DChart>
        <c:barDir val="col"/>
        <c:grouping val="clustered"/>
        <c:varyColors val="0"/>
        <c:ser>
          <c:idx val="0"/>
          <c:order val="0"/>
          <c:tx>
            <c:strRef>
              <c:f>T.XXV!$P$16:$P$30</c:f>
              <c:strCache>
                <c:ptCount val="1"/>
                <c:pt idx="0">
                  <c:v>2004 2005 2006 2007 2008 2009 2010 2011 2012 2013 2014 2015 2016 2017 2018</c:v>
                </c:pt>
              </c:strCache>
            </c:strRef>
          </c:tx>
          <c:spPr>
            <a:gradFill flip="none" rotWithShape="1">
              <a:gsLst>
                <a:gs pos="0">
                  <a:srgbClr val="16927A">
                    <a:alpha val="58824"/>
                    <a:lumMod val="68000"/>
                  </a:srgbClr>
                </a:gs>
                <a:gs pos="83000">
                  <a:schemeClr val="accent5">
                    <a:lumMod val="61000"/>
                    <a:alpha val="95000"/>
                  </a:schemeClr>
                </a:gs>
                <a:gs pos="12000">
                  <a:srgbClr val="65DD23">
                    <a:lumMod val="30000"/>
                    <a:alpha val="56000"/>
                  </a:srgbClr>
                </a:gs>
                <a:gs pos="99000">
                  <a:srgbClr val="202C27">
                    <a:lumMod val="63000"/>
                  </a:srgbClr>
                </a:gs>
              </a:gsLst>
              <a:lin ang="5400000" scaled="1"/>
              <a:tileRect/>
            </a:gradFill>
            <a:ln>
              <a:solidFill>
                <a:schemeClr val="tx2">
                  <a:lumMod val="75000"/>
                </a:schemeClr>
              </a:solidFill>
            </a:ln>
            <a:effectLst/>
            <a:scene3d>
              <a:camera prst="orthographicFront"/>
              <a:lightRig rig="threePt" dir="t"/>
            </a:scene3d>
            <a:sp3d prstMaterial="metal">
              <a:bevelB w="114300" prst="hardEdge"/>
              <a:contourClr>
                <a:srgbClr val="000000"/>
              </a:contourClr>
            </a:sp3d>
          </c:spPr>
          <c:invertIfNegative val="0"/>
          <c:dPt>
            <c:idx val="4"/>
            <c:invertIfNegative val="0"/>
            <c:bubble3D val="0"/>
            <c:spPr>
              <a:solidFill>
                <a:schemeClr val="accent4">
                  <a:lumMod val="75000"/>
                  <a:alpha val="92000"/>
                </a:schemeClr>
              </a:solidFill>
              <a:ln>
                <a:solidFill>
                  <a:schemeClr val="tx2">
                    <a:lumMod val="75000"/>
                  </a:schemeClr>
                </a:solidFill>
              </a:ln>
              <a:effectLst/>
              <a:scene3d>
                <a:camera prst="orthographicFront"/>
                <a:lightRig rig="threePt" dir="t"/>
              </a:scene3d>
              <a:sp3d prstMaterial="metal">
                <a:bevelB w="114300" prst="hardEdge"/>
                <a:contourClr>
                  <a:srgbClr val="000000"/>
                </a:contourClr>
              </a:sp3d>
            </c:spPr>
          </c:dPt>
          <c:dPt>
            <c:idx val="6"/>
            <c:invertIfNegative val="0"/>
            <c:bubble3D val="0"/>
            <c:spPr>
              <a:solidFill>
                <a:schemeClr val="accent4">
                  <a:lumMod val="75000"/>
                  <a:alpha val="92000"/>
                </a:schemeClr>
              </a:solidFill>
              <a:ln>
                <a:solidFill>
                  <a:schemeClr val="tx2">
                    <a:lumMod val="75000"/>
                  </a:schemeClr>
                </a:solidFill>
              </a:ln>
              <a:effectLst/>
              <a:scene3d>
                <a:camera prst="orthographicFront"/>
                <a:lightRig rig="threePt" dir="t"/>
              </a:scene3d>
              <a:sp3d prstMaterial="metal">
                <a:bevelB w="114300" prst="hardEdge"/>
                <a:contourClr>
                  <a:srgbClr val="000000"/>
                </a:contourClr>
              </a:sp3d>
            </c:spPr>
          </c:dPt>
          <c:dPt>
            <c:idx val="13"/>
            <c:invertIfNegative val="0"/>
            <c:bubble3D val="0"/>
            <c:spPr>
              <a:solidFill>
                <a:schemeClr val="accent4">
                  <a:lumMod val="75000"/>
                  <a:alpha val="92000"/>
                </a:schemeClr>
              </a:solidFill>
              <a:ln>
                <a:solidFill>
                  <a:schemeClr val="tx2">
                    <a:lumMod val="75000"/>
                  </a:schemeClr>
                </a:solidFill>
              </a:ln>
              <a:effectLst/>
              <a:scene3d>
                <a:camera prst="orthographicFront"/>
                <a:lightRig rig="threePt" dir="t"/>
              </a:scene3d>
              <a:sp3d prstMaterial="metal">
                <a:bevelB w="114300" prst="hardEdge"/>
                <a:contourClr>
                  <a:srgbClr val="000000"/>
                </a:contourClr>
              </a:sp3d>
            </c:spPr>
          </c:dPt>
          <c:dLbls>
            <c:dLbl>
              <c:idx val="0"/>
              <c:layout>
                <c:manualLayout>
                  <c:x val="4.3916223046400488E-3"/>
                  <c:y val="7.4819160086554053E-3"/>
                </c:manualLayout>
              </c:layout>
              <c:showLegendKey val="0"/>
              <c:showVal val="1"/>
              <c:showCatName val="0"/>
              <c:showSerName val="0"/>
              <c:showPercent val="0"/>
              <c:showBubbleSize val="0"/>
            </c:dLbl>
            <c:dLbl>
              <c:idx val="1"/>
              <c:layout>
                <c:manualLayout>
                  <c:x val="-9.9539106114049348E-4"/>
                  <c:y val="-1.5164448708248481E-2"/>
                </c:manualLayout>
              </c:layout>
              <c:showLegendKey val="0"/>
              <c:showVal val="1"/>
              <c:showCatName val="0"/>
              <c:showSerName val="0"/>
              <c:showPercent val="0"/>
              <c:showBubbleSize val="0"/>
            </c:dLbl>
            <c:dLbl>
              <c:idx val="2"/>
              <c:layout>
                <c:manualLayout>
                  <c:x val="-1.0367983456790394E-2"/>
                  <c:y val="4.1088187418709156E-3"/>
                </c:manualLayout>
              </c:layout>
              <c:showLegendKey val="0"/>
              <c:showVal val="1"/>
              <c:showCatName val="0"/>
              <c:showSerName val="0"/>
              <c:showPercent val="0"/>
              <c:showBubbleSize val="0"/>
            </c:dLbl>
            <c:dLbl>
              <c:idx val="3"/>
              <c:layout>
                <c:manualLayout>
                  <c:x val="-2.2808083282203079E-4"/>
                  <c:y val="-1.0270938538943356E-2"/>
                </c:manualLayout>
              </c:layout>
              <c:showLegendKey val="0"/>
              <c:showVal val="1"/>
              <c:showCatName val="0"/>
              <c:showSerName val="0"/>
              <c:showPercent val="0"/>
              <c:showBubbleSize val="0"/>
            </c:dLbl>
            <c:dLbl>
              <c:idx val="4"/>
              <c:layout>
                <c:manualLayout>
                  <c:x val="1.2694153250317907E-2"/>
                  <c:y val="-7.2176141187098664E-3"/>
                </c:manualLayout>
              </c:layout>
              <c:showLegendKey val="0"/>
              <c:showVal val="1"/>
              <c:showCatName val="0"/>
              <c:showSerName val="0"/>
              <c:showPercent val="0"/>
              <c:showBubbleSize val="0"/>
            </c:dLbl>
            <c:dLbl>
              <c:idx val="5"/>
              <c:layout>
                <c:manualLayout>
                  <c:x val="7.738190380769336E-3"/>
                  <c:y val="2.8450007437599492E-4"/>
                </c:manualLayout>
              </c:layout>
              <c:showLegendKey val="0"/>
              <c:showVal val="1"/>
              <c:showCatName val="0"/>
              <c:showSerName val="0"/>
              <c:showPercent val="0"/>
              <c:showBubbleSize val="0"/>
            </c:dLbl>
            <c:dLbl>
              <c:idx val="6"/>
              <c:layout>
                <c:manualLayout>
                  <c:x val="2.865386973651963E-3"/>
                  <c:y val="1.9143334233633509E-3"/>
                </c:manualLayout>
              </c:layout>
              <c:showLegendKey val="0"/>
              <c:showVal val="1"/>
              <c:showCatName val="0"/>
              <c:showSerName val="0"/>
              <c:showPercent val="0"/>
              <c:showBubbleSize val="0"/>
            </c:dLbl>
            <c:dLbl>
              <c:idx val="7"/>
              <c:layout>
                <c:manualLayout>
                  <c:x val="7.1305351680114966E-3"/>
                  <c:y val="-1.3180993325389223E-3"/>
                </c:manualLayout>
              </c:layout>
              <c:showLegendKey val="0"/>
              <c:showVal val="1"/>
              <c:showCatName val="0"/>
              <c:showSerName val="0"/>
              <c:showPercent val="0"/>
              <c:showBubbleSize val="0"/>
            </c:dLbl>
            <c:dLbl>
              <c:idx val="8"/>
              <c:layout>
                <c:manualLayout>
                  <c:x val="1.9712969179728874E-3"/>
                  <c:y val="-7.3858423483414721E-3"/>
                </c:manualLayout>
              </c:layout>
              <c:showLegendKey val="0"/>
              <c:showVal val="1"/>
              <c:showCatName val="0"/>
              <c:showSerName val="0"/>
              <c:showPercent val="0"/>
              <c:showBubbleSize val="0"/>
            </c:dLbl>
            <c:dLbl>
              <c:idx val="9"/>
              <c:layout>
                <c:manualLayout>
                  <c:x val="-6.0810314971582787E-4"/>
                  <c:y val="2.0741917646050919E-3"/>
                </c:manualLayout>
              </c:layout>
              <c:showLegendKey val="0"/>
              <c:showVal val="1"/>
              <c:showCatName val="0"/>
              <c:showSerName val="0"/>
              <c:showPercent val="0"/>
              <c:showBubbleSize val="0"/>
            </c:dLbl>
            <c:dLbl>
              <c:idx val="10"/>
              <c:layout>
                <c:manualLayout>
                  <c:x val="9.8334835701525633E-4"/>
                  <c:y val="8.5550285442806302E-3"/>
                </c:manualLayout>
              </c:layout>
              <c:showLegendKey val="0"/>
              <c:showVal val="1"/>
              <c:showCatName val="0"/>
              <c:showSerName val="0"/>
              <c:showPercent val="0"/>
              <c:showBubbleSize val="0"/>
            </c:dLbl>
            <c:dLbl>
              <c:idx val="11"/>
              <c:layout>
                <c:manualLayout>
                  <c:x val="1.2182654383391949E-2"/>
                  <c:y val="-6.6051387493477262E-3"/>
                </c:manualLayout>
              </c:layout>
              <c:showLegendKey val="0"/>
              <c:showVal val="1"/>
              <c:showCatName val="0"/>
              <c:showSerName val="0"/>
              <c:showPercent val="0"/>
              <c:showBubbleSize val="0"/>
            </c:dLbl>
            <c:dLbl>
              <c:idx val="12"/>
              <c:layout>
                <c:manualLayout>
                  <c:x val="1.4619667186197637E-2"/>
                  <c:y val="7.1250885924125954E-3"/>
                </c:manualLayout>
              </c:layout>
              <c:showLegendKey val="0"/>
              <c:showVal val="1"/>
              <c:showCatName val="0"/>
              <c:showSerName val="0"/>
              <c:showPercent val="0"/>
              <c:showBubbleSize val="0"/>
            </c:dLbl>
            <c:dLbl>
              <c:idx val="13"/>
              <c:layout>
                <c:manualLayout>
                  <c:x val="2.3542739334239372E-2"/>
                  <c:y val="4.0093552662352847E-3"/>
                </c:manualLayout>
              </c:layout>
              <c:showLegendKey val="0"/>
              <c:showVal val="1"/>
              <c:showCatName val="0"/>
              <c:showSerName val="0"/>
              <c:showPercent val="0"/>
              <c:showBubbleSize val="0"/>
            </c:dLbl>
            <c:dLbl>
              <c:idx val="14"/>
              <c:layout>
                <c:manualLayout>
                  <c:x val="1.3519603424966201E-2"/>
                  <c:y val="-5.0007016449676468E-3"/>
                </c:manualLayout>
              </c:layout>
              <c:showLegendKey val="0"/>
              <c:showVal val="1"/>
              <c:showCatName val="0"/>
              <c:showSerName val="0"/>
              <c:showPercent val="0"/>
              <c:showBubbleSize val="0"/>
            </c:dLbl>
            <c:dLbl>
              <c:idx val="15"/>
              <c:layout>
                <c:manualLayout>
                  <c:x val="-3.035229212384315E-3"/>
                  <c:y val="-0.37888580509090319"/>
                </c:manualLayout>
              </c:layout>
              <c:showLegendKey val="0"/>
              <c:showVal val="1"/>
              <c:showCatName val="0"/>
              <c:showSerName val="0"/>
              <c:showPercent val="0"/>
              <c:showBubbleSize val="0"/>
            </c:dLbl>
            <c:dLbl>
              <c:idx val="16"/>
              <c:layout>
                <c:manualLayout>
                  <c:x val="0"/>
                  <c:y val="-0.37258384202484662"/>
                </c:manualLayout>
              </c:layout>
              <c:showLegendKey val="0"/>
              <c:showVal val="1"/>
              <c:showCatName val="0"/>
              <c:showSerName val="0"/>
              <c:showPercent val="0"/>
              <c:showBubbleSize val="0"/>
            </c:dLbl>
            <c:dLbl>
              <c:idx val="17"/>
              <c:layout>
                <c:manualLayout>
                  <c:x val="-3.035229212384315E-3"/>
                  <c:y val="-0.38782803084518874"/>
                </c:manualLayout>
              </c:layout>
              <c:showLegendKey val="0"/>
              <c:showVal val="1"/>
              <c:showCatName val="0"/>
              <c:showSerName val="0"/>
              <c:showPercent val="0"/>
              <c:showBubbleSize val="0"/>
            </c:dLbl>
            <c:dLbl>
              <c:idx val="18"/>
              <c:layout>
                <c:manualLayout>
                  <c:x val="0"/>
                  <c:y val="-0.39869081625136782"/>
                </c:manualLayout>
              </c:layout>
              <c:showLegendKey val="0"/>
              <c:showVal val="1"/>
              <c:showCatName val="0"/>
              <c:showSerName val="0"/>
              <c:showPercent val="0"/>
              <c:showBubbleSize val="0"/>
            </c:dLbl>
            <c:dLbl>
              <c:idx val="19"/>
              <c:layout>
                <c:manualLayout>
                  <c:x val="0"/>
                  <c:y val="-0.41183401282760901"/>
                </c:manualLayout>
              </c:layout>
              <c:showLegendKey val="0"/>
              <c:showVal val="1"/>
              <c:showCatName val="0"/>
              <c:showSerName val="0"/>
              <c:showPercent val="0"/>
              <c:showBubbleSize val="0"/>
            </c:dLbl>
            <c:dLbl>
              <c:idx val="20"/>
              <c:layout>
                <c:manualLayout>
                  <c:x val="0"/>
                  <c:y val="-0.42944849122536788"/>
                </c:manualLayout>
              </c:layout>
              <c:showLegendKey val="0"/>
              <c:showVal val="1"/>
              <c:showCatName val="0"/>
              <c:showSerName val="0"/>
              <c:showPercent val="0"/>
              <c:showBubbleSize val="0"/>
            </c:dLbl>
            <c:dLbl>
              <c:idx val="21"/>
              <c:layout>
                <c:manualLayout>
                  <c:x val="0"/>
                  <c:y val="-0.44670311810495777"/>
                </c:manualLayout>
              </c:layout>
              <c:showLegendKey val="0"/>
              <c:showVal val="1"/>
              <c:showCatName val="0"/>
              <c:showSerName val="0"/>
              <c:showPercent val="0"/>
              <c:showBubbleSize val="0"/>
            </c:dLbl>
            <c:dLbl>
              <c:idx val="22"/>
              <c:layout>
                <c:manualLayout>
                  <c:x val="0"/>
                  <c:y val="-0.44898352927501967"/>
                </c:manualLayout>
              </c:layout>
              <c:showLegendKey val="0"/>
              <c:showVal val="1"/>
              <c:showCatName val="0"/>
              <c:showSerName val="0"/>
              <c:showPercent val="0"/>
              <c:showBubbleSize val="0"/>
            </c:dLbl>
            <c:dLbl>
              <c:idx val="23"/>
              <c:layout>
                <c:manualLayout>
                  <c:x val="-3.035229212384315E-3"/>
                  <c:y val="-0.46011628779201247"/>
                </c:manualLayout>
              </c:layout>
              <c:showLegendKey val="0"/>
              <c:showVal val="1"/>
              <c:showCatName val="0"/>
              <c:showSerName val="0"/>
              <c:showPercent val="0"/>
              <c:showBubbleSize val="0"/>
            </c:dLbl>
            <c:dLbl>
              <c:idx val="24"/>
              <c:layout>
                <c:manualLayout>
                  <c:x val="0"/>
                  <c:y val="-0.47728103626424845"/>
                </c:manualLayout>
              </c:layout>
              <c:showLegendKey val="0"/>
              <c:showVal val="1"/>
              <c:showCatName val="0"/>
              <c:showSerName val="0"/>
              <c:showPercent val="0"/>
              <c:showBubbleSize val="0"/>
            </c:dLbl>
            <c:txPr>
              <a:bodyPr/>
              <a:lstStyle/>
              <a:p>
                <a:pPr>
                  <a:defRPr sz="700" b="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dLbls>
          <c:cat>
            <c:numRef>
              <c:f>T.XXV!$P$16:$P$30</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T.XXV!$Q$16:$Q$30</c:f>
              <c:numCache>
                <c:formatCode>#,##0</c:formatCode>
                <c:ptCount val="15"/>
                <c:pt idx="0">
                  <c:v>40346</c:v>
                </c:pt>
                <c:pt idx="1">
                  <c:v>41016</c:v>
                </c:pt>
                <c:pt idx="2">
                  <c:v>48932</c:v>
                </c:pt>
                <c:pt idx="3">
                  <c:v>49327</c:v>
                </c:pt>
                <c:pt idx="4">
                  <c:v>51046</c:v>
                </c:pt>
                <c:pt idx="5">
                  <c:v>47263</c:v>
                </c:pt>
                <c:pt idx="6">
                  <c:v>57481</c:v>
                </c:pt>
                <c:pt idx="7">
                  <c:v>42554</c:v>
                </c:pt>
                <c:pt idx="8">
                  <c:v>48689</c:v>
                </c:pt>
                <c:pt idx="9">
                  <c:v>54304</c:v>
                </c:pt>
                <c:pt idx="10">
                  <c:v>60555</c:v>
                </c:pt>
                <c:pt idx="11">
                  <c:v>61276</c:v>
                </c:pt>
                <c:pt idx="12">
                  <c:v>72410</c:v>
                </c:pt>
                <c:pt idx="13">
                  <c:v>75836</c:v>
                </c:pt>
                <c:pt idx="14">
                  <c:v>61438</c:v>
                </c:pt>
              </c:numCache>
            </c:numRef>
          </c:val>
          <c:shape val="box"/>
        </c:ser>
        <c:dLbls>
          <c:showLegendKey val="0"/>
          <c:showVal val="0"/>
          <c:showCatName val="0"/>
          <c:showSerName val="0"/>
          <c:showPercent val="0"/>
          <c:showBubbleSize val="0"/>
        </c:dLbls>
        <c:gapWidth val="52"/>
        <c:shape val="cylinder"/>
        <c:axId val="199472640"/>
        <c:axId val="199474176"/>
        <c:axId val="0"/>
      </c:bar3DChart>
      <c:catAx>
        <c:axId val="199472640"/>
        <c:scaling>
          <c:orientation val="minMax"/>
        </c:scaling>
        <c:delete val="0"/>
        <c:axPos val="b"/>
        <c:numFmt formatCode="General" sourceLinked="1"/>
        <c:majorTickMark val="out"/>
        <c:minorTickMark val="none"/>
        <c:tickLblPos val="nextTo"/>
        <c:spPr>
          <a:solidFill>
            <a:srgbClr val="FFFFFF"/>
          </a:solidFill>
          <a:ln w="6350">
            <a:solidFill>
              <a:schemeClr val="tx1">
                <a:alpha val="30000"/>
              </a:schemeClr>
            </a:solidFill>
          </a:ln>
        </c:spPr>
        <c:txPr>
          <a:bodyPr rot="0" vert="horz"/>
          <a:lstStyle/>
          <a:p>
            <a:pPr>
              <a:defRPr sz="8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pl-PL"/>
          </a:p>
        </c:txPr>
        <c:crossAx val="199474176"/>
        <c:crosses val="autoZero"/>
        <c:auto val="0"/>
        <c:lblAlgn val="ctr"/>
        <c:lblOffset val="100"/>
        <c:noMultiLvlLbl val="0"/>
      </c:catAx>
      <c:valAx>
        <c:axId val="199474176"/>
        <c:scaling>
          <c:orientation val="minMax"/>
          <c:max val="73000"/>
          <c:min val="40000"/>
        </c:scaling>
        <c:delete val="0"/>
        <c:axPos val="l"/>
        <c:majorGridlines>
          <c:spPr>
            <a:ln>
              <a:solidFill>
                <a:schemeClr val="bg1"/>
              </a:solidFill>
            </a:ln>
          </c:spPr>
        </c:majorGridlines>
        <c:minorGridlines>
          <c:spPr>
            <a:ln>
              <a:solidFill>
                <a:schemeClr val="bg1">
                  <a:lumMod val="85000"/>
                </a:schemeClr>
              </a:solidFill>
            </a:ln>
          </c:spPr>
        </c:minorGridlines>
        <c:numFmt formatCode="#,##0" sourceLinked="1"/>
        <c:majorTickMark val="out"/>
        <c:minorTickMark val="none"/>
        <c:tickLblPos val="nextTo"/>
        <c:spPr>
          <a:noFill/>
          <a:ln w="6350">
            <a:solidFill>
              <a:schemeClr val="tx1">
                <a:alpha val="42000"/>
              </a:schemeClr>
            </a:solidFill>
          </a:ln>
          <a:effectLst/>
        </c:spPr>
        <c:txPr>
          <a:bodyPr rot="0" vert="horz"/>
          <a:lstStyle/>
          <a:p>
            <a:pPr>
              <a:defRPr sz="7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pl-PL"/>
          </a:p>
        </c:txPr>
        <c:crossAx val="199472640"/>
        <c:crosses val="autoZero"/>
        <c:crossBetween val="between"/>
        <c:majorUnit val="1100"/>
        <c:minorUnit val="500"/>
      </c:valAx>
    </c:plotArea>
    <c:plotVisOnly val="1"/>
    <c:dispBlanksAs val="gap"/>
    <c:showDLblsOverMax val="0"/>
  </c:chart>
  <c:spPr>
    <a:noFill/>
    <a:ln w="9525">
      <a:noFill/>
    </a:ln>
  </c:spPr>
  <c:txPr>
    <a:bodyPr/>
    <a:lstStyle/>
    <a:p>
      <a:pPr>
        <a:defRPr sz="1000" b="0" i="0" u="none" strike="noStrike" baseline="0">
          <a:solidFill>
            <a:srgbClr val="000000"/>
          </a:solidFill>
          <a:latin typeface="Calibri"/>
          <a:ea typeface="Calibri"/>
          <a:cs typeface="Calibri"/>
        </a:defRPr>
      </a:pPr>
      <a:endParaRPr lang="pl-PL"/>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20"/>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5.9455370386223352E-2"/>
          <c:y val="4.1791584834127031E-2"/>
          <c:w val="0.93385407476384064"/>
          <c:h val="0.86001740846984376"/>
        </c:manualLayout>
      </c:layout>
      <c:bar3DChart>
        <c:barDir val="col"/>
        <c:grouping val="clustered"/>
        <c:varyColors val="0"/>
        <c:ser>
          <c:idx val="0"/>
          <c:order val="0"/>
          <c:tx>
            <c:strRef>
              <c:f>T.XXX!$H$9</c:f>
              <c:strCache>
                <c:ptCount val="1"/>
                <c:pt idx="0">
                  <c:v>zgłoszenia</c:v>
                </c:pt>
              </c:strCache>
            </c:strRef>
          </c:tx>
          <c:spPr>
            <a:gradFill flip="none" rotWithShape="1">
              <a:gsLst>
                <a:gs pos="0">
                  <a:srgbClr val="98BE9F">
                    <a:alpha val="96000"/>
                    <a:lumMod val="99000"/>
                  </a:srgbClr>
                </a:gs>
                <a:gs pos="83000">
                  <a:schemeClr val="accent5">
                    <a:lumMod val="61000"/>
                    <a:alpha val="95000"/>
                  </a:schemeClr>
                </a:gs>
                <a:gs pos="8000">
                  <a:srgbClr val="65DD23">
                    <a:lumMod val="30000"/>
                    <a:alpha val="56000"/>
                  </a:srgbClr>
                </a:gs>
                <a:gs pos="99000">
                  <a:srgbClr val="202C27">
                    <a:lumMod val="63000"/>
                  </a:srgbClr>
                </a:gs>
              </a:gsLst>
              <a:lin ang="5400000" scaled="1"/>
              <a:tileRect/>
            </a:gradFill>
            <a:ln>
              <a:solidFill>
                <a:schemeClr val="tx2">
                  <a:lumMod val="75000"/>
                </a:schemeClr>
              </a:solidFill>
            </a:ln>
            <a:effectLst/>
            <a:scene3d>
              <a:camera prst="orthographicFront"/>
              <a:lightRig rig="threePt" dir="t"/>
            </a:scene3d>
            <a:sp3d prstMaterial="metal">
              <a:bevelB w="114300" prst="hardEdge"/>
              <a:contourClr>
                <a:srgbClr val="000000"/>
              </a:contourClr>
            </a:sp3d>
          </c:spPr>
          <c:invertIfNegative val="0"/>
          <c:dLbls>
            <c:dLbl>
              <c:idx val="0"/>
              <c:layout>
                <c:manualLayout>
                  <c:x val="4.3916223046400488E-3"/>
                  <c:y val="7.4819160086554044E-3"/>
                </c:manualLayout>
              </c:layout>
              <c:showLegendKey val="0"/>
              <c:showVal val="1"/>
              <c:showCatName val="0"/>
              <c:showSerName val="0"/>
              <c:showPercent val="0"/>
              <c:showBubbleSize val="0"/>
            </c:dLbl>
            <c:dLbl>
              <c:idx val="1"/>
              <c:layout>
                <c:manualLayout>
                  <c:x val="-9.9547406963007437E-4"/>
                  <c:y val="1.0359418316229755E-2"/>
                </c:manualLayout>
              </c:layout>
              <c:showLegendKey val="0"/>
              <c:showVal val="1"/>
              <c:showCatName val="0"/>
              <c:showSerName val="0"/>
              <c:showPercent val="0"/>
              <c:showBubbleSize val="0"/>
            </c:dLbl>
            <c:dLbl>
              <c:idx val="2"/>
              <c:layout>
                <c:manualLayout>
                  <c:x val="6.7747633165556988E-3"/>
                  <c:y val="9.2148297648650436E-3"/>
                </c:manualLayout>
              </c:layout>
              <c:showLegendKey val="0"/>
              <c:showVal val="1"/>
              <c:showCatName val="0"/>
              <c:showSerName val="0"/>
              <c:showPercent val="0"/>
              <c:showBubbleSize val="0"/>
            </c:dLbl>
            <c:dLbl>
              <c:idx val="3"/>
              <c:layout>
                <c:manualLayout>
                  <c:x val="1.0091360689710838E-2"/>
                  <c:y val="9.7661423516639256E-3"/>
                </c:manualLayout>
              </c:layout>
              <c:showLegendKey val="0"/>
              <c:showVal val="1"/>
              <c:showCatName val="0"/>
              <c:showSerName val="0"/>
              <c:showPercent val="0"/>
              <c:showBubbleSize val="0"/>
            </c:dLbl>
            <c:dLbl>
              <c:idx val="4"/>
              <c:layout>
                <c:manualLayout>
                  <c:x val="2.6554160990300092E-2"/>
                  <c:y val="9.3718086798328104E-3"/>
                </c:manualLayout>
              </c:layout>
              <c:showLegendKey val="0"/>
              <c:showVal val="1"/>
              <c:showCatName val="0"/>
              <c:showSerName val="0"/>
              <c:showPercent val="0"/>
              <c:showBubbleSize val="0"/>
            </c:dLbl>
            <c:dLbl>
              <c:idx val="5"/>
              <c:layout>
                <c:manualLayout>
                  <c:x val="4.9628171478565183E-3"/>
                  <c:y val="4.839875292546629E-4"/>
                </c:manualLayout>
              </c:layout>
              <c:showLegendKey val="0"/>
              <c:showVal val="1"/>
              <c:showCatName val="0"/>
              <c:showSerName val="0"/>
              <c:showPercent val="0"/>
              <c:showBubbleSize val="0"/>
            </c:dLbl>
            <c:dLbl>
              <c:idx val="6"/>
              <c:layout>
                <c:manualLayout>
                  <c:x val="5.0063715232220793E-3"/>
                  <c:y val="1.218707807969915E-3"/>
                </c:manualLayout>
              </c:layout>
              <c:showLegendKey val="0"/>
              <c:showVal val="1"/>
              <c:showCatName val="0"/>
              <c:showSerName val="0"/>
              <c:showPercent val="0"/>
              <c:showBubbleSize val="0"/>
            </c:dLbl>
            <c:dLbl>
              <c:idx val="7"/>
              <c:layout>
                <c:manualLayout>
                  <c:x val="1.1039140055759128E-2"/>
                  <c:y val="5.4464019782296666E-3"/>
                </c:manualLayout>
              </c:layout>
              <c:showLegendKey val="0"/>
              <c:showVal val="1"/>
              <c:showCatName val="0"/>
              <c:showSerName val="0"/>
              <c:showPercent val="0"/>
              <c:showBubbleSize val="0"/>
            </c:dLbl>
            <c:dLbl>
              <c:idx val="8"/>
              <c:layout>
                <c:manualLayout>
                  <c:x val="8.4190760644916249E-3"/>
                  <c:y val="4.7152576831448129E-3"/>
                </c:manualLayout>
              </c:layout>
              <c:showLegendKey val="0"/>
              <c:showVal val="1"/>
              <c:showCatName val="0"/>
              <c:showSerName val="0"/>
              <c:showPercent val="0"/>
              <c:showBubbleSize val="0"/>
            </c:dLbl>
            <c:dLbl>
              <c:idx val="9"/>
              <c:layout>
                <c:manualLayout>
                  <c:x val="7.7378910504777697E-3"/>
                  <c:y val="2.0742758784268152E-3"/>
                </c:manualLayout>
              </c:layout>
              <c:showLegendKey val="0"/>
              <c:showVal val="1"/>
              <c:showCatName val="0"/>
              <c:showSerName val="0"/>
              <c:showPercent val="0"/>
              <c:showBubbleSize val="0"/>
            </c:dLbl>
            <c:dLbl>
              <c:idx val="10"/>
              <c:layout>
                <c:manualLayout>
                  <c:x val="2.6021727999694579E-2"/>
                  <c:y val="6.4213242026679121E-4"/>
                </c:manualLayout>
              </c:layout>
              <c:showLegendKey val="0"/>
              <c:showVal val="1"/>
              <c:showCatName val="0"/>
              <c:showSerName val="0"/>
              <c:showPercent val="0"/>
              <c:showBubbleSize val="0"/>
            </c:dLbl>
            <c:dLbl>
              <c:idx val="11"/>
              <c:layout>
                <c:manualLayout>
                  <c:x val="5.1131132668100862E-2"/>
                  <c:y val="9.2206823352631116E-3"/>
                </c:manualLayout>
              </c:layout>
              <c:showLegendKey val="0"/>
              <c:showVal val="1"/>
              <c:showCatName val="0"/>
              <c:showSerName val="0"/>
              <c:showPercent val="0"/>
              <c:showBubbleSize val="0"/>
            </c:dLbl>
            <c:dLbl>
              <c:idx val="12"/>
              <c:layout>
                <c:manualLayout>
                  <c:x val="3.4915844027830958E-3"/>
                  <c:y val="-0.3268113042361388"/>
                </c:manualLayout>
              </c:layout>
              <c:showLegendKey val="0"/>
              <c:showVal val="1"/>
              <c:showCatName val="0"/>
              <c:showSerName val="0"/>
              <c:showPercent val="0"/>
              <c:showBubbleSize val="0"/>
            </c:dLbl>
            <c:dLbl>
              <c:idx val="13"/>
              <c:layout>
                <c:manualLayout>
                  <c:x val="3.2634031436079916E-3"/>
                  <c:y val="-0.3267917516334008"/>
                </c:manualLayout>
              </c:layout>
              <c:showLegendKey val="0"/>
              <c:showVal val="1"/>
              <c:showCatName val="0"/>
              <c:showSerName val="0"/>
              <c:showPercent val="0"/>
              <c:showBubbleSize val="0"/>
            </c:dLbl>
            <c:dLbl>
              <c:idx val="14"/>
              <c:layout>
                <c:manualLayout>
                  <c:x val="0"/>
                  <c:y val="-0.33767412351244408"/>
                </c:manualLayout>
              </c:layout>
              <c:showLegendKey val="0"/>
              <c:showVal val="1"/>
              <c:showCatName val="0"/>
              <c:showSerName val="0"/>
              <c:showPercent val="0"/>
              <c:showBubbleSize val="0"/>
            </c:dLbl>
            <c:dLbl>
              <c:idx val="15"/>
              <c:layout>
                <c:manualLayout>
                  <c:x val="-3.0352292123843141E-3"/>
                  <c:y val="-0.37888580509090319"/>
                </c:manualLayout>
              </c:layout>
              <c:showLegendKey val="0"/>
              <c:showVal val="1"/>
              <c:showCatName val="0"/>
              <c:showSerName val="0"/>
              <c:showPercent val="0"/>
              <c:showBubbleSize val="0"/>
            </c:dLbl>
            <c:dLbl>
              <c:idx val="16"/>
              <c:layout>
                <c:manualLayout>
                  <c:x val="0"/>
                  <c:y val="-0.37258384202484662"/>
                </c:manualLayout>
              </c:layout>
              <c:showLegendKey val="0"/>
              <c:showVal val="1"/>
              <c:showCatName val="0"/>
              <c:showSerName val="0"/>
              <c:showPercent val="0"/>
              <c:showBubbleSize val="0"/>
            </c:dLbl>
            <c:dLbl>
              <c:idx val="17"/>
              <c:layout>
                <c:manualLayout>
                  <c:x val="-3.0352292123843141E-3"/>
                  <c:y val="-0.38782803084518874"/>
                </c:manualLayout>
              </c:layout>
              <c:showLegendKey val="0"/>
              <c:showVal val="1"/>
              <c:showCatName val="0"/>
              <c:showSerName val="0"/>
              <c:showPercent val="0"/>
              <c:showBubbleSize val="0"/>
            </c:dLbl>
            <c:dLbl>
              <c:idx val="18"/>
              <c:layout>
                <c:manualLayout>
                  <c:x val="0"/>
                  <c:y val="-0.39869081625136782"/>
                </c:manualLayout>
              </c:layout>
              <c:showLegendKey val="0"/>
              <c:showVal val="1"/>
              <c:showCatName val="0"/>
              <c:showSerName val="0"/>
              <c:showPercent val="0"/>
              <c:showBubbleSize val="0"/>
            </c:dLbl>
            <c:dLbl>
              <c:idx val="19"/>
              <c:layout>
                <c:manualLayout>
                  <c:x val="0"/>
                  <c:y val="-0.41183401282760901"/>
                </c:manualLayout>
              </c:layout>
              <c:showLegendKey val="0"/>
              <c:showVal val="1"/>
              <c:showCatName val="0"/>
              <c:showSerName val="0"/>
              <c:showPercent val="0"/>
              <c:showBubbleSize val="0"/>
            </c:dLbl>
            <c:dLbl>
              <c:idx val="20"/>
              <c:layout>
                <c:manualLayout>
                  <c:x val="0"/>
                  <c:y val="-0.42944849122536788"/>
                </c:manualLayout>
              </c:layout>
              <c:showLegendKey val="0"/>
              <c:showVal val="1"/>
              <c:showCatName val="0"/>
              <c:showSerName val="0"/>
              <c:showPercent val="0"/>
              <c:showBubbleSize val="0"/>
            </c:dLbl>
            <c:dLbl>
              <c:idx val="21"/>
              <c:layout>
                <c:manualLayout>
                  <c:x val="0"/>
                  <c:y val="-0.44670311810495772"/>
                </c:manualLayout>
              </c:layout>
              <c:showLegendKey val="0"/>
              <c:showVal val="1"/>
              <c:showCatName val="0"/>
              <c:showSerName val="0"/>
              <c:showPercent val="0"/>
              <c:showBubbleSize val="0"/>
            </c:dLbl>
            <c:dLbl>
              <c:idx val="22"/>
              <c:layout>
                <c:manualLayout>
                  <c:x val="0"/>
                  <c:y val="-0.44898352927501961"/>
                </c:manualLayout>
              </c:layout>
              <c:showLegendKey val="0"/>
              <c:showVal val="1"/>
              <c:showCatName val="0"/>
              <c:showSerName val="0"/>
              <c:showPercent val="0"/>
              <c:showBubbleSize val="0"/>
            </c:dLbl>
            <c:dLbl>
              <c:idx val="23"/>
              <c:layout>
                <c:manualLayout>
                  <c:x val="-3.0352292123843141E-3"/>
                  <c:y val="-0.46011628779201247"/>
                </c:manualLayout>
              </c:layout>
              <c:showLegendKey val="0"/>
              <c:showVal val="1"/>
              <c:showCatName val="0"/>
              <c:showSerName val="0"/>
              <c:showPercent val="0"/>
              <c:showBubbleSize val="0"/>
            </c:dLbl>
            <c:dLbl>
              <c:idx val="24"/>
              <c:layout>
                <c:manualLayout>
                  <c:x val="0"/>
                  <c:y val="-0.47728103626424845"/>
                </c:manualLayout>
              </c:layout>
              <c:showLegendKey val="0"/>
              <c:showVal val="1"/>
              <c:showCatName val="0"/>
              <c:showSerName val="0"/>
              <c:showPercent val="0"/>
              <c:showBubbleSize val="0"/>
            </c:dLbl>
            <c:txPr>
              <a:bodyPr/>
              <a:lstStyle/>
              <a:p>
                <a:pPr>
                  <a:defRPr sz="800"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dLbls>
          <c:cat>
            <c:numRef>
              <c:f>T.XXX!$G$10:$G$18</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T.XXX!$H$10:$H$18</c:f>
              <c:numCache>
                <c:formatCode>General</c:formatCode>
                <c:ptCount val="9"/>
                <c:pt idx="0">
                  <c:v>1412</c:v>
                </c:pt>
                <c:pt idx="1">
                  <c:v>2730</c:v>
                </c:pt>
                <c:pt idx="2">
                  <c:v>1273</c:v>
                </c:pt>
                <c:pt idx="3">
                  <c:v>2106</c:v>
                </c:pt>
                <c:pt idx="4">
                  <c:v>1311</c:v>
                </c:pt>
                <c:pt idx="5">
                  <c:v>1204</c:v>
                </c:pt>
                <c:pt idx="6">
                  <c:v>720</c:v>
                </c:pt>
                <c:pt idx="7">
                  <c:v>819</c:v>
                </c:pt>
                <c:pt idx="8">
                  <c:v>587</c:v>
                </c:pt>
              </c:numCache>
            </c:numRef>
          </c:val>
          <c:shape val="box"/>
        </c:ser>
        <c:ser>
          <c:idx val="1"/>
          <c:order val="1"/>
          <c:tx>
            <c:strRef>
              <c:f>T.XXX!$I$9</c:f>
              <c:strCache>
                <c:ptCount val="1"/>
                <c:pt idx="0">
                  <c:v>zwolnienia</c:v>
                </c:pt>
              </c:strCache>
            </c:strRef>
          </c:tx>
          <c:spPr>
            <a:gradFill>
              <a:gsLst>
                <a:gs pos="0">
                  <a:schemeClr val="accent4">
                    <a:alpha val="71000"/>
                    <a:lumMod val="98000"/>
                    <a:lumOff val="2000"/>
                  </a:schemeClr>
                </a:gs>
                <a:gs pos="50000">
                  <a:schemeClr val="accent4">
                    <a:alpha val="87000"/>
                    <a:lumMod val="66000"/>
                    <a:lumOff val="34000"/>
                  </a:schemeClr>
                </a:gs>
                <a:gs pos="100000">
                  <a:schemeClr val="accent4">
                    <a:lumMod val="67000"/>
                    <a:lumOff val="33000"/>
                  </a:schemeClr>
                </a:gs>
              </a:gsLst>
              <a:lin ang="5400000" scaled="0"/>
            </a:gradFill>
          </c:spPr>
          <c:invertIfNegative val="0"/>
          <c:dLbls>
            <c:dLbl>
              <c:idx val="0"/>
              <c:layout>
                <c:manualLayout>
                  <c:x val="1.8841329679418217E-2"/>
                  <c:y val="5.4849890328355737E-3"/>
                </c:manualLayout>
              </c:layout>
              <c:showLegendKey val="0"/>
              <c:showVal val="1"/>
              <c:showCatName val="0"/>
              <c:showSerName val="0"/>
              <c:showPercent val="0"/>
              <c:showBubbleSize val="0"/>
            </c:dLbl>
            <c:dLbl>
              <c:idx val="1"/>
              <c:layout>
                <c:manualLayout>
                  <c:x val="1.7155767407780631E-2"/>
                  <c:y val="1.0209491531146385E-2"/>
                </c:manualLayout>
              </c:layout>
              <c:showLegendKey val="0"/>
              <c:showVal val="1"/>
              <c:showCatName val="0"/>
              <c:showSerName val="0"/>
              <c:showPercent val="0"/>
              <c:showBubbleSize val="0"/>
            </c:dLbl>
            <c:dLbl>
              <c:idx val="2"/>
              <c:layout>
                <c:manualLayout>
                  <c:x val="1.5502700428693273E-2"/>
                  <c:y val="9.1354851779486233E-3"/>
                </c:manualLayout>
              </c:layout>
              <c:showLegendKey val="0"/>
              <c:showVal val="1"/>
              <c:showCatName val="0"/>
              <c:showSerName val="0"/>
              <c:showPercent val="0"/>
              <c:showBubbleSize val="0"/>
            </c:dLbl>
            <c:dLbl>
              <c:idx val="3"/>
              <c:layout>
                <c:manualLayout>
                  <c:x val="1.6056168637290688E-2"/>
                  <c:y val="5.1043438170877142E-3"/>
                </c:manualLayout>
              </c:layout>
              <c:showLegendKey val="0"/>
              <c:showVal val="1"/>
              <c:showCatName val="0"/>
              <c:showSerName val="0"/>
              <c:showPercent val="0"/>
              <c:showBubbleSize val="0"/>
            </c:dLbl>
            <c:dLbl>
              <c:idx val="4"/>
              <c:layout>
                <c:manualLayout>
                  <c:x val="1.1633489438855215E-2"/>
                  <c:y val="4.9721027653653856E-3"/>
                </c:manualLayout>
              </c:layout>
              <c:showLegendKey val="0"/>
              <c:showVal val="1"/>
              <c:showCatName val="0"/>
              <c:showSerName val="0"/>
              <c:showPercent val="0"/>
              <c:showBubbleSize val="0"/>
            </c:dLbl>
            <c:dLbl>
              <c:idx val="5"/>
              <c:layout>
                <c:manualLayout>
                  <c:x val="2.3986417666537502E-2"/>
                  <c:y val="1.0657262143969105E-2"/>
                </c:manualLayout>
              </c:layout>
              <c:showLegendKey val="0"/>
              <c:showVal val="1"/>
              <c:showCatName val="0"/>
              <c:showSerName val="0"/>
              <c:showPercent val="0"/>
              <c:showBubbleSize val="0"/>
            </c:dLbl>
            <c:dLbl>
              <c:idx val="6"/>
              <c:layout>
                <c:manualLayout>
                  <c:x val="1.2736931738571529E-2"/>
                  <c:y val="5.1047457655731925E-3"/>
                </c:manualLayout>
              </c:layout>
              <c:showLegendKey val="0"/>
              <c:showVal val="1"/>
              <c:showCatName val="0"/>
              <c:showSerName val="0"/>
              <c:showPercent val="0"/>
              <c:showBubbleSize val="0"/>
            </c:dLbl>
            <c:dLbl>
              <c:idx val="7"/>
              <c:layout>
                <c:manualLayout>
                  <c:x val="1.1574089441720392E-2"/>
                  <c:y val="5.1047457655731925E-3"/>
                </c:manualLayout>
              </c:layout>
              <c:showLegendKey val="0"/>
              <c:showVal val="1"/>
              <c:showCatName val="0"/>
              <c:showSerName val="0"/>
              <c:showPercent val="0"/>
              <c:showBubbleSize val="0"/>
            </c:dLbl>
            <c:dLbl>
              <c:idx val="8"/>
              <c:layout>
                <c:manualLayout>
                  <c:x val="2.0849748406070959E-2"/>
                  <c:y val="1.0209491531146385E-2"/>
                </c:manualLayout>
              </c:layout>
              <c:showLegendKey val="0"/>
              <c:showVal val="1"/>
              <c:showCatName val="0"/>
              <c:showSerName val="0"/>
              <c:showPercent val="0"/>
              <c:showBubbleSize val="0"/>
            </c:dLbl>
            <c:txPr>
              <a:bodyPr/>
              <a:lstStyle/>
              <a:p>
                <a:pPr>
                  <a:defRPr sz="800"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dLbls>
          <c:cat>
            <c:numRef>
              <c:f>T.XXX!$G$10:$G$18</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T.XXX!$I$10:$I$18</c:f>
              <c:numCache>
                <c:formatCode>General</c:formatCode>
                <c:ptCount val="9"/>
                <c:pt idx="0">
                  <c:v>1120</c:v>
                </c:pt>
                <c:pt idx="1">
                  <c:v>2048</c:v>
                </c:pt>
                <c:pt idx="2">
                  <c:v>1050</c:v>
                </c:pt>
                <c:pt idx="3">
                  <c:v>1235</c:v>
                </c:pt>
                <c:pt idx="4">
                  <c:v>651</c:v>
                </c:pt>
                <c:pt idx="5">
                  <c:v>1108</c:v>
                </c:pt>
                <c:pt idx="6">
                  <c:v>609</c:v>
                </c:pt>
                <c:pt idx="7">
                  <c:v>557</c:v>
                </c:pt>
                <c:pt idx="8">
                  <c:v>530</c:v>
                </c:pt>
              </c:numCache>
            </c:numRef>
          </c:val>
        </c:ser>
        <c:dLbls>
          <c:showLegendKey val="0"/>
          <c:showVal val="0"/>
          <c:showCatName val="0"/>
          <c:showSerName val="0"/>
          <c:showPercent val="0"/>
          <c:showBubbleSize val="0"/>
        </c:dLbls>
        <c:gapWidth val="43"/>
        <c:gapDepth val="148"/>
        <c:shape val="cylinder"/>
        <c:axId val="199746304"/>
        <c:axId val="199747840"/>
        <c:axId val="0"/>
      </c:bar3DChart>
      <c:catAx>
        <c:axId val="199746304"/>
        <c:scaling>
          <c:orientation val="minMax"/>
        </c:scaling>
        <c:delete val="0"/>
        <c:axPos val="b"/>
        <c:majorGridlines>
          <c:spPr>
            <a:ln>
              <a:solidFill>
                <a:schemeClr val="tx1">
                  <a:lumMod val="50000"/>
                  <a:lumOff val="50000"/>
                </a:schemeClr>
              </a:solidFill>
            </a:ln>
          </c:spPr>
        </c:majorGridlines>
        <c:numFmt formatCode="General" sourceLinked="1"/>
        <c:majorTickMark val="out"/>
        <c:minorTickMark val="none"/>
        <c:tickLblPos val="nextTo"/>
        <c:spPr>
          <a:solidFill>
            <a:srgbClr val="FFFFFF"/>
          </a:solidFill>
          <a:ln w="3175">
            <a:solidFill>
              <a:schemeClr val="tx1">
                <a:alpha val="28000"/>
              </a:schemeClr>
            </a:solidFill>
          </a:ln>
        </c:spPr>
        <c:txPr>
          <a:bodyPr rot="0" vert="horz"/>
          <a:lstStyle/>
          <a:p>
            <a:pPr>
              <a:defRPr sz="800" b="0" i="0" u="none" strike="noStrike" baseline="0">
                <a:solidFill>
                  <a:srgbClr val="000000"/>
                </a:solidFill>
                <a:latin typeface="+mj-lt"/>
                <a:ea typeface="Arial"/>
                <a:cs typeface="Arial"/>
              </a:defRPr>
            </a:pPr>
            <a:endParaRPr lang="pl-PL"/>
          </a:p>
        </c:txPr>
        <c:crossAx val="199747840"/>
        <c:crosses val="autoZero"/>
        <c:auto val="0"/>
        <c:lblAlgn val="ctr"/>
        <c:lblOffset val="100"/>
        <c:noMultiLvlLbl val="0"/>
      </c:catAx>
      <c:valAx>
        <c:axId val="199747840"/>
        <c:scaling>
          <c:orientation val="minMax"/>
          <c:max val="2000"/>
          <c:min val="0"/>
        </c:scaling>
        <c:delete val="0"/>
        <c:axPos val="l"/>
        <c:majorGridlines>
          <c:spPr>
            <a:ln>
              <a:solidFill>
                <a:schemeClr val="bg1">
                  <a:lumMod val="85000"/>
                </a:schemeClr>
              </a:solidFill>
            </a:ln>
          </c:spPr>
        </c:majorGridlines>
        <c:minorGridlines>
          <c:spPr>
            <a:ln>
              <a:solidFill>
                <a:schemeClr val="bg1">
                  <a:lumMod val="85000"/>
                </a:schemeClr>
              </a:solidFill>
            </a:ln>
          </c:spPr>
        </c:minorGridlines>
        <c:numFmt formatCode="General" sourceLinked="1"/>
        <c:majorTickMark val="out"/>
        <c:minorTickMark val="none"/>
        <c:tickLblPos val="nextTo"/>
        <c:spPr>
          <a:noFill/>
          <a:ln w="6350">
            <a:solidFill>
              <a:schemeClr val="bg2">
                <a:lumMod val="50000"/>
                <a:alpha val="79000"/>
              </a:schemeClr>
            </a:solidFill>
          </a:ln>
          <a:effectLst/>
        </c:spPr>
        <c:txPr>
          <a:bodyPr rot="0" vert="horz"/>
          <a:lstStyle/>
          <a:p>
            <a:pPr>
              <a:defRPr sz="700" b="0" i="0" u="none" strike="noStrike" baseline="0">
                <a:solidFill>
                  <a:srgbClr val="000000"/>
                </a:solidFill>
                <a:latin typeface="+mn-lt"/>
                <a:ea typeface="Arial"/>
                <a:cs typeface="Arial"/>
              </a:defRPr>
            </a:pPr>
            <a:endParaRPr lang="pl-PL"/>
          </a:p>
        </c:txPr>
        <c:crossAx val="199746304"/>
        <c:crosses val="autoZero"/>
        <c:crossBetween val="between"/>
        <c:majorUnit val="100"/>
        <c:minorUnit val="100"/>
      </c:valAx>
    </c:plotArea>
    <c:legend>
      <c:legendPos val="r"/>
      <c:layout>
        <c:manualLayout>
          <c:xMode val="edge"/>
          <c:yMode val="edge"/>
          <c:x val="0.54336211911829191"/>
          <c:y val="5.0790919452658408E-2"/>
          <c:w val="0.36565864576527651"/>
          <c:h val="7.1647967228957957E-2"/>
        </c:manualLayout>
      </c:layout>
      <c:overlay val="0"/>
      <c:txPr>
        <a:bodyPr/>
        <a:lstStyle/>
        <a:p>
          <a:pPr>
            <a:defRPr>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w="9525">
      <a:noFill/>
    </a:ln>
  </c:spPr>
  <c:txPr>
    <a:bodyPr/>
    <a:lstStyle/>
    <a:p>
      <a:pPr>
        <a:defRPr sz="1000" b="0" i="0" u="none" strike="noStrike" baseline="0">
          <a:solidFill>
            <a:srgbClr val="000000"/>
          </a:solidFill>
          <a:latin typeface="Calibri"/>
          <a:ea typeface="Calibri"/>
          <a:cs typeface="Calibri"/>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1595293767712406E-2"/>
          <c:y val="2.0915029809406988E-2"/>
          <c:w val="0.93959927621848949"/>
          <c:h val="0.88235295732208574"/>
        </c:manualLayout>
      </c:layout>
      <c:lineChart>
        <c:grouping val="standard"/>
        <c:varyColors val="0"/>
        <c:ser>
          <c:idx val="0"/>
          <c:order val="0"/>
          <c:tx>
            <c:strRef>
              <c:f>'mediana ''50 - ''18'!$D$2</c:f>
              <c:strCache>
                <c:ptCount val="1"/>
                <c:pt idx="0">
                  <c:v>Polska - mężczyźni</c:v>
                </c:pt>
              </c:strCache>
            </c:strRef>
          </c:tx>
          <c:spPr>
            <a:ln w="53975">
              <a:solidFill>
                <a:schemeClr val="accent4">
                  <a:lumMod val="60000"/>
                  <a:lumOff val="40000"/>
                </a:schemeClr>
              </a:solidFill>
            </a:ln>
          </c:spPr>
          <c:marker>
            <c:symbol val="none"/>
          </c:marker>
          <c:dLbls>
            <c:txPr>
              <a:bodyPr/>
              <a:lstStyle/>
              <a:p>
                <a:pPr>
                  <a:defRPr sz="550"/>
                </a:pPr>
                <a:endParaRPr lang="pl-PL"/>
              </a:p>
            </c:txPr>
            <c:dLblPos val="b"/>
            <c:showLegendKey val="0"/>
            <c:showVal val="1"/>
            <c:showCatName val="0"/>
            <c:showSerName val="0"/>
            <c:showPercent val="0"/>
            <c:showBubbleSize val="0"/>
            <c:showLeaderLines val="0"/>
          </c:dLbls>
          <c:cat>
            <c:strRef>
              <c:f>'mediana ''50 - ''18'!$B$3:$B$58</c:f>
              <c:strCache>
                <c:ptCount val="56"/>
                <c:pt idx="0">
                  <c:v>50</c:v>
                </c:pt>
                <c:pt idx="1">
                  <c:v>55</c:v>
                </c:pt>
                <c:pt idx="2">
                  <c:v>60</c:v>
                </c:pt>
                <c:pt idx="3">
                  <c:v>65</c:v>
                </c:pt>
                <c:pt idx="4">
                  <c:v>66</c:v>
                </c:pt>
                <c:pt idx="5">
                  <c:v>67</c:v>
                </c:pt>
                <c:pt idx="6">
                  <c:v>68</c:v>
                </c:pt>
                <c:pt idx="7">
                  <c:v>69</c:v>
                </c:pt>
                <c:pt idx="8">
                  <c:v>70</c:v>
                </c:pt>
                <c:pt idx="9">
                  <c:v>71</c:v>
                </c:pt>
                <c:pt idx="10">
                  <c:v>72</c:v>
                </c:pt>
                <c:pt idx="11">
                  <c:v>73</c:v>
                </c:pt>
                <c:pt idx="12">
                  <c:v>74</c:v>
                </c:pt>
                <c:pt idx="13">
                  <c:v>75</c:v>
                </c:pt>
                <c:pt idx="14">
                  <c:v>76</c:v>
                </c:pt>
                <c:pt idx="15">
                  <c:v>77</c:v>
                </c:pt>
                <c:pt idx="16">
                  <c:v>78</c:v>
                </c:pt>
                <c:pt idx="17">
                  <c:v>79</c:v>
                </c:pt>
                <c:pt idx="18">
                  <c:v>80</c:v>
                </c:pt>
                <c:pt idx="19">
                  <c:v>81</c:v>
                </c:pt>
                <c:pt idx="20">
                  <c:v>82</c:v>
                </c:pt>
                <c:pt idx="21">
                  <c:v>83</c:v>
                </c:pt>
                <c:pt idx="22">
                  <c:v>84</c:v>
                </c:pt>
                <c:pt idx="23">
                  <c:v>85</c:v>
                </c:pt>
                <c:pt idx="24">
                  <c:v>86</c:v>
                </c:pt>
                <c:pt idx="25">
                  <c:v>87</c:v>
                </c:pt>
                <c:pt idx="26">
                  <c:v>88</c:v>
                </c:pt>
                <c:pt idx="27">
                  <c:v>89</c:v>
                </c:pt>
                <c:pt idx="28">
                  <c:v>90</c:v>
                </c:pt>
                <c:pt idx="29">
                  <c:v>91</c:v>
                </c:pt>
                <c:pt idx="30">
                  <c:v>92</c:v>
                </c:pt>
                <c:pt idx="31">
                  <c:v>93</c:v>
                </c:pt>
                <c:pt idx="32">
                  <c:v>94</c:v>
                </c:pt>
                <c:pt idx="33">
                  <c:v>95</c:v>
                </c:pt>
                <c:pt idx="34">
                  <c:v>96</c:v>
                </c:pt>
                <c:pt idx="35">
                  <c:v>97</c:v>
                </c:pt>
                <c:pt idx="36">
                  <c:v>98</c:v>
                </c:pt>
                <c:pt idx="37">
                  <c:v>99</c:v>
                </c:pt>
                <c:pt idx="38">
                  <c:v>00</c:v>
                </c:pt>
                <c:pt idx="39">
                  <c:v>01</c:v>
                </c:pt>
                <c:pt idx="40">
                  <c:v>02</c:v>
                </c:pt>
                <c:pt idx="41">
                  <c:v>03</c:v>
                </c:pt>
                <c:pt idx="42">
                  <c:v>04</c:v>
                </c:pt>
                <c:pt idx="43">
                  <c:v>05</c:v>
                </c:pt>
                <c:pt idx="44">
                  <c:v>06</c:v>
                </c:pt>
                <c:pt idx="45">
                  <c:v>07</c:v>
                </c:pt>
                <c:pt idx="46">
                  <c:v>08</c:v>
                </c:pt>
                <c:pt idx="47">
                  <c:v>09</c:v>
                </c:pt>
                <c:pt idx="48">
                  <c:v>10</c:v>
                </c:pt>
                <c:pt idx="49">
                  <c:v>11</c:v>
                </c:pt>
                <c:pt idx="50">
                  <c:v>12</c:v>
                </c:pt>
                <c:pt idx="51">
                  <c:v>13</c:v>
                </c:pt>
                <c:pt idx="52">
                  <c:v>14</c:v>
                </c:pt>
                <c:pt idx="53">
                  <c:v>15</c:v>
                </c:pt>
                <c:pt idx="54">
                  <c:v>16</c:v>
                </c:pt>
                <c:pt idx="55">
                  <c:v>17</c:v>
                </c:pt>
              </c:strCache>
            </c:strRef>
          </c:cat>
          <c:val>
            <c:numRef>
              <c:f>'mediana ''50 - ''18'!$D$3:$D$58</c:f>
              <c:numCache>
                <c:formatCode>0.0</c:formatCode>
                <c:ptCount val="56"/>
                <c:pt idx="0">
                  <c:v>24.4</c:v>
                </c:pt>
                <c:pt idx="1">
                  <c:v>24.6</c:v>
                </c:pt>
                <c:pt idx="2">
                  <c:v>25.1</c:v>
                </c:pt>
                <c:pt idx="3">
                  <c:v>26</c:v>
                </c:pt>
                <c:pt idx="4">
                  <c:v>26.2</c:v>
                </c:pt>
                <c:pt idx="5">
                  <c:v>26.3</c:v>
                </c:pt>
                <c:pt idx="6">
                  <c:v>26.4</c:v>
                </c:pt>
                <c:pt idx="7">
                  <c:v>26.4</c:v>
                </c:pt>
                <c:pt idx="8">
                  <c:v>26.2</c:v>
                </c:pt>
                <c:pt idx="9">
                  <c:v>26.1</c:v>
                </c:pt>
                <c:pt idx="10">
                  <c:v>26.3</c:v>
                </c:pt>
                <c:pt idx="11">
                  <c:v>26.6</c:v>
                </c:pt>
                <c:pt idx="12">
                  <c:v>26.8</c:v>
                </c:pt>
                <c:pt idx="13">
                  <c:v>27.1</c:v>
                </c:pt>
                <c:pt idx="14">
                  <c:v>27.3</c:v>
                </c:pt>
                <c:pt idx="15">
                  <c:v>27.6</c:v>
                </c:pt>
                <c:pt idx="16">
                  <c:v>27.9</c:v>
                </c:pt>
                <c:pt idx="17">
                  <c:v>28.1</c:v>
                </c:pt>
                <c:pt idx="18">
                  <c:v>28.4</c:v>
                </c:pt>
                <c:pt idx="19">
                  <c:v>28.7</c:v>
                </c:pt>
                <c:pt idx="20">
                  <c:v>28.9</c:v>
                </c:pt>
                <c:pt idx="21">
                  <c:v>29.1</c:v>
                </c:pt>
                <c:pt idx="22">
                  <c:v>29.4</c:v>
                </c:pt>
                <c:pt idx="23">
                  <c:v>29.6</c:v>
                </c:pt>
                <c:pt idx="24">
                  <c:v>29.9</c:v>
                </c:pt>
                <c:pt idx="25">
                  <c:v>30.2</c:v>
                </c:pt>
                <c:pt idx="26">
                  <c:v>30.6</c:v>
                </c:pt>
                <c:pt idx="27">
                  <c:v>30.7</c:v>
                </c:pt>
                <c:pt idx="28">
                  <c:v>30.9</c:v>
                </c:pt>
                <c:pt idx="29">
                  <c:v>31.1</c:v>
                </c:pt>
                <c:pt idx="30">
                  <c:v>31.4</c:v>
                </c:pt>
                <c:pt idx="31">
                  <c:v>31.6</c:v>
                </c:pt>
                <c:pt idx="32">
                  <c:v>31.8</c:v>
                </c:pt>
                <c:pt idx="33">
                  <c:v>32</c:v>
                </c:pt>
                <c:pt idx="34">
                  <c:v>32.200000000000003</c:v>
                </c:pt>
                <c:pt idx="35">
                  <c:v>32.5</c:v>
                </c:pt>
                <c:pt idx="36">
                  <c:v>32.799999999999997</c:v>
                </c:pt>
                <c:pt idx="37">
                  <c:v>33.200000000000003</c:v>
                </c:pt>
                <c:pt idx="38">
                  <c:v>33.4</c:v>
                </c:pt>
                <c:pt idx="39">
                  <c:v>33.700000000000003</c:v>
                </c:pt>
                <c:pt idx="40">
                  <c:v>33.9</c:v>
                </c:pt>
                <c:pt idx="41">
                  <c:v>34.200000000000003</c:v>
                </c:pt>
                <c:pt idx="42">
                  <c:v>34.4</c:v>
                </c:pt>
                <c:pt idx="43">
                  <c:v>34.700000000000003</c:v>
                </c:pt>
                <c:pt idx="44">
                  <c:v>35</c:v>
                </c:pt>
                <c:pt idx="45">
                  <c:v>35.299999999999997</c:v>
                </c:pt>
                <c:pt idx="46">
                  <c:v>35.6</c:v>
                </c:pt>
                <c:pt idx="47">
                  <c:v>35.9</c:v>
                </c:pt>
                <c:pt idx="48">
                  <c:v>36.299999999999997</c:v>
                </c:pt>
                <c:pt idx="49">
                  <c:v>36.700000000000003</c:v>
                </c:pt>
                <c:pt idx="50">
                  <c:v>37</c:v>
                </c:pt>
                <c:pt idx="51">
                  <c:v>37.4</c:v>
                </c:pt>
                <c:pt idx="52">
                  <c:v>37.799999999999997</c:v>
                </c:pt>
                <c:pt idx="53" formatCode="General">
                  <c:v>38.200000000000003</c:v>
                </c:pt>
                <c:pt idx="54" formatCode="General">
                  <c:v>38.6</c:v>
                </c:pt>
                <c:pt idx="55" formatCode="General">
                  <c:v>38.9</c:v>
                </c:pt>
              </c:numCache>
            </c:numRef>
          </c:val>
          <c:smooth val="0"/>
        </c:ser>
        <c:ser>
          <c:idx val="1"/>
          <c:order val="1"/>
          <c:tx>
            <c:strRef>
              <c:f>'mediana ''50 - ''18'!$E$2</c:f>
              <c:strCache>
                <c:ptCount val="1"/>
                <c:pt idx="0">
                  <c:v>Polska - kobiety</c:v>
                </c:pt>
              </c:strCache>
            </c:strRef>
          </c:tx>
          <c:spPr>
            <a:ln w="50800">
              <a:solidFill>
                <a:schemeClr val="tx1"/>
              </a:solidFill>
            </a:ln>
          </c:spPr>
          <c:marker>
            <c:symbol val="square"/>
            <c:size val="4"/>
            <c:spPr>
              <a:solidFill>
                <a:schemeClr val="bg1"/>
              </a:solidFill>
              <a:ln w="6350">
                <a:solidFill>
                  <a:schemeClr val="accent2">
                    <a:lumMod val="75000"/>
                  </a:schemeClr>
                </a:solidFill>
              </a:ln>
            </c:spPr>
          </c:marker>
          <c:dLbls>
            <c:txPr>
              <a:bodyPr/>
              <a:lstStyle/>
              <a:p>
                <a:pPr>
                  <a:defRPr sz="550"/>
                </a:pPr>
                <a:endParaRPr lang="pl-PL"/>
              </a:p>
            </c:txPr>
            <c:dLblPos val="t"/>
            <c:showLegendKey val="0"/>
            <c:showVal val="1"/>
            <c:showCatName val="0"/>
            <c:showSerName val="0"/>
            <c:showPercent val="0"/>
            <c:showBubbleSize val="0"/>
            <c:showLeaderLines val="0"/>
          </c:dLbls>
          <c:cat>
            <c:strRef>
              <c:f>'mediana ''50 - ''18'!$B$3:$B$58</c:f>
              <c:strCache>
                <c:ptCount val="56"/>
                <c:pt idx="0">
                  <c:v>50</c:v>
                </c:pt>
                <c:pt idx="1">
                  <c:v>55</c:v>
                </c:pt>
                <c:pt idx="2">
                  <c:v>60</c:v>
                </c:pt>
                <c:pt idx="3">
                  <c:v>65</c:v>
                </c:pt>
                <c:pt idx="4">
                  <c:v>66</c:v>
                </c:pt>
                <c:pt idx="5">
                  <c:v>67</c:v>
                </c:pt>
                <c:pt idx="6">
                  <c:v>68</c:v>
                </c:pt>
                <c:pt idx="7">
                  <c:v>69</c:v>
                </c:pt>
                <c:pt idx="8">
                  <c:v>70</c:v>
                </c:pt>
                <c:pt idx="9">
                  <c:v>71</c:v>
                </c:pt>
                <c:pt idx="10">
                  <c:v>72</c:v>
                </c:pt>
                <c:pt idx="11">
                  <c:v>73</c:v>
                </c:pt>
                <c:pt idx="12">
                  <c:v>74</c:v>
                </c:pt>
                <c:pt idx="13">
                  <c:v>75</c:v>
                </c:pt>
                <c:pt idx="14">
                  <c:v>76</c:v>
                </c:pt>
                <c:pt idx="15">
                  <c:v>77</c:v>
                </c:pt>
                <c:pt idx="16">
                  <c:v>78</c:v>
                </c:pt>
                <c:pt idx="17">
                  <c:v>79</c:v>
                </c:pt>
                <c:pt idx="18">
                  <c:v>80</c:v>
                </c:pt>
                <c:pt idx="19">
                  <c:v>81</c:v>
                </c:pt>
                <c:pt idx="20">
                  <c:v>82</c:v>
                </c:pt>
                <c:pt idx="21">
                  <c:v>83</c:v>
                </c:pt>
                <c:pt idx="22">
                  <c:v>84</c:v>
                </c:pt>
                <c:pt idx="23">
                  <c:v>85</c:v>
                </c:pt>
                <c:pt idx="24">
                  <c:v>86</c:v>
                </c:pt>
                <c:pt idx="25">
                  <c:v>87</c:v>
                </c:pt>
                <c:pt idx="26">
                  <c:v>88</c:v>
                </c:pt>
                <c:pt idx="27">
                  <c:v>89</c:v>
                </c:pt>
                <c:pt idx="28">
                  <c:v>90</c:v>
                </c:pt>
                <c:pt idx="29">
                  <c:v>91</c:v>
                </c:pt>
                <c:pt idx="30">
                  <c:v>92</c:v>
                </c:pt>
                <c:pt idx="31">
                  <c:v>93</c:v>
                </c:pt>
                <c:pt idx="32">
                  <c:v>94</c:v>
                </c:pt>
                <c:pt idx="33">
                  <c:v>95</c:v>
                </c:pt>
                <c:pt idx="34">
                  <c:v>96</c:v>
                </c:pt>
                <c:pt idx="35">
                  <c:v>97</c:v>
                </c:pt>
                <c:pt idx="36">
                  <c:v>98</c:v>
                </c:pt>
                <c:pt idx="37">
                  <c:v>99</c:v>
                </c:pt>
                <c:pt idx="38">
                  <c:v>00</c:v>
                </c:pt>
                <c:pt idx="39">
                  <c:v>01</c:v>
                </c:pt>
                <c:pt idx="40">
                  <c:v>02</c:v>
                </c:pt>
                <c:pt idx="41">
                  <c:v>03</c:v>
                </c:pt>
                <c:pt idx="42">
                  <c:v>04</c:v>
                </c:pt>
                <c:pt idx="43">
                  <c:v>05</c:v>
                </c:pt>
                <c:pt idx="44">
                  <c:v>06</c:v>
                </c:pt>
                <c:pt idx="45">
                  <c:v>07</c:v>
                </c:pt>
                <c:pt idx="46">
                  <c:v>08</c:v>
                </c:pt>
                <c:pt idx="47">
                  <c:v>09</c:v>
                </c:pt>
                <c:pt idx="48">
                  <c:v>10</c:v>
                </c:pt>
                <c:pt idx="49">
                  <c:v>11</c:v>
                </c:pt>
                <c:pt idx="50">
                  <c:v>12</c:v>
                </c:pt>
                <c:pt idx="51">
                  <c:v>13</c:v>
                </c:pt>
                <c:pt idx="52">
                  <c:v>14</c:v>
                </c:pt>
                <c:pt idx="53">
                  <c:v>15</c:v>
                </c:pt>
                <c:pt idx="54">
                  <c:v>16</c:v>
                </c:pt>
                <c:pt idx="55">
                  <c:v>17</c:v>
                </c:pt>
              </c:strCache>
            </c:strRef>
          </c:cat>
          <c:val>
            <c:numRef>
              <c:f>'mediana ''50 - ''18'!$E$3:$E$58</c:f>
              <c:numCache>
                <c:formatCode>0.0</c:formatCode>
                <c:ptCount val="56"/>
                <c:pt idx="0">
                  <c:v>27.1</c:v>
                </c:pt>
                <c:pt idx="1">
                  <c:v>27.5</c:v>
                </c:pt>
                <c:pt idx="2">
                  <c:v>28.3</c:v>
                </c:pt>
                <c:pt idx="3">
                  <c:v>29.5</c:v>
                </c:pt>
                <c:pt idx="4">
                  <c:v>29.7</c:v>
                </c:pt>
                <c:pt idx="5">
                  <c:v>29.7</c:v>
                </c:pt>
                <c:pt idx="6">
                  <c:v>29.9</c:v>
                </c:pt>
                <c:pt idx="7">
                  <c:v>30.1</c:v>
                </c:pt>
                <c:pt idx="8">
                  <c:v>30.3</c:v>
                </c:pt>
                <c:pt idx="9">
                  <c:v>30.3</c:v>
                </c:pt>
                <c:pt idx="10">
                  <c:v>30.3</c:v>
                </c:pt>
                <c:pt idx="11">
                  <c:v>30.2</c:v>
                </c:pt>
                <c:pt idx="12">
                  <c:v>30.1</c:v>
                </c:pt>
                <c:pt idx="13">
                  <c:v>30</c:v>
                </c:pt>
                <c:pt idx="14">
                  <c:v>30.1</c:v>
                </c:pt>
                <c:pt idx="15">
                  <c:v>30.3</c:v>
                </c:pt>
                <c:pt idx="16">
                  <c:v>30.6</c:v>
                </c:pt>
                <c:pt idx="17">
                  <c:v>30.8</c:v>
                </c:pt>
                <c:pt idx="18">
                  <c:v>31</c:v>
                </c:pt>
                <c:pt idx="19">
                  <c:v>31.4</c:v>
                </c:pt>
                <c:pt idx="20">
                  <c:v>31.5</c:v>
                </c:pt>
                <c:pt idx="21">
                  <c:v>31.8</c:v>
                </c:pt>
                <c:pt idx="22">
                  <c:v>32</c:v>
                </c:pt>
                <c:pt idx="23">
                  <c:v>32.299999999999997</c:v>
                </c:pt>
                <c:pt idx="24">
                  <c:v>32.6</c:v>
                </c:pt>
                <c:pt idx="25">
                  <c:v>32.9</c:v>
                </c:pt>
                <c:pt idx="26">
                  <c:v>33.200000000000003</c:v>
                </c:pt>
                <c:pt idx="27">
                  <c:v>33.4</c:v>
                </c:pt>
                <c:pt idx="28">
                  <c:v>33.700000000000003</c:v>
                </c:pt>
                <c:pt idx="29">
                  <c:v>34</c:v>
                </c:pt>
                <c:pt idx="30">
                  <c:v>34.299999999999997</c:v>
                </c:pt>
                <c:pt idx="31">
                  <c:v>34.700000000000003</c:v>
                </c:pt>
                <c:pt idx="32">
                  <c:v>35</c:v>
                </c:pt>
                <c:pt idx="33">
                  <c:v>35.299999999999997</c:v>
                </c:pt>
                <c:pt idx="34">
                  <c:v>35.700000000000003</c:v>
                </c:pt>
                <c:pt idx="35">
                  <c:v>36.1</c:v>
                </c:pt>
                <c:pt idx="36">
                  <c:v>36.5</c:v>
                </c:pt>
                <c:pt idx="37">
                  <c:v>37</c:v>
                </c:pt>
                <c:pt idx="38">
                  <c:v>37.4</c:v>
                </c:pt>
                <c:pt idx="39">
                  <c:v>37.6</c:v>
                </c:pt>
                <c:pt idx="40">
                  <c:v>38</c:v>
                </c:pt>
                <c:pt idx="41">
                  <c:v>38.299999999999997</c:v>
                </c:pt>
                <c:pt idx="42">
                  <c:v>38.6</c:v>
                </c:pt>
                <c:pt idx="43">
                  <c:v>38.9</c:v>
                </c:pt>
                <c:pt idx="44">
                  <c:v>39.1</c:v>
                </c:pt>
                <c:pt idx="45">
                  <c:v>39.4</c:v>
                </c:pt>
                <c:pt idx="46">
                  <c:v>39.6</c:v>
                </c:pt>
                <c:pt idx="47">
                  <c:v>39.799999999999997</c:v>
                </c:pt>
                <c:pt idx="48">
                  <c:v>39.9</c:v>
                </c:pt>
                <c:pt idx="49">
                  <c:v>40.200000000000003</c:v>
                </c:pt>
                <c:pt idx="50">
                  <c:v>40.5</c:v>
                </c:pt>
                <c:pt idx="51">
                  <c:v>40.9</c:v>
                </c:pt>
                <c:pt idx="52">
                  <c:v>41.2</c:v>
                </c:pt>
                <c:pt idx="53" formatCode="General">
                  <c:v>41.6</c:v>
                </c:pt>
                <c:pt idx="54" formatCode="General">
                  <c:v>41.9</c:v>
                </c:pt>
                <c:pt idx="55" formatCode="General">
                  <c:v>42.2</c:v>
                </c:pt>
              </c:numCache>
            </c:numRef>
          </c:val>
          <c:smooth val="0"/>
        </c:ser>
        <c:dLbls>
          <c:showLegendKey val="0"/>
          <c:showVal val="0"/>
          <c:showCatName val="0"/>
          <c:showSerName val="0"/>
          <c:showPercent val="0"/>
          <c:showBubbleSize val="0"/>
        </c:dLbls>
        <c:marker val="1"/>
        <c:smooth val="0"/>
        <c:axId val="184568448"/>
        <c:axId val="184623488"/>
      </c:lineChart>
      <c:catAx>
        <c:axId val="184568448"/>
        <c:scaling>
          <c:orientation val="minMax"/>
        </c:scaling>
        <c:delete val="0"/>
        <c:axPos val="b"/>
        <c:majorTickMark val="out"/>
        <c:minorTickMark val="none"/>
        <c:tickLblPos val="nextTo"/>
        <c:txPr>
          <a:bodyPr/>
          <a:lstStyle/>
          <a:p>
            <a:pPr>
              <a:defRPr sz="700">
                <a:latin typeface="+mj-lt"/>
              </a:defRPr>
            </a:pPr>
            <a:endParaRPr lang="pl-PL"/>
          </a:p>
        </c:txPr>
        <c:crossAx val="184623488"/>
        <c:crosses val="autoZero"/>
        <c:auto val="1"/>
        <c:lblAlgn val="ctr"/>
        <c:lblOffset val="100"/>
        <c:noMultiLvlLbl val="0"/>
      </c:catAx>
      <c:valAx>
        <c:axId val="184623488"/>
        <c:scaling>
          <c:orientation val="minMax"/>
          <c:max val="45"/>
          <c:min val="20"/>
        </c:scaling>
        <c:delete val="0"/>
        <c:axPos val="l"/>
        <c:majorGridlines>
          <c:spPr>
            <a:ln>
              <a:solidFill>
                <a:schemeClr val="bg1">
                  <a:lumMod val="50000"/>
                  <a:alpha val="75000"/>
                </a:schemeClr>
              </a:solidFill>
            </a:ln>
          </c:spPr>
        </c:majorGridlines>
        <c:minorGridlines>
          <c:spPr>
            <a:ln>
              <a:solidFill>
                <a:schemeClr val="bg1">
                  <a:lumMod val="65000"/>
                  <a:alpha val="57000"/>
                </a:schemeClr>
              </a:solidFill>
            </a:ln>
          </c:spPr>
        </c:minorGridlines>
        <c:numFmt formatCode="0.0" sourceLinked="1"/>
        <c:majorTickMark val="out"/>
        <c:minorTickMark val="none"/>
        <c:tickLblPos val="nextTo"/>
        <c:spPr>
          <a:noFill/>
          <a:ln>
            <a:solidFill>
              <a:schemeClr val="accent1"/>
            </a:solidFill>
          </a:ln>
        </c:spPr>
        <c:txPr>
          <a:bodyPr/>
          <a:lstStyle/>
          <a:p>
            <a:pPr>
              <a:defRPr sz="700">
                <a:latin typeface="+mj-lt"/>
              </a:defRPr>
            </a:pPr>
            <a:endParaRPr lang="pl-PL"/>
          </a:p>
        </c:txPr>
        <c:crossAx val="184568448"/>
        <c:crosses val="autoZero"/>
        <c:crossBetween val="between"/>
        <c:majorUnit val="2"/>
        <c:minorUnit val="1"/>
      </c:valAx>
    </c:plotArea>
    <c:legend>
      <c:legendPos val="r"/>
      <c:layout>
        <c:manualLayout>
          <c:xMode val="edge"/>
          <c:yMode val="edge"/>
          <c:x val="0.14914940697846721"/>
          <c:y val="0.13248957124873498"/>
          <c:w val="0.37366324253509114"/>
          <c:h val="0.11721257753194467"/>
        </c:manualLayout>
      </c:layout>
      <c:overlay val="0"/>
      <c:txPr>
        <a:bodyPr/>
        <a:lstStyle/>
        <a:p>
          <a:pPr>
            <a:defRPr sz="800">
              <a:latin typeface="+mj-lt"/>
            </a:defRPr>
          </a:pPr>
          <a:endParaRPr lang="pl-PL"/>
        </a:p>
      </c:txPr>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281608577095111E-2"/>
          <c:y val="6.7262943483415924E-2"/>
          <c:w val="0.93749488124199787"/>
          <c:h val="0.84051682728848087"/>
        </c:manualLayout>
      </c:layout>
      <c:lineChart>
        <c:grouping val="standard"/>
        <c:varyColors val="0"/>
        <c:ser>
          <c:idx val="0"/>
          <c:order val="0"/>
          <c:tx>
            <c:strRef>
              <c:f>'mediana ''50 - ''18'!$J$17:$J$18</c:f>
              <c:strCache>
                <c:ptCount val="1"/>
                <c:pt idx="0">
                  <c:v>ogółem Podkarpacie - ogółem</c:v>
                </c:pt>
              </c:strCache>
            </c:strRef>
          </c:tx>
          <c:spPr>
            <a:ln w="57150">
              <a:solidFill>
                <a:schemeClr val="tx1"/>
              </a:solidFill>
              <a:prstDash val="sysDot"/>
            </a:ln>
          </c:spPr>
          <c:marker>
            <c:symbol val="none"/>
          </c:marker>
          <c:dLbls>
            <c:dLbl>
              <c:idx val="0"/>
              <c:layout>
                <c:manualLayout>
                  <c:x val="-2.6039436486438534E-2"/>
                  <c:y val="-7.127639957711504E-2"/>
                </c:manualLayout>
              </c:layout>
              <c:dLblPos val="r"/>
              <c:showLegendKey val="0"/>
              <c:showVal val="1"/>
              <c:showCatName val="0"/>
              <c:showSerName val="0"/>
              <c:showPercent val="0"/>
              <c:showBubbleSize val="0"/>
            </c:dLbl>
            <c:dLbl>
              <c:idx val="1"/>
              <c:layout>
                <c:manualLayout>
                  <c:x val="-2.7584136409440109E-2"/>
                  <c:y val="-5.9037322056401054E-2"/>
                </c:manualLayout>
              </c:layout>
              <c:dLblPos val="r"/>
              <c:showLegendKey val="0"/>
              <c:showVal val="1"/>
              <c:showCatName val="0"/>
              <c:showSerName val="0"/>
              <c:showPercent val="0"/>
              <c:showBubbleSize val="0"/>
            </c:dLbl>
            <c:dLbl>
              <c:idx val="2"/>
              <c:layout>
                <c:manualLayout>
                  <c:x val="-2.8482207280660102E-2"/>
                  <c:y val="-6.5455584785975948E-2"/>
                </c:manualLayout>
              </c:layout>
              <c:dLblPos val="r"/>
              <c:showLegendKey val="0"/>
              <c:showVal val="1"/>
              <c:showCatName val="0"/>
              <c:showSerName val="0"/>
              <c:showPercent val="0"/>
              <c:showBubbleSize val="0"/>
            </c:dLbl>
            <c:dLbl>
              <c:idx val="3"/>
              <c:layout>
                <c:manualLayout>
                  <c:x val="-2.6276120743893776E-2"/>
                  <c:y val="-5.6815332038453029E-2"/>
                </c:manualLayout>
              </c:layout>
              <c:dLblPos val="r"/>
              <c:showLegendKey val="0"/>
              <c:showVal val="1"/>
              <c:showCatName val="0"/>
              <c:showSerName val="0"/>
              <c:showPercent val="0"/>
              <c:showBubbleSize val="0"/>
            </c:dLbl>
            <c:dLbl>
              <c:idx val="4"/>
              <c:layout>
                <c:manualLayout>
                  <c:x val="-2.4758570228815436E-2"/>
                  <c:y val="-6.7928166566809986E-2"/>
                </c:manualLayout>
              </c:layout>
              <c:dLblPos val="r"/>
              <c:showLegendKey val="0"/>
              <c:showVal val="1"/>
              <c:showCatName val="0"/>
              <c:showSerName val="0"/>
              <c:showPercent val="0"/>
              <c:showBubbleSize val="0"/>
            </c:dLbl>
            <c:dLbl>
              <c:idx val="5"/>
              <c:layout>
                <c:manualLayout>
                  <c:x val="-3.1880727356295421E-2"/>
                  <c:y val="-5.6985592407739781E-2"/>
                </c:manualLayout>
              </c:layout>
              <c:dLblPos val="r"/>
              <c:showLegendKey val="0"/>
              <c:showVal val="1"/>
              <c:showCatName val="0"/>
              <c:showSerName val="0"/>
              <c:showPercent val="0"/>
              <c:showBubbleSize val="0"/>
            </c:dLbl>
            <c:dLbl>
              <c:idx val="6"/>
              <c:layout>
                <c:manualLayout>
                  <c:x val="-2.9062596283234789E-2"/>
                  <c:y val="-5.7884837607257884E-2"/>
                </c:manualLayout>
              </c:layout>
              <c:dLblPos val="r"/>
              <c:showLegendKey val="0"/>
              <c:showVal val="1"/>
              <c:showCatName val="0"/>
              <c:showSerName val="0"/>
              <c:showPercent val="0"/>
              <c:showBubbleSize val="0"/>
            </c:dLbl>
            <c:dLbl>
              <c:idx val="7"/>
              <c:layout>
                <c:manualLayout>
                  <c:x val="-2.4492032887959123E-2"/>
                  <c:y val="-6.5250520946723484E-2"/>
                </c:manualLayout>
              </c:layout>
              <c:dLblPos val="r"/>
              <c:showLegendKey val="0"/>
              <c:showVal val="1"/>
              <c:showCatName val="0"/>
              <c:showSerName val="0"/>
              <c:showPercent val="0"/>
              <c:showBubbleSize val="0"/>
            </c:dLbl>
            <c:dLbl>
              <c:idx val="8"/>
              <c:layout>
                <c:manualLayout>
                  <c:x val="-2.6096213671473013E-2"/>
                  <c:y val="-6.4681115236151748E-2"/>
                </c:manualLayout>
              </c:layout>
              <c:dLblPos val="r"/>
              <c:showLegendKey val="0"/>
              <c:showVal val="1"/>
              <c:showCatName val="0"/>
              <c:showSerName val="0"/>
              <c:showPercent val="0"/>
              <c:showBubbleSize val="0"/>
            </c:dLbl>
            <c:dLbl>
              <c:idx val="9"/>
              <c:layout>
                <c:manualLayout>
                  <c:x val="-2.3081840819979712E-2"/>
                  <c:y val="-5.8972168268876156E-2"/>
                </c:manualLayout>
              </c:layout>
              <c:dLblPos val="r"/>
              <c:showLegendKey val="0"/>
              <c:showVal val="1"/>
              <c:showCatName val="0"/>
              <c:showSerName val="0"/>
              <c:showPercent val="0"/>
              <c:showBubbleSize val="0"/>
            </c:dLbl>
            <c:dLbl>
              <c:idx val="10"/>
              <c:layout>
                <c:manualLayout>
                  <c:x val="-3.5929215852632063E-2"/>
                  <c:y val="-5.5615166407616483E-2"/>
                </c:manualLayout>
              </c:layout>
              <c:dLblPos val="r"/>
              <c:showLegendKey val="0"/>
              <c:showVal val="1"/>
              <c:showCatName val="0"/>
              <c:showSerName val="0"/>
              <c:showPercent val="0"/>
              <c:showBubbleSize val="0"/>
            </c:dLbl>
            <c:dLbl>
              <c:idx val="11"/>
              <c:layout>
                <c:manualLayout>
                  <c:x val="-3.1176253690754111E-2"/>
                  <c:y val="-8.2907151814230529E-2"/>
                </c:manualLayout>
              </c:layout>
              <c:dLblPos val="r"/>
              <c:showLegendKey val="0"/>
              <c:showVal val="1"/>
              <c:showCatName val="0"/>
              <c:showSerName val="0"/>
              <c:showPercent val="0"/>
              <c:showBubbleSize val="0"/>
            </c:dLbl>
            <c:dLbl>
              <c:idx val="12"/>
              <c:layout>
                <c:manualLayout>
                  <c:x val="-3.6107903079516307E-2"/>
                  <c:y val="-5.9978665348808295E-2"/>
                </c:manualLayout>
              </c:layout>
              <c:dLblPos val="r"/>
              <c:showLegendKey val="0"/>
              <c:showVal val="1"/>
              <c:showCatName val="0"/>
              <c:showSerName val="0"/>
              <c:showPercent val="0"/>
              <c:showBubbleSize val="0"/>
            </c:dLbl>
            <c:dLbl>
              <c:idx val="13"/>
              <c:layout>
                <c:manualLayout>
                  <c:x val="-3.1176067183056745E-2"/>
                  <c:y val="-7.0490599116118061E-2"/>
                </c:manualLayout>
              </c:layout>
              <c:dLblPos val="r"/>
              <c:showLegendKey val="0"/>
              <c:showVal val="1"/>
              <c:showCatName val="0"/>
              <c:showSerName val="0"/>
              <c:showPercent val="0"/>
              <c:showBubbleSize val="0"/>
            </c:dLbl>
            <c:dLbl>
              <c:idx val="14"/>
              <c:layout>
                <c:manualLayout>
                  <c:x val="-2.6247974293271043E-2"/>
                  <c:y val="-5.5036868996359768E-2"/>
                </c:manualLayout>
              </c:layout>
              <c:dLblPos val="r"/>
              <c:showLegendKey val="0"/>
              <c:showVal val="1"/>
              <c:showCatName val="0"/>
              <c:showSerName val="0"/>
              <c:showPercent val="0"/>
              <c:showBubbleSize val="0"/>
            </c:dLbl>
            <c:dLbl>
              <c:idx val="15"/>
              <c:layout>
                <c:manualLayout>
                  <c:x val="-3.828545404427186E-2"/>
                  <c:y val="-4.0185546113666579E-2"/>
                </c:manualLayout>
              </c:layout>
              <c:dLblPos val="r"/>
              <c:showLegendKey val="0"/>
              <c:showVal val="1"/>
              <c:showCatName val="0"/>
              <c:showSerName val="0"/>
              <c:showPercent val="0"/>
              <c:showBubbleSize val="0"/>
            </c:dLbl>
            <c:dLbl>
              <c:idx val="16"/>
              <c:layout>
                <c:manualLayout>
                  <c:x val="-3.828545404427186E-2"/>
                  <c:y val="-5.0086536212676294E-2"/>
                </c:manualLayout>
              </c:layout>
              <c:dLblPos val="r"/>
              <c:showLegendKey val="0"/>
              <c:showVal val="1"/>
              <c:showCatName val="0"/>
              <c:showSerName val="0"/>
              <c:showPercent val="0"/>
              <c:showBubbleSize val="0"/>
            </c:dLbl>
            <c:dLbl>
              <c:idx val="17"/>
              <c:layout>
                <c:manualLayout>
                  <c:x val="-1.0326106496961852E-2"/>
                  <c:y val="-5.0086536212676384E-2"/>
                </c:manualLayout>
              </c:layout>
              <c:dLblPos val="r"/>
              <c:showLegendKey val="0"/>
              <c:showVal val="1"/>
              <c:showCatName val="0"/>
              <c:showSerName val="0"/>
              <c:showPercent val="0"/>
              <c:showBubbleSize val="0"/>
            </c:dLbl>
            <c:txPr>
              <a:bodyPr/>
              <a:lstStyle/>
              <a:p>
                <a:pPr>
                  <a:defRPr sz="1100" b="1">
                    <a:solidFill>
                      <a:schemeClr val="tx1"/>
                    </a:solidFill>
                    <a:latin typeface="Times New Roman" panose="02020603050405020304" pitchFamily="18" charset="0"/>
                    <a:cs typeface="Times New Roman" panose="02020603050405020304" pitchFamily="18" charset="0"/>
                  </a:defRPr>
                </a:pPr>
                <a:endParaRPr lang="pl-PL"/>
              </a:p>
            </c:txPr>
            <c:dLblPos val="b"/>
            <c:showLegendKey val="0"/>
            <c:showVal val="1"/>
            <c:showCatName val="0"/>
            <c:showSerName val="0"/>
            <c:showPercent val="0"/>
            <c:showBubbleSize val="0"/>
            <c:showLeaderLines val="0"/>
          </c:dLbls>
          <c:cat>
            <c:strRef>
              <c:f>'mediana ''50 - ''18'!$I$19:$I$28</c:f>
              <c:strCache>
                <c:ptCount val="10"/>
                <c:pt idx="0">
                  <c:v>08</c:v>
                </c:pt>
                <c:pt idx="1">
                  <c:v>09</c:v>
                </c:pt>
                <c:pt idx="2">
                  <c:v>10</c:v>
                </c:pt>
                <c:pt idx="3">
                  <c:v>11</c:v>
                </c:pt>
                <c:pt idx="4">
                  <c:v>12</c:v>
                </c:pt>
                <c:pt idx="5">
                  <c:v>13</c:v>
                </c:pt>
                <c:pt idx="6">
                  <c:v>14</c:v>
                </c:pt>
                <c:pt idx="7">
                  <c:v>15</c:v>
                </c:pt>
                <c:pt idx="8">
                  <c:v>16</c:v>
                </c:pt>
                <c:pt idx="9">
                  <c:v>17</c:v>
                </c:pt>
              </c:strCache>
            </c:strRef>
          </c:cat>
          <c:val>
            <c:numRef>
              <c:f>'mediana ''50 - ''18'!$J$19:$J$28</c:f>
              <c:numCache>
                <c:formatCode>0.0</c:formatCode>
                <c:ptCount val="10"/>
                <c:pt idx="0">
                  <c:v>35.799999999999997</c:v>
                </c:pt>
                <c:pt idx="1">
                  <c:v>36.1</c:v>
                </c:pt>
                <c:pt idx="2">
                  <c:v>36.5</c:v>
                </c:pt>
                <c:pt idx="3">
                  <c:v>36.9</c:v>
                </c:pt>
                <c:pt idx="4">
                  <c:v>37.299999999999997</c:v>
                </c:pt>
                <c:pt idx="5">
                  <c:v>37.700000000000003</c:v>
                </c:pt>
                <c:pt idx="6">
                  <c:v>38.200000000000003</c:v>
                </c:pt>
                <c:pt idx="7" formatCode="General">
                  <c:v>38.6</c:v>
                </c:pt>
                <c:pt idx="8" formatCode="General">
                  <c:v>39.1</c:v>
                </c:pt>
                <c:pt idx="9" formatCode="General">
                  <c:v>39.5</c:v>
                </c:pt>
              </c:numCache>
            </c:numRef>
          </c:val>
          <c:smooth val="1"/>
        </c:ser>
        <c:ser>
          <c:idx val="1"/>
          <c:order val="1"/>
          <c:tx>
            <c:strRef>
              <c:f>'mediana ''50 - ''18'!$K$17:$K$18</c:f>
              <c:strCache>
                <c:ptCount val="1"/>
                <c:pt idx="0">
                  <c:v>Kobiety Podkarpacie</c:v>
                </c:pt>
              </c:strCache>
            </c:strRef>
          </c:tx>
          <c:spPr>
            <a:ln w="53975">
              <a:solidFill>
                <a:srgbClr val="E52505"/>
              </a:solidFill>
              <a:prstDash val="sysDash"/>
            </a:ln>
          </c:spPr>
          <c:marker>
            <c:symbol val="none"/>
          </c:marker>
          <c:dLbls>
            <c:dLbl>
              <c:idx val="0"/>
              <c:layout>
                <c:manualLayout>
                  <c:x val="-2.5931402120470147E-2"/>
                  <c:y val="-6.9476776426860024E-2"/>
                </c:manualLayout>
              </c:layout>
              <c:dLblPos val="r"/>
              <c:showLegendKey val="0"/>
              <c:showVal val="1"/>
              <c:showCatName val="0"/>
              <c:showSerName val="0"/>
              <c:showPercent val="0"/>
              <c:showBubbleSize val="0"/>
            </c:dLbl>
            <c:dLbl>
              <c:idx val="1"/>
              <c:layout>
                <c:manualLayout>
                  <c:x val="-2.8792792001176098E-2"/>
                  <c:y val="-7.6929351350177713E-2"/>
                </c:manualLayout>
              </c:layout>
              <c:dLblPos val="r"/>
              <c:showLegendKey val="0"/>
              <c:showVal val="1"/>
              <c:showCatName val="0"/>
              <c:showSerName val="0"/>
              <c:showPercent val="0"/>
              <c:showBubbleSize val="0"/>
            </c:dLbl>
            <c:dLbl>
              <c:idx val="2"/>
              <c:layout>
                <c:manualLayout>
                  <c:x val="-2.8792792001176098E-2"/>
                  <c:y val="-7.6929351350177713E-2"/>
                </c:manualLayout>
              </c:layout>
              <c:dLblPos val="r"/>
              <c:showLegendKey val="0"/>
              <c:showVal val="1"/>
              <c:showCatName val="0"/>
              <c:showSerName val="0"/>
              <c:showPercent val="0"/>
              <c:showBubbleSize val="0"/>
            </c:dLbl>
            <c:dLbl>
              <c:idx val="3"/>
              <c:layout>
                <c:manualLayout>
                  <c:x val="-2.5931402120470147E-2"/>
                  <c:y val="-7.6929351350177685E-2"/>
                </c:manualLayout>
              </c:layout>
              <c:dLblPos val="r"/>
              <c:showLegendKey val="0"/>
              <c:showVal val="1"/>
              <c:showCatName val="0"/>
              <c:showSerName val="0"/>
              <c:showPercent val="0"/>
              <c:showBubbleSize val="0"/>
            </c:dLbl>
            <c:dLbl>
              <c:idx val="4"/>
              <c:layout>
                <c:manualLayout>
                  <c:x val="-2.5931402120470199E-2"/>
                  <c:y val="-6.202420150354232E-2"/>
                </c:manualLayout>
              </c:layout>
              <c:dLblPos val="r"/>
              <c:showLegendKey val="0"/>
              <c:showVal val="1"/>
              <c:showCatName val="0"/>
              <c:showSerName val="0"/>
              <c:showPercent val="0"/>
              <c:showBubbleSize val="0"/>
            </c:dLbl>
            <c:dLbl>
              <c:idx val="5"/>
              <c:layout>
                <c:manualLayout>
                  <c:x val="-3.3084876822235029E-2"/>
                  <c:y val="-6.9476776426860024E-2"/>
                </c:manualLayout>
              </c:layout>
              <c:dLblPos val="r"/>
              <c:showLegendKey val="0"/>
              <c:showVal val="1"/>
              <c:showCatName val="0"/>
              <c:showSerName val="0"/>
              <c:showPercent val="0"/>
              <c:showBubbleSize val="0"/>
            </c:dLbl>
            <c:dLbl>
              <c:idx val="6"/>
              <c:layout>
                <c:manualLayout>
                  <c:x val="-2.4500707180117171E-2"/>
                  <c:y val="-6.9476776426860024E-2"/>
                </c:manualLayout>
              </c:layout>
              <c:dLblPos val="r"/>
              <c:showLegendKey val="0"/>
              <c:showVal val="1"/>
              <c:showCatName val="0"/>
              <c:showSerName val="0"/>
              <c:showPercent val="0"/>
              <c:showBubbleSize val="0"/>
            </c:dLbl>
            <c:dLbl>
              <c:idx val="7"/>
              <c:layout>
                <c:manualLayout>
                  <c:x val="-2.8792792001176098E-2"/>
                  <c:y val="-6.9476776426860024E-2"/>
                </c:manualLayout>
              </c:layout>
              <c:dLblPos val="r"/>
              <c:showLegendKey val="0"/>
              <c:showVal val="1"/>
              <c:showCatName val="0"/>
              <c:showSerName val="0"/>
              <c:showPercent val="0"/>
              <c:showBubbleSize val="0"/>
            </c:dLbl>
            <c:dLbl>
              <c:idx val="8"/>
              <c:layout>
                <c:manualLayout>
                  <c:x val="-2.5931402120470043E-2"/>
                  <c:y val="-6.947677642686001E-2"/>
                </c:manualLayout>
              </c:layout>
              <c:dLblPos val="r"/>
              <c:showLegendKey val="0"/>
              <c:showVal val="1"/>
              <c:showCatName val="0"/>
              <c:showSerName val="0"/>
              <c:showPercent val="0"/>
              <c:showBubbleSize val="0"/>
            </c:dLbl>
            <c:dLbl>
              <c:idx val="9"/>
              <c:layout>
                <c:manualLayout>
                  <c:x val="-2.5931402120470043E-2"/>
                  <c:y val="-6.9476776426860024E-2"/>
                </c:manualLayout>
              </c:layout>
              <c:dLblPos val="r"/>
              <c:showLegendKey val="0"/>
              <c:showVal val="1"/>
              <c:showCatName val="0"/>
              <c:showSerName val="0"/>
              <c:showPercent val="0"/>
              <c:showBubbleSize val="0"/>
            </c:dLbl>
            <c:txPr>
              <a:bodyPr/>
              <a:lstStyle/>
              <a:p>
                <a:pPr>
                  <a:defRPr sz="1100" b="1">
                    <a:solidFill>
                      <a:srgbClr val="C00000"/>
                    </a:solidFill>
                    <a:latin typeface="Times New Roman" panose="02020603050405020304" pitchFamily="18" charset="0"/>
                    <a:cs typeface="Times New Roman" panose="02020603050405020304" pitchFamily="18" charset="0"/>
                  </a:defRPr>
                </a:pPr>
                <a:endParaRPr lang="pl-PL"/>
              </a:p>
            </c:txPr>
            <c:dLblPos val="t"/>
            <c:showLegendKey val="0"/>
            <c:showVal val="1"/>
            <c:showCatName val="0"/>
            <c:showSerName val="0"/>
            <c:showPercent val="0"/>
            <c:showBubbleSize val="0"/>
            <c:showLeaderLines val="0"/>
          </c:dLbls>
          <c:cat>
            <c:strRef>
              <c:f>'mediana ''50 - ''18'!$I$19:$I$28</c:f>
              <c:strCache>
                <c:ptCount val="10"/>
                <c:pt idx="0">
                  <c:v>08</c:v>
                </c:pt>
                <c:pt idx="1">
                  <c:v>09</c:v>
                </c:pt>
                <c:pt idx="2">
                  <c:v>10</c:v>
                </c:pt>
                <c:pt idx="3">
                  <c:v>11</c:v>
                </c:pt>
                <c:pt idx="4">
                  <c:v>12</c:v>
                </c:pt>
                <c:pt idx="5">
                  <c:v>13</c:v>
                </c:pt>
                <c:pt idx="6">
                  <c:v>14</c:v>
                </c:pt>
                <c:pt idx="7">
                  <c:v>15</c:v>
                </c:pt>
                <c:pt idx="8">
                  <c:v>16</c:v>
                </c:pt>
                <c:pt idx="9">
                  <c:v>17</c:v>
                </c:pt>
              </c:strCache>
            </c:strRef>
          </c:cat>
          <c:val>
            <c:numRef>
              <c:f>'mediana ''50 - ''18'!$K$19:$K$28</c:f>
              <c:numCache>
                <c:formatCode>0.0</c:formatCode>
                <c:ptCount val="10"/>
                <c:pt idx="0">
                  <c:v>37.5</c:v>
                </c:pt>
                <c:pt idx="1">
                  <c:v>37.799999999999997</c:v>
                </c:pt>
                <c:pt idx="2">
                  <c:v>38</c:v>
                </c:pt>
                <c:pt idx="3">
                  <c:v>38.4</c:v>
                </c:pt>
                <c:pt idx="4">
                  <c:v>38.799999999999997</c:v>
                </c:pt>
                <c:pt idx="5">
                  <c:v>39.299999999999997</c:v>
                </c:pt>
                <c:pt idx="6">
                  <c:v>39.700000000000003</c:v>
                </c:pt>
                <c:pt idx="7" formatCode="General">
                  <c:v>40.1</c:v>
                </c:pt>
                <c:pt idx="8" formatCode="General">
                  <c:v>40.6</c:v>
                </c:pt>
                <c:pt idx="9">
                  <c:v>41</c:v>
                </c:pt>
              </c:numCache>
            </c:numRef>
          </c:val>
          <c:smooth val="1"/>
        </c:ser>
        <c:ser>
          <c:idx val="2"/>
          <c:order val="2"/>
          <c:tx>
            <c:strRef>
              <c:f>'mediana ''50 - ''18'!$L$17:$L$18</c:f>
              <c:strCache>
                <c:ptCount val="1"/>
                <c:pt idx="0">
                  <c:v>Mężczyźni Podkarpacie</c:v>
                </c:pt>
              </c:strCache>
            </c:strRef>
          </c:tx>
          <c:spPr>
            <a:ln w="63500">
              <a:solidFill>
                <a:schemeClr val="accent4">
                  <a:lumMod val="60000"/>
                  <a:lumOff val="40000"/>
                  <a:alpha val="84000"/>
                </a:schemeClr>
              </a:solidFill>
            </a:ln>
          </c:spPr>
          <c:marker>
            <c:symbol val="none"/>
          </c:marker>
          <c:dLbls>
            <c:dLbl>
              <c:idx val="0"/>
              <c:layout>
                <c:manualLayout>
                  <c:x val="-2.163931729941122E-2"/>
                  <c:y val="2.4761326886953827E-2"/>
                </c:manualLayout>
              </c:layout>
              <c:dLblPos val="r"/>
              <c:showLegendKey val="0"/>
              <c:showVal val="1"/>
              <c:showCatName val="0"/>
              <c:showSerName val="0"/>
              <c:showPercent val="0"/>
              <c:showBubbleSize val="0"/>
            </c:dLbl>
            <c:dLbl>
              <c:idx val="1"/>
              <c:layout>
                <c:manualLayout>
                  <c:x val="-2.5931402120470147E-2"/>
                  <c:y val="4.711905165690692E-2"/>
                </c:manualLayout>
              </c:layout>
              <c:dLblPos val="r"/>
              <c:showLegendKey val="0"/>
              <c:showVal val="1"/>
              <c:showCatName val="0"/>
              <c:showSerName val="0"/>
              <c:showPercent val="0"/>
              <c:showBubbleSize val="0"/>
            </c:dLbl>
            <c:dLbl>
              <c:idx val="2"/>
              <c:layout>
                <c:manualLayout>
                  <c:x val="-2.3070012239764195E-2"/>
                  <c:y val="5.4571626580224623E-2"/>
                </c:manualLayout>
              </c:layout>
              <c:dLblPos val="r"/>
              <c:showLegendKey val="0"/>
              <c:showVal val="1"/>
              <c:showCatName val="0"/>
              <c:showSerName val="0"/>
              <c:showPercent val="0"/>
              <c:showBubbleSize val="0"/>
            </c:dLbl>
            <c:dLbl>
              <c:idx val="3"/>
              <c:layout>
                <c:manualLayout>
                  <c:x val="-2.5931402120470147E-2"/>
                  <c:y val="4.711905165690692E-2"/>
                </c:manualLayout>
              </c:layout>
              <c:dLblPos val="r"/>
              <c:showLegendKey val="0"/>
              <c:showVal val="1"/>
              <c:showCatName val="0"/>
              <c:showSerName val="0"/>
              <c:showPercent val="0"/>
              <c:showBubbleSize val="0"/>
            </c:dLbl>
            <c:dLbl>
              <c:idx val="4"/>
              <c:layout>
                <c:manualLayout>
                  <c:x val="-3.1654181881882106E-2"/>
                  <c:y val="4.711905165690692E-2"/>
                </c:manualLayout>
              </c:layout>
              <c:dLblPos val="r"/>
              <c:showLegendKey val="0"/>
              <c:showVal val="1"/>
              <c:showCatName val="0"/>
              <c:showSerName val="0"/>
              <c:showPercent val="0"/>
              <c:showBubbleSize val="0"/>
            </c:dLbl>
            <c:dLbl>
              <c:idx val="5"/>
              <c:layout>
                <c:manualLayout>
                  <c:x val="-2.8792792001176098E-2"/>
                  <c:y val="5.4571626580224554E-2"/>
                </c:manualLayout>
              </c:layout>
              <c:dLblPos val="r"/>
              <c:showLegendKey val="0"/>
              <c:showVal val="1"/>
              <c:showCatName val="0"/>
              <c:showSerName val="0"/>
              <c:showPercent val="0"/>
              <c:showBubbleSize val="0"/>
            </c:dLbl>
            <c:dLbl>
              <c:idx val="6"/>
              <c:layout>
                <c:manualLayout>
                  <c:x val="-2.5931402120470147E-2"/>
                  <c:y val="5.4571626580224554E-2"/>
                </c:manualLayout>
              </c:layout>
              <c:dLblPos val="r"/>
              <c:showLegendKey val="0"/>
              <c:showVal val="1"/>
              <c:showCatName val="0"/>
              <c:showSerName val="0"/>
              <c:showPercent val="0"/>
              <c:showBubbleSize val="0"/>
            </c:dLbl>
            <c:dLbl>
              <c:idx val="7"/>
              <c:layout>
                <c:manualLayout>
                  <c:x val="-2.5931402120470147E-2"/>
                  <c:y val="5.4571626580224623E-2"/>
                </c:manualLayout>
              </c:layout>
              <c:dLblPos val="r"/>
              <c:showLegendKey val="0"/>
              <c:showVal val="1"/>
              <c:showCatName val="0"/>
              <c:showSerName val="0"/>
              <c:showPercent val="0"/>
              <c:showBubbleSize val="0"/>
            </c:dLbl>
            <c:dLbl>
              <c:idx val="8"/>
              <c:layout>
                <c:manualLayout>
                  <c:x val="-2.7362097060823019E-2"/>
                  <c:y val="5.4571626580224554E-2"/>
                </c:manualLayout>
              </c:layout>
              <c:dLblPos val="r"/>
              <c:showLegendKey val="0"/>
              <c:showVal val="1"/>
              <c:showCatName val="0"/>
              <c:showSerName val="0"/>
              <c:showPercent val="0"/>
              <c:showBubbleSize val="0"/>
            </c:dLbl>
            <c:dLbl>
              <c:idx val="9"/>
              <c:layout>
                <c:manualLayout>
                  <c:x val="-2.4500707180117067E-2"/>
                  <c:y val="5.4571626580224623E-2"/>
                </c:manualLayout>
              </c:layout>
              <c:dLblPos val="r"/>
              <c:showLegendKey val="0"/>
              <c:showVal val="1"/>
              <c:showCatName val="0"/>
              <c:showSerName val="0"/>
              <c:showPercent val="0"/>
              <c:showBubbleSize val="0"/>
            </c:dLbl>
            <c:txPr>
              <a:bodyPr/>
              <a:lstStyle/>
              <a:p>
                <a:pPr>
                  <a:defRPr sz="1100" b="1">
                    <a:solidFill>
                      <a:schemeClr val="tx1"/>
                    </a:solidFill>
                    <a:latin typeface="Times New Roman" panose="02020603050405020304" pitchFamily="18" charset="0"/>
                    <a:cs typeface="Times New Roman" panose="02020603050405020304" pitchFamily="18" charset="0"/>
                  </a:defRPr>
                </a:pPr>
                <a:endParaRPr lang="pl-PL"/>
              </a:p>
            </c:txPr>
            <c:dLblPos val="b"/>
            <c:showLegendKey val="0"/>
            <c:showVal val="1"/>
            <c:showCatName val="0"/>
            <c:showSerName val="0"/>
            <c:showPercent val="0"/>
            <c:showBubbleSize val="0"/>
            <c:showLeaderLines val="0"/>
          </c:dLbls>
          <c:cat>
            <c:strRef>
              <c:f>'mediana ''50 - ''18'!$I$19:$I$28</c:f>
              <c:strCache>
                <c:ptCount val="10"/>
                <c:pt idx="0">
                  <c:v>08</c:v>
                </c:pt>
                <c:pt idx="1">
                  <c:v>09</c:v>
                </c:pt>
                <c:pt idx="2">
                  <c:v>10</c:v>
                </c:pt>
                <c:pt idx="3">
                  <c:v>11</c:v>
                </c:pt>
                <c:pt idx="4">
                  <c:v>12</c:v>
                </c:pt>
                <c:pt idx="5">
                  <c:v>13</c:v>
                </c:pt>
                <c:pt idx="6">
                  <c:v>14</c:v>
                </c:pt>
                <c:pt idx="7">
                  <c:v>15</c:v>
                </c:pt>
                <c:pt idx="8">
                  <c:v>16</c:v>
                </c:pt>
                <c:pt idx="9">
                  <c:v>17</c:v>
                </c:pt>
              </c:strCache>
            </c:strRef>
          </c:cat>
          <c:val>
            <c:numRef>
              <c:f>'mediana ''50 - ''18'!$L$19:$L$28</c:f>
              <c:numCache>
                <c:formatCode>0.0</c:formatCode>
                <c:ptCount val="10"/>
                <c:pt idx="0">
                  <c:v>34.200000000000003</c:v>
                </c:pt>
                <c:pt idx="1">
                  <c:v>34.5</c:v>
                </c:pt>
                <c:pt idx="2">
                  <c:v>35</c:v>
                </c:pt>
                <c:pt idx="3">
                  <c:v>35.4</c:v>
                </c:pt>
                <c:pt idx="4">
                  <c:v>35.9</c:v>
                </c:pt>
                <c:pt idx="5">
                  <c:v>36.299999999999997</c:v>
                </c:pt>
                <c:pt idx="6">
                  <c:v>36.799999999999997</c:v>
                </c:pt>
                <c:pt idx="7" formatCode="General">
                  <c:v>37.200000000000003</c:v>
                </c:pt>
                <c:pt idx="8" formatCode="General">
                  <c:v>37.6</c:v>
                </c:pt>
                <c:pt idx="9">
                  <c:v>38.1</c:v>
                </c:pt>
              </c:numCache>
            </c:numRef>
          </c:val>
          <c:smooth val="0"/>
        </c:ser>
        <c:dLbls>
          <c:showLegendKey val="0"/>
          <c:showVal val="0"/>
          <c:showCatName val="0"/>
          <c:showSerName val="0"/>
          <c:showPercent val="0"/>
          <c:showBubbleSize val="0"/>
        </c:dLbls>
        <c:marker val="1"/>
        <c:smooth val="0"/>
        <c:axId val="195054208"/>
        <c:axId val="195068288"/>
      </c:lineChart>
      <c:catAx>
        <c:axId val="195054208"/>
        <c:scaling>
          <c:orientation val="minMax"/>
        </c:scaling>
        <c:delete val="0"/>
        <c:axPos val="b"/>
        <c:majorGridlines>
          <c:spPr>
            <a:ln w="9525">
              <a:solidFill>
                <a:schemeClr val="accent4">
                  <a:lumMod val="40000"/>
                  <a:lumOff val="60000"/>
                  <a:alpha val="53000"/>
                </a:schemeClr>
              </a:solidFill>
              <a:prstDash val="solid"/>
            </a:ln>
          </c:spPr>
        </c:majorGridlines>
        <c:numFmt formatCode="General" sourceLinked="1"/>
        <c:majorTickMark val="none"/>
        <c:minorTickMark val="none"/>
        <c:tickLblPos val="nextTo"/>
        <c:spPr>
          <a:ln w="9525">
            <a:solidFill>
              <a:schemeClr val="tx1">
                <a:alpha val="68000"/>
              </a:schemeClr>
            </a:solidFill>
            <a:prstDash val="solid"/>
          </a:ln>
        </c:spPr>
        <c:txPr>
          <a:bodyPr/>
          <a:lstStyle/>
          <a:p>
            <a:pPr>
              <a:defRPr sz="800" b="0">
                <a:solidFill>
                  <a:schemeClr val="tx1"/>
                </a:solidFill>
                <a:latin typeface="Times New Roman" panose="02020603050405020304" pitchFamily="18" charset="0"/>
                <a:cs typeface="Times New Roman" panose="02020603050405020304" pitchFamily="18" charset="0"/>
              </a:defRPr>
            </a:pPr>
            <a:endParaRPr lang="pl-PL"/>
          </a:p>
        </c:txPr>
        <c:crossAx val="195068288"/>
        <c:crosses val="autoZero"/>
        <c:auto val="1"/>
        <c:lblAlgn val="ctr"/>
        <c:lblOffset val="100"/>
        <c:noMultiLvlLbl val="0"/>
      </c:catAx>
      <c:valAx>
        <c:axId val="195068288"/>
        <c:scaling>
          <c:orientation val="minMax"/>
          <c:max val="42"/>
          <c:min val="33"/>
        </c:scaling>
        <c:delete val="0"/>
        <c:axPos val="l"/>
        <c:majorGridlines>
          <c:spPr>
            <a:ln>
              <a:solidFill>
                <a:schemeClr val="accent4">
                  <a:lumMod val="75000"/>
                  <a:alpha val="33000"/>
                </a:schemeClr>
              </a:solidFill>
            </a:ln>
          </c:spPr>
        </c:majorGridlines>
        <c:minorGridlines>
          <c:spPr>
            <a:ln w="6350">
              <a:solidFill>
                <a:srgbClr val="2EB0AA"/>
              </a:solidFill>
              <a:prstDash val="sysDot"/>
            </a:ln>
          </c:spPr>
        </c:minorGridlines>
        <c:numFmt formatCode="0.0" sourceLinked="1"/>
        <c:majorTickMark val="out"/>
        <c:minorTickMark val="none"/>
        <c:tickLblPos val="nextTo"/>
        <c:spPr>
          <a:noFill/>
          <a:ln>
            <a:solidFill>
              <a:schemeClr val="accent4">
                <a:lumMod val="60000"/>
                <a:lumOff val="40000"/>
              </a:schemeClr>
            </a:solidFill>
          </a:ln>
        </c:spPr>
        <c:txPr>
          <a:bodyPr/>
          <a:lstStyle/>
          <a:p>
            <a:pPr>
              <a:defRPr sz="800">
                <a:latin typeface="Times New Roman" panose="02020603050405020304" pitchFamily="18" charset="0"/>
                <a:ea typeface="Verdana" panose="020B0604030504040204" pitchFamily="34" charset="0"/>
                <a:cs typeface="Times New Roman" panose="02020603050405020304" pitchFamily="18" charset="0"/>
              </a:defRPr>
            </a:pPr>
            <a:endParaRPr lang="pl-PL"/>
          </a:p>
        </c:txPr>
        <c:crossAx val="195054208"/>
        <c:crosses val="autoZero"/>
        <c:crossBetween val="between"/>
        <c:majorUnit val="0.5"/>
        <c:minorUnit val="0.5"/>
      </c:valAx>
      <c:spPr>
        <a:noFill/>
      </c:spPr>
    </c:plotArea>
    <c:legend>
      <c:legendPos val="t"/>
      <c:layout>
        <c:manualLayout>
          <c:xMode val="edge"/>
          <c:yMode val="edge"/>
          <c:x val="6.8735429019788089E-2"/>
          <c:y val="7.2665162102594132E-4"/>
          <c:w val="0.93126460228740837"/>
          <c:h val="6.0975272827738639E-2"/>
        </c:manualLayout>
      </c:layout>
      <c:overlay val="0"/>
      <c:txPr>
        <a:bodyPr/>
        <a:lstStyle/>
        <a:p>
          <a:pPr>
            <a:defRPr sz="80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999314789327255E-2"/>
          <c:y val="2.6220775377330571E-2"/>
          <c:w val="0.91448435787237026"/>
          <c:h val="0.88487052520496789"/>
        </c:manualLayout>
      </c:layout>
      <c:lineChart>
        <c:grouping val="standard"/>
        <c:varyColors val="0"/>
        <c:ser>
          <c:idx val="0"/>
          <c:order val="0"/>
          <c:tx>
            <c:strRef>
              <c:f>wykres!$A$3</c:f>
              <c:strCache>
                <c:ptCount val="1"/>
                <c:pt idx="0">
                  <c:v>PODKARPACKIE wiek przedprodukcyjny</c:v>
                </c:pt>
              </c:strCache>
            </c:strRef>
          </c:tx>
          <c:spPr>
            <a:ln w="34925">
              <a:solidFill>
                <a:schemeClr val="tx1">
                  <a:alpha val="80000"/>
                </a:schemeClr>
              </a:solidFill>
              <a:prstDash val="sysDash"/>
            </a:ln>
          </c:spPr>
          <c:marker>
            <c:symbol val="none"/>
          </c:marker>
          <c:cat>
            <c:strRef>
              <c:f>wykres!$B$2:$X$2</c:f>
              <c:strCach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strCache>
            </c:strRef>
          </c:cat>
          <c:val>
            <c:numRef>
              <c:f>wykres!$B$3:$X$3</c:f>
              <c:numCache>
                <c:formatCode>#,##0</c:formatCode>
                <c:ptCount val="23"/>
                <c:pt idx="0">
                  <c:v>642713</c:v>
                </c:pt>
                <c:pt idx="1">
                  <c:v>632077</c:v>
                </c:pt>
                <c:pt idx="2">
                  <c:v>620070</c:v>
                </c:pt>
                <c:pt idx="3">
                  <c:v>605765</c:v>
                </c:pt>
                <c:pt idx="4">
                  <c:v>593684</c:v>
                </c:pt>
                <c:pt idx="5">
                  <c:v>578421</c:v>
                </c:pt>
                <c:pt idx="6">
                  <c:v>559202</c:v>
                </c:pt>
                <c:pt idx="7">
                  <c:v>539421</c:v>
                </c:pt>
                <c:pt idx="8">
                  <c:v>518010</c:v>
                </c:pt>
                <c:pt idx="9">
                  <c:v>500614</c:v>
                </c:pt>
                <c:pt idx="10">
                  <c:v>484527</c:v>
                </c:pt>
                <c:pt idx="11">
                  <c:v>468683</c:v>
                </c:pt>
                <c:pt idx="12">
                  <c:v>454089</c:v>
                </c:pt>
                <c:pt idx="13">
                  <c:v>441281</c:v>
                </c:pt>
                <c:pt idx="14">
                  <c:v>429414</c:v>
                </c:pt>
                <c:pt idx="15">
                  <c:v>431007</c:v>
                </c:pt>
                <c:pt idx="16">
                  <c:v>422157</c:v>
                </c:pt>
                <c:pt idx="17">
                  <c:v>414324</c:v>
                </c:pt>
                <c:pt idx="18">
                  <c:v>407577</c:v>
                </c:pt>
                <c:pt idx="19">
                  <c:v>400847</c:v>
                </c:pt>
                <c:pt idx="20">
                  <c:v>394644</c:v>
                </c:pt>
                <c:pt idx="21">
                  <c:v>390816</c:v>
                </c:pt>
                <c:pt idx="22">
                  <c:v>389238</c:v>
                </c:pt>
              </c:numCache>
            </c:numRef>
          </c:val>
          <c:smooth val="0"/>
        </c:ser>
        <c:ser>
          <c:idx val="1"/>
          <c:order val="1"/>
          <c:tx>
            <c:strRef>
              <c:f>wykres!$A$4</c:f>
              <c:strCache>
                <c:ptCount val="1"/>
                <c:pt idx="0">
                  <c:v>PODKARPACKIE wiek produkcyjny</c:v>
                </c:pt>
              </c:strCache>
            </c:strRef>
          </c:tx>
          <c:spPr>
            <a:ln w="60325">
              <a:solidFill>
                <a:schemeClr val="accent4">
                  <a:lumMod val="60000"/>
                  <a:lumOff val="40000"/>
                </a:schemeClr>
              </a:solidFill>
            </a:ln>
          </c:spPr>
          <c:marker>
            <c:symbol val="circle"/>
            <c:size val="4"/>
            <c:spPr>
              <a:solidFill>
                <a:schemeClr val="bg1"/>
              </a:solidFill>
              <a:ln>
                <a:noFill/>
              </a:ln>
            </c:spPr>
          </c:marker>
          <c:cat>
            <c:strRef>
              <c:f>wykres!$B$2:$X$2</c:f>
              <c:strCach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strCache>
            </c:strRef>
          </c:cat>
          <c:val>
            <c:numRef>
              <c:f>wykres!$B$4:$X$4</c:f>
              <c:numCache>
                <c:formatCode>#,##0</c:formatCode>
                <c:ptCount val="23"/>
                <c:pt idx="0">
                  <c:v>1182932</c:v>
                </c:pt>
                <c:pt idx="1">
                  <c:v>1196485</c:v>
                </c:pt>
                <c:pt idx="2">
                  <c:v>1208776</c:v>
                </c:pt>
                <c:pt idx="3">
                  <c:v>1223461</c:v>
                </c:pt>
                <c:pt idx="4">
                  <c:v>1208794</c:v>
                </c:pt>
                <c:pt idx="5">
                  <c:v>1222021</c:v>
                </c:pt>
                <c:pt idx="6">
                  <c:v>1240945</c:v>
                </c:pt>
                <c:pt idx="7">
                  <c:v>1259784</c:v>
                </c:pt>
                <c:pt idx="8">
                  <c:v>1273011</c:v>
                </c:pt>
                <c:pt idx="9">
                  <c:v>1288202</c:v>
                </c:pt>
                <c:pt idx="10">
                  <c:v>1301539</c:v>
                </c:pt>
                <c:pt idx="11">
                  <c:v>1312640</c:v>
                </c:pt>
                <c:pt idx="12">
                  <c:v>1323015</c:v>
                </c:pt>
                <c:pt idx="13">
                  <c:v>1333169</c:v>
                </c:pt>
                <c:pt idx="14">
                  <c:v>1341630</c:v>
                </c:pt>
                <c:pt idx="15">
                  <c:v>1358887</c:v>
                </c:pt>
                <c:pt idx="16">
                  <c:v>1360176</c:v>
                </c:pt>
                <c:pt idx="17">
                  <c:v>1359605</c:v>
                </c:pt>
                <c:pt idx="18">
                  <c:v>1355579</c:v>
                </c:pt>
                <c:pt idx="19">
                  <c:v>1351342</c:v>
                </c:pt>
                <c:pt idx="20">
                  <c:v>1345402</c:v>
                </c:pt>
                <c:pt idx="21">
                  <c:v>1337727</c:v>
                </c:pt>
                <c:pt idx="22">
                  <c:v>1329033</c:v>
                </c:pt>
              </c:numCache>
            </c:numRef>
          </c:val>
          <c:smooth val="0"/>
        </c:ser>
        <c:ser>
          <c:idx val="2"/>
          <c:order val="2"/>
          <c:tx>
            <c:strRef>
              <c:f>wykres!$A$5</c:f>
              <c:strCache>
                <c:ptCount val="1"/>
                <c:pt idx="0">
                  <c:v>PODKARPACKIE wiek poprodukcyjny</c:v>
                </c:pt>
              </c:strCache>
            </c:strRef>
          </c:tx>
          <c:spPr>
            <a:ln w="31750">
              <a:solidFill>
                <a:srgbClr val="E60000">
                  <a:alpha val="55000"/>
                </a:srgbClr>
              </a:solidFill>
            </a:ln>
          </c:spPr>
          <c:marker>
            <c:symbol val="none"/>
          </c:marker>
          <c:cat>
            <c:strRef>
              <c:f>wykres!$B$2:$X$2</c:f>
              <c:strCach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strCache>
            </c:strRef>
          </c:cat>
          <c:val>
            <c:numRef>
              <c:f>wykres!$B$5:$X$5</c:f>
              <c:numCache>
                <c:formatCode>#,##0</c:formatCode>
                <c:ptCount val="23"/>
                <c:pt idx="0">
                  <c:v>279952</c:v>
                </c:pt>
                <c:pt idx="1">
                  <c:v>283998</c:v>
                </c:pt>
                <c:pt idx="2">
                  <c:v>288495</c:v>
                </c:pt>
                <c:pt idx="3">
                  <c:v>292938</c:v>
                </c:pt>
                <c:pt idx="4">
                  <c:v>296293</c:v>
                </c:pt>
                <c:pt idx="5">
                  <c:v>300933</c:v>
                </c:pt>
                <c:pt idx="6">
                  <c:v>303991</c:v>
                </c:pt>
                <c:pt idx="7">
                  <c:v>305845</c:v>
                </c:pt>
                <c:pt idx="8">
                  <c:v>306227</c:v>
                </c:pt>
                <c:pt idx="9">
                  <c:v>309159</c:v>
                </c:pt>
                <c:pt idx="10">
                  <c:v>312197</c:v>
                </c:pt>
                <c:pt idx="11">
                  <c:v>316241</c:v>
                </c:pt>
                <c:pt idx="12">
                  <c:v>320234</c:v>
                </c:pt>
                <c:pt idx="13">
                  <c:v>325045</c:v>
                </c:pt>
                <c:pt idx="14">
                  <c:v>330688</c:v>
                </c:pt>
                <c:pt idx="15">
                  <c:v>338054</c:v>
                </c:pt>
                <c:pt idx="16">
                  <c:v>346354</c:v>
                </c:pt>
                <c:pt idx="17">
                  <c:v>356022</c:v>
                </c:pt>
                <c:pt idx="18">
                  <c:v>366138</c:v>
                </c:pt>
                <c:pt idx="19">
                  <c:v>376998</c:v>
                </c:pt>
                <c:pt idx="20">
                  <c:v>387611</c:v>
                </c:pt>
                <c:pt idx="21">
                  <c:v>399113</c:v>
                </c:pt>
                <c:pt idx="22">
                  <c:v>410867</c:v>
                </c:pt>
              </c:numCache>
            </c:numRef>
          </c:val>
          <c:smooth val="0"/>
        </c:ser>
        <c:dLbls>
          <c:showLegendKey val="0"/>
          <c:showVal val="0"/>
          <c:showCatName val="0"/>
          <c:showSerName val="0"/>
          <c:showPercent val="0"/>
          <c:showBubbleSize val="0"/>
        </c:dLbls>
        <c:marker val="1"/>
        <c:smooth val="0"/>
        <c:axId val="195086976"/>
        <c:axId val="195096960"/>
      </c:lineChart>
      <c:catAx>
        <c:axId val="195086976"/>
        <c:scaling>
          <c:orientation val="minMax"/>
        </c:scaling>
        <c:delete val="0"/>
        <c:axPos val="b"/>
        <c:minorGridlines>
          <c:spPr>
            <a:ln>
              <a:solidFill>
                <a:schemeClr val="bg1">
                  <a:lumMod val="50000"/>
                  <a:alpha val="33000"/>
                </a:schemeClr>
              </a:solidFill>
            </a:ln>
          </c:spPr>
        </c:minorGridlines>
        <c:numFmt formatCode="General" sourceLinked="1"/>
        <c:majorTickMark val="out"/>
        <c:minorTickMark val="none"/>
        <c:tickLblPos val="nextTo"/>
        <c:txPr>
          <a:bodyPr/>
          <a:lstStyle/>
          <a:p>
            <a:pPr>
              <a:defRPr sz="700">
                <a:latin typeface="Times New Roman" panose="02020603050405020304" pitchFamily="18" charset="0"/>
                <a:cs typeface="Times New Roman" panose="02020603050405020304" pitchFamily="18" charset="0"/>
              </a:defRPr>
            </a:pPr>
            <a:endParaRPr lang="pl-PL"/>
          </a:p>
        </c:txPr>
        <c:crossAx val="195096960"/>
        <c:crosses val="autoZero"/>
        <c:auto val="1"/>
        <c:lblAlgn val="ctr"/>
        <c:lblOffset val="100"/>
        <c:noMultiLvlLbl val="0"/>
      </c:catAx>
      <c:valAx>
        <c:axId val="195096960"/>
        <c:scaling>
          <c:orientation val="minMax"/>
          <c:max val="1500000"/>
          <c:min val="200000"/>
        </c:scaling>
        <c:delete val="0"/>
        <c:axPos val="l"/>
        <c:majorGridlines>
          <c:spPr>
            <a:ln>
              <a:solidFill>
                <a:schemeClr val="bg1">
                  <a:lumMod val="50000"/>
                  <a:alpha val="75000"/>
                </a:schemeClr>
              </a:solidFill>
            </a:ln>
          </c:spPr>
        </c:majorGridlines>
        <c:minorGridlines>
          <c:spPr>
            <a:ln>
              <a:solidFill>
                <a:schemeClr val="bg1">
                  <a:lumMod val="65000"/>
                  <a:alpha val="49000"/>
                </a:schemeClr>
              </a:solidFill>
            </a:ln>
          </c:spPr>
        </c:minorGridlines>
        <c:numFmt formatCode="#,##0" sourceLinked="1"/>
        <c:majorTickMark val="out"/>
        <c:minorTickMark val="none"/>
        <c:tickLblPos val="nextTo"/>
        <c:spPr>
          <a:noFill/>
          <a:ln>
            <a:solidFill>
              <a:schemeClr val="accent1">
                <a:alpha val="62000"/>
              </a:schemeClr>
            </a:solidFill>
          </a:ln>
        </c:spPr>
        <c:txPr>
          <a:bodyPr/>
          <a:lstStyle/>
          <a:p>
            <a:pPr>
              <a:defRPr sz="700">
                <a:latin typeface="Times New Roman" panose="02020603050405020304" pitchFamily="18" charset="0"/>
                <a:cs typeface="Times New Roman" panose="02020603050405020304" pitchFamily="18" charset="0"/>
              </a:defRPr>
            </a:pPr>
            <a:endParaRPr lang="pl-PL"/>
          </a:p>
        </c:txPr>
        <c:crossAx val="195086976"/>
        <c:crosses val="autoZero"/>
        <c:crossBetween val="between"/>
        <c:majorUnit val="100000"/>
        <c:minorUnit val="50000"/>
      </c:valAx>
    </c:plotArea>
    <c:legend>
      <c:legendPos val="b"/>
      <c:layout>
        <c:manualLayout>
          <c:xMode val="edge"/>
          <c:yMode val="edge"/>
          <c:x val="6.4324067518566924E-2"/>
          <c:y val="0.33261320387423821"/>
          <c:w val="0.91862211897181267"/>
          <c:h val="0.21820955528893904"/>
        </c:manualLayout>
      </c:layout>
      <c:overlay val="0"/>
      <c:txPr>
        <a:bodyPr/>
        <a:lstStyle/>
        <a:p>
          <a:pPr>
            <a:defRPr sz="700">
              <a:latin typeface="Times New Roman" panose="02020603050405020304" pitchFamily="18" charset="0"/>
              <a:ea typeface="Verdana" panose="020B0604030504040204" pitchFamily="34" charset="0"/>
              <a:cs typeface="Times New Roman" panose="02020603050405020304" pitchFamily="18" charset="0"/>
            </a:defRPr>
          </a:pPr>
          <a:endParaRPr lang="pl-PL"/>
        </a:p>
      </c:txPr>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1">
                <a:solidFill>
                  <a:schemeClr val="accent4">
                    <a:lumMod val="75000"/>
                  </a:schemeClr>
                </a:solidFill>
                <a:latin typeface="Times New Roman" panose="02020603050405020304" pitchFamily="18" charset="0"/>
                <a:cs typeface="Times New Roman" panose="02020603050405020304" pitchFamily="18" charset="0"/>
              </a:defRPr>
            </a:pPr>
            <a:r>
              <a:rPr lang="pl-PL" sz="900" b="1">
                <a:solidFill>
                  <a:schemeClr val="accent4">
                    <a:lumMod val="75000"/>
                  </a:schemeClr>
                </a:solidFill>
                <a:latin typeface="Times New Roman" panose="02020603050405020304" pitchFamily="18" charset="0"/>
                <a:cs typeface="Times New Roman" panose="02020603050405020304" pitchFamily="18" charset="0"/>
              </a:rPr>
              <a:t>Saldo migracji wg ekonomicznych grup wieku</a:t>
            </a:r>
          </a:p>
        </c:rich>
      </c:tx>
      <c:layout>
        <c:manualLayout>
          <c:xMode val="edge"/>
          <c:yMode val="edge"/>
          <c:x val="9.256676121882329E-2"/>
          <c:y val="3.6565230534483011E-2"/>
        </c:manualLayout>
      </c:layout>
      <c:overlay val="0"/>
    </c:title>
    <c:autoTitleDeleted val="0"/>
    <c:plotArea>
      <c:layout>
        <c:manualLayout>
          <c:layoutTarget val="inner"/>
          <c:xMode val="edge"/>
          <c:yMode val="edge"/>
          <c:x val="4.7262465040529091E-2"/>
          <c:y val="2.6220775377330571E-2"/>
          <c:w val="0.94469117336749908"/>
          <c:h val="0.88487052520496789"/>
        </c:manualLayout>
      </c:layout>
      <c:lineChart>
        <c:grouping val="standard"/>
        <c:varyColors val="0"/>
        <c:ser>
          <c:idx val="0"/>
          <c:order val="0"/>
          <c:tx>
            <c:strRef>
              <c:f>wykres!$A$29</c:f>
              <c:strCache>
                <c:ptCount val="1"/>
                <c:pt idx="0">
                  <c:v>PODKARPACKIE wiek przedprodukcyjny</c:v>
                </c:pt>
              </c:strCache>
            </c:strRef>
          </c:tx>
          <c:spPr>
            <a:ln w="34925">
              <a:solidFill>
                <a:schemeClr val="tx1"/>
              </a:solidFill>
              <a:prstDash val="sysDash"/>
            </a:ln>
          </c:spPr>
          <c:marker>
            <c:symbol val="none"/>
          </c:marker>
          <c:cat>
            <c:strRef>
              <c:f>wykres!$B$28:$M$28</c:f>
              <c:strCache>
                <c:ptCount val="12"/>
                <c:pt idx="0">
                  <c:v>2005</c:v>
                </c:pt>
                <c:pt idx="1">
                  <c:v>2006</c:v>
                </c:pt>
                <c:pt idx="2">
                  <c:v>2007</c:v>
                </c:pt>
                <c:pt idx="3">
                  <c:v>2008</c:v>
                </c:pt>
                <c:pt idx="4">
                  <c:v>2009</c:v>
                </c:pt>
                <c:pt idx="5">
                  <c:v>2010</c:v>
                </c:pt>
                <c:pt idx="6">
                  <c:v>2011</c:v>
                </c:pt>
                <c:pt idx="7">
                  <c:v>2012</c:v>
                </c:pt>
                <c:pt idx="8">
                  <c:v>2013</c:v>
                </c:pt>
                <c:pt idx="9">
                  <c:v>2014</c:v>
                </c:pt>
                <c:pt idx="10">
                  <c:v>2016</c:v>
                </c:pt>
                <c:pt idx="11">
                  <c:v>2017</c:v>
                </c:pt>
              </c:strCache>
            </c:strRef>
          </c:cat>
          <c:val>
            <c:numRef>
              <c:f>wykres!$B$29:$M$29</c:f>
              <c:numCache>
                <c:formatCode>#,##0</c:formatCode>
                <c:ptCount val="12"/>
                <c:pt idx="0">
                  <c:v>-65</c:v>
                </c:pt>
                <c:pt idx="1">
                  <c:v>-172</c:v>
                </c:pt>
                <c:pt idx="2">
                  <c:v>-249</c:v>
                </c:pt>
                <c:pt idx="3">
                  <c:v>-138</c:v>
                </c:pt>
                <c:pt idx="4">
                  <c:v>-48</c:v>
                </c:pt>
                <c:pt idx="5">
                  <c:v>53</c:v>
                </c:pt>
                <c:pt idx="6">
                  <c:v>184</c:v>
                </c:pt>
                <c:pt idx="7">
                  <c:v>202</c:v>
                </c:pt>
                <c:pt idx="8">
                  <c:v>-122</c:v>
                </c:pt>
                <c:pt idx="9">
                  <c:v>131</c:v>
                </c:pt>
                <c:pt idx="10">
                  <c:v>420</c:v>
                </c:pt>
                <c:pt idx="11">
                  <c:v>417</c:v>
                </c:pt>
              </c:numCache>
            </c:numRef>
          </c:val>
          <c:smooth val="0"/>
        </c:ser>
        <c:ser>
          <c:idx val="1"/>
          <c:order val="1"/>
          <c:tx>
            <c:strRef>
              <c:f>wykres!$A$30</c:f>
              <c:strCache>
                <c:ptCount val="1"/>
                <c:pt idx="0">
                  <c:v>PODKARPACKIE wiek produkcyjny</c:v>
                </c:pt>
              </c:strCache>
            </c:strRef>
          </c:tx>
          <c:spPr>
            <a:ln w="60325">
              <a:solidFill>
                <a:schemeClr val="accent4">
                  <a:lumMod val="60000"/>
                  <a:lumOff val="40000"/>
                  <a:alpha val="75000"/>
                </a:schemeClr>
              </a:solidFill>
            </a:ln>
          </c:spPr>
          <c:marker>
            <c:symbol val="circle"/>
            <c:size val="4"/>
            <c:spPr>
              <a:solidFill>
                <a:schemeClr val="bg1">
                  <a:alpha val="60000"/>
                </a:schemeClr>
              </a:solidFill>
              <a:ln>
                <a:noFill/>
              </a:ln>
            </c:spPr>
          </c:marker>
          <c:cat>
            <c:strRef>
              <c:f>wykres!$B$28:$M$28</c:f>
              <c:strCache>
                <c:ptCount val="12"/>
                <c:pt idx="0">
                  <c:v>2005</c:v>
                </c:pt>
                <c:pt idx="1">
                  <c:v>2006</c:v>
                </c:pt>
                <c:pt idx="2">
                  <c:v>2007</c:v>
                </c:pt>
                <c:pt idx="3">
                  <c:v>2008</c:v>
                </c:pt>
                <c:pt idx="4">
                  <c:v>2009</c:v>
                </c:pt>
                <c:pt idx="5">
                  <c:v>2010</c:v>
                </c:pt>
                <c:pt idx="6">
                  <c:v>2011</c:v>
                </c:pt>
                <c:pt idx="7">
                  <c:v>2012</c:v>
                </c:pt>
                <c:pt idx="8">
                  <c:v>2013</c:v>
                </c:pt>
                <c:pt idx="9">
                  <c:v>2014</c:v>
                </c:pt>
                <c:pt idx="10">
                  <c:v>2016</c:v>
                </c:pt>
                <c:pt idx="11">
                  <c:v>2017</c:v>
                </c:pt>
              </c:strCache>
            </c:strRef>
          </c:cat>
          <c:val>
            <c:numRef>
              <c:f>wykres!$B$30:$M$30</c:f>
              <c:numCache>
                <c:formatCode>#,##0</c:formatCode>
                <c:ptCount val="12"/>
                <c:pt idx="0">
                  <c:v>-2366</c:v>
                </c:pt>
                <c:pt idx="1">
                  <c:v>-3852</c:v>
                </c:pt>
                <c:pt idx="2">
                  <c:v>-3010</c:v>
                </c:pt>
                <c:pt idx="3">
                  <c:v>-2215</c:v>
                </c:pt>
                <c:pt idx="4">
                  <c:v>-1871</c:v>
                </c:pt>
                <c:pt idx="5">
                  <c:v>-2006</c:v>
                </c:pt>
                <c:pt idx="6">
                  <c:v>-2383</c:v>
                </c:pt>
                <c:pt idx="7">
                  <c:v>-2167</c:v>
                </c:pt>
                <c:pt idx="8">
                  <c:v>-3003</c:v>
                </c:pt>
                <c:pt idx="9">
                  <c:v>-2389</c:v>
                </c:pt>
                <c:pt idx="10">
                  <c:v>-2056</c:v>
                </c:pt>
                <c:pt idx="11">
                  <c:v>-2233</c:v>
                </c:pt>
              </c:numCache>
            </c:numRef>
          </c:val>
          <c:smooth val="1"/>
        </c:ser>
        <c:ser>
          <c:idx val="2"/>
          <c:order val="2"/>
          <c:tx>
            <c:strRef>
              <c:f>wykres!$A$31</c:f>
              <c:strCache>
                <c:ptCount val="1"/>
                <c:pt idx="0">
                  <c:v>PODKARPACKIE wiek poprodukcyjny</c:v>
                </c:pt>
              </c:strCache>
            </c:strRef>
          </c:tx>
          <c:spPr>
            <a:ln w="31750">
              <a:solidFill>
                <a:srgbClr val="E20000">
                  <a:alpha val="54902"/>
                </a:srgbClr>
              </a:solidFill>
            </a:ln>
          </c:spPr>
          <c:marker>
            <c:symbol val="none"/>
          </c:marker>
          <c:cat>
            <c:strRef>
              <c:f>wykres!$B$28:$M$28</c:f>
              <c:strCache>
                <c:ptCount val="12"/>
                <c:pt idx="0">
                  <c:v>2005</c:v>
                </c:pt>
                <c:pt idx="1">
                  <c:v>2006</c:v>
                </c:pt>
                <c:pt idx="2">
                  <c:v>2007</c:v>
                </c:pt>
                <c:pt idx="3">
                  <c:v>2008</c:v>
                </c:pt>
                <c:pt idx="4">
                  <c:v>2009</c:v>
                </c:pt>
                <c:pt idx="5">
                  <c:v>2010</c:v>
                </c:pt>
                <c:pt idx="6">
                  <c:v>2011</c:v>
                </c:pt>
                <c:pt idx="7">
                  <c:v>2012</c:v>
                </c:pt>
                <c:pt idx="8">
                  <c:v>2013</c:v>
                </c:pt>
                <c:pt idx="9">
                  <c:v>2014</c:v>
                </c:pt>
                <c:pt idx="10">
                  <c:v>2016</c:v>
                </c:pt>
                <c:pt idx="11">
                  <c:v>2017</c:v>
                </c:pt>
              </c:strCache>
            </c:strRef>
          </c:cat>
          <c:val>
            <c:numRef>
              <c:f>wykres!$B$31:$M$31</c:f>
              <c:numCache>
                <c:formatCode>#,##0</c:formatCode>
                <c:ptCount val="12"/>
                <c:pt idx="0">
                  <c:v>46</c:v>
                </c:pt>
                <c:pt idx="1">
                  <c:v>34</c:v>
                </c:pt>
                <c:pt idx="2">
                  <c:v>106</c:v>
                </c:pt>
                <c:pt idx="3">
                  <c:v>42</c:v>
                </c:pt>
                <c:pt idx="4">
                  <c:v>44</c:v>
                </c:pt>
                <c:pt idx="5">
                  <c:v>24</c:v>
                </c:pt>
                <c:pt idx="6">
                  <c:v>22</c:v>
                </c:pt>
                <c:pt idx="7">
                  <c:v>18</c:v>
                </c:pt>
                <c:pt idx="8">
                  <c:v>23</c:v>
                </c:pt>
                <c:pt idx="9">
                  <c:v>9</c:v>
                </c:pt>
                <c:pt idx="10">
                  <c:v>-3</c:v>
                </c:pt>
                <c:pt idx="11">
                  <c:v>39</c:v>
                </c:pt>
              </c:numCache>
            </c:numRef>
          </c:val>
          <c:smooth val="0"/>
        </c:ser>
        <c:ser>
          <c:idx val="3"/>
          <c:order val="3"/>
          <c:tx>
            <c:strRef>
              <c:f>wykres!$A$32</c:f>
              <c:strCache>
                <c:ptCount val="1"/>
                <c:pt idx="0">
                  <c:v>ogółem saldo migracji</c:v>
                </c:pt>
              </c:strCache>
            </c:strRef>
          </c:tx>
          <c:spPr>
            <a:ln w="34925" cmpd="sng">
              <a:solidFill>
                <a:schemeClr val="tx1"/>
              </a:solidFill>
              <a:prstDash val="sysDot"/>
            </a:ln>
          </c:spPr>
          <c:marker>
            <c:symbol val="none"/>
          </c:marker>
          <c:dLbls>
            <c:dLbl>
              <c:idx val="0"/>
              <c:layout>
                <c:manualLayout>
                  <c:x val="-2.8206165519277016E-2"/>
                  <c:y val="-5.6381263585196274E-2"/>
                </c:manualLayout>
              </c:layout>
              <c:dLblPos val="r"/>
              <c:showLegendKey val="0"/>
              <c:showVal val="1"/>
              <c:showCatName val="0"/>
              <c:showSerName val="0"/>
              <c:showPercent val="0"/>
              <c:showBubbleSize val="0"/>
            </c:dLbl>
            <c:dLbl>
              <c:idx val="4"/>
              <c:layout>
                <c:manualLayout>
                  <c:x val="-3.0989207674516534E-2"/>
                  <c:y val="-5.6381498004018517E-2"/>
                </c:manualLayout>
              </c:layout>
              <c:dLblPos val="r"/>
              <c:showLegendKey val="0"/>
              <c:showVal val="1"/>
              <c:showCatName val="0"/>
              <c:showSerName val="0"/>
              <c:showPercent val="0"/>
              <c:showBubbleSize val="0"/>
            </c:dLbl>
            <c:dLbl>
              <c:idx val="5"/>
              <c:layout>
                <c:manualLayout>
                  <c:x val="-2.9129673653243468E-2"/>
                  <c:y val="-4.2329965391185817E-2"/>
                </c:manualLayout>
              </c:layout>
              <c:dLblPos val="r"/>
              <c:showLegendKey val="0"/>
              <c:showVal val="1"/>
              <c:showCatName val="0"/>
              <c:showSerName val="0"/>
              <c:showPercent val="0"/>
              <c:showBubbleSize val="0"/>
            </c:dLbl>
            <c:dLbl>
              <c:idx val="6"/>
              <c:layout>
                <c:manualLayout>
                  <c:x val="-3.2848741695789538E-2"/>
                  <c:y val="-4.9355731697602163E-2"/>
                </c:manualLayout>
              </c:layout>
              <c:dLblPos val="r"/>
              <c:showLegendKey val="0"/>
              <c:showVal val="1"/>
              <c:showCatName val="0"/>
              <c:showSerName val="0"/>
              <c:showPercent val="0"/>
              <c:showBubbleSize val="0"/>
            </c:dLbl>
            <c:dLbl>
              <c:idx val="7"/>
              <c:layout>
                <c:manualLayout>
                  <c:x val="-2.9129673653243468E-2"/>
                  <c:y val="-4.9355731697602163E-2"/>
                </c:manualLayout>
              </c:layout>
              <c:dLblPos val="r"/>
              <c:showLegendKey val="0"/>
              <c:showVal val="1"/>
              <c:showCatName val="0"/>
              <c:showSerName val="0"/>
              <c:showPercent val="0"/>
              <c:showBubbleSize val="0"/>
            </c:dLbl>
            <c:dLbl>
              <c:idx val="9"/>
              <c:layout>
                <c:manualLayout>
                  <c:x val="-3.0989207674516534E-2"/>
                  <c:y val="-6.3407264310434863E-2"/>
                </c:manualLayout>
              </c:layout>
              <c:dLblPos val="r"/>
              <c:showLegendKey val="0"/>
              <c:showVal val="1"/>
              <c:showCatName val="0"/>
              <c:showSerName val="0"/>
              <c:showPercent val="0"/>
              <c:showBubbleSize val="0"/>
            </c:dLbl>
            <c:dLbl>
              <c:idx val="10"/>
              <c:layout>
                <c:manualLayout>
                  <c:x val="-3.0989207674516534E-2"/>
                  <c:y val="-5.6381498004018517E-2"/>
                </c:manualLayout>
              </c:layout>
              <c:dLblPos val="r"/>
              <c:showLegendKey val="0"/>
              <c:showVal val="1"/>
              <c:showCatName val="0"/>
              <c:showSerName val="0"/>
              <c:showPercent val="0"/>
              <c:showBubbleSize val="0"/>
            </c:dLbl>
            <c:dLbl>
              <c:idx val="11"/>
              <c:layout>
                <c:manualLayout>
                  <c:x val="-2.6421489302261836E-2"/>
                  <c:y val="-5.6381498004018517E-2"/>
                </c:manualLayout>
              </c:layout>
              <c:dLblPos val="r"/>
              <c:showLegendKey val="0"/>
              <c:showVal val="1"/>
              <c:showCatName val="0"/>
              <c:showSerName val="0"/>
              <c:showPercent val="0"/>
              <c:showBubbleSize val="0"/>
            </c:dLbl>
            <c:txPr>
              <a:bodyPr/>
              <a:lstStyle/>
              <a:p>
                <a:pPr>
                  <a:defRPr sz="700">
                    <a:latin typeface="Times New Roman" panose="02020603050405020304" pitchFamily="18" charset="0"/>
                    <a:cs typeface="Times New Roman" panose="02020603050405020304" pitchFamily="18" charset="0"/>
                  </a:defRPr>
                </a:pPr>
                <a:endParaRPr lang="pl-PL"/>
              </a:p>
            </c:txPr>
            <c:dLblPos val="t"/>
            <c:showLegendKey val="0"/>
            <c:showVal val="1"/>
            <c:showCatName val="0"/>
            <c:showSerName val="0"/>
            <c:showPercent val="0"/>
            <c:showBubbleSize val="0"/>
            <c:showLeaderLines val="0"/>
          </c:dLbls>
          <c:val>
            <c:numRef>
              <c:f>wykres!$B$32:$M$32</c:f>
              <c:numCache>
                <c:formatCode>General</c:formatCode>
                <c:ptCount val="12"/>
                <c:pt idx="0" formatCode="#,##0">
                  <c:v>-2385</c:v>
                </c:pt>
                <c:pt idx="1">
                  <c:v>-3990</c:v>
                </c:pt>
                <c:pt idx="2">
                  <c:v>-3153</c:v>
                </c:pt>
                <c:pt idx="3">
                  <c:v>-2311</c:v>
                </c:pt>
                <c:pt idx="4">
                  <c:v>-1875</c:v>
                </c:pt>
                <c:pt idx="5">
                  <c:v>-1929</c:v>
                </c:pt>
                <c:pt idx="6">
                  <c:v>-2177</c:v>
                </c:pt>
                <c:pt idx="7">
                  <c:v>-1947</c:v>
                </c:pt>
                <c:pt idx="8">
                  <c:v>-3102</c:v>
                </c:pt>
                <c:pt idx="9">
                  <c:v>-2249</c:v>
                </c:pt>
                <c:pt idx="10">
                  <c:v>-1639</c:v>
                </c:pt>
                <c:pt idx="11">
                  <c:v>-1777</c:v>
                </c:pt>
              </c:numCache>
            </c:numRef>
          </c:val>
          <c:smooth val="1"/>
        </c:ser>
        <c:dLbls>
          <c:showLegendKey val="0"/>
          <c:showVal val="0"/>
          <c:showCatName val="0"/>
          <c:showSerName val="0"/>
          <c:showPercent val="0"/>
          <c:showBubbleSize val="0"/>
        </c:dLbls>
        <c:marker val="1"/>
        <c:smooth val="0"/>
        <c:axId val="195495424"/>
        <c:axId val="195496960"/>
      </c:lineChart>
      <c:catAx>
        <c:axId val="195495424"/>
        <c:scaling>
          <c:orientation val="minMax"/>
        </c:scaling>
        <c:delete val="0"/>
        <c:axPos val="b"/>
        <c:minorGridlines>
          <c:spPr>
            <a:ln>
              <a:solidFill>
                <a:schemeClr val="bg1">
                  <a:lumMod val="50000"/>
                  <a:alpha val="33000"/>
                </a:schemeClr>
              </a:solidFill>
            </a:ln>
          </c:spPr>
        </c:minorGridlines>
        <c:numFmt formatCode="General" sourceLinked="1"/>
        <c:majorTickMark val="out"/>
        <c:minorTickMark val="none"/>
        <c:tickLblPos val="nextTo"/>
        <c:txPr>
          <a:bodyPr/>
          <a:lstStyle/>
          <a:p>
            <a:pPr>
              <a:defRPr sz="600">
                <a:latin typeface="Times New Roman" panose="02020603050405020304" pitchFamily="18" charset="0"/>
                <a:cs typeface="Times New Roman" panose="02020603050405020304" pitchFamily="18" charset="0"/>
              </a:defRPr>
            </a:pPr>
            <a:endParaRPr lang="pl-PL"/>
          </a:p>
        </c:txPr>
        <c:crossAx val="195496960"/>
        <c:crosses val="autoZero"/>
        <c:auto val="1"/>
        <c:lblAlgn val="ctr"/>
        <c:lblOffset val="100"/>
        <c:noMultiLvlLbl val="0"/>
      </c:catAx>
      <c:valAx>
        <c:axId val="195496960"/>
        <c:scaling>
          <c:orientation val="minMax"/>
          <c:max val="1000"/>
          <c:min val="-4500"/>
        </c:scaling>
        <c:delete val="0"/>
        <c:axPos val="l"/>
        <c:majorGridlines>
          <c:spPr>
            <a:ln>
              <a:solidFill>
                <a:schemeClr val="bg1">
                  <a:lumMod val="50000"/>
                  <a:alpha val="75000"/>
                </a:schemeClr>
              </a:solidFill>
            </a:ln>
          </c:spPr>
        </c:majorGridlines>
        <c:minorGridlines>
          <c:spPr>
            <a:ln>
              <a:solidFill>
                <a:schemeClr val="bg1">
                  <a:lumMod val="65000"/>
                  <a:alpha val="49000"/>
                </a:schemeClr>
              </a:solidFill>
            </a:ln>
          </c:spPr>
        </c:minorGridlines>
        <c:numFmt formatCode="#,##0" sourceLinked="1"/>
        <c:majorTickMark val="out"/>
        <c:minorTickMark val="none"/>
        <c:tickLblPos val="nextTo"/>
        <c:spPr>
          <a:noFill/>
          <a:ln>
            <a:solidFill>
              <a:schemeClr val="accent1">
                <a:alpha val="62000"/>
              </a:schemeClr>
            </a:solidFill>
          </a:ln>
        </c:spPr>
        <c:txPr>
          <a:bodyPr/>
          <a:lstStyle/>
          <a:p>
            <a:pPr>
              <a:defRPr sz="700">
                <a:latin typeface="Times New Roman" panose="02020603050405020304" pitchFamily="18" charset="0"/>
                <a:cs typeface="Times New Roman" panose="02020603050405020304" pitchFamily="18" charset="0"/>
              </a:defRPr>
            </a:pPr>
            <a:endParaRPr lang="pl-PL"/>
          </a:p>
        </c:txPr>
        <c:crossAx val="195495424"/>
        <c:crosses val="autoZero"/>
        <c:crossBetween val="between"/>
        <c:majorUnit val="500"/>
        <c:minorUnit val="100"/>
      </c:valAx>
    </c:plotArea>
    <c:legend>
      <c:legendPos val="b"/>
      <c:layout>
        <c:manualLayout>
          <c:xMode val="edge"/>
          <c:yMode val="edge"/>
          <c:x val="1.9011026597486141E-2"/>
          <c:y val="0.85459629475017629"/>
          <c:w val="0.97818886714499498"/>
          <c:h val="0.14318132909365322"/>
        </c:manualLayout>
      </c:layout>
      <c:overlay val="0"/>
      <c:txPr>
        <a:bodyPr/>
        <a:lstStyle/>
        <a:p>
          <a:pPr>
            <a:defRPr sz="700">
              <a:latin typeface="Times New Roman" panose="02020603050405020304" pitchFamily="18" charset="0"/>
              <a:ea typeface="Verdana" panose="020B0604030504040204" pitchFamily="34" charset="0"/>
              <a:cs typeface="Times New Roman" panose="02020603050405020304" pitchFamily="18" charset="0"/>
            </a:defRPr>
          </a:pPr>
          <a:endParaRPr lang="pl-PL"/>
        </a:p>
      </c:txPr>
    </c:legend>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100">
                <a:solidFill>
                  <a:schemeClr val="accent4">
                    <a:lumMod val="75000"/>
                  </a:schemeClr>
                </a:solidFill>
                <a:latin typeface="Verdana" panose="020B0604030504040204" pitchFamily="34" charset="0"/>
                <a:ea typeface="Verdana" panose="020B0604030504040204" pitchFamily="34" charset="0"/>
                <a:cs typeface="Verdana" panose="020B0604030504040204" pitchFamily="34" charset="0"/>
              </a:defRPr>
            </a:pPr>
            <a:r>
              <a:rPr lang="pl-PL" sz="800">
                <a:solidFill>
                  <a:schemeClr val="accent4">
                    <a:lumMod val="75000"/>
                  </a:schemeClr>
                </a:solidFill>
                <a:latin typeface="Times New Roman" panose="02020603050405020304" pitchFamily="18" charset="0"/>
                <a:ea typeface="Verdana" panose="020B0604030504040204" pitchFamily="34" charset="0"/>
                <a:cs typeface="Times New Roman" panose="02020603050405020304" pitchFamily="18" charset="0"/>
              </a:rPr>
              <a:t>Wskaźnik obciążenia demograficznego</a:t>
            </a:r>
          </a:p>
          <a:p>
            <a:pPr algn="l">
              <a:defRPr sz="1100">
                <a:solidFill>
                  <a:schemeClr val="accent4">
                    <a:lumMod val="75000"/>
                  </a:schemeClr>
                </a:solidFill>
                <a:latin typeface="Verdana" panose="020B0604030504040204" pitchFamily="34" charset="0"/>
                <a:ea typeface="Verdana" panose="020B0604030504040204" pitchFamily="34" charset="0"/>
                <a:cs typeface="Verdana" panose="020B0604030504040204" pitchFamily="34" charset="0"/>
              </a:defRPr>
            </a:pPr>
            <a:r>
              <a:rPr lang="pl-PL" sz="800">
                <a:solidFill>
                  <a:schemeClr val="accent4">
                    <a:lumMod val="75000"/>
                  </a:schemeClr>
                </a:solidFill>
                <a:latin typeface="Times New Roman" panose="02020603050405020304" pitchFamily="18" charset="0"/>
                <a:ea typeface="Verdana" panose="020B0604030504040204" pitchFamily="34" charset="0"/>
                <a:cs typeface="Times New Roman" panose="02020603050405020304" pitchFamily="18" charset="0"/>
              </a:rPr>
              <a:t>(wiek produkcyujny  </a:t>
            </a:r>
            <a:r>
              <a:rPr lang="pl-PL" sz="800" baseline="0">
                <a:solidFill>
                  <a:schemeClr val="accent4">
                    <a:lumMod val="75000"/>
                  </a:schemeClr>
                </a:solidFill>
                <a:latin typeface="Times New Roman" panose="02020603050405020304" pitchFamily="18" charset="0"/>
                <a:ea typeface="Verdana" panose="020B0604030504040204" pitchFamily="34" charset="0"/>
                <a:cs typeface="Times New Roman" panose="02020603050405020304" pitchFamily="18" charset="0"/>
              </a:rPr>
              <a:t>18-59 i 18-64 do pozostałych kategorii ludnosci wg ekonomicznych grup wieku)</a:t>
            </a:r>
            <a:endParaRPr lang="pl-PL" sz="800">
              <a:solidFill>
                <a:schemeClr val="accent4">
                  <a:lumMod val="75000"/>
                </a:schemeClr>
              </a:solidFill>
              <a:latin typeface="Times New Roman" panose="02020603050405020304" pitchFamily="18" charset="0"/>
              <a:ea typeface="Verdana" panose="020B0604030504040204" pitchFamily="34" charset="0"/>
              <a:cs typeface="Times New Roman" panose="02020603050405020304" pitchFamily="18" charset="0"/>
            </a:endParaRPr>
          </a:p>
        </c:rich>
      </c:tx>
      <c:layout>
        <c:manualLayout>
          <c:xMode val="edge"/>
          <c:yMode val="edge"/>
          <c:x val="0.24314682043777597"/>
          <c:y val="2.0572089505760931E-2"/>
        </c:manualLayout>
      </c:layout>
      <c:overlay val="1"/>
    </c:title>
    <c:autoTitleDeleted val="0"/>
    <c:plotArea>
      <c:layout>
        <c:manualLayout>
          <c:layoutTarget val="inner"/>
          <c:xMode val="edge"/>
          <c:yMode val="edge"/>
          <c:x val="3.7548016054082166E-2"/>
          <c:y val="2.0878765107209582E-2"/>
          <c:w val="0.92104610432788914"/>
          <c:h val="0.88487052520496789"/>
        </c:manualLayout>
      </c:layout>
      <c:lineChart>
        <c:grouping val="standard"/>
        <c:varyColors val="0"/>
        <c:ser>
          <c:idx val="0"/>
          <c:order val="0"/>
          <c:tx>
            <c:strRef>
              <c:f>obl_wykres!$A$43</c:f>
              <c:strCache>
                <c:ptCount val="1"/>
                <c:pt idx="0">
                  <c:v>WOD podkarpackie</c:v>
                </c:pt>
              </c:strCache>
            </c:strRef>
          </c:tx>
          <c:spPr>
            <a:ln w="34925">
              <a:solidFill>
                <a:schemeClr val="tx1">
                  <a:alpha val="79000"/>
                </a:schemeClr>
              </a:solidFill>
              <a:prstDash val="sysDot"/>
            </a:ln>
          </c:spPr>
          <c:marker>
            <c:symbol val="none"/>
          </c:marker>
          <c:cat>
            <c:strRef>
              <c:f>obl_wykres!$B$2:$X$2</c:f>
              <c:strCach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strCache>
            </c:strRef>
          </c:cat>
          <c:val>
            <c:numRef>
              <c:f>obl_wykres!$B$43:$X$43</c:f>
              <c:numCache>
                <c:formatCode>0.0</c:formatCode>
                <c:ptCount val="23"/>
                <c:pt idx="0">
                  <c:v>77.998143595743457</c:v>
                </c:pt>
                <c:pt idx="1">
                  <c:v>76.563851615356654</c:v>
                </c:pt>
                <c:pt idx="2">
                  <c:v>75.164050245868552</c:v>
                </c:pt>
                <c:pt idx="3">
                  <c:v>73.455794667749927</c:v>
                </c:pt>
                <c:pt idx="4">
                  <c:v>73.625199992720013</c:v>
                </c:pt>
                <c:pt idx="5">
                  <c:v>71.958992521405122</c:v>
                </c:pt>
                <c:pt idx="6">
                  <c:v>69.559327770368554</c:v>
                </c:pt>
                <c:pt idx="7" formatCode="0.00">
                  <c:v>67.096105364094157</c:v>
                </c:pt>
                <c:pt idx="8">
                  <c:v>64.747044605270503</c:v>
                </c:pt>
                <c:pt idx="9">
                  <c:v>62.860715943617542</c:v>
                </c:pt>
                <c:pt idx="10">
                  <c:v>61.213993587591311</c:v>
                </c:pt>
                <c:pt idx="11">
                  <c:v>59.797354948805456</c:v>
                </c:pt>
                <c:pt idx="12">
                  <c:v>58.527151997520811</c:v>
                </c:pt>
                <c:pt idx="13">
                  <c:v>57.481534599139337</c:v>
                </c:pt>
                <c:pt idx="14">
                  <c:v>56.655113555898417</c:v>
                </c:pt>
                <c:pt idx="15">
                  <c:v>56.594919224335797</c:v>
                </c:pt>
                <c:pt idx="16">
                  <c:v>56.500849890014237</c:v>
                </c:pt>
                <c:pt idx="17">
                  <c:v>56.659544500057002</c:v>
                </c:pt>
                <c:pt idx="18">
                  <c:v>57.076348925440712</c:v>
                </c:pt>
                <c:pt idx="19">
                  <c:v>57.560928321623983</c:v>
                </c:pt>
                <c:pt idx="20">
                  <c:v>58.142845038137303</c:v>
                </c:pt>
                <c:pt idx="21">
                  <c:v>59.050090190300409</c:v>
                </c:pt>
                <c:pt idx="22">
                  <c:v>60.202041634782574</c:v>
                </c:pt>
              </c:numCache>
            </c:numRef>
          </c:val>
          <c:smooth val="0"/>
        </c:ser>
        <c:ser>
          <c:idx val="1"/>
          <c:order val="1"/>
          <c:tx>
            <c:strRef>
              <c:f>obl_wykres!$A$44</c:f>
              <c:strCache>
                <c:ptCount val="1"/>
                <c:pt idx="0">
                  <c:v>WOD Polska</c:v>
                </c:pt>
              </c:strCache>
            </c:strRef>
          </c:tx>
          <c:spPr>
            <a:ln w="60325">
              <a:solidFill>
                <a:schemeClr val="accent4">
                  <a:lumMod val="60000"/>
                  <a:lumOff val="40000"/>
                  <a:alpha val="93000"/>
                </a:schemeClr>
              </a:solidFill>
            </a:ln>
          </c:spPr>
          <c:marker>
            <c:symbol val="circle"/>
            <c:size val="4"/>
            <c:spPr>
              <a:solidFill>
                <a:schemeClr val="bg1"/>
              </a:solidFill>
              <a:ln>
                <a:solidFill>
                  <a:schemeClr val="bg1">
                    <a:lumMod val="65000"/>
                  </a:schemeClr>
                </a:solidFill>
              </a:ln>
            </c:spPr>
          </c:marker>
          <c:cat>
            <c:strRef>
              <c:f>obl_wykres!$B$2:$X$2</c:f>
              <c:strCach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strCache>
            </c:strRef>
          </c:cat>
          <c:val>
            <c:numRef>
              <c:f>obl_wykres!$B$44:$X$44</c:f>
              <c:numCache>
                <c:formatCode>0.0</c:formatCode>
                <c:ptCount val="23"/>
                <c:pt idx="0">
                  <c:v>70.480364272888167</c:v>
                </c:pt>
                <c:pt idx="1">
                  <c:v>69.32238427511605</c:v>
                </c:pt>
                <c:pt idx="2">
                  <c:v>67.984810792990842</c:v>
                </c:pt>
                <c:pt idx="3">
                  <c:v>66.479026246882896</c:v>
                </c:pt>
                <c:pt idx="4">
                  <c:v>66.06552173230709</c:v>
                </c:pt>
                <c:pt idx="5">
                  <c:v>64.455311750744372</c:v>
                </c:pt>
                <c:pt idx="6">
                  <c:v>62.549473472400074</c:v>
                </c:pt>
                <c:pt idx="7">
                  <c:v>60.65086614616083</c:v>
                </c:pt>
                <c:pt idx="8">
                  <c:v>58.870844386134955</c:v>
                </c:pt>
                <c:pt idx="9">
                  <c:v>57.485500887453242</c:v>
                </c:pt>
                <c:pt idx="10">
                  <c:v>56.349116333949787</c:v>
                </c:pt>
                <c:pt idx="11">
                  <c:v>55.73071199799687</c:v>
                </c:pt>
                <c:pt idx="12">
                  <c:v>55.287213568863457</c:v>
                </c:pt>
                <c:pt idx="13">
                  <c:v>55.083933921569226</c:v>
                </c:pt>
                <c:pt idx="14">
                  <c:v>54.997735380247988</c:v>
                </c:pt>
                <c:pt idx="15">
                  <c:v>55.168396151246583</c:v>
                </c:pt>
                <c:pt idx="16">
                  <c:v>55.783111096307394</c:v>
                </c:pt>
                <c:pt idx="17">
                  <c:v>56.604044500840011</c:v>
                </c:pt>
                <c:pt idx="18">
                  <c:v>57.626029260491684</c:v>
                </c:pt>
                <c:pt idx="19">
                  <c:v>58.804559375211774</c:v>
                </c:pt>
                <c:pt idx="20">
                  <c:v>60.140696457086705</c:v>
                </c:pt>
                <c:pt idx="21">
                  <c:v>61.703198310103822</c:v>
                </c:pt>
                <c:pt idx="22">
                  <c:v>63.424361871638247</c:v>
                </c:pt>
              </c:numCache>
            </c:numRef>
          </c:val>
          <c:smooth val="0"/>
        </c:ser>
        <c:dLbls>
          <c:showLegendKey val="0"/>
          <c:showVal val="0"/>
          <c:showCatName val="0"/>
          <c:showSerName val="0"/>
          <c:showPercent val="0"/>
          <c:showBubbleSize val="0"/>
        </c:dLbls>
        <c:marker val="1"/>
        <c:smooth val="0"/>
        <c:axId val="195551616"/>
        <c:axId val="195553536"/>
      </c:lineChart>
      <c:catAx>
        <c:axId val="195551616"/>
        <c:scaling>
          <c:orientation val="minMax"/>
        </c:scaling>
        <c:delete val="0"/>
        <c:axPos val="b"/>
        <c:majorGridlines/>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pl-PL"/>
          </a:p>
        </c:txPr>
        <c:crossAx val="195553536"/>
        <c:crosses val="autoZero"/>
        <c:auto val="1"/>
        <c:lblAlgn val="ctr"/>
        <c:lblOffset val="100"/>
        <c:noMultiLvlLbl val="0"/>
      </c:catAx>
      <c:valAx>
        <c:axId val="195553536"/>
        <c:scaling>
          <c:orientation val="minMax"/>
          <c:max val="80"/>
          <c:min val="50"/>
        </c:scaling>
        <c:delete val="0"/>
        <c:axPos val="l"/>
        <c:majorGridlines>
          <c:spPr>
            <a:ln>
              <a:solidFill>
                <a:schemeClr val="bg1">
                  <a:lumMod val="50000"/>
                  <a:alpha val="75000"/>
                </a:schemeClr>
              </a:solidFill>
            </a:ln>
          </c:spPr>
        </c:majorGridlines>
        <c:minorGridlines>
          <c:spPr>
            <a:ln>
              <a:solidFill>
                <a:schemeClr val="bg1">
                  <a:lumMod val="65000"/>
                  <a:alpha val="49000"/>
                </a:schemeClr>
              </a:solidFill>
            </a:ln>
          </c:spPr>
        </c:minorGridlines>
        <c:numFmt formatCode="0.0" sourceLinked="1"/>
        <c:majorTickMark val="out"/>
        <c:minorTickMark val="none"/>
        <c:tickLblPos val="nextTo"/>
        <c:spPr>
          <a:noFill/>
          <a:ln>
            <a:solidFill>
              <a:schemeClr val="accent4">
                <a:lumMod val="60000"/>
                <a:lumOff val="40000"/>
              </a:schemeClr>
            </a:solidFill>
          </a:ln>
        </c:spPr>
        <c:txPr>
          <a:bodyPr/>
          <a:lstStyle/>
          <a:p>
            <a:pPr>
              <a:defRPr sz="500">
                <a:latin typeface="Times New Roman" panose="02020603050405020304" pitchFamily="18" charset="0"/>
                <a:cs typeface="Times New Roman" panose="02020603050405020304" pitchFamily="18" charset="0"/>
              </a:defRPr>
            </a:pPr>
            <a:endParaRPr lang="pl-PL"/>
          </a:p>
        </c:txPr>
        <c:crossAx val="195551616"/>
        <c:crosses val="autoZero"/>
        <c:crossBetween val="midCat"/>
        <c:majorUnit val="2"/>
        <c:minorUnit val="2"/>
      </c:valAx>
    </c:plotArea>
    <c:legend>
      <c:legendPos val="b"/>
      <c:layout>
        <c:manualLayout>
          <c:xMode val="edge"/>
          <c:yMode val="edge"/>
          <c:x val="0.39960927826152176"/>
          <c:y val="0.23964186815868857"/>
          <c:w val="0.52952008162560626"/>
          <c:h val="8.1887203123999747E-2"/>
        </c:manualLayout>
      </c:layout>
      <c:overlay val="0"/>
      <c:txPr>
        <a:bodyPr/>
        <a:lstStyle/>
        <a:p>
          <a:pPr>
            <a:defRPr sz="900">
              <a:latin typeface="Times New Roman" panose="02020603050405020304" pitchFamily="18" charset="0"/>
              <a:ea typeface="Verdana" panose="020B0604030504040204" pitchFamily="34" charset="0"/>
              <a:cs typeface="Times New Roman" panose="02020603050405020304" pitchFamily="18" charset="0"/>
            </a:defRPr>
          </a:pPr>
          <a:endParaRPr lang="pl-PL"/>
        </a:p>
      </c:txPr>
    </c:legend>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6336005944462416E-2"/>
          <c:y val="2.6097201767304859E-2"/>
          <c:w val="0.93525202043808453"/>
          <c:h val="0.88487052520496789"/>
        </c:manualLayout>
      </c:layout>
      <c:lineChart>
        <c:grouping val="standard"/>
        <c:varyColors val="0"/>
        <c:ser>
          <c:idx val="0"/>
          <c:order val="0"/>
          <c:tx>
            <c:strRef>
              <c:f>obl_wykres!$A$33</c:f>
              <c:strCache>
                <c:ptCount val="1"/>
                <c:pt idx="0">
                  <c:v>WOD podkarpackie</c:v>
                </c:pt>
              </c:strCache>
            </c:strRef>
          </c:tx>
          <c:spPr>
            <a:ln w="44450">
              <a:solidFill>
                <a:schemeClr val="tx1">
                  <a:alpha val="79000"/>
                </a:schemeClr>
              </a:solidFill>
              <a:prstDash val="sysDot"/>
            </a:ln>
          </c:spPr>
          <c:marker>
            <c:symbol val="none"/>
          </c:marker>
          <c:dLbls>
            <c:dLbl>
              <c:idx val="0"/>
              <c:layout>
                <c:manualLayout>
                  <c:x val="-2.235981942561955E-2"/>
                  <c:y val="5.9369202226345195E-2"/>
                </c:manualLayout>
              </c:layout>
              <c:dLblPos val="r"/>
              <c:showLegendKey val="0"/>
              <c:showVal val="1"/>
              <c:showCatName val="0"/>
              <c:showSerName val="0"/>
              <c:showPercent val="0"/>
              <c:showBubbleSize val="0"/>
            </c:dLbl>
            <c:txPr>
              <a:bodyPr/>
              <a:lstStyle/>
              <a:p>
                <a:pPr>
                  <a:defRPr sz="700">
                    <a:latin typeface="Times New Roman" panose="02020603050405020304" pitchFamily="18" charset="0"/>
                    <a:cs typeface="Times New Roman" panose="02020603050405020304" pitchFamily="18" charset="0"/>
                  </a:defRPr>
                </a:pPr>
                <a:endParaRPr lang="pl-PL"/>
              </a:p>
            </c:txPr>
            <c:dLblPos val="b"/>
            <c:showLegendKey val="0"/>
            <c:showVal val="1"/>
            <c:showCatName val="0"/>
            <c:showSerName val="0"/>
            <c:showPercent val="0"/>
            <c:showBubbleSize val="0"/>
            <c:showLeaderLines val="0"/>
          </c:dLbls>
          <c:cat>
            <c:strRef>
              <c:f>obl_wykres!$B$2:$X$2</c:f>
              <c:strCach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strCache>
            </c:strRef>
          </c:cat>
          <c:val>
            <c:numRef>
              <c:f>obl_wykres!$B$33:$X$33</c:f>
              <c:numCache>
                <c:formatCode>0.0</c:formatCode>
                <c:ptCount val="23"/>
                <c:pt idx="0">
                  <c:v>15.334416055695385</c:v>
                </c:pt>
                <c:pt idx="1">
                  <c:v>15.531220707856775</c:v>
                </c:pt>
                <c:pt idx="2">
                  <c:v>15.774701642456501</c:v>
                </c:pt>
                <c:pt idx="3">
                  <c:v>16.014314250945482</c:v>
                </c:pt>
                <c:pt idx="4">
                  <c:v>16.438092448285083</c:v>
                </c:pt>
                <c:pt idx="5">
                  <c:v>16.714395687281232</c:v>
                </c:pt>
                <c:pt idx="6">
                  <c:v>16.887009783089937</c:v>
                </c:pt>
                <c:pt idx="7">
                  <c:v>16.998896734946825</c:v>
                </c:pt>
                <c:pt idx="8">
                  <c:v>17.097901141304316</c:v>
                </c:pt>
                <c:pt idx="9">
                  <c:v>17.282884321249362</c:v>
                </c:pt>
                <c:pt idx="10">
                  <c:v>17.479589220107208</c:v>
                </c:pt>
                <c:pt idx="11">
                  <c:v>17.75315313393472</c:v>
                </c:pt>
                <c:pt idx="12">
                  <c:v>18.019992076997184</c:v>
                </c:pt>
                <c:pt idx="13">
                  <c:v>18.318070388007552</c:v>
                </c:pt>
                <c:pt idx="14">
                  <c:v>18.671924582336747</c:v>
                </c:pt>
                <c:pt idx="15">
                  <c:v>18.886816761216028</c:v>
                </c:pt>
                <c:pt idx="16">
                  <c:v>19.432620054726023</c:v>
                </c:pt>
                <c:pt idx="17">
                  <c:v>20.069687118255576</c:v>
                </c:pt>
                <c:pt idx="18">
                  <c:v>20.766058136659492</c:v>
                </c:pt>
                <c:pt idx="19">
                  <c:v>21.515829627968216</c:v>
                </c:pt>
                <c:pt idx="20">
                  <c:v>22.275905349628687</c:v>
                </c:pt>
                <c:pt idx="21">
                  <c:v>23.089561555599136</c:v>
                </c:pt>
                <c:pt idx="22">
                  <c:v>23.911653051235806</c:v>
                </c:pt>
              </c:numCache>
            </c:numRef>
          </c:val>
          <c:smooth val="0"/>
        </c:ser>
        <c:ser>
          <c:idx val="1"/>
          <c:order val="1"/>
          <c:tx>
            <c:strRef>
              <c:f>obl_wykres!$A$34</c:f>
              <c:strCache>
                <c:ptCount val="1"/>
                <c:pt idx="0">
                  <c:v>WOD Polska</c:v>
                </c:pt>
              </c:strCache>
            </c:strRef>
          </c:tx>
          <c:spPr>
            <a:ln w="60325">
              <a:solidFill>
                <a:schemeClr val="accent4">
                  <a:lumMod val="60000"/>
                  <a:lumOff val="40000"/>
                  <a:alpha val="99000"/>
                </a:schemeClr>
              </a:solidFill>
            </a:ln>
          </c:spPr>
          <c:marker>
            <c:symbol val="circle"/>
            <c:size val="4"/>
            <c:spPr>
              <a:solidFill>
                <a:schemeClr val="bg1"/>
              </a:solidFill>
              <a:ln>
                <a:solidFill>
                  <a:schemeClr val="bg1">
                    <a:lumMod val="65000"/>
                  </a:schemeClr>
                </a:solidFill>
              </a:ln>
            </c:spPr>
          </c:marker>
          <c:dLbls>
            <c:dLbl>
              <c:idx val="0"/>
              <c:layout>
                <c:manualLayout>
                  <c:x val="-2.4291707823993078E-2"/>
                  <c:y val="-7.3484970222877991E-2"/>
                </c:manualLayout>
              </c:layout>
              <c:dLblPos val="r"/>
              <c:showLegendKey val="0"/>
              <c:showVal val="1"/>
              <c:showCatName val="0"/>
              <c:showSerName val="0"/>
              <c:showPercent val="0"/>
              <c:showBubbleSize val="0"/>
            </c:dLbl>
            <c:txPr>
              <a:bodyPr/>
              <a:lstStyle/>
              <a:p>
                <a:pPr>
                  <a:defRPr sz="700">
                    <a:latin typeface="Times New Roman" panose="02020603050405020304" pitchFamily="18" charset="0"/>
                    <a:cs typeface="Times New Roman" panose="02020603050405020304" pitchFamily="18" charset="0"/>
                  </a:defRPr>
                </a:pPr>
                <a:endParaRPr lang="pl-PL"/>
              </a:p>
            </c:txPr>
            <c:dLblPos val="t"/>
            <c:showLegendKey val="0"/>
            <c:showVal val="1"/>
            <c:showCatName val="0"/>
            <c:showSerName val="0"/>
            <c:showPercent val="0"/>
            <c:showBubbleSize val="0"/>
            <c:showLeaderLines val="0"/>
          </c:dLbls>
          <c:cat>
            <c:strRef>
              <c:f>obl_wykres!$B$2:$X$2</c:f>
              <c:strCach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strCache>
            </c:strRef>
          </c:cat>
          <c:val>
            <c:numRef>
              <c:f>obl_wykres!$B$34:$X$34</c:f>
              <c:numCache>
                <c:formatCode>0.0</c:formatCode>
                <c:ptCount val="23"/>
                <c:pt idx="0">
                  <c:v>15.971235922386672</c:v>
                </c:pt>
                <c:pt idx="1">
                  <c:v>16.252244715991132</c:v>
                </c:pt>
                <c:pt idx="2">
                  <c:v>16.517627399632261</c:v>
                </c:pt>
                <c:pt idx="3">
                  <c:v>16.765852910956447</c:v>
                </c:pt>
                <c:pt idx="4">
                  <c:v>17.116518826201997</c:v>
                </c:pt>
                <c:pt idx="5">
                  <c:v>17.365352445616526</c:v>
                </c:pt>
                <c:pt idx="6">
                  <c:v>17.586342589774045</c:v>
                </c:pt>
                <c:pt idx="7">
                  <c:v>17.764002098757199</c:v>
                </c:pt>
                <c:pt idx="8">
                  <c:v>17.913789688558484</c:v>
                </c:pt>
                <c:pt idx="9">
                  <c:v>18.087801478000166</c:v>
                </c:pt>
                <c:pt idx="10">
                  <c:v>18.247396799258279</c:v>
                </c:pt>
                <c:pt idx="11">
                  <c:v>18.614889809940731</c:v>
                </c:pt>
                <c:pt idx="12">
                  <c:v>18.987987581877594</c:v>
                </c:pt>
                <c:pt idx="13">
                  <c:v>19.39794635866388</c:v>
                </c:pt>
                <c:pt idx="14">
                  <c:v>19.81313305361795</c:v>
                </c:pt>
                <c:pt idx="15">
                  <c:v>20.127136293798387</c:v>
                </c:pt>
                <c:pt idx="16">
                  <c:v>20.866717026691923</c:v>
                </c:pt>
                <c:pt idx="17">
                  <c:v>21.66235912070367</c:v>
                </c:pt>
                <c:pt idx="18">
                  <c:v>22.529320275815635</c:v>
                </c:pt>
                <c:pt idx="19">
                  <c:v>23.435046266406502</c:v>
                </c:pt>
                <c:pt idx="20">
                  <c:v>24.376407647135743</c:v>
                </c:pt>
                <c:pt idx="21">
                  <c:v>25.337949115514956</c:v>
                </c:pt>
                <c:pt idx="22">
                  <c:v>26.267118444052141</c:v>
                </c:pt>
              </c:numCache>
            </c:numRef>
          </c:val>
          <c:smooth val="0"/>
        </c:ser>
        <c:dLbls>
          <c:showLegendKey val="0"/>
          <c:showVal val="0"/>
          <c:showCatName val="0"/>
          <c:showSerName val="0"/>
          <c:showPercent val="0"/>
          <c:showBubbleSize val="0"/>
        </c:dLbls>
        <c:marker val="1"/>
        <c:smooth val="0"/>
        <c:axId val="195710976"/>
        <c:axId val="195712512"/>
      </c:lineChart>
      <c:catAx>
        <c:axId val="195710976"/>
        <c:scaling>
          <c:orientation val="minMax"/>
        </c:scaling>
        <c:delete val="0"/>
        <c:axPos val="b"/>
        <c:majorGridlines/>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pl-PL"/>
          </a:p>
        </c:txPr>
        <c:crossAx val="195712512"/>
        <c:crosses val="autoZero"/>
        <c:auto val="1"/>
        <c:lblAlgn val="ctr"/>
        <c:lblOffset val="100"/>
        <c:noMultiLvlLbl val="0"/>
      </c:catAx>
      <c:valAx>
        <c:axId val="195712512"/>
        <c:scaling>
          <c:orientation val="minMax"/>
          <c:max val="28"/>
          <c:min val="13"/>
        </c:scaling>
        <c:delete val="0"/>
        <c:axPos val="l"/>
        <c:majorGridlines>
          <c:spPr>
            <a:ln>
              <a:solidFill>
                <a:schemeClr val="bg1">
                  <a:lumMod val="50000"/>
                  <a:alpha val="75000"/>
                </a:schemeClr>
              </a:solidFill>
            </a:ln>
          </c:spPr>
        </c:majorGridlines>
        <c:minorGridlines>
          <c:spPr>
            <a:ln>
              <a:solidFill>
                <a:schemeClr val="bg1">
                  <a:lumMod val="65000"/>
                  <a:alpha val="49000"/>
                </a:schemeClr>
              </a:solidFill>
            </a:ln>
          </c:spPr>
        </c:minorGridlines>
        <c:numFmt formatCode="0.0" sourceLinked="1"/>
        <c:majorTickMark val="out"/>
        <c:minorTickMark val="none"/>
        <c:tickLblPos val="nextTo"/>
        <c:spPr>
          <a:noFill/>
          <a:ln>
            <a:solidFill>
              <a:schemeClr val="accent4">
                <a:lumMod val="60000"/>
                <a:lumOff val="40000"/>
              </a:schemeClr>
            </a:solidFill>
          </a:ln>
        </c:spPr>
        <c:txPr>
          <a:bodyPr/>
          <a:lstStyle/>
          <a:p>
            <a:pPr>
              <a:defRPr sz="500">
                <a:latin typeface="Times New Roman" panose="02020603050405020304" pitchFamily="18" charset="0"/>
                <a:cs typeface="Times New Roman" panose="02020603050405020304" pitchFamily="18" charset="0"/>
              </a:defRPr>
            </a:pPr>
            <a:endParaRPr lang="pl-PL"/>
          </a:p>
        </c:txPr>
        <c:crossAx val="195710976"/>
        <c:crosses val="autoZero"/>
        <c:crossBetween val="midCat"/>
        <c:majorUnit val="1"/>
        <c:minorUnit val="1"/>
      </c:valAx>
    </c:plotArea>
    <c:legend>
      <c:legendPos val="b"/>
      <c:layout>
        <c:manualLayout>
          <c:xMode val="edge"/>
          <c:yMode val="edge"/>
          <c:x val="0.4178287531410172"/>
          <c:y val="0.78176757093180615"/>
          <c:w val="0.55647854636761207"/>
          <c:h val="8.1887203123999747E-2"/>
        </c:manualLayout>
      </c:layout>
      <c:overlay val="0"/>
      <c:txPr>
        <a:bodyPr/>
        <a:lstStyle/>
        <a:p>
          <a:pPr>
            <a:defRPr sz="900">
              <a:latin typeface="Times New Roman" panose="02020603050405020304" pitchFamily="18" charset="0"/>
              <a:ea typeface="Verdana" panose="020B0604030504040204" pitchFamily="34" charset="0"/>
              <a:cs typeface="Times New Roman" panose="02020603050405020304" pitchFamily="18" charset="0"/>
            </a:defRPr>
          </a:pPr>
          <a:endParaRPr lang="pl-PL"/>
        </a:p>
      </c:txPr>
    </c:legend>
    <c:plotVisOnly val="1"/>
    <c:dispBlanksAs val="gap"/>
    <c:showDLblsOverMax val="0"/>
  </c:chart>
  <c:spPr>
    <a:noFill/>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300610301330858E-2"/>
          <c:y val="4.6567995205439729E-2"/>
          <c:w val="0.91623852972071984"/>
          <c:h val="0.82519031291209832"/>
        </c:manualLayout>
      </c:layout>
      <c:lineChart>
        <c:grouping val="standard"/>
        <c:varyColors val="0"/>
        <c:ser>
          <c:idx val="0"/>
          <c:order val="0"/>
          <c:tx>
            <c:strRef>
              <c:f>TABLICA!$B$12</c:f>
              <c:strCache>
                <c:ptCount val="1"/>
                <c:pt idx="0">
                  <c:v>PODKARPACKIE</c:v>
                </c:pt>
              </c:strCache>
            </c:strRef>
          </c:tx>
          <c:spPr>
            <a:ln w="95250" cmpd="thickThin">
              <a:solidFill>
                <a:schemeClr val="accent4">
                  <a:lumMod val="60000"/>
                  <a:lumOff val="40000"/>
                </a:schemeClr>
              </a:solidFill>
              <a:prstDash val="solid"/>
            </a:ln>
          </c:spPr>
          <c:marker>
            <c:symbol val="circle"/>
            <c:size val="5"/>
            <c:spPr>
              <a:solidFill>
                <a:schemeClr val="bg1"/>
              </a:solidFill>
            </c:spPr>
          </c:marker>
          <c:dLbls>
            <c:txPr>
              <a:bodyPr/>
              <a:lstStyle/>
              <a:p>
                <a:pPr>
                  <a:defRPr sz="700">
                    <a:latin typeface="Times New Roman" panose="02020603050405020304" pitchFamily="18" charset="0"/>
                    <a:cs typeface="Times New Roman" panose="02020603050405020304" pitchFamily="18" charset="0"/>
                  </a:defRPr>
                </a:pPr>
                <a:endParaRPr lang="pl-PL"/>
              </a:p>
            </c:txPr>
            <c:dLblPos val="t"/>
            <c:showLegendKey val="0"/>
            <c:showVal val="1"/>
            <c:showCatName val="0"/>
            <c:showSerName val="0"/>
            <c:showPercent val="0"/>
            <c:showBubbleSize val="0"/>
            <c:showLeaderLines val="0"/>
          </c:dLbls>
          <c:cat>
            <c:strRef>
              <c:f>TABLICA!$C$2:$R$2</c:f>
              <c:strCache>
                <c:ptCount val="16"/>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strCache>
            </c:strRef>
          </c:cat>
          <c:val>
            <c:numRef>
              <c:f>TABLICA!$C$12:$R$12</c:f>
              <c:numCache>
                <c:formatCode>#,##0</c:formatCode>
                <c:ptCount val="16"/>
                <c:pt idx="0">
                  <c:v>65.895349999999993</c:v>
                </c:pt>
                <c:pt idx="1">
                  <c:v>68.032970000000006</c:v>
                </c:pt>
                <c:pt idx="2">
                  <c:v>66.514139999999998</c:v>
                </c:pt>
                <c:pt idx="3">
                  <c:v>66.273390000000006</c:v>
                </c:pt>
                <c:pt idx="4">
                  <c:v>67.056830000000005</c:v>
                </c:pt>
                <c:pt idx="5">
                  <c:v>67.731570000000005</c:v>
                </c:pt>
                <c:pt idx="6">
                  <c:v>68.713189999999997</c:v>
                </c:pt>
                <c:pt idx="7">
                  <c:v>68.99024</c:v>
                </c:pt>
                <c:pt idx="8">
                  <c:v>71.720740000000006</c:v>
                </c:pt>
                <c:pt idx="9">
                  <c:v>70.978499999999997</c:v>
                </c:pt>
                <c:pt idx="10">
                  <c:v>72.787589999999994</c:v>
                </c:pt>
                <c:pt idx="11">
                  <c:v>74.967100000000002</c:v>
                </c:pt>
                <c:pt idx="12">
                  <c:v>76.346509999999995</c:v>
                </c:pt>
                <c:pt idx="13">
                  <c:v>77.62294</c:v>
                </c:pt>
                <c:pt idx="14">
                  <c:v>78.842160000000007</c:v>
                </c:pt>
                <c:pt idx="15">
                  <c:v>80.347070000000002</c:v>
                </c:pt>
              </c:numCache>
            </c:numRef>
          </c:val>
          <c:smooth val="1"/>
        </c:ser>
        <c:ser>
          <c:idx val="1"/>
          <c:order val="1"/>
          <c:tx>
            <c:strRef>
              <c:f>TABLICA!$B$20</c:f>
              <c:strCache>
                <c:ptCount val="1"/>
                <c:pt idx="0">
                  <c:v>POLSKA</c:v>
                </c:pt>
              </c:strCache>
            </c:strRef>
          </c:tx>
          <c:spPr>
            <a:ln w="41275">
              <a:solidFill>
                <a:srgbClr val="C00000"/>
              </a:solidFill>
              <a:prstDash val="sysDot"/>
            </a:ln>
          </c:spPr>
          <c:marker>
            <c:symbol val="none"/>
          </c:marker>
          <c:dLbls>
            <c:txPr>
              <a:bodyPr/>
              <a:lstStyle/>
              <a:p>
                <a:pPr>
                  <a:defRPr sz="700">
                    <a:latin typeface="Times New Roman" panose="02020603050405020304" pitchFamily="18" charset="0"/>
                    <a:cs typeface="Times New Roman" panose="02020603050405020304" pitchFamily="18" charset="0"/>
                  </a:defRPr>
                </a:pPr>
                <a:endParaRPr lang="pl-PL"/>
              </a:p>
            </c:txPr>
            <c:dLblPos val="t"/>
            <c:showLegendKey val="0"/>
            <c:showVal val="1"/>
            <c:showCatName val="0"/>
            <c:showSerName val="0"/>
            <c:showPercent val="0"/>
            <c:showBubbleSize val="0"/>
            <c:showLeaderLines val="0"/>
          </c:dLbls>
          <c:cat>
            <c:strRef>
              <c:f>TABLICA!$C$2:$R$2</c:f>
              <c:strCache>
                <c:ptCount val="16"/>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strCache>
            </c:strRef>
          </c:cat>
          <c:val>
            <c:numRef>
              <c:f>TABLICA!$C$20:$R$20</c:f>
              <c:numCache>
                <c:formatCode>#,##0</c:formatCode>
                <c:ptCount val="16"/>
                <c:pt idx="0">
                  <c:v>90.747029999999995</c:v>
                </c:pt>
                <c:pt idx="1">
                  <c:v>93.782039999999995</c:v>
                </c:pt>
                <c:pt idx="2">
                  <c:v>93.69847</c:v>
                </c:pt>
                <c:pt idx="3">
                  <c:v>94.756290000000007</c:v>
                </c:pt>
                <c:pt idx="4">
                  <c:v>95.370320000000007</c:v>
                </c:pt>
                <c:pt idx="5">
                  <c:v>96.695419999999999</c:v>
                </c:pt>
                <c:pt idx="6">
                  <c:v>98.518600000000006</c:v>
                </c:pt>
                <c:pt idx="7">
                  <c:v>98.059600000000003</c:v>
                </c:pt>
                <c:pt idx="8">
                  <c:v>101.47458</c:v>
                </c:pt>
                <c:pt idx="9">
                  <c:v>100.41652999999999</c:v>
                </c:pt>
                <c:pt idx="10">
                  <c:v>103.1662</c:v>
                </c:pt>
                <c:pt idx="11">
                  <c:v>105.73293</c:v>
                </c:pt>
                <c:pt idx="12">
                  <c:v>107.06395000000001</c:v>
                </c:pt>
                <c:pt idx="13">
                  <c:v>108.86341</c:v>
                </c:pt>
                <c:pt idx="14">
                  <c:v>110.26179999999999</c:v>
                </c:pt>
                <c:pt idx="15">
                  <c:v>112.13638</c:v>
                </c:pt>
              </c:numCache>
            </c:numRef>
          </c:val>
          <c:smooth val="0"/>
        </c:ser>
        <c:dLbls>
          <c:showLegendKey val="0"/>
          <c:showVal val="0"/>
          <c:showCatName val="0"/>
          <c:showSerName val="0"/>
          <c:showPercent val="0"/>
          <c:showBubbleSize val="0"/>
        </c:dLbls>
        <c:marker val="1"/>
        <c:smooth val="0"/>
        <c:axId val="196757376"/>
        <c:axId val="196758912"/>
      </c:lineChart>
      <c:catAx>
        <c:axId val="196757376"/>
        <c:scaling>
          <c:orientation val="minMax"/>
        </c:scaling>
        <c:delete val="0"/>
        <c:axPos val="b"/>
        <c:majorGridlines/>
        <c:numFmt formatCode="General" sourceLinked="1"/>
        <c:majorTickMark val="out"/>
        <c:minorTickMark val="none"/>
        <c:tickLblPos val="nextTo"/>
        <c:txPr>
          <a:bodyPr/>
          <a:lstStyle/>
          <a:p>
            <a:pPr>
              <a:defRPr sz="600">
                <a:latin typeface="Times New Roman" panose="02020603050405020304" pitchFamily="18" charset="0"/>
                <a:cs typeface="Times New Roman" panose="02020603050405020304" pitchFamily="18" charset="0"/>
              </a:defRPr>
            </a:pPr>
            <a:endParaRPr lang="pl-PL"/>
          </a:p>
        </c:txPr>
        <c:crossAx val="196758912"/>
        <c:crosses val="autoZero"/>
        <c:auto val="1"/>
        <c:lblAlgn val="ctr"/>
        <c:lblOffset val="100"/>
        <c:noMultiLvlLbl val="0"/>
      </c:catAx>
      <c:valAx>
        <c:axId val="196758912"/>
        <c:scaling>
          <c:orientation val="minMax"/>
          <c:max val="120"/>
          <c:min val="0"/>
        </c:scaling>
        <c:delete val="0"/>
        <c:axPos val="l"/>
        <c:majorGridlines/>
        <c:minorGridlines/>
        <c:title>
          <c:tx>
            <c:rich>
              <a:bodyPr rot="-5400000" vert="horz"/>
              <a:lstStyle/>
              <a:p>
                <a:pPr>
                  <a:defRPr b="0">
                    <a:latin typeface="Times New Roman" panose="02020603050405020304" pitchFamily="18" charset="0"/>
                    <a:cs typeface="Times New Roman" panose="02020603050405020304" pitchFamily="18" charset="0"/>
                  </a:defRPr>
                </a:pPr>
                <a:r>
                  <a:rPr lang="pl-PL" b="0">
                    <a:latin typeface="Times New Roman" panose="02020603050405020304" pitchFamily="18" charset="0"/>
                    <a:cs typeface="Times New Roman" panose="02020603050405020304" pitchFamily="18" charset="0"/>
                  </a:rPr>
                  <a:t>wartość</a:t>
                </a:r>
              </a:p>
              <a:p>
                <a:pPr>
                  <a:defRPr b="0">
                    <a:latin typeface="Times New Roman" panose="02020603050405020304" pitchFamily="18" charset="0"/>
                    <a:cs typeface="Times New Roman" panose="02020603050405020304" pitchFamily="18" charset="0"/>
                  </a:defRPr>
                </a:pPr>
                <a:r>
                  <a:rPr lang="pl-PL" b="0" baseline="0">
                    <a:latin typeface="Times New Roman" panose="02020603050405020304" pitchFamily="18" charset="0"/>
                    <a:cs typeface="Times New Roman" panose="02020603050405020304" pitchFamily="18" charset="0"/>
                  </a:rPr>
                  <a:t>wskaźnika</a:t>
                </a:r>
                <a:endParaRPr lang="pl-PL" b="0">
                  <a:latin typeface="Times New Roman" panose="02020603050405020304" pitchFamily="18" charset="0"/>
                  <a:cs typeface="Times New Roman" panose="02020603050405020304" pitchFamily="18" charset="0"/>
                </a:endParaRPr>
              </a:p>
            </c:rich>
          </c:tx>
          <c:layout>
            <c:manualLayout>
              <c:xMode val="edge"/>
              <c:yMode val="edge"/>
              <c:x val="5.8645900631179644E-2"/>
              <c:y val="0.5198303123368786"/>
            </c:manualLayout>
          </c:layout>
          <c:overlay val="0"/>
        </c:title>
        <c:numFmt formatCode="#,##0"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pl-PL"/>
          </a:p>
        </c:txPr>
        <c:crossAx val="196757376"/>
        <c:crosses val="autoZero"/>
        <c:crossBetween val="midCat"/>
        <c:majorUnit val="10"/>
        <c:minorUnit val="5"/>
      </c:valAx>
    </c:plotArea>
    <c:legend>
      <c:legendPos val="b"/>
      <c:layout>
        <c:manualLayout>
          <c:xMode val="edge"/>
          <c:yMode val="edge"/>
          <c:x val="6.9823471289892122E-2"/>
          <c:y val="0.66324962466111492"/>
          <c:w val="0.83623587557615264"/>
          <c:h val="0.13789152166949759"/>
        </c:manualLayout>
      </c:layout>
      <c:overlay val="0"/>
      <c:txPr>
        <a:bodyPr/>
        <a:lstStyle/>
        <a:p>
          <a:pPr>
            <a:defRPr sz="1100" b="1">
              <a:latin typeface="Times New Roman" panose="02020603050405020304" pitchFamily="18" charset="0"/>
              <a:ea typeface="Verdana" panose="020B0604030504040204" pitchFamily="34" charset="0"/>
              <a:cs typeface="Times New Roman" panose="02020603050405020304" pitchFamily="18" charset="0"/>
            </a:defRPr>
          </a:pPr>
          <a:endParaRPr lang="pl-PL"/>
        </a:p>
      </c:txPr>
    </c:legend>
    <c:plotVisOnly val="1"/>
    <c:dispBlanksAs val="gap"/>
    <c:showDLblsOverMax val="0"/>
  </c:chart>
  <c:spPr>
    <a:noFill/>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200" b="0">
                <a:latin typeface="Times New Roman" panose="02020603050405020304" pitchFamily="18" charset="0"/>
                <a:cs typeface="Times New Roman" panose="02020603050405020304" pitchFamily="18" charset="0"/>
              </a:rPr>
              <a:t>2</a:t>
            </a:r>
            <a:r>
              <a:rPr lang="en-US" sz="1200" b="0">
                <a:latin typeface="Times New Roman" panose="02020603050405020304" pitchFamily="18" charset="0"/>
                <a:cs typeface="Times New Roman" panose="02020603050405020304" pitchFamily="18" charset="0"/>
              </a:rPr>
              <a:t>017</a:t>
            </a:r>
            <a:r>
              <a:rPr lang="pl-PL" sz="1200" b="0">
                <a:latin typeface="Times New Roman" panose="02020603050405020304" pitchFamily="18" charset="0"/>
                <a:cs typeface="Times New Roman" panose="02020603050405020304" pitchFamily="18" charset="0"/>
              </a:rPr>
              <a:t> rok</a:t>
            </a:r>
            <a:endParaRPr lang="en-US" sz="1200" b="0">
              <a:latin typeface="Times New Roman" panose="02020603050405020304" pitchFamily="18" charset="0"/>
              <a:cs typeface="Times New Roman" panose="02020603050405020304" pitchFamily="18" charset="0"/>
            </a:endParaRPr>
          </a:p>
        </c:rich>
      </c:tx>
      <c:layout>
        <c:manualLayout>
          <c:xMode val="edge"/>
          <c:yMode val="edge"/>
          <c:x val="0.46986248188220847"/>
          <c:y val="1.7808798050512022E-2"/>
        </c:manualLayout>
      </c:layout>
      <c:overlay val="0"/>
    </c:title>
    <c:autoTitleDeleted val="0"/>
    <c:plotArea>
      <c:layout>
        <c:manualLayout>
          <c:layoutTarget val="inner"/>
          <c:xMode val="edge"/>
          <c:yMode val="edge"/>
          <c:x val="5.7300610301330858E-2"/>
          <c:y val="2.8644440398685977E-2"/>
          <c:w val="0.91623852972071984"/>
          <c:h val="0.55769204529147032"/>
        </c:manualLayout>
      </c:layout>
      <c:barChart>
        <c:barDir val="col"/>
        <c:grouping val="clustered"/>
        <c:varyColors val="0"/>
        <c:ser>
          <c:idx val="0"/>
          <c:order val="0"/>
          <c:tx>
            <c:strRef>
              <c:f>wskaźnik!$R$2</c:f>
              <c:strCache>
                <c:ptCount val="1"/>
                <c:pt idx="0">
                  <c:v>2017</c:v>
                </c:pt>
              </c:strCache>
            </c:strRef>
          </c:tx>
          <c:spPr>
            <a:gradFill>
              <a:gsLst>
                <a:gs pos="0">
                  <a:schemeClr val="accent4">
                    <a:lumMod val="60000"/>
                    <a:lumOff val="40000"/>
                  </a:schemeClr>
                </a:gs>
                <a:gs pos="50000">
                  <a:schemeClr val="accent4">
                    <a:lumMod val="75000"/>
                  </a:schemeClr>
                </a:gs>
                <a:gs pos="100000">
                  <a:schemeClr val="bg1"/>
                </a:gs>
              </a:gsLst>
              <a:lin ang="5400000" scaled="0"/>
            </a:gradFill>
            <a:ln w="95250" cmpd="thickThin">
              <a:solidFill>
                <a:schemeClr val="accent4">
                  <a:lumMod val="60000"/>
                  <a:lumOff val="40000"/>
                </a:schemeClr>
              </a:solidFill>
              <a:prstDash val="solid"/>
            </a:ln>
          </c:spPr>
          <c:invertIfNegative val="0"/>
          <c:dPt>
            <c:idx val="5"/>
            <c:invertIfNegative val="0"/>
            <c:bubble3D val="0"/>
            <c:spPr>
              <a:solidFill>
                <a:srgbClr val="C00000"/>
              </a:solidFill>
              <a:ln w="95250" cmpd="thickThin">
                <a:solidFill>
                  <a:schemeClr val="accent4">
                    <a:lumMod val="60000"/>
                    <a:lumOff val="40000"/>
                  </a:schemeClr>
                </a:solidFill>
                <a:prstDash val="solid"/>
              </a:ln>
            </c:spPr>
          </c:dPt>
          <c:dPt>
            <c:idx val="16"/>
            <c:invertIfNegative val="0"/>
            <c:bubble3D val="0"/>
            <c:spPr>
              <a:solidFill>
                <a:srgbClr val="C00000"/>
              </a:solidFill>
              <a:ln w="95250" cmpd="thickThin">
                <a:solidFill>
                  <a:schemeClr val="accent4">
                    <a:lumMod val="60000"/>
                    <a:lumOff val="40000"/>
                  </a:schemeClr>
                </a:solidFill>
                <a:prstDash val="solid"/>
              </a:ln>
            </c:spPr>
          </c:dPt>
          <c:dLbls>
            <c:txPr>
              <a:bodyPr/>
              <a:lstStyle/>
              <a:p>
                <a:pPr>
                  <a:defRPr sz="80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dLbls>
          <c:cat>
            <c:strRef>
              <c:f>wskaźnik!$B$4:$B$20</c:f>
              <c:strCache>
                <c:ptCount val="17"/>
                <c:pt idx="0">
                  <c:v>MAZOWIECKIE</c:v>
                </c:pt>
                <c:pt idx="1">
                  <c:v>ZACHODNIOPOMORSKIE</c:v>
                </c:pt>
                <c:pt idx="2">
                  <c:v>DOLNOŚLĄSKIE</c:v>
                </c:pt>
                <c:pt idx="3">
                  <c:v>POMORSKIE</c:v>
                </c:pt>
                <c:pt idx="4">
                  <c:v>WIELKOPOLSKIE</c:v>
                </c:pt>
                <c:pt idx="5">
                  <c:v>POLSKA</c:v>
                </c:pt>
                <c:pt idx="6">
                  <c:v>MAŁOPOLSKIE</c:v>
                </c:pt>
                <c:pt idx="7">
                  <c:v>LUBUSKIE</c:v>
                </c:pt>
                <c:pt idx="8">
                  <c:v>ŚLĄSKIE</c:v>
                </c:pt>
                <c:pt idx="9">
                  <c:v>OPOLSKIE</c:v>
                </c:pt>
                <c:pt idx="10">
                  <c:v>ŁÓDZKIE</c:v>
                </c:pt>
                <c:pt idx="11">
                  <c:v>KUJAWSKO-POMORSKIE</c:v>
                </c:pt>
                <c:pt idx="12">
                  <c:v>ŚWIĘTOKRZYSKIE</c:v>
                </c:pt>
                <c:pt idx="13">
                  <c:v>WARMIŃSKO-MAZURSKIE</c:v>
                </c:pt>
                <c:pt idx="14">
                  <c:v>PODLASKIE</c:v>
                </c:pt>
                <c:pt idx="15">
                  <c:v>LUBELSKIE</c:v>
                </c:pt>
                <c:pt idx="16">
                  <c:v>PODKARPACKIE</c:v>
                </c:pt>
              </c:strCache>
            </c:strRef>
          </c:cat>
          <c:val>
            <c:numRef>
              <c:f>wskaźnik!$R$4:$R$20</c:f>
              <c:numCache>
                <c:formatCode>#,##0</c:formatCode>
                <c:ptCount val="17"/>
                <c:pt idx="0">
                  <c:v>150.31134</c:v>
                </c:pt>
                <c:pt idx="1">
                  <c:v>130.82714000000001</c:v>
                </c:pt>
                <c:pt idx="2">
                  <c:v>127.06461</c:v>
                </c:pt>
                <c:pt idx="3">
                  <c:v>126.36501</c:v>
                </c:pt>
                <c:pt idx="4">
                  <c:v>120.97122</c:v>
                </c:pt>
                <c:pt idx="5">
                  <c:v>112.13638</c:v>
                </c:pt>
                <c:pt idx="6">
                  <c:v>112.05468</c:v>
                </c:pt>
                <c:pt idx="7">
                  <c:v>111.04096</c:v>
                </c:pt>
                <c:pt idx="8">
                  <c:v>103.32199</c:v>
                </c:pt>
                <c:pt idx="9">
                  <c:v>101.59898</c:v>
                </c:pt>
                <c:pt idx="10">
                  <c:v>99.282600000000002</c:v>
                </c:pt>
                <c:pt idx="11">
                  <c:v>93.96172</c:v>
                </c:pt>
                <c:pt idx="12">
                  <c:v>90.000100000000003</c:v>
                </c:pt>
                <c:pt idx="13">
                  <c:v>87.435010000000005</c:v>
                </c:pt>
                <c:pt idx="14">
                  <c:v>85.435119999999998</c:v>
                </c:pt>
                <c:pt idx="15">
                  <c:v>83.414190000000005</c:v>
                </c:pt>
                <c:pt idx="16">
                  <c:v>80.347070000000002</c:v>
                </c:pt>
              </c:numCache>
            </c:numRef>
          </c:val>
        </c:ser>
        <c:dLbls>
          <c:showLegendKey val="0"/>
          <c:showVal val="0"/>
          <c:showCatName val="0"/>
          <c:showSerName val="0"/>
          <c:showPercent val="0"/>
          <c:showBubbleSize val="0"/>
        </c:dLbls>
        <c:gapWidth val="150"/>
        <c:axId val="197149440"/>
        <c:axId val="197150976"/>
      </c:barChart>
      <c:catAx>
        <c:axId val="197149440"/>
        <c:scaling>
          <c:orientation val="minMax"/>
        </c:scaling>
        <c:delete val="0"/>
        <c:axPos val="b"/>
        <c:majorGridlines/>
        <c:numFmt formatCode="General" sourceLinked="1"/>
        <c:majorTickMark val="out"/>
        <c:minorTickMark val="none"/>
        <c:tickLblPos val="nextTo"/>
        <c:txPr>
          <a:bodyPr rot="-5400000" vert="horz"/>
          <a:lstStyle/>
          <a:p>
            <a:pPr>
              <a:defRPr sz="550">
                <a:latin typeface="Times New Roman" panose="02020603050405020304" pitchFamily="18" charset="0"/>
                <a:cs typeface="Times New Roman" panose="02020603050405020304" pitchFamily="18" charset="0"/>
              </a:defRPr>
            </a:pPr>
            <a:endParaRPr lang="pl-PL"/>
          </a:p>
        </c:txPr>
        <c:crossAx val="197150976"/>
        <c:crosses val="autoZero"/>
        <c:auto val="1"/>
        <c:lblAlgn val="ctr"/>
        <c:lblOffset val="100"/>
        <c:noMultiLvlLbl val="0"/>
      </c:catAx>
      <c:valAx>
        <c:axId val="197150976"/>
        <c:scaling>
          <c:orientation val="minMax"/>
          <c:max val="200"/>
          <c:min val="0"/>
        </c:scaling>
        <c:delete val="0"/>
        <c:axPos val="l"/>
        <c:majorGridlines/>
        <c:minorGridlines/>
        <c:numFmt formatCode="#,##0"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pl-PL"/>
          </a:p>
        </c:txPr>
        <c:crossAx val="197149440"/>
        <c:crosses val="autoZero"/>
        <c:crossBetween val="between"/>
        <c:majorUnit val="20"/>
        <c:minorUnit val="10"/>
      </c:valAx>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25277-0F62-4AA0-8185-1F8AE0FF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8075</TotalTime>
  <Pages>58</Pages>
  <Words>8902</Words>
  <Characters>53414</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Piotr.Kocaj</dc:creator>
  <cp:lastModifiedBy>WUP</cp:lastModifiedBy>
  <cp:revision>685</cp:revision>
  <cp:lastPrinted>2019-01-31T14:51:00Z</cp:lastPrinted>
  <dcterms:created xsi:type="dcterms:W3CDTF">2017-02-21T12:02:00Z</dcterms:created>
  <dcterms:modified xsi:type="dcterms:W3CDTF">2019-03-19T10:15:00Z</dcterms:modified>
</cp:coreProperties>
</file>